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E33EAD" w:rsidRPr="00AE1379" w:rsidTr="00030002">
        <w:trPr>
          <w:trHeight w:val="1251"/>
        </w:trPr>
        <w:tc>
          <w:tcPr>
            <w:tcW w:w="93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227" w:type="dxa"/>
              <w:left w:w="0" w:type="dxa"/>
              <w:bottom w:w="227" w:type="dxa"/>
              <w:right w:w="0" w:type="dxa"/>
            </w:tcMar>
            <w:vAlign w:val="center"/>
            <w:hideMark/>
          </w:tcPr>
          <w:p w:rsidR="00E33EAD" w:rsidRPr="00AE1379" w:rsidRDefault="00E33EAD" w:rsidP="00030002">
            <w:pPr>
              <w:spacing w:before="96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sz w:val="24"/>
              </w:rPr>
              <w:t xml:space="preserve">Резолуција </w:t>
            </w:r>
            <w:r>
              <w:rPr>
                <w:rFonts w:ascii="Times New Roman" w:hAnsi="Times New Roman"/>
                <w:b/>
                <w:i/>
                <w:sz w:val="24"/>
              </w:rPr>
              <w:t>CM/ResCMN(2021)11</w:t>
            </w:r>
            <w:r>
              <w:rPr>
                <w:rFonts w:ascii="Times New Roman" w:hAnsi="Times New Roman"/>
                <w:b/>
                <w:sz w:val="24"/>
              </w:rPr>
              <w:t xml:space="preserve"> о примени Оквирне конвенције за заштиту националних мањина од стране Републике Србије</w:t>
            </w:r>
          </w:p>
          <w:p w:rsidR="00E33EAD" w:rsidRPr="00AE1379" w:rsidRDefault="00E33EAD" w:rsidP="00030002">
            <w:pPr>
              <w:spacing w:before="96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</w:rPr>
              <w:t>(Усвојио Комитет министара дана 15. априла 2021. године</w:t>
            </w:r>
          </w:p>
          <w:p w:rsidR="00E33EAD" w:rsidRPr="00AE1379" w:rsidRDefault="00E33EAD" w:rsidP="00030002">
            <w:pPr>
              <w:spacing w:before="96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</w:rPr>
              <w:t>на 1401. састанку Заменика министара)</w:t>
            </w:r>
          </w:p>
        </w:tc>
      </w:tr>
    </w:tbl>
    <w:p w:rsidR="00E33EAD" w:rsidRPr="00AE1379" w:rsidRDefault="00E33EAD" w:rsidP="00E33EAD">
      <w:pPr>
        <w:shd w:val="clear" w:color="auto" w:fill="FFFFFF"/>
        <w:spacing w:before="96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</w:rPr>
        <w:t> </w:t>
      </w:r>
    </w:p>
    <w:p w:rsidR="00E33EAD" w:rsidRPr="00AE1379" w:rsidRDefault="00E33EAD" w:rsidP="00E33EAD">
      <w:pPr>
        <w:shd w:val="clear" w:color="auto" w:fill="FFFFFF"/>
        <w:spacing w:before="96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</w:rPr>
        <w:t> </w:t>
      </w:r>
    </w:p>
    <w:p w:rsidR="00E33EAD" w:rsidRPr="00AE1379" w:rsidRDefault="00E33EAD" w:rsidP="00E33EAD">
      <w:pPr>
        <w:shd w:val="clear" w:color="auto" w:fill="FFFFFF"/>
        <w:spacing w:before="96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</w:rPr>
        <w:t>Комитет министара, према одредбама чланова 24. до 26. Оквирне конвенције за заштиту националних мањина (у даљем тексту: „Оквирна конвенција“),</w:t>
      </w:r>
    </w:p>
    <w:p w:rsidR="00E33EAD" w:rsidRPr="00AE1379" w:rsidRDefault="00E33EAD" w:rsidP="00E33EAD">
      <w:pPr>
        <w:shd w:val="clear" w:color="auto" w:fill="FFFFFF"/>
        <w:spacing w:before="96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</w:rPr>
        <w:t>Узимајући у обзир Резолуцију </w:t>
      </w:r>
      <w:hyperlink r:id="rId4" w:tooltip="Резолуција о ревидираним аранжманима праћења према члановима 24. до 26. Оквирне конвенције за заштиту националних мањина (Усвојена од стране Комитета министара 11. децембра 2019. године на 1363. састанку Заменика министара)">
        <w:r>
          <w:rPr>
            <w:rFonts w:ascii="Times New Roman" w:hAnsi="Times New Roman"/>
            <w:i/>
            <w:color w:val="129AF0"/>
            <w:sz w:val="24"/>
            <w:u w:val="single"/>
          </w:rPr>
          <w:t>CM/Res(2019)49</w:t>
        </w:r>
      </w:hyperlink>
      <w:r>
        <w:rPr>
          <w:rFonts w:ascii="Times New Roman" w:hAnsi="Times New Roman"/>
          <w:color w:val="333333"/>
          <w:sz w:val="24"/>
        </w:rPr>
        <w:t> од 11. децембра 2019. године о ревидираним аранжманима праћења према члановима 24. до 26. Оквирне конвенције;</w:t>
      </w:r>
    </w:p>
    <w:p w:rsidR="00E33EAD" w:rsidRPr="00AE1379" w:rsidRDefault="00E33EAD" w:rsidP="00E33EAD">
      <w:pPr>
        <w:shd w:val="clear" w:color="auto" w:fill="FFFFFF"/>
        <w:spacing w:before="96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</w:rPr>
        <w:t>Узимајући у обзир важеће правило гласања;</w:t>
      </w:r>
      <w:hyperlink r:id="rId5" w:anchor="_ftn1">
        <w:r>
          <w:rPr>
            <w:rFonts w:ascii="Times New Roman" w:hAnsi="Times New Roman"/>
            <w:color w:val="129AF0"/>
            <w:sz w:val="24"/>
            <w:u w:val="single"/>
            <w:vertAlign w:val="superscript"/>
          </w:rPr>
          <w:t>[1]</w:t>
        </w:r>
      </w:hyperlink>
    </w:p>
    <w:p w:rsidR="00E33EAD" w:rsidRPr="00AE1379" w:rsidRDefault="00E33EAD" w:rsidP="00E33EAD">
      <w:pPr>
        <w:shd w:val="clear" w:color="auto" w:fill="FFFFFF"/>
        <w:spacing w:before="96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</w:rPr>
        <w:t>Узимајући у обзир инструмент ратификације који је Србија депоновала 11. маја 2001. године;</w:t>
      </w:r>
    </w:p>
    <w:p w:rsidR="00E33EAD" w:rsidRPr="00AE1379" w:rsidRDefault="00E33EAD" w:rsidP="00E33EAD">
      <w:pPr>
        <w:shd w:val="clear" w:color="auto" w:fill="FFFFFF"/>
        <w:spacing w:before="96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</w:rPr>
        <w:t>Подсећајући да је Влада Републике Србије послала свој државни извештај у вези са четвртим циклусом праћења у складу са Оквирном конвенцијом 18. септембра 2018. године;</w:t>
      </w:r>
    </w:p>
    <w:p w:rsidR="00E33EAD" w:rsidRPr="00AE1379" w:rsidRDefault="00E33EAD" w:rsidP="00E33EAD">
      <w:pPr>
        <w:shd w:val="clear" w:color="auto" w:fill="FFFFFF"/>
        <w:spacing w:before="96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</w:rPr>
        <w:t>Испитавши четврто мишљење Саветодавног комитета Оквирне конвенције о Србији усвојено 26. јуна 2019. године,</w:t>
      </w:r>
    </w:p>
    <w:p w:rsidR="00E33EAD" w:rsidRPr="00AE1379" w:rsidRDefault="00E33EAD" w:rsidP="00E33EAD">
      <w:pPr>
        <w:shd w:val="clear" w:color="auto" w:fill="FFFFFF"/>
        <w:spacing w:before="96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</w:rPr>
        <w:t>Усваја следеће закључке у погледу Републике Србије:</w:t>
      </w:r>
    </w:p>
    <w:p w:rsidR="00E33EAD" w:rsidRPr="00AE1379" w:rsidRDefault="00E33EAD" w:rsidP="00E33EAD">
      <w:pPr>
        <w:shd w:val="clear" w:color="auto" w:fill="FFFFFF"/>
        <w:spacing w:before="96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</w:rPr>
        <w:t>Власти се позивају да узму у обзир запажања и препоруке садржане у Одељцима I и II четвртог мишљења Саветодавног комитета Оквирне конвенције. Власти би нарочито требале да предузму следеће мере за даље унапређење примене Оквирне конвенције:</w:t>
      </w:r>
    </w:p>
    <w:p w:rsidR="00E33EAD" w:rsidRPr="00AE1379" w:rsidRDefault="00E33EAD" w:rsidP="00E33EAD">
      <w:pPr>
        <w:shd w:val="clear" w:color="auto" w:fill="FFFFFF"/>
        <w:spacing w:before="96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</w:rPr>
        <w:t>Препоруке у погледу спровођења тренутних мера: </w:t>
      </w:r>
      <w:hyperlink r:id="rId6" w:anchor="_ftn2">
        <w:r>
          <w:rPr>
            <w:rFonts w:ascii="Times New Roman" w:hAnsi="Times New Roman"/>
            <w:color w:val="129AF0"/>
            <w:sz w:val="24"/>
            <w:u w:val="single"/>
            <w:vertAlign w:val="superscript"/>
          </w:rPr>
          <w:t>[2]</w:t>
        </w:r>
      </w:hyperlink>
    </w:p>
    <w:p w:rsidR="00E33EAD" w:rsidRPr="00AE1379" w:rsidRDefault="00E33EAD" w:rsidP="00E33EAD">
      <w:pPr>
        <w:shd w:val="clear" w:color="auto" w:fill="FFFFFF"/>
        <w:spacing w:before="96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</w:rPr>
        <w:t>Ø     Подићи свест припадника ромске мањине који живе у неформалним насељима, као и релевантних радника у заједници, о законодавним стандардима и правним лековима који су доступни жртвама дискриминације; наставити и интензивирати одлучно решавање питања структуралне дискриминације са којом се Роми суочавају у погледу њиховог статуса држављанства, као и становања, здравствене заштите, образовања и запошљавања, укључујући предузимање потребних афирмативних мера за решавање узрока дискриминације с којом се суочавају; елиминисати све облике сегрегације ромске деце и укључити их у редовно образовање; удвостручити напоре у борби против изостајања из школе и раног напуштања школовања међу ромском децом, укључујући ширењем и развојем дугорочног коришћења услуга педагошких асистената; појачати напоре на побољшању учешћа Рома у економском и друштвеном животу, креирањем мера политика које су засноване на рашчлањеним подацима, успостављајући јасне показатеље, пратећи их у блиској сарадњи са представницима Рома, у циљу њиховог прилагођавања и јачања на периодичној основи;</w:t>
      </w:r>
    </w:p>
    <w:p w:rsidR="00E33EAD" w:rsidRPr="00AE1379" w:rsidRDefault="00E33EAD" w:rsidP="00E33EAD">
      <w:pPr>
        <w:shd w:val="clear" w:color="auto" w:fill="FFFFFF"/>
        <w:spacing w:before="96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</w:rPr>
        <w:t xml:space="preserve">Ø     Успоставити и ставити у употребу, што је пре могуће, а најкасније до истека рока за достављање петог државног извештаја, одрживи оквир за прикупљање података, заснован на људским правима, у вези са питањима приступа правима припадника националних мањина, и промовисати комплементарна квалитативна и квантитативна истраживања како би се оценило стање припадника националних мањина; на основу </w:t>
      </w:r>
      <w:r>
        <w:rPr>
          <w:rFonts w:ascii="Times New Roman" w:hAnsi="Times New Roman"/>
          <w:color w:val="333333"/>
          <w:sz w:val="24"/>
        </w:rPr>
        <w:lastRenderedPageBreak/>
        <w:t>таквих података и истраживања, успоставити, спроводити, пратити и периодично ревидирати мањинске политике уз ефективно учешће припадника националних мањина;</w:t>
      </w:r>
    </w:p>
    <w:p w:rsidR="00E33EAD" w:rsidRPr="00AE1379" w:rsidRDefault="00E33EAD" w:rsidP="00E33EAD">
      <w:pPr>
        <w:shd w:val="clear" w:color="auto" w:fill="FFFFFF"/>
        <w:spacing w:before="96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</w:rPr>
        <w:t>Ø     Спровести препоруке Заштитника грађана Републике Србије наведене у његовом Посебном извештају о саветима за међунационалне односе и наручити израду независне квалитативне студије што је пре могуће, а најкасније до истека рока за достављање петог државног извештаја, у циљу процене функционалности Савета за међунационалне односе; снажно подржати развој независних квалитативних и квантитативних истраживања која показују ниво и природу међуетничких односа, укључујући односе између припадника националних мањина и припадника већине; на основу таквих истраживања, успоставити, спровести, пратити и периодично ревидирати свеобухватну стратегију усмерену на ревитализацију међунационалних односа, у консултацији са припадницима националних мањина и јединицама локалне самоуправе, узимајући у обзир потребу укључивања већине у интеграцију и укључивање националних мањина у српско друштво;</w:t>
      </w:r>
    </w:p>
    <w:p w:rsidR="00E33EAD" w:rsidRPr="00AE1379" w:rsidRDefault="00E33EAD" w:rsidP="00E33EAD">
      <w:pPr>
        <w:shd w:val="clear" w:color="auto" w:fill="FFFFFF"/>
        <w:spacing w:before="96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</w:rPr>
        <w:t>Ø     Промовисати мултикултуралну и интеркултуралну перспективу у образовању, укључујући развој програма размене између заједница, на сваком нивоу образовања; осигурати, што је пре могуће, а најкасније до истека рока за достављање петог државног извештаја, да кроз процес који укључује ефективно учешће особа које припадају националним мањинама, наставни планови и наставни материјали за предмет Историја промовишу поштовање свих група у друштву и пружају широко знање о мањинама као саставном делу српског друштва, обезбеђујући тиме да се у историјским и савременим истраживањима охрабрују вишеструке перспективе; промовисати, у консултацији са представницима заинтересованих националних мањина, могуће моделе двојезичног или вишејезичног образовања;</w:t>
      </w:r>
    </w:p>
    <w:p w:rsidR="00E33EAD" w:rsidRPr="00AE1379" w:rsidRDefault="00E33EAD" w:rsidP="00E33EAD">
      <w:pPr>
        <w:shd w:val="clear" w:color="auto" w:fill="FFFFFF"/>
        <w:spacing w:before="96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</w:rPr>
        <w:t>Ø     Успоставити и ставити у употребу, што је пре могуће, а најкасније до истека рока за достављање петог државног извештаја, одрживи оквир за прикупљање података заснованог на људским правима унутар јавне управе и, на основу тих података, успоставити, спровести, пратити и периодично ревидирати конкретне и ефективне мере усмерене на стварање дугорочног и мерљивог напретка у погледу заступљености националних мањина у јавној управи, посебно оних који живе у удаљеним подручјима и најмаргинализованијих.</w:t>
      </w:r>
    </w:p>
    <w:p w:rsidR="00E33EAD" w:rsidRPr="00AE1379" w:rsidRDefault="00E33EAD" w:rsidP="00E33EAD">
      <w:pPr>
        <w:shd w:val="clear" w:color="auto" w:fill="FFFFFF"/>
        <w:spacing w:before="96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</w:rPr>
        <w:t>Додатне препоруке:</w:t>
      </w:r>
    </w:p>
    <w:p w:rsidR="00E33EAD" w:rsidRPr="00AE1379" w:rsidRDefault="00E33EAD" w:rsidP="00E33EAD">
      <w:pPr>
        <w:shd w:val="clear" w:color="auto" w:fill="FFFFFF"/>
        <w:spacing w:before="96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</w:rPr>
        <w:t>Ø     Покренути информативну кампању знатно пре следећег пописа, која је посебно усмерена на припаднике националних мањина, којом би се подигла њихова свест о њиховом интересу за учешће у попису, укључујући и могућност вишеструке припадности, као и о предностима учешћа у попису, и о њиховим одговарајућим правима, у циљу успешног комбиновања заштите и промовисања мањинских права уз прикупљање поузданих информација о етничком саставу становништва;</w:t>
      </w:r>
    </w:p>
    <w:p w:rsidR="00E33EAD" w:rsidRPr="00AE1379" w:rsidRDefault="00E33EAD" w:rsidP="00E33EAD">
      <w:pPr>
        <w:shd w:val="clear" w:color="auto" w:fill="FFFFFF"/>
        <w:spacing w:before="96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</w:rPr>
        <w:t>Ø     Обезбедити ефективно учешће припадника националних мањина у планирању пописне методологије и у организацији и функционисању таквих процеса, укључујући и пописиваче; објавити све информације о пописној методологији и циљу прикупљања података на језицима националних мањина;</w:t>
      </w:r>
    </w:p>
    <w:p w:rsidR="00E33EAD" w:rsidRPr="00AE1379" w:rsidRDefault="00E33EAD" w:rsidP="00E33EAD">
      <w:pPr>
        <w:shd w:val="clear" w:color="auto" w:fill="FFFFFF"/>
        <w:spacing w:before="96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</w:rPr>
        <w:t>Ø     Обезбедити да права припадника националних мањина на оснивање верских институција, организација или удружења буду ефективно загарантована законом и праксом, укључујући обезбеђивањем да законске одредбе којима се регулишу верске заједнице не дозвољавају дискриминацију, укључујући и забрану дискриминације оних које су бројчано мање, нарочито у погледу приступа правном субјективитету или пореском статусу;</w:t>
      </w:r>
    </w:p>
    <w:p w:rsidR="00E33EAD" w:rsidRPr="00AE1379" w:rsidRDefault="00E33EAD" w:rsidP="00E33EAD">
      <w:pPr>
        <w:shd w:val="clear" w:color="auto" w:fill="FFFFFF"/>
        <w:spacing w:before="96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</w:rPr>
        <w:lastRenderedPageBreak/>
        <w:t>Ø     Блиско пратити утицај процеса приватизације на мањинске медије и наручити израду свеобухватне и независне студије о овој теми; предузети неопходне мере за обезбеђивање одрживе уредничке и финансијске независности свих мањинских медија, укључујући и оне повезане са Националним саветима националних мањина;</w:t>
      </w:r>
    </w:p>
    <w:p w:rsidR="00E33EAD" w:rsidRPr="00AE1379" w:rsidRDefault="00E33EAD" w:rsidP="00E33EAD">
      <w:pPr>
        <w:shd w:val="clear" w:color="auto" w:fill="FFFFFF"/>
        <w:spacing w:before="96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</w:rPr>
        <w:t>Ø     У подручјима која су традиционално настањена припадницима националних мањина или где они живе у великом броју, прикупити податке о броју мањинских језика које говоре државни службеници у државној, покрајинској и локалној управи и, у светлу таквих података, предузети потребне мере, укључујући адекватну обуку за припаднике националних мањина како би се обезбедило да број мањинских језика које говоре државни службеници у државној, покрајинској и локалној управи у највећој могућој мери одговара уделу становништва које говори мањинске језике; информисати све припаднике националних мањина, у подручјима о којима је реч, да имају право да користе свој мањински језик у општењу са државном, покрајинском и локалном управом; наручити израду студије у циљу процене нивоа спровођења законских одредби о службеној употреби мањинских језика и обезбедити да се у свим општинама, у којима су испуњени законски услови, мањински језици ефективно користе у службеној употреби;</w:t>
      </w:r>
    </w:p>
    <w:p w:rsidR="00E33EAD" w:rsidRPr="00AE1379" w:rsidRDefault="00E33EAD" w:rsidP="00E33EAD">
      <w:pPr>
        <w:shd w:val="clear" w:color="auto" w:fill="FFFFFF"/>
        <w:spacing w:before="96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</w:rPr>
        <w:t>Ø     Повећати доступност и квалитет наставе на државном језику, укључујући и када се он подучава као други језик, кроз уравнотежен приступ који садржи паралелне мере за заштиту и промоцију језика мањина, и наставити са даљим развојем наставних материјала на језицима мањина;</w:t>
      </w:r>
    </w:p>
    <w:p w:rsidR="00E33EAD" w:rsidRPr="00AE1379" w:rsidRDefault="00E33EAD" w:rsidP="00E33EAD">
      <w:pPr>
        <w:shd w:val="clear" w:color="auto" w:fill="FFFFFF"/>
        <w:spacing w:before="96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</w:rPr>
        <w:t>Ø     Пратити и периодично преиспитивати спровођење Закона о Националним саветима националних мањина у консултацији са самим саветима, и наручити израду независне квалитативне студије о функционисању савета, укључујући процену њихове инклузивности, независности и репрезентативности, као и њиховог капацитета за иницирање интеркултуралног дијалога и јачање међунационалних односа; осмислити и спровести нове начине за представљање и ефективно укључивања припадника националних мањина у процес доношења одлука на локалном нивоу, у свим подручјима у којима националне мањине традиционално живе или где живе у великом броју, укључујући и веће градове, и даље ојачати ресурсе додељене буџетском фонду за националне мањине у складу са економским могућностима;</w:t>
      </w:r>
    </w:p>
    <w:p w:rsidR="00E33EAD" w:rsidRPr="00AE1379" w:rsidRDefault="00E33EAD" w:rsidP="00E33EAD">
      <w:pPr>
        <w:shd w:val="clear" w:color="auto" w:fill="FFFFFF"/>
        <w:spacing w:before="96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</w:rPr>
        <w:t>Ø     Дати приоритет економској ревитализацији подручја у којима припадници националних мањина живе у периферним и/или економски депресивним подручјима, укључујући побољшање инфраструктуре и подстицаје за бројније могућности за запошљавање.</w:t>
      </w:r>
    </w:p>
    <w:p w:rsidR="00E33EAD" w:rsidRPr="00AE1379" w:rsidRDefault="00E33EAD" w:rsidP="00E33E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br/>
      </w:r>
    </w:p>
    <w:p w:rsidR="00E33EAD" w:rsidRPr="00AE1379" w:rsidRDefault="00710E26" w:rsidP="00E33EAD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pict>
          <v:rect id="_x0000_i1025" style="width:148.95pt;height:0" o:hrpct="330" o:hrstd="t" o:hr="t" fillcolor="#a0a0a0" stroked="f"/>
        </w:pict>
      </w:r>
    </w:p>
    <w:p w:rsidR="00E33EAD" w:rsidRPr="00AE1379" w:rsidRDefault="00710E26" w:rsidP="00E33EAD">
      <w:pPr>
        <w:shd w:val="clear" w:color="auto" w:fill="FFFFFF"/>
        <w:spacing w:before="96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hyperlink r:id="rId7" w:anchor="_ftnref1">
        <w:r w:rsidR="00E33EAD">
          <w:rPr>
            <w:rFonts w:ascii="Times New Roman" w:hAnsi="Times New Roman"/>
            <w:color w:val="129AF0"/>
            <w:sz w:val="24"/>
            <w:u w:val="single"/>
          </w:rPr>
          <w:t>[1]</w:t>
        </w:r>
      </w:hyperlink>
      <w:r w:rsidR="00E33EAD">
        <w:rPr>
          <w:rFonts w:ascii="Times New Roman" w:hAnsi="Times New Roman"/>
          <w:color w:val="333333"/>
          <w:sz w:val="24"/>
        </w:rPr>
        <w:t> Комитет министара је 17. септембра 1997. године усвојио одлуку </w:t>
      </w:r>
      <w:hyperlink r:id="rId8" w:tooltip="Ad hoc одбор за спроведбени механизам Оквирне конвенције за заштиту националних мањина (CAHMEC) - Завршни извештај о активностима">
        <w:r w:rsidR="00E33EAD">
          <w:rPr>
            <w:rFonts w:ascii="Times New Roman" w:hAnsi="Times New Roman"/>
            <w:color w:val="129AF0"/>
            <w:sz w:val="24"/>
            <w:u w:val="single"/>
          </w:rPr>
          <w:t>CM/Del/Dec(97)601/4.5</w:t>
        </w:r>
      </w:hyperlink>
      <w:r w:rsidR="00E33EAD">
        <w:rPr>
          <w:rFonts w:ascii="Times New Roman" w:hAnsi="Times New Roman"/>
          <w:color w:val="333333"/>
          <w:sz w:val="24"/>
        </w:rPr>
        <w:t>, у којој се наводи следеће: „Одлуке према члановима 24.1 и 25.2 Оквирне конвенције ће се сматрати усвојеним уколико за њихово доношење гласају две трећине представника Страна уговорница које имају право гласа, укључујући и већину представника Страна уговорница који имају право да учествују у раду Комитета Министара“.</w:t>
      </w:r>
    </w:p>
    <w:p w:rsidR="001322BE" w:rsidRPr="00F45B05" w:rsidRDefault="00710E26" w:rsidP="00F45B05">
      <w:pPr>
        <w:shd w:val="clear" w:color="auto" w:fill="FFFFFF"/>
        <w:spacing w:before="96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hyperlink r:id="rId9" w:anchor="_ftnref2">
        <w:r w:rsidR="00E33EAD">
          <w:rPr>
            <w:rFonts w:ascii="Times New Roman" w:hAnsi="Times New Roman"/>
            <w:color w:val="000000"/>
            <w:sz w:val="24"/>
            <w:u w:val="single"/>
          </w:rPr>
          <w:t>[2]</w:t>
        </w:r>
      </w:hyperlink>
      <w:r w:rsidR="00E33EAD">
        <w:rPr>
          <w:rFonts w:ascii="Times New Roman" w:hAnsi="Times New Roman"/>
          <w:color w:val="333333"/>
          <w:sz w:val="24"/>
        </w:rPr>
        <w:t> </w:t>
      </w:r>
      <w:r w:rsidR="00E33EAD">
        <w:rPr>
          <w:rFonts w:ascii="Times New Roman" w:hAnsi="Times New Roman"/>
          <w:color w:val="000000"/>
          <w:sz w:val="24"/>
        </w:rPr>
        <w:t>Препоруке у наставку су наведене према редоследу одговарајућих чланова Оквирне конвенције.</w:t>
      </w:r>
    </w:p>
    <w:sectPr w:rsidR="001322BE" w:rsidRPr="00F45B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4CE"/>
    <w:rsid w:val="001322BE"/>
    <w:rsid w:val="00710E26"/>
    <w:rsid w:val="009104CE"/>
    <w:rsid w:val="009545EE"/>
    <w:rsid w:val="009B4F29"/>
    <w:rsid w:val="00E33EAD"/>
    <w:rsid w:val="00F45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04E039-1A78-488E-90D3-3D06484BA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sr-Cyrl-RS" w:bidi="sr-Cyrl-R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3EAD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coe.int/cm/Pages/result_details.aspx?Reference=CM/Del/Dec(97)601/4.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earch.coe.int/cm/pages/result_details.aspx?objectid=0900001680a2277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earch.coe.int/cm/pages/result_details.aspx?objectid=0900001680a2277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earch.coe.int/cm/pages/result_details.aspx?objectid=0900001680a22771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search.coe.int/cm/Pages/result_details.aspx?Reference=CM/Res(2019)49" TargetMode="External"/><Relationship Id="rId9" Type="http://schemas.openxmlformats.org/officeDocument/2006/relationships/hyperlink" Target="https://search.coe.int/cm/pages/result_details.aspx?objectid=0900001680a227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1532</Words>
  <Characters>8738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Lazarus</dc:creator>
  <cp:keywords/>
  <dc:description/>
  <cp:lastModifiedBy>Gordana Govedarica</cp:lastModifiedBy>
  <cp:revision>2</cp:revision>
  <dcterms:created xsi:type="dcterms:W3CDTF">2021-06-01T09:01:00Z</dcterms:created>
  <dcterms:modified xsi:type="dcterms:W3CDTF">2021-06-01T09:01:00Z</dcterms:modified>
</cp:coreProperties>
</file>