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89B0B" w14:textId="77777777" w:rsidR="00DC2FFD" w:rsidRPr="00DC2FFD" w:rsidRDefault="00DC2FFD" w:rsidP="00DC2FFD">
      <w:pPr>
        <w:jc w:val="center"/>
        <w:rPr>
          <w:b/>
          <w:sz w:val="44"/>
          <w:szCs w:val="44"/>
          <w:lang w:val="en-GB"/>
        </w:rPr>
      </w:pPr>
      <w:bookmarkStart w:id="0" w:name="_Toc524610212"/>
      <w:r w:rsidRPr="00DC2FFD">
        <w:rPr>
          <w:b/>
          <w:sz w:val="44"/>
          <w:lang w:val="en-GB"/>
        </w:rPr>
        <w:t>Republic of Serbia</w:t>
      </w:r>
    </w:p>
    <w:p w14:paraId="0AF0D761" w14:textId="77777777" w:rsidR="00DC2FFD" w:rsidRPr="00DC2FFD" w:rsidRDefault="00DC2FFD" w:rsidP="00DC2FFD">
      <w:pPr>
        <w:jc w:val="center"/>
        <w:rPr>
          <w:b/>
          <w:sz w:val="24"/>
          <w:szCs w:val="24"/>
          <w:lang w:val="en-GB"/>
        </w:rPr>
      </w:pPr>
    </w:p>
    <w:p w14:paraId="54836AAC" w14:textId="77777777" w:rsidR="00DC2FFD" w:rsidRPr="00DC2FFD" w:rsidRDefault="00DC2FFD" w:rsidP="00DC2FFD">
      <w:pPr>
        <w:jc w:val="center"/>
        <w:rPr>
          <w:b/>
          <w:sz w:val="24"/>
          <w:szCs w:val="24"/>
          <w:lang w:val="en-GB"/>
        </w:rPr>
      </w:pPr>
    </w:p>
    <w:p w14:paraId="50A0186F" w14:textId="77777777" w:rsidR="00DC2FFD" w:rsidRPr="00DC2FFD" w:rsidRDefault="00DC2FFD" w:rsidP="00DC2FFD">
      <w:pPr>
        <w:jc w:val="center"/>
        <w:rPr>
          <w:b/>
          <w:sz w:val="24"/>
          <w:szCs w:val="24"/>
          <w:lang w:val="en-GB"/>
        </w:rPr>
      </w:pPr>
    </w:p>
    <w:p w14:paraId="28D62CE6" w14:textId="77777777" w:rsidR="00DC2FFD" w:rsidRPr="00DC2FFD" w:rsidRDefault="00DC2FFD" w:rsidP="00DC2FFD">
      <w:pPr>
        <w:jc w:val="center"/>
        <w:rPr>
          <w:b/>
          <w:sz w:val="24"/>
          <w:szCs w:val="24"/>
          <w:lang w:val="en-GB"/>
        </w:rPr>
      </w:pPr>
    </w:p>
    <w:p w14:paraId="3B852D7A" w14:textId="77777777" w:rsidR="00DC2FFD" w:rsidRPr="00DC2FFD" w:rsidRDefault="00DC2FFD" w:rsidP="00DC2FFD">
      <w:pPr>
        <w:jc w:val="center"/>
        <w:rPr>
          <w:b/>
          <w:sz w:val="24"/>
          <w:szCs w:val="24"/>
          <w:lang w:val="en-GB"/>
        </w:rPr>
      </w:pPr>
    </w:p>
    <w:p w14:paraId="7F2E6474" w14:textId="77777777" w:rsidR="00DC2FFD" w:rsidRPr="00DC2FFD" w:rsidRDefault="00DC2FFD" w:rsidP="00DC2FFD">
      <w:pPr>
        <w:jc w:val="center"/>
        <w:rPr>
          <w:b/>
          <w:sz w:val="24"/>
          <w:szCs w:val="24"/>
          <w:lang w:val="en-GB"/>
        </w:rPr>
      </w:pPr>
    </w:p>
    <w:p w14:paraId="31D0ACC1" w14:textId="77777777" w:rsidR="00DC2FFD" w:rsidRPr="00DC2FFD" w:rsidRDefault="00DC2FFD" w:rsidP="00DC2FFD">
      <w:pPr>
        <w:jc w:val="center"/>
        <w:rPr>
          <w:b/>
          <w:sz w:val="24"/>
          <w:szCs w:val="24"/>
          <w:lang w:val="en-GB"/>
        </w:rPr>
      </w:pPr>
    </w:p>
    <w:p w14:paraId="2D803045" w14:textId="77777777" w:rsidR="00DC2FFD" w:rsidRPr="00DC2FFD" w:rsidRDefault="00DC2FFD" w:rsidP="00DC2FFD">
      <w:pPr>
        <w:jc w:val="center"/>
        <w:rPr>
          <w:b/>
          <w:bCs/>
          <w:sz w:val="44"/>
          <w:szCs w:val="44"/>
          <w:lang w:val="en-GB"/>
        </w:rPr>
      </w:pPr>
      <w:r w:rsidRPr="00DC2FFD">
        <w:rPr>
          <w:b/>
          <w:sz w:val="44"/>
          <w:lang w:val="en-GB"/>
        </w:rPr>
        <w:t>FRAMEWORK CONVENTION FOR THE PROTECTION OF NATIONAL MINORITIES</w:t>
      </w:r>
    </w:p>
    <w:p w14:paraId="29C89DD6" w14:textId="77777777" w:rsidR="00DC2FFD" w:rsidRPr="00DC2FFD" w:rsidRDefault="00DC2FFD" w:rsidP="00DC2FFD">
      <w:pPr>
        <w:jc w:val="center"/>
        <w:rPr>
          <w:sz w:val="44"/>
          <w:lang w:val="sr-Cyrl-CS"/>
        </w:rPr>
      </w:pPr>
    </w:p>
    <w:p w14:paraId="105BDB42" w14:textId="77777777" w:rsidR="00DC2FFD" w:rsidRPr="00DC2FFD" w:rsidRDefault="00DC2FFD" w:rsidP="00DC2FFD">
      <w:pPr>
        <w:jc w:val="center"/>
        <w:rPr>
          <w:sz w:val="44"/>
          <w:lang w:val="sr-Cyrl-CS"/>
        </w:rPr>
      </w:pPr>
    </w:p>
    <w:p w14:paraId="2EF73584" w14:textId="62EA83FC" w:rsidR="00DC2FFD" w:rsidRPr="00DC2FFD" w:rsidRDefault="00DC2FFD" w:rsidP="00DC2FFD">
      <w:pPr>
        <w:spacing w:after="0"/>
        <w:jc w:val="center"/>
        <w:rPr>
          <w:b/>
          <w:sz w:val="36"/>
          <w:szCs w:val="36"/>
          <w:lang w:val="en-GB"/>
        </w:rPr>
      </w:pPr>
      <w:r w:rsidRPr="00DC2FFD">
        <w:rPr>
          <w:b/>
          <w:sz w:val="36"/>
          <w:lang w:val="en-GB"/>
        </w:rPr>
        <w:t xml:space="preserve">Fifth </w:t>
      </w:r>
      <w:r w:rsidR="00165AD6" w:rsidRPr="00165AD6">
        <w:rPr>
          <w:b/>
          <w:sz w:val="36"/>
          <w:lang w:val="en-GB"/>
        </w:rPr>
        <w:t>Periodic</w:t>
      </w:r>
      <w:r w:rsidRPr="00165AD6">
        <w:rPr>
          <w:b/>
          <w:sz w:val="36"/>
          <w:lang w:val="en-GB"/>
        </w:rPr>
        <w:t xml:space="preserve"> Report</w:t>
      </w:r>
    </w:p>
    <w:p w14:paraId="20A1F744" w14:textId="77777777" w:rsidR="00165AD6" w:rsidRDefault="00DC2FFD" w:rsidP="00DC2FFD">
      <w:pPr>
        <w:spacing w:after="0"/>
        <w:jc w:val="center"/>
        <w:rPr>
          <w:b/>
          <w:sz w:val="36"/>
          <w:lang w:val="en-GB"/>
        </w:rPr>
      </w:pPr>
      <w:r w:rsidRPr="00DC2FFD">
        <w:rPr>
          <w:b/>
          <w:sz w:val="36"/>
          <w:lang w:val="en-GB"/>
        </w:rPr>
        <w:t xml:space="preserve">submitted to the Secretary-General of the </w:t>
      </w:r>
    </w:p>
    <w:p w14:paraId="5CCCC7D1" w14:textId="5DC66F20" w:rsidR="00DC2FFD" w:rsidRPr="00DC2FFD" w:rsidRDefault="00DC2FFD" w:rsidP="00DC2FFD">
      <w:pPr>
        <w:spacing w:after="0"/>
        <w:jc w:val="center"/>
        <w:rPr>
          <w:b/>
          <w:sz w:val="36"/>
          <w:szCs w:val="36"/>
          <w:lang w:val="en-GB"/>
        </w:rPr>
      </w:pPr>
      <w:r w:rsidRPr="00DC2FFD">
        <w:rPr>
          <w:b/>
          <w:sz w:val="36"/>
          <w:lang w:val="en-GB"/>
        </w:rPr>
        <w:t>Council of Europe</w:t>
      </w:r>
    </w:p>
    <w:p w14:paraId="371A85FA" w14:textId="77777777" w:rsidR="00DC2FFD" w:rsidRPr="00DC2FFD" w:rsidRDefault="00DC2FFD" w:rsidP="00DC2FFD">
      <w:pPr>
        <w:spacing w:after="0"/>
        <w:jc w:val="center"/>
        <w:rPr>
          <w:b/>
          <w:sz w:val="36"/>
          <w:szCs w:val="36"/>
          <w:lang w:val="en-GB"/>
        </w:rPr>
      </w:pPr>
      <w:r w:rsidRPr="00DC2FFD">
        <w:rPr>
          <w:b/>
          <w:sz w:val="36"/>
          <w:lang w:val="en-GB"/>
        </w:rPr>
        <w:t>in accordance with Article 25 of the Framework Convention</w:t>
      </w:r>
    </w:p>
    <w:p w14:paraId="0F9294A0" w14:textId="77777777" w:rsidR="00DC2FFD" w:rsidRPr="00DC2FFD" w:rsidRDefault="00DC2FFD" w:rsidP="00DC2FFD">
      <w:pPr>
        <w:spacing w:after="0"/>
        <w:rPr>
          <w:sz w:val="40"/>
          <w:lang w:val="sr-Cyrl-CS"/>
        </w:rPr>
      </w:pPr>
    </w:p>
    <w:p w14:paraId="055C7893" w14:textId="77777777" w:rsidR="00DC2FFD" w:rsidRPr="00DC2FFD" w:rsidRDefault="00DC2FFD" w:rsidP="00DC2FFD">
      <w:pPr>
        <w:rPr>
          <w:sz w:val="28"/>
          <w:lang w:val="sr-Cyrl-RS"/>
        </w:rPr>
      </w:pPr>
    </w:p>
    <w:p w14:paraId="478A4697" w14:textId="77777777" w:rsidR="00DC2FFD" w:rsidRPr="00DC2FFD" w:rsidRDefault="00DC2FFD" w:rsidP="00DC2FFD">
      <w:pPr>
        <w:rPr>
          <w:sz w:val="28"/>
          <w:lang w:val="sr-Cyrl-RS"/>
        </w:rPr>
      </w:pPr>
    </w:p>
    <w:p w14:paraId="1EC2E89F" w14:textId="77777777" w:rsidR="00DC2FFD" w:rsidRPr="00DC2FFD" w:rsidRDefault="00DC2FFD" w:rsidP="00DC2FFD">
      <w:pPr>
        <w:rPr>
          <w:sz w:val="28"/>
          <w:lang w:val="sr-Cyrl-RS"/>
        </w:rPr>
      </w:pPr>
    </w:p>
    <w:p w14:paraId="3662E677" w14:textId="77777777" w:rsidR="00DC2FFD" w:rsidRPr="00DC2FFD" w:rsidRDefault="00DC2FFD" w:rsidP="00DC2FFD">
      <w:pPr>
        <w:rPr>
          <w:sz w:val="28"/>
          <w:lang w:val="sr-Cyrl-RS"/>
        </w:rPr>
      </w:pPr>
    </w:p>
    <w:p w14:paraId="0B3040BF" w14:textId="77777777" w:rsidR="00DC2FFD" w:rsidRPr="00DC2FFD" w:rsidRDefault="00DC2FFD" w:rsidP="00DC2FFD">
      <w:pPr>
        <w:rPr>
          <w:sz w:val="28"/>
          <w:lang w:val="sr-Cyrl-RS"/>
        </w:rPr>
      </w:pPr>
    </w:p>
    <w:p w14:paraId="553086DF" w14:textId="77777777" w:rsidR="00DC2FFD" w:rsidRPr="00DC2FFD" w:rsidRDefault="00DC2FFD" w:rsidP="00DC2FFD">
      <w:pPr>
        <w:jc w:val="center"/>
        <w:rPr>
          <w:b/>
          <w:sz w:val="28"/>
          <w:szCs w:val="28"/>
          <w:lang w:val="en-GB"/>
        </w:rPr>
      </w:pPr>
      <w:r w:rsidRPr="00DC2FFD">
        <w:rPr>
          <w:b/>
          <w:sz w:val="28"/>
          <w:lang w:val="en-GB"/>
        </w:rPr>
        <w:t>Belgrade, August 2022</w:t>
      </w:r>
    </w:p>
    <w:p w14:paraId="41B30EA6" w14:textId="77777777" w:rsidR="00DC2FFD" w:rsidRPr="00DC2FFD" w:rsidRDefault="00DC2FFD" w:rsidP="00DC2FFD">
      <w:pPr>
        <w:spacing w:after="160" w:line="259" w:lineRule="auto"/>
        <w:rPr>
          <w:rFonts w:eastAsia="Times New Roman"/>
          <w:b/>
          <w:sz w:val="24"/>
          <w:szCs w:val="24"/>
          <w:lang w:val="en-GB"/>
        </w:rPr>
      </w:pPr>
      <w:r w:rsidRPr="00DC2FFD">
        <w:rPr>
          <w:lang w:val="en-GB"/>
        </w:rPr>
        <w:br w:type="page"/>
      </w:r>
    </w:p>
    <w:p w14:paraId="0D45D6E4" w14:textId="77777777" w:rsidR="00DC2FFD" w:rsidRPr="00DC2FFD" w:rsidRDefault="00DC2FFD" w:rsidP="00DC2FFD">
      <w:pPr>
        <w:spacing w:after="0"/>
        <w:jc w:val="center"/>
        <w:rPr>
          <w:b/>
          <w:sz w:val="24"/>
          <w:szCs w:val="24"/>
          <w:lang w:val="en-GB"/>
        </w:rPr>
      </w:pPr>
      <w:r w:rsidRPr="00DC2FFD">
        <w:rPr>
          <w:b/>
          <w:sz w:val="24"/>
          <w:lang w:val="en-GB"/>
        </w:rPr>
        <w:lastRenderedPageBreak/>
        <w:t>TABLE OF CONTENTS</w:t>
      </w:r>
    </w:p>
    <w:sdt>
      <w:sdtPr>
        <w:rPr>
          <w:lang w:val="en-GB"/>
        </w:rPr>
        <w:id w:val="-1716422117"/>
        <w:docPartObj>
          <w:docPartGallery w:val="Table of Contents"/>
          <w:docPartUnique/>
        </w:docPartObj>
      </w:sdtPr>
      <w:sdtEndPr>
        <w:rPr>
          <w:b/>
          <w:bCs/>
          <w:noProof/>
        </w:rPr>
      </w:sdtEndPr>
      <w:sdtContent>
        <w:p w14:paraId="6B858307" w14:textId="2C02081B" w:rsidR="00550737" w:rsidRPr="005249B1" w:rsidRDefault="00550737" w:rsidP="00550737">
          <w:pPr>
            <w:spacing w:after="0"/>
            <w:jc w:val="center"/>
            <w:rPr>
              <w:b/>
              <w:sz w:val="24"/>
              <w:szCs w:val="24"/>
              <w:lang w:val="sr-Cyrl-CS"/>
            </w:rPr>
          </w:pPr>
        </w:p>
        <w:sdt>
          <w:sdtPr>
            <w:rPr>
              <w:rFonts w:ascii="Times New Roman" w:eastAsia="Calibri" w:hAnsi="Times New Roman" w:cs="Times New Roman"/>
              <w:color w:val="auto"/>
              <w:sz w:val="22"/>
              <w:szCs w:val="22"/>
              <w:lang w:val="sr-Latn-RS"/>
            </w:rPr>
            <w:id w:val="270905501"/>
            <w:docPartObj>
              <w:docPartGallery w:val="Table of Contents"/>
              <w:docPartUnique/>
            </w:docPartObj>
          </w:sdtPr>
          <w:sdtEndPr>
            <w:rPr>
              <w:b/>
              <w:bCs/>
              <w:noProof/>
            </w:rPr>
          </w:sdtEndPr>
          <w:sdtContent>
            <w:p w14:paraId="7C009A87" w14:textId="77777777" w:rsidR="00550737" w:rsidRDefault="00550737" w:rsidP="00550737">
              <w:pPr>
                <w:pStyle w:val="TOCHeading"/>
              </w:pPr>
            </w:p>
            <w:p w14:paraId="1F3FFC7A" w14:textId="4E540801" w:rsidR="002503A9" w:rsidRDefault="00550737">
              <w:pPr>
                <w:pStyle w:val="TOC1"/>
                <w:rPr>
                  <w:rFonts w:asciiTheme="minorHAnsi" w:eastAsiaTheme="minorEastAsia" w:hAnsiTheme="minorHAnsi" w:cstheme="minorBidi"/>
                  <w:b w:val="0"/>
                  <w:lang w:val="en-US"/>
                </w:rPr>
              </w:pPr>
              <w:r>
                <w:fldChar w:fldCharType="begin"/>
              </w:r>
              <w:r>
                <w:instrText xml:space="preserve"> TOC \o "1-3" \h \z \u </w:instrText>
              </w:r>
              <w:r>
                <w:fldChar w:fldCharType="separate"/>
              </w:r>
              <w:hyperlink w:anchor="_Toc112932704" w:history="1">
                <w:r w:rsidR="002503A9" w:rsidRPr="006B13B6">
                  <w:rPr>
                    <w:rStyle w:val="Hyperlink"/>
                    <w:rFonts w:eastAsia="Times New Roman"/>
                    <w:lang w:val="en-GB"/>
                  </w:rPr>
                  <w:t>I Introduction</w:t>
                </w:r>
                <w:r w:rsidR="002503A9">
                  <w:rPr>
                    <w:webHidden/>
                  </w:rPr>
                  <w:tab/>
                </w:r>
                <w:r w:rsidR="002503A9">
                  <w:rPr>
                    <w:webHidden/>
                  </w:rPr>
                  <w:fldChar w:fldCharType="begin"/>
                </w:r>
                <w:r w:rsidR="002503A9">
                  <w:rPr>
                    <w:webHidden/>
                  </w:rPr>
                  <w:instrText xml:space="preserve"> PAGEREF _Toc112932704 \h </w:instrText>
                </w:r>
                <w:r w:rsidR="002503A9">
                  <w:rPr>
                    <w:webHidden/>
                  </w:rPr>
                </w:r>
                <w:r w:rsidR="002503A9">
                  <w:rPr>
                    <w:webHidden/>
                  </w:rPr>
                  <w:fldChar w:fldCharType="separate"/>
                </w:r>
                <w:r w:rsidR="002503A9">
                  <w:rPr>
                    <w:webHidden/>
                  </w:rPr>
                  <w:t>7</w:t>
                </w:r>
                <w:r w:rsidR="002503A9">
                  <w:rPr>
                    <w:webHidden/>
                  </w:rPr>
                  <w:fldChar w:fldCharType="end"/>
                </w:r>
              </w:hyperlink>
            </w:p>
            <w:p w14:paraId="74C5A71D" w14:textId="57970141" w:rsidR="002503A9" w:rsidRDefault="002503A9">
              <w:pPr>
                <w:pStyle w:val="TOC1"/>
                <w:rPr>
                  <w:rFonts w:asciiTheme="minorHAnsi" w:eastAsiaTheme="minorEastAsia" w:hAnsiTheme="minorHAnsi" w:cstheme="minorBidi"/>
                  <w:b w:val="0"/>
                  <w:lang w:val="en-US"/>
                </w:rPr>
              </w:pPr>
              <w:hyperlink w:anchor="_Toc112932705" w:history="1">
                <w:r w:rsidRPr="006B13B6">
                  <w:rPr>
                    <w:rStyle w:val="Hyperlink"/>
                    <w:rFonts w:eastAsia="Times New Roman"/>
                    <w:lang w:val="en-GB"/>
                  </w:rPr>
                  <w:t>II. Practical arrangements made at the national level for raising awareness on the results of the fourth monitoring cycle and the Framework Convention</w:t>
                </w:r>
                <w:r>
                  <w:rPr>
                    <w:webHidden/>
                  </w:rPr>
                  <w:tab/>
                </w:r>
                <w:r>
                  <w:rPr>
                    <w:webHidden/>
                  </w:rPr>
                  <w:fldChar w:fldCharType="begin"/>
                </w:r>
                <w:r>
                  <w:rPr>
                    <w:webHidden/>
                  </w:rPr>
                  <w:instrText xml:space="preserve"> PAGEREF _Toc112932705 \h </w:instrText>
                </w:r>
                <w:r>
                  <w:rPr>
                    <w:webHidden/>
                  </w:rPr>
                </w:r>
                <w:r>
                  <w:rPr>
                    <w:webHidden/>
                  </w:rPr>
                  <w:fldChar w:fldCharType="separate"/>
                </w:r>
                <w:r>
                  <w:rPr>
                    <w:webHidden/>
                  </w:rPr>
                  <w:t>8</w:t>
                </w:r>
                <w:r>
                  <w:rPr>
                    <w:webHidden/>
                  </w:rPr>
                  <w:fldChar w:fldCharType="end"/>
                </w:r>
              </w:hyperlink>
            </w:p>
            <w:p w14:paraId="5DA8F8B9" w14:textId="36E69E98" w:rsidR="002503A9" w:rsidRDefault="002503A9">
              <w:pPr>
                <w:pStyle w:val="TOC1"/>
                <w:rPr>
                  <w:rFonts w:asciiTheme="minorHAnsi" w:eastAsiaTheme="minorEastAsia" w:hAnsiTheme="minorHAnsi" w:cstheme="minorBidi"/>
                  <w:b w:val="0"/>
                  <w:lang w:val="en-US"/>
                </w:rPr>
              </w:pPr>
              <w:hyperlink w:anchor="_Toc112932706" w:history="1">
                <w:r w:rsidRPr="006B13B6">
                  <w:rPr>
                    <w:rStyle w:val="Hyperlink"/>
                    <w:rFonts w:eastAsia="Times New Roman"/>
                    <w:lang w:val="en-GB"/>
                  </w:rPr>
                  <w:t>III Measures undertaken to resolve key issues</w:t>
                </w:r>
                <w:r>
                  <w:rPr>
                    <w:webHidden/>
                  </w:rPr>
                  <w:tab/>
                </w:r>
                <w:r>
                  <w:rPr>
                    <w:webHidden/>
                  </w:rPr>
                  <w:fldChar w:fldCharType="begin"/>
                </w:r>
                <w:r>
                  <w:rPr>
                    <w:webHidden/>
                  </w:rPr>
                  <w:instrText xml:space="preserve"> PAGEREF _Toc112932706 \h </w:instrText>
                </w:r>
                <w:r>
                  <w:rPr>
                    <w:webHidden/>
                  </w:rPr>
                </w:r>
                <w:r>
                  <w:rPr>
                    <w:webHidden/>
                  </w:rPr>
                  <w:fldChar w:fldCharType="separate"/>
                </w:r>
                <w:r>
                  <w:rPr>
                    <w:webHidden/>
                  </w:rPr>
                  <w:t>13</w:t>
                </w:r>
                <w:r>
                  <w:rPr>
                    <w:webHidden/>
                  </w:rPr>
                  <w:fldChar w:fldCharType="end"/>
                </w:r>
              </w:hyperlink>
            </w:p>
            <w:p w14:paraId="365AAE58" w14:textId="0A462E66" w:rsidR="002503A9" w:rsidRDefault="002503A9">
              <w:pPr>
                <w:pStyle w:val="TOC1"/>
                <w:rPr>
                  <w:rFonts w:asciiTheme="minorHAnsi" w:eastAsiaTheme="minorEastAsia" w:hAnsiTheme="minorHAnsi" w:cstheme="minorBidi"/>
                  <w:b w:val="0"/>
                  <w:lang w:val="en-US"/>
                </w:rPr>
              </w:pPr>
              <w:hyperlink w:anchor="_Toc112932707" w:history="1">
                <w:r w:rsidRPr="006B13B6">
                  <w:rPr>
                    <w:rStyle w:val="Hyperlink"/>
                    <w:rFonts w:eastAsia="Times New Roman"/>
                    <w:lang w:val="en-GB"/>
                  </w:rPr>
                  <w:t>IV Further measures which have been undertaken for improvement of the implementation of the Framework Convention</w:t>
                </w:r>
                <w:r>
                  <w:rPr>
                    <w:webHidden/>
                  </w:rPr>
                  <w:tab/>
                </w:r>
                <w:r>
                  <w:rPr>
                    <w:webHidden/>
                  </w:rPr>
                  <w:fldChar w:fldCharType="begin"/>
                </w:r>
                <w:r>
                  <w:rPr>
                    <w:webHidden/>
                  </w:rPr>
                  <w:instrText xml:space="preserve"> PAGEREF _Toc112932707 \h </w:instrText>
                </w:r>
                <w:r>
                  <w:rPr>
                    <w:webHidden/>
                  </w:rPr>
                </w:r>
                <w:r>
                  <w:rPr>
                    <w:webHidden/>
                  </w:rPr>
                  <w:fldChar w:fldCharType="separate"/>
                </w:r>
                <w:r>
                  <w:rPr>
                    <w:webHidden/>
                  </w:rPr>
                  <w:t>59</w:t>
                </w:r>
                <w:r>
                  <w:rPr>
                    <w:webHidden/>
                  </w:rPr>
                  <w:fldChar w:fldCharType="end"/>
                </w:r>
              </w:hyperlink>
            </w:p>
            <w:p w14:paraId="4FDF3757" w14:textId="6BDB29EF" w:rsidR="002503A9" w:rsidRDefault="002503A9">
              <w:pPr>
                <w:pStyle w:val="TOC2"/>
                <w:tabs>
                  <w:tab w:val="right" w:leader="dot" w:pos="9016"/>
                </w:tabs>
                <w:rPr>
                  <w:rFonts w:asciiTheme="minorHAnsi" w:eastAsiaTheme="minorEastAsia" w:hAnsiTheme="minorHAnsi" w:cstheme="minorBidi"/>
                  <w:noProof/>
                  <w:lang w:val="en-US"/>
                </w:rPr>
              </w:pPr>
              <w:hyperlink w:anchor="_Toc112932708" w:history="1">
                <w:r w:rsidRPr="006B13B6">
                  <w:rPr>
                    <w:rStyle w:val="Hyperlink"/>
                    <w:b/>
                    <w:noProof/>
                    <w:lang w:val="en-GB"/>
                  </w:rPr>
                  <w:t>Article 3 of the Framework Convention</w:t>
                </w:r>
                <w:r>
                  <w:rPr>
                    <w:noProof/>
                    <w:webHidden/>
                  </w:rPr>
                  <w:tab/>
                </w:r>
                <w:r>
                  <w:rPr>
                    <w:noProof/>
                    <w:webHidden/>
                  </w:rPr>
                  <w:fldChar w:fldCharType="begin"/>
                </w:r>
                <w:r>
                  <w:rPr>
                    <w:noProof/>
                    <w:webHidden/>
                  </w:rPr>
                  <w:instrText xml:space="preserve"> PAGEREF _Toc112932708 \h </w:instrText>
                </w:r>
                <w:r>
                  <w:rPr>
                    <w:noProof/>
                    <w:webHidden/>
                  </w:rPr>
                </w:r>
                <w:r>
                  <w:rPr>
                    <w:noProof/>
                    <w:webHidden/>
                  </w:rPr>
                  <w:fldChar w:fldCharType="separate"/>
                </w:r>
                <w:r>
                  <w:rPr>
                    <w:noProof/>
                    <w:webHidden/>
                  </w:rPr>
                  <w:t>86</w:t>
                </w:r>
                <w:r>
                  <w:rPr>
                    <w:noProof/>
                    <w:webHidden/>
                  </w:rPr>
                  <w:fldChar w:fldCharType="end"/>
                </w:r>
              </w:hyperlink>
            </w:p>
            <w:p w14:paraId="415AE87C" w14:textId="14693BE2" w:rsidR="002503A9" w:rsidRDefault="002503A9">
              <w:pPr>
                <w:pStyle w:val="TOC3"/>
                <w:tabs>
                  <w:tab w:val="right" w:leader="dot" w:pos="9016"/>
                </w:tabs>
                <w:rPr>
                  <w:rFonts w:asciiTheme="minorHAnsi" w:eastAsiaTheme="minorEastAsia" w:hAnsiTheme="minorHAnsi" w:cstheme="minorBidi"/>
                  <w:noProof/>
                  <w:lang w:val="en-US"/>
                </w:rPr>
              </w:pPr>
              <w:hyperlink w:anchor="_Toc112932709" w:history="1">
                <w:r w:rsidRPr="006B13B6">
                  <w:rPr>
                    <w:rStyle w:val="Hyperlink"/>
                    <w:b/>
                    <w:noProof/>
                    <w:lang w:val="en-GB"/>
                  </w:rPr>
                  <w:t>Personal scope of application</w:t>
                </w:r>
                <w:r>
                  <w:rPr>
                    <w:noProof/>
                    <w:webHidden/>
                  </w:rPr>
                  <w:tab/>
                </w:r>
                <w:r>
                  <w:rPr>
                    <w:noProof/>
                    <w:webHidden/>
                  </w:rPr>
                  <w:fldChar w:fldCharType="begin"/>
                </w:r>
                <w:r>
                  <w:rPr>
                    <w:noProof/>
                    <w:webHidden/>
                  </w:rPr>
                  <w:instrText xml:space="preserve"> PAGEREF _Toc112932709 \h </w:instrText>
                </w:r>
                <w:r>
                  <w:rPr>
                    <w:noProof/>
                    <w:webHidden/>
                  </w:rPr>
                </w:r>
                <w:r>
                  <w:rPr>
                    <w:noProof/>
                    <w:webHidden/>
                  </w:rPr>
                  <w:fldChar w:fldCharType="separate"/>
                </w:r>
                <w:r>
                  <w:rPr>
                    <w:noProof/>
                    <w:webHidden/>
                  </w:rPr>
                  <w:t>86</w:t>
                </w:r>
                <w:r>
                  <w:rPr>
                    <w:noProof/>
                    <w:webHidden/>
                  </w:rPr>
                  <w:fldChar w:fldCharType="end"/>
                </w:r>
              </w:hyperlink>
            </w:p>
            <w:p w14:paraId="5795BBC1" w14:textId="7512F5E0" w:rsidR="002503A9" w:rsidRDefault="002503A9">
              <w:pPr>
                <w:pStyle w:val="TOC3"/>
                <w:tabs>
                  <w:tab w:val="right" w:leader="dot" w:pos="9016"/>
                </w:tabs>
                <w:rPr>
                  <w:rFonts w:asciiTheme="minorHAnsi" w:eastAsiaTheme="minorEastAsia" w:hAnsiTheme="minorHAnsi" w:cstheme="minorBidi"/>
                  <w:noProof/>
                  <w:lang w:val="en-US"/>
                </w:rPr>
              </w:pPr>
              <w:hyperlink w:anchor="_Toc112932710" w:history="1">
                <w:r w:rsidRPr="006B13B6">
                  <w:rPr>
                    <w:rStyle w:val="Hyperlink"/>
                    <w:b/>
                    <w:noProof/>
                    <w:lang w:val="en-GB"/>
                  </w:rPr>
                  <w:t>Data collection and population census</w:t>
                </w:r>
                <w:r>
                  <w:rPr>
                    <w:noProof/>
                    <w:webHidden/>
                  </w:rPr>
                  <w:tab/>
                </w:r>
                <w:r>
                  <w:rPr>
                    <w:noProof/>
                    <w:webHidden/>
                  </w:rPr>
                  <w:fldChar w:fldCharType="begin"/>
                </w:r>
                <w:r>
                  <w:rPr>
                    <w:noProof/>
                    <w:webHidden/>
                  </w:rPr>
                  <w:instrText xml:space="preserve"> PAGEREF _Toc112932710 \h </w:instrText>
                </w:r>
                <w:r>
                  <w:rPr>
                    <w:noProof/>
                    <w:webHidden/>
                  </w:rPr>
                </w:r>
                <w:r>
                  <w:rPr>
                    <w:noProof/>
                    <w:webHidden/>
                  </w:rPr>
                  <w:fldChar w:fldCharType="separate"/>
                </w:r>
                <w:r>
                  <w:rPr>
                    <w:noProof/>
                    <w:webHidden/>
                  </w:rPr>
                  <w:t>87</w:t>
                </w:r>
                <w:r>
                  <w:rPr>
                    <w:noProof/>
                    <w:webHidden/>
                  </w:rPr>
                  <w:fldChar w:fldCharType="end"/>
                </w:r>
              </w:hyperlink>
            </w:p>
            <w:p w14:paraId="2650CBBB" w14:textId="1CF7A60A" w:rsidR="002503A9" w:rsidRDefault="002503A9">
              <w:pPr>
                <w:pStyle w:val="TOC2"/>
                <w:tabs>
                  <w:tab w:val="right" w:leader="dot" w:pos="9016"/>
                </w:tabs>
                <w:rPr>
                  <w:rFonts w:asciiTheme="minorHAnsi" w:eastAsiaTheme="minorEastAsia" w:hAnsiTheme="minorHAnsi" w:cstheme="minorBidi"/>
                  <w:noProof/>
                  <w:lang w:val="en-US"/>
                </w:rPr>
              </w:pPr>
              <w:hyperlink w:anchor="_Toc112932711" w:history="1">
                <w:r w:rsidRPr="006B13B6">
                  <w:rPr>
                    <w:rStyle w:val="Hyperlink"/>
                    <w:b/>
                    <w:noProof/>
                    <w:lang w:val="en-GB"/>
                  </w:rPr>
                  <w:t>Article 4 of the Framework Convention</w:t>
                </w:r>
                <w:r>
                  <w:rPr>
                    <w:noProof/>
                    <w:webHidden/>
                  </w:rPr>
                  <w:tab/>
                </w:r>
                <w:r>
                  <w:rPr>
                    <w:noProof/>
                    <w:webHidden/>
                  </w:rPr>
                  <w:fldChar w:fldCharType="begin"/>
                </w:r>
                <w:r>
                  <w:rPr>
                    <w:noProof/>
                    <w:webHidden/>
                  </w:rPr>
                  <w:instrText xml:space="preserve"> PAGEREF _Toc112932711 \h </w:instrText>
                </w:r>
                <w:r>
                  <w:rPr>
                    <w:noProof/>
                    <w:webHidden/>
                  </w:rPr>
                </w:r>
                <w:r>
                  <w:rPr>
                    <w:noProof/>
                    <w:webHidden/>
                  </w:rPr>
                  <w:fldChar w:fldCharType="separate"/>
                </w:r>
                <w:r>
                  <w:rPr>
                    <w:noProof/>
                    <w:webHidden/>
                  </w:rPr>
                  <w:t>87</w:t>
                </w:r>
                <w:r>
                  <w:rPr>
                    <w:noProof/>
                    <w:webHidden/>
                  </w:rPr>
                  <w:fldChar w:fldCharType="end"/>
                </w:r>
              </w:hyperlink>
            </w:p>
            <w:p w14:paraId="04A49F00" w14:textId="77D8E69C" w:rsidR="002503A9" w:rsidRDefault="002503A9">
              <w:pPr>
                <w:pStyle w:val="TOC3"/>
                <w:tabs>
                  <w:tab w:val="right" w:leader="dot" w:pos="9016"/>
                </w:tabs>
                <w:rPr>
                  <w:rFonts w:asciiTheme="minorHAnsi" w:eastAsiaTheme="minorEastAsia" w:hAnsiTheme="minorHAnsi" w:cstheme="minorBidi"/>
                  <w:noProof/>
                  <w:lang w:val="en-US"/>
                </w:rPr>
              </w:pPr>
              <w:hyperlink w:anchor="_Toc112932712" w:history="1">
                <w:r w:rsidRPr="006B13B6">
                  <w:rPr>
                    <w:rStyle w:val="Hyperlink"/>
                    <w:b/>
                    <w:noProof/>
                    <w:lang w:val="en-GB"/>
                  </w:rPr>
                  <w:t>Legislative framework for combating discrimination</w:t>
                </w:r>
                <w:r>
                  <w:rPr>
                    <w:noProof/>
                    <w:webHidden/>
                  </w:rPr>
                  <w:tab/>
                </w:r>
                <w:r>
                  <w:rPr>
                    <w:noProof/>
                    <w:webHidden/>
                  </w:rPr>
                  <w:fldChar w:fldCharType="begin"/>
                </w:r>
                <w:r>
                  <w:rPr>
                    <w:noProof/>
                    <w:webHidden/>
                  </w:rPr>
                  <w:instrText xml:space="preserve"> PAGEREF _Toc112932712 \h </w:instrText>
                </w:r>
                <w:r>
                  <w:rPr>
                    <w:noProof/>
                    <w:webHidden/>
                  </w:rPr>
                </w:r>
                <w:r>
                  <w:rPr>
                    <w:noProof/>
                    <w:webHidden/>
                  </w:rPr>
                  <w:fldChar w:fldCharType="separate"/>
                </w:r>
                <w:r>
                  <w:rPr>
                    <w:noProof/>
                    <w:webHidden/>
                  </w:rPr>
                  <w:t>87</w:t>
                </w:r>
                <w:r>
                  <w:rPr>
                    <w:noProof/>
                    <w:webHidden/>
                  </w:rPr>
                  <w:fldChar w:fldCharType="end"/>
                </w:r>
              </w:hyperlink>
            </w:p>
            <w:p w14:paraId="3A748337" w14:textId="6B9C30B6" w:rsidR="002503A9" w:rsidRDefault="002503A9">
              <w:pPr>
                <w:pStyle w:val="TOC3"/>
                <w:tabs>
                  <w:tab w:val="right" w:leader="dot" w:pos="9016"/>
                </w:tabs>
                <w:rPr>
                  <w:rFonts w:asciiTheme="minorHAnsi" w:eastAsiaTheme="minorEastAsia" w:hAnsiTheme="minorHAnsi" w:cstheme="minorBidi"/>
                  <w:noProof/>
                  <w:lang w:val="en-US"/>
                </w:rPr>
              </w:pPr>
              <w:hyperlink w:anchor="_Toc112932713" w:history="1">
                <w:r w:rsidRPr="006B13B6">
                  <w:rPr>
                    <w:rStyle w:val="Hyperlink"/>
                    <w:b/>
                    <w:noProof/>
                    <w:lang w:val="en-GB"/>
                  </w:rPr>
                  <w:t>Monitoring the prohibition of discrimination and available legal remedies</w:t>
                </w:r>
                <w:r>
                  <w:rPr>
                    <w:noProof/>
                    <w:webHidden/>
                  </w:rPr>
                  <w:tab/>
                </w:r>
                <w:r>
                  <w:rPr>
                    <w:noProof/>
                    <w:webHidden/>
                  </w:rPr>
                  <w:fldChar w:fldCharType="begin"/>
                </w:r>
                <w:r>
                  <w:rPr>
                    <w:noProof/>
                    <w:webHidden/>
                  </w:rPr>
                  <w:instrText xml:space="preserve"> PAGEREF _Toc112932713 \h </w:instrText>
                </w:r>
                <w:r>
                  <w:rPr>
                    <w:noProof/>
                    <w:webHidden/>
                  </w:rPr>
                </w:r>
                <w:r>
                  <w:rPr>
                    <w:noProof/>
                    <w:webHidden/>
                  </w:rPr>
                  <w:fldChar w:fldCharType="separate"/>
                </w:r>
                <w:r>
                  <w:rPr>
                    <w:noProof/>
                    <w:webHidden/>
                  </w:rPr>
                  <w:t>88</w:t>
                </w:r>
                <w:r>
                  <w:rPr>
                    <w:noProof/>
                    <w:webHidden/>
                  </w:rPr>
                  <w:fldChar w:fldCharType="end"/>
                </w:r>
              </w:hyperlink>
            </w:p>
            <w:p w14:paraId="22DAA202" w14:textId="33F807EC" w:rsidR="002503A9" w:rsidRDefault="002503A9">
              <w:pPr>
                <w:pStyle w:val="TOC3"/>
                <w:tabs>
                  <w:tab w:val="right" w:leader="dot" w:pos="9016"/>
                </w:tabs>
                <w:rPr>
                  <w:rFonts w:asciiTheme="minorHAnsi" w:eastAsiaTheme="minorEastAsia" w:hAnsiTheme="minorHAnsi" w:cstheme="minorBidi"/>
                  <w:noProof/>
                  <w:lang w:val="en-US"/>
                </w:rPr>
              </w:pPr>
              <w:hyperlink w:anchor="_Toc112932714" w:history="1">
                <w:r w:rsidRPr="006B13B6">
                  <w:rPr>
                    <w:rStyle w:val="Hyperlink"/>
                    <w:b/>
                    <w:noProof/>
                    <w:lang w:val="en-GB"/>
                  </w:rPr>
                  <w:t>Equality data collection and measures to promote effective equality</w:t>
                </w:r>
                <w:r>
                  <w:rPr>
                    <w:noProof/>
                    <w:webHidden/>
                  </w:rPr>
                  <w:tab/>
                </w:r>
                <w:r>
                  <w:rPr>
                    <w:noProof/>
                    <w:webHidden/>
                  </w:rPr>
                  <w:fldChar w:fldCharType="begin"/>
                </w:r>
                <w:r>
                  <w:rPr>
                    <w:noProof/>
                    <w:webHidden/>
                  </w:rPr>
                  <w:instrText xml:space="preserve"> PAGEREF _Toc112932714 \h </w:instrText>
                </w:r>
                <w:r>
                  <w:rPr>
                    <w:noProof/>
                    <w:webHidden/>
                  </w:rPr>
                </w:r>
                <w:r>
                  <w:rPr>
                    <w:noProof/>
                    <w:webHidden/>
                  </w:rPr>
                  <w:fldChar w:fldCharType="separate"/>
                </w:r>
                <w:r>
                  <w:rPr>
                    <w:noProof/>
                    <w:webHidden/>
                  </w:rPr>
                  <w:t>89</w:t>
                </w:r>
                <w:r>
                  <w:rPr>
                    <w:noProof/>
                    <w:webHidden/>
                  </w:rPr>
                  <w:fldChar w:fldCharType="end"/>
                </w:r>
              </w:hyperlink>
            </w:p>
            <w:p w14:paraId="3885F614" w14:textId="4C2ECED7" w:rsidR="002503A9" w:rsidRDefault="002503A9">
              <w:pPr>
                <w:pStyle w:val="TOC3"/>
                <w:tabs>
                  <w:tab w:val="right" w:leader="dot" w:pos="9016"/>
                </w:tabs>
                <w:rPr>
                  <w:rFonts w:asciiTheme="minorHAnsi" w:eastAsiaTheme="minorEastAsia" w:hAnsiTheme="minorHAnsi" w:cstheme="minorBidi"/>
                  <w:noProof/>
                  <w:lang w:val="en-US"/>
                </w:rPr>
              </w:pPr>
              <w:hyperlink w:anchor="_Toc112932715" w:history="1">
                <w:r w:rsidRPr="006B13B6">
                  <w:rPr>
                    <w:rStyle w:val="Hyperlink"/>
                    <w:b/>
                    <w:noProof/>
                    <w:lang w:val="en-GB"/>
                  </w:rPr>
                  <w:t>The status of Roma population</w:t>
                </w:r>
                <w:r>
                  <w:rPr>
                    <w:noProof/>
                    <w:webHidden/>
                  </w:rPr>
                  <w:tab/>
                </w:r>
                <w:r>
                  <w:rPr>
                    <w:noProof/>
                    <w:webHidden/>
                  </w:rPr>
                  <w:fldChar w:fldCharType="begin"/>
                </w:r>
                <w:r>
                  <w:rPr>
                    <w:noProof/>
                    <w:webHidden/>
                  </w:rPr>
                  <w:instrText xml:space="preserve"> PAGEREF _Toc112932715 \h </w:instrText>
                </w:r>
                <w:r>
                  <w:rPr>
                    <w:noProof/>
                    <w:webHidden/>
                  </w:rPr>
                </w:r>
                <w:r>
                  <w:rPr>
                    <w:noProof/>
                    <w:webHidden/>
                  </w:rPr>
                  <w:fldChar w:fldCharType="separate"/>
                </w:r>
                <w:r>
                  <w:rPr>
                    <w:noProof/>
                    <w:webHidden/>
                  </w:rPr>
                  <w:t>90</w:t>
                </w:r>
                <w:r>
                  <w:rPr>
                    <w:noProof/>
                    <w:webHidden/>
                  </w:rPr>
                  <w:fldChar w:fldCharType="end"/>
                </w:r>
              </w:hyperlink>
            </w:p>
            <w:p w14:paraId="063E1E75" w14:textId="121FE91D" w:rsidR="002503A9" w:rsidRDefault="002503A9">
              <w:pPr>
                <w:pStyle w:val="TOC2"/>
                <w:tabs>
                  <w:tab w:val="right" w:leader="dot" w:pos="9016"/>
                </w:tabs>
                <w:rPr>
                  <w:rFonts w:asciiTheme="minorHAnsi" w:eastAsiaTheme="minorEastAsia" w:hAnsiTheme="minorHAnsi" w:cstheme="minorBidi"/>
                  <w:noProof/>
                  <w:lang w:val="en-US"/>
                </w:rPr>
              </w:pPr>
              <w:hyperlink w:anchor="_Toc112932716" w:history="1">
                <w:r w:rsidRPr="006B13B6">
                  <w:rPr>
                    <w:rStyle w:val="Hyperlink"/>
                    <w:b/>
                    <w:noProof/>
                    <w:lang w:val="en-GB"/>
                  </w:rPr>
                  <w:t>Article 5 of the Framework Convention</w:t>
                </w:r>
                <w:r>
                  <w:rPr>
                    <w:noProof/>
                    <w:webHidden/>
                  </w:rPr>
                  <w:tab/>
                </w:r>
                <w:r>
                  <w:rPr>
                    <w:noProof/>
                    <w:webHidden/>
                  </w:rPr>
                  <w:fldChar w:fldCharType="begin"/>
                </w:r>
                <w:r>
                  <w:rPr>
                    <w:noProof/>
                    <w:webHidden/>
                  </w:rPr>
                  <w:instrText xml:space="preserve"> PAGEREF _Toc112932716 \h </w:instrText>
                </w:r>
                <w:r>
                  <w:rPr>
                    <w:noProof/>
                    <w:webHidden/>
                  </w:rPr>
                </w:r>
                <w:r>
                  <w:rPr>
                    <w:noProof/>
                    <w:webHidden/>
                  </w:rPr>
                  <w:fldChar w:fldCharType="separate"/>
                </w:r>
                <w:r>
                  <w:rPr>
                    <w:noProof/>
                    <w:webHidden/>
                  </w:rPr>
                  <w:t>97</w:t>
                </w:r>
                <w:r>
                  <w:rPr>
                    <w:noProof/>
                    <w:webHidden/>
                  </w:rPr>
                  <w:fldChar w:fldCharType="end"/>
                </w:r>
              </w:hyperlink>
            </w:p>
            <w:p w14:paraId="18232308" w14:textId="23612FEF" w:rsidR="002503A9" w:rsidRDefault="002503A9">
              <w:pPr>
                <w:pStyle w:val="TOC3"/>
                <w:tabs>
                  <w:tab w:val="right" w:leader="dot" w:pos="9016"/>
                </w:tabs>
                <w:rPr>
                  <w:rFonts w:asciiTheme="minorHAnsi" w:eastAsiaTheme="minorEastAsia" w:hAnsiTheme="minorHAnsi" w:cstheme="minorBidi"/>
                  <w:noProof/>
                  <w:lang w:val="en-US"/>
                </w:rPr>
              </w:pPr>
              <w:hyperlink w:anchor="_Toc112932717" w:history="1">
                <w:r w:rsidRPr="006B13B6">
                  <w:rPr>
                    <w:rStyle w:val="Hyperlink"/>
                    <w:b/>
                    <w:noProof/>
                    <w:lang w:val="en-GB"/>
                  </w:rPr>
                  <w:t>Preservation and promotion of all identities and cultures of national minorities</w:t>
                </w:r>
                <w:r>
                  <w:rPr>
                    <w:noProof/>
                    <w:webHidden/>
                  </w:rPr>
                  <w:tab/>
                </w:r>
                <w:r>
                  <w:rPr>
                    <w:noProof/>
                    <w:webHidden/>
                  </w:rPr>
                  <w:fldChar w:fldCharType="begin"/>
                </w:r>
                <w:r>
                  <w:rPr>
                    <w:noProof/>
                    <w:webHidden/>
                  </w:rPr>
                  <w:instrText xml:space="preserve"> PAGEREF _Toc112932717 \h </w:instrText>
                </w:r>
                <w:r>
                  <w:rPr>
                    <w:noProof/>
                    <w:webHidden/>
                  </w:rPr>
                </w:r>
                <w:r>
                  <w:rPr>
                    <w:noProof/>
                    <w:webHidden/>
                  </w:rPr>
                  <w:fldChar w:fldCharType="separate"/>
                </w:r>
                <w:r>
                  <w:rPr>
                    <w:noProof/>
                    <w:webHidden/>
                  </w:rPr>
                  <w:t>97</w:t>
                </w:r>
                <w:r>
                  <w:rPr>
                    <w:noProof/>
                    <w:webHidden/>
                  </w:rPr>
                  <w:fldChar w:fldCharType="end"/>
                </w:r>
              </w:hyperlink>
            </w:p>
            <w:p w14:paraId="1703AA0C" w14:textId="1935CD0E" w:rsidR="002503A9" w:rsidRDefault="002503A9">
              <w:pPr>
                <w:pStyle w:val="TOC2"/>
                <w:tabs>
                  <w:tab w:val="right" w:leader="dot" w:pos="9016"/>
                </w:tabs>
                <w:rPr>
                  <w:rFonts w:asciiTheme="minorHAnsi" w:eastAsiaTheme="minorEastAsia" w:hAnsiTheme="minorHAnsi" w:cstheme="minorBidi"/>
                  <w:noProof/>
                  <w:lang w:val="en-US"/>
                </w:rPr>
              </w:pPr>
              <w:hyperlink w:anchor="_Toc112932718" w:history="1">
                <w:r w:rsidRPr="006B13B6">
                  <w:rPr>
                    <w:rStyle w:val="Hyperlink"/>
                    <w:b/>
                    <w:noProof/>
                    <w:lang w:val="en-GB"/>
                  </w:rPr>
                  <w:t>Article 6  of the Framework Convention</w:t>
                </w:r>
                <w:r>
                  <w:rPr>
                    <w:noProof/>
                    <w:webHidden/>
                  </w:rPr>
                  <w:tab/>
                </w:r>
                <w:r>
                  <w:rPr>
                    <w:noProof/>
                    <w:webHidden/>
                  </w:rPr>
                  <w:fldChar w:fldCharType="begin"/>
                </w:r>
                <w:r>
                  <w:rPr>
                    <w:noProof/>
                    <w:webHidden/>
                  </w:rPr>
                  <w:instrText xml:space="preserve"> PAGEREF _Toc112932718 \h </w:instrText>
                </w:r>
                <w:r>
                  <w:rPr>
                    <w:noProof/>
                    <w:webHidden/>
                  </w:rPr>
                </w:r>
                <w:r>
                  <w:rPr>
                    <w:noProof/>
                    <w:webHidden/>
                  </w:rPr>
                  <w:fldChar w:fldCharType="separate"/>
                </w:r>
                <w:r>
                  <w:rPr>
                    <w:noProof/>
                    <w:webHidden/>
                  </w:rPr>
                  <w:t>108</w:t>
                </w:r>
                <w:r>
                  <w:rPr>
                    <w:noProof/>
                    <w:webHidden/>
                  </w:rPr>
                  <w:fldChar w:fldCharType="end"/>
                </w:r>
              </w:hyperlink>
            </w:p>
            <w:p w14:paraId="029F546C" w14:textId="17C10604" w:rsidR="002503A9" w:rsidRDefault="002503A9">
              <w:pPr>
                <w:pStyle w:val="TOC3"/>
                <w:tabs>
                  <w:tab w:val="right" w:leader="dot" w:pos="9016"/>
                </w:tabs>
                <w:rPr>
                  <w:rFonts w:asciiTheme="minorHAnsi" w:eastAsiaTheme="minorEastAsia" w:hAnsiTheme="minorHAnsi" w:cstheme="minorBidi"/>
                  <w:noProof/>
                  <w:lang w:val="en-US"/>
                </w:rPr>
              </w:pPr>
              <w:hyperlink w:anchor="_Toc112932719" w:history="1">
                <w:r w:rsidRPr="006B13B6">
                  <w:rPr>
                    <w:rStyle w:val="Hyperlink"/>
                    <w:b/>
                    <w:noProof/>
                    <w:lang w:val="en-GB"/>
                  </w:rPr>
                  <w:t>Tolerance and intercultural dialogue</w:t>
                </w:r>
                <w:r>
                  <w:rPr>
                    <w:noProof/>
                    <w:webHidden/>
                  </w:rPr>
                  <w:tab/>
                </w:r>
                <w:r>
                  <w:rPr>
                    <w:noProof/>
                    <w:webHidden/>
                  </w:rPr>
                  <w:fldChar w:fldCharType="begin"/>
                </w:r>
                <w:r>
                  <w:rPr>
                    <w:noProof/>
                    <w:webHidden/>
                  </w:rPr>
                  <w:instrText xml:space="preserve"> PAGEREF _Toc112932719 \h </w:instrText>
                </w:r>
                <w:r>
                  <w:rPr>
                    <w:noProof/>
                    <w:webHidden/>
                  </w:rPr>
                </w:r>
                <w:r>
                  <w:rPr>
                    <w:noProof/>
                    <w:webHidden/>
                  </w:rPr>
                  <w:fldChar w:fldCharType="separate"/>
                </w:r>
                <w:r>
                  <w:rPr>
                    <w:noProof/>
                    <w:webHidden/>
                  </w:rPr>
                  <w:t>108</w:t>
                </w:r>
                <w:r>
                  <w:rPr>
                    <w:noProof/>
                    <w:webHidden/>
                  </w:rPr>
                  <w:fldChar w:fldCharType="end"/>
                </w:r>
              </w:hyperlink>
            </w:p>
            <w:p w14:paraId="35766058" w14:textId="373BEEF3" w:rsidR="002503A9" w:rsidRDefault="002503A9">
              <w:pPr>
                <w:pStyle w:val="TOC3"/>
                <w:tabs>
                  <w:tab w:val="right" w:leader="dot" w:pos="9016"/>
                </w:tabs>
                <w:rPr>
                  <w:rFonts w:asciiTheme="minorHAnsi" w:eastAsiaTheme="minorEastAsia" w:hAnsiTheme="minorHAnsi" w:cstheme="minorBidi"/>
                  <w:noProof/>
                  <w:lang w:val="en-US"/>
                </w:rPr>
              </w:pPr>
              <w:hyperlink w:anchor="_Toc112932720" w:history="1">
                <w:r w:rsidRPr="006B13B6">
                  <w:rPr>
                    <w:rStyle w:val="Hyperlink"/>
                    <w:b/>
                    <w:noProof/>
                    <w:lang w:val="en-GB"/>
                  </w:rPr>
                  <w:t>Protection against hate crimes and hate speech</w:t>
                </w:r>
                <w:r>
                  <w:rPr>
                    <w:noProof/>
                    <w:webHidden/>
                  </w:rPr>
                  <w:tab/>
                </w:r>
                <w:r>
                  <w:rPr>
                    <w:noProof/>
                    <w:webHidden/>
                  </w:rPr>
                  <w:fldChar w:fldCharType="begin"/>
                </w:r>
                <w:r>
                  <w:rPr>
                    <w:noProof/>
                    <w:webHidden/>
                  </w:rPr>
                  <w:instrText xml:space="preserve"> PAGEREF _Toc112932720 \h </w:instrText>
                </w:r>
                <w:r>
                  <w:rPr>
                    <w:noProof/>
                    <w:webHidden/>
                  </w:rPr>
                </w:r>
                <w:r>
                  <w:rPr>
                    <w:noProof/>
                    <w:webHidden/>
                  </w:rPr>
                  <w:fldChar w:fldCharType="separate"/>
                </w:r>
                <w:r>
                  <w:rPr>
                    <w:noProof/>
                    <w:webHidden/>
                  </w:rPr>
                  <w:t>111</w:t>
                </w:r>
                <w:r>
                  <w:rPr>
                    <w:noProof/>
                    <w:webHidden/>
                  </w:rPr>
                  <w:fldChar w:fldCharType="end"/>
                </w:r>
              </w:hyperlink>
            </w:p>
            <w:p w14:paraId="195AD0C9" w14:textId="59142E4D" w:rsidR="002503A9" w:rsidRDefault="002503A9">
              <w:pPr>
                <w:pStyle w:val="TOC2"/>
                <w:tabs>
                  <w:tab w:val="right" w:leader="dot" w:pos="9016"/>
                </w:tabs>
                <w:rPr>
                  <w:rFonts w:asciiTheme="minorHAnsi" w:eastAsiaTheme="minorEastAsia" w:hAnsiTheme="minorHAnsi" w:cstheme="minorBidi"/>
                  <w:noProof/>
                  <w:lang w:val="en-US"/>
                </w:rPr>
              </w:pPr>
              <w:hyperlink w:anchor="_Toc112932721" w:history="1">
                <w:r w:rsidRPr="006B13B6">
                  <w:rPr>
                    <w:rStyle w:val="Hyperlink"/>
                    <w:b/>
                    <w:noProof/>
                    <w:lang w:val="en-GB"/>
                  </w:rPr>
                  <w:t>Article 8 of the Framework Convention</w:t>
                </w:r>
                <w:r>
                  <w:rPr>
                    <w:noProof/>
                    <w:webHidden/>
                  </w:rPr>
                  <w:tab/>
                </w:r>
                <w:r>
                  <w:rPr>
                    <w:noProof/>
                    <w:webHidden/>
                  </w:rPr>
                  <w:fldChar w:fldCharType="begin"/>
                </w:r>
                <w:r>
                  <w:rPr>
                    <w:noProof/>
                    <w:webHidden/>
                  </w:rPr>
                  <w:instrText xml:space="preserve"> PAGEREF _Toc112932721 \h </w:instrText>
                </w:r>
                <w:r>
                  <w:rPr>
                    <w:noProof/>
                    <w:webHidden/>
                  </w:rPr>
                </w:r>
                <w:r>
                  <w:rPr>
                    <w:noProof/>
                    <w:webHidden/>
                  </w:rPr>
                  <w:fldChar w:fldCharType="separate"/>
                </w:r>
                <w:r>
                  <w:rPr>
                    <w:noProof/>
                    <w:webHidden/>
                  </w:rPr>
                  <w:t>119</w:t>
                </w:r>
                <w:r>
                  <w:rPr>
                    <w:noProof/>
                    <w:webHidden/>
                  </w:rPr>
                  <w:fldChar w:fldCharType="end"/>
                </w:r>
              </w:hyperlink>
            </w:p>
            <w:p w14:paraId="4C087E12" w14:textId="695B52F7" w:rsidR="002503A9" w:rsidRDefault="002503A9">
              <w:pPr>
                <w:pStyle w:val="TOC3"/>
                <w:tabs>
                  <w:tab w:val="right" w:leader="dot" w:pos="9016"/>
                </w:tabs>
                <w:rPr>
                  <w:rFonts w:asciiTheme="minorHAnsi" w:eastAsiaTheme="minorEastAsia" w:hAnsiTheme="minorHAnsi" w:cstheme="minorBidi"/>
                  <w:noProof/>
                  <w:lang w:val="en-US"/>
                </w:rPr>
              </w:pPr>
              <w:hyperlink w:anchor="_Toc112932722" w:history="1">
                <w:r w:rsidRPr="006B13B6">
                  <w:rPr>
                    <w:rStyle w:val="Hyperlink"/>
                    <w:b/>
                    <w:noProof/>
                    <w:lang w:val="en-GB"/>
                  </w:rPr>
                  <w:t>The right to profess one's religion and to establish institutions, organisations and associations</w:t>
                </w:r>
                <w:r>
                  <w:rPr>
                    <w:noProof/>
                    <w:webHidden/>
                  </w:rPr>
                  <w:tab/>
                </w:r>
                <w:r>
                  <w:rPr>
                    <w:noProof/>
                    <w:webHidden/>
                  </w:rPr>
                  <w:fldChar w:fldCharType="begin"/>
                </w:r>
                <w:r>
                  <w:rPr>
                    <w:noProof/>
                    <w:webHidden/>
                  </w:rPr>
                  <w:instrText xml:space="preserve"> PAGEREF _Toc112932722 \h </w:instrText>
                </w:r>
                <w:r>
                  <w:rPr>
                    <w:noProof/>
                    <w:webHidden/>
                  </w:rPr>
                </w:r>
                <w:r>
                  <w:rPr>
                    <w:noProof/>
                    <w:webHidden/>
                  </w:rPr>
                  <w:fldChar w:fldCharType="separate"/>
                </w:r>
                <w:r>
                  <w:rPr>
                    <w:noProof/>
                    <w:webHidden/>
                  </w:rPr>
                  <w:t>119</w:t>
                </w:r>
                <w:r>
                  <w:rPr>
                    <w:noProof/>
                    <w:webHidden/>
                  </w:rPr>
                  <w:fldChar w:fldCharType="end"/>
                </w:r>
              </w:hyperlink>
            </w:p>
            <w:p w14:paraId="7CD94437" w14:textId="2CAEBB62" w:rsidR="002503A9" w:rsidRDefault="002503A9">
              <w:pPr>
                <w:pStyle w:val="TOC2"/>
                <w:tabs>
                  <w:tab w:val="right" w:leader="dot" w:pos="9016"/>
                </w:tabs>
                <w:rPr>
                  <w:rFonts w:asciiTheme="minorHAnsi" w:eastAsiaTheme="minorEastAsia" w:hAnsiTheme="minorHAnsi" w:cstheme="minorBidi"/>
                  <w:noProof/>
                  <w:lang w:val="en-US"/>
                </w:rPr>
              </w:pPr>
              <w:hyperlink w:anchor="_Toc112932723" w:history="1">
                <w:r w:rsidRPr="006B13B6">
                  <w:rPr>
                    <w:rStyle w:val="Hyperlink"/>
                    <w:b/>
                    <w:noProof/>
                    <w:lang w:val="en-GB"/>
                  </w:rPr>
                  <w:t>Article 9 of the Framework Convention</w:t>
                </w:r>
                <w:r>
                  <w:rPr>
                    <w:noProof/>
                    <w:webHidden/>
                  </w:rPr>
                  <w:tab/>
                </w:r>
                <w:r>
                  <w:rPr>
                    <w:noProof/>
                    <w:webHidden/>
                  </w:rPr>
                  <w:fldChar w:fldCharType="begin"/>
                </w:r>
                <w:r>
                  <w:rPr>
                    <w:noProof/>
                    <w:webHidden/>
                  </w:rPr>
                  <w:instrText xml:space="preserve"> PAGEREF _Toc112932723 \h </w:instrText>
                </w:r>
                <w:r>
                  <w:rPr>
                    <w:noProof/>
                    <w:webHidden/>
                  </w:rPr>
                </w:r>
                <w:r>
                  <w:rPr>
                    <w:noProof/>
                    <w:webHidden/>
                  </w:rPr>
                  <w:fldChar w:fldCharType="separate"/>
                </w:r>
                <w:r>
                  <w:rPr>
                    <w:noProof/>
                    <w:webHidden/>
                  </w:rPr>
                  <w:t>119</w:t>
                </w:r>
                <w:r>
                  <w:rPr>
                    <w:noProof/>
                    <w:webHidden/>
                  </w:rPr>
                  <w:fldChar w:fldCharType="end"/>
                </w:r>
              </w:hyperlink>
            </w:p>
            <w:p w14:paraId="361ADD5B" w14:textId="752C76EE" w:rsidR="002503A9" w:rsidRDefault="002503A9">
              <w:pPr>
                <w:pStyle w:val="TOC3"/>
                <w:tabs>
                  <w:tab w:val="right" w:leader="dot" w:pos="9016"/>
                </w:tabs>
                <w:rPr>
                  <w:rFonts w:asciiTheme="minorHAnsi" w:eastAsiaTheme="minorEastAsia" w:hAnsiTheme="minorHAnsi" w:cstheme="minorBidi"/>
                  <w:noProof/>
                  <w:lang w:val="en-US"/>
                </w:rPr>
              </w:pPr>
              <w:hyperlink w:anchor="_Toc112932724" w:history="1">
                <w:r w:rsidRPr="006B13B6">
                  <w:rPr>
                    <w:rStyle w:val="Hyperlink"/>
                    <w:b/>
                    <w:noProof/>
                    <w:lang w:val="en-GB"/>
                  </w:rPr>
                  <w:t>Access to print and electronic media in minority languages</w:t>
                </w:r>
                <w:r>
                  <w:rPr>
                    <w:noProof/>
                    <w:webHidden/>
                  </w:rPr>
                  <w:tab/>
                </w:r>
                <w:r>
                  <w:rPr>
                    <w:noProof/>
                    <w:webHidden/>
                  </w:rPr>
                  <w:fldChar w:fldCharType="begin"/>
                </w:r>
                <w:r>
                  <w:rPr>
                    <w:noProof/>
                    <w:webHidden/>
                  </w:rPr>
                  <w:instrText xml:space="preserve"> PAGEREF _Toc112932724 \h </w:instrText>
                </w:r>
                <w:r>
                  <w:rPr>
                    <w:noProof/>
                    <w:webHidden/>
                  </w:rPr>
                </w:r>
                <w:r>
                  <w:rPr>
                    <w:noProof/>
                    <w:webHidden/>
                  </w:rPr>
                  <w:fldChar w:fldCharType="separate"/>
                </w:r>
                <w:r>
                  <w:rPr>
                    <w:noProof/>
                    <w:webHidden/>
                  </w:rPr>
                  <w:t>119</w:t>
                </w:r>
                <w:r>
                  <w:rPr>
                    <w:noProof/>
                    <w:webHidden/>
                  </w:rPr>
                  <w:fldChar w:fldCharType="end"/>
                </w:r>
              </w:hyperlink>
            </w:p>
            <w:p w14:paraId="3FAAAAC6" w14:textId="0A32C9DB" w:rsidR="002503A9" w:rsidRDefault="002503A9">
              <w:pPr>
                <w:pStyle w:val="TOC2"/>
                <w:tabs>
                  <w:tab w:val="right" w:leader="dot" w:pos="9016"/>
                </w:tabs>
                <w:rPr>
                  <w:rFonts w:asciiTheme="minorHAnsi" w:eastAsiaTheme="minorEastAsia" w:hAnsiTheme="minorHAnsi" w:cstheme="minorBidi"/>
                  <w:noProof/>
                  <w:lang w:val="en-US"/>
                </w:rPr>
              </w:pPr>
              <w:hyperlink w:anchor="_Toc112932725" w:history="1">
                <w:r w:rsidRPr="006B13B6">
                  <w:rPr>
                    <w:rStyle w:val="Hyperlink"/>
                    <w:b/>
                    <w:noProof/>
                    <w:lang w:val="en-GB"/>
                  </w:rPr>
                  <w:t>Article 10 of the Framework Convention</w:t>
                </w:r>
                <w:r>
                  <w:rPr>
                    <w:noProof/>
                    <w:webHidden/>
                  </w:rPr>
                  <w:tab/>
                </w:r>
                <w:r>
                  <w:rPr>
                    <w:noProof/>
                    <w:webHidden/>
                  </w:rPr>
                  <w:fldChar w:fldCharType="begin"/>
                </w:r>
                <w:r>
                  <w:rPr>
                    <w:noProof/>
                    <w:webHidden/>
                  </w:rPr>
                  <w:instrText xml:space="preserve"> PAGEREF _Toc112932725 \h </w:instrText>
                </w:r>
                <w:r>
                  <w:rPr>
                    <w:noProof/>
                    <w:webHidden/>
                  </w:rPr>
                </w:r>
                <w:r>
                  <w:rPr>
                    <w:noProof/>
                    <w:webHidden/>
                  </w:rPr>
                  <w:fldChar w:fldCharType="separate"/>
                </w:r>
                <w:r>
                  <w:rPr>
                    <w:noProof/>
                    <w:webHidden/>
                  </w:rPr>
                  <w:t>120</w:t>
                </w:r>
                <w:r>
                  <w:rPr>
                    <w:noProof/>
                    <w:webHidden/>
                  </w:rPr>
                  <w:fldChar w:fldCharType="end"/>
                </w:r>
              </w:hyperlink>
            </w:p>
            <w:p w14:paraId="1166490C" w14:textId="443DE418" w:rsidR="002503A9" w:rsidRDefault="002503A9">
              <w:pPr>
                <w:pStyle w:val="TOC3"/>
                <w:tabs>
                  <w:tab w:val="right" w:leader="dot" w:pos="9016"/>
                </w:tabs>
                <w:rPr>
                  <w:rFonts w:asciiTheme="minorHAnsi" w:eastAsiaTheme="minorEastAsia" w:hAnsiTheme="minorHAnsi" w:cstheme="minorBidi"/>
                  <w:noProof/>
                  <w:lang w:val="en-US"/>
                </w:rPr>
              </w:pPr>
              <w:hyperlink w:anchor="_Toc112932726" w:history="1">
                <w:r w:rsidRPr="006B13B6">
                  <w:rPr>
                    <w:rStyle w:val="Hyperlink"/>
                    <w:b/>
                    <w:noProof/>
                    <w:lang w:val="en-GB"/>
                  </w:rPr>
                  <w:t>The use of minority languages in relations with the authorities</w:t>
                </w:r>
                <w:r>
                  <w:rPr>
                    <w:noProof/>
                    <w:webHidden/>
                  </w:rPr>
                  <w:tab/>
                </w:r>
                <w:r>
                  <w:rPr>
                    <w:noProof/>
                    <w:webHidden/>
                  </w:rPr>
                  <w:fldChar w:fldCharType="begin"/>
                </w:r>
                <w:r>
                  <w:rPr>
                    <w:noProof/>
                    <w:webHidden/>
                  </w:rPr>
                  <w:instrText xml:space="preserve"> PAGEREF _Toc112932726 \h </w:instrText>
                </w:r>
                <w:r>
                  <w:rPr>
                    <w:noProof/>
                    <w:webHidden/>
                  </w:rPr>
                </w:r>
                <w:r>
                  <w:rPr>
                    <w:noProof/>
                    <w:webHidden/>
                  </w:rPr>
                  <w:fldChar w:fldCharType="separate"/>
                </w:r>
                <w:r>
                  <w:rPr>
                    <w:noProof/>
                    <w:webHidden/>
                  </w:rPr>
                  <w:t>120</w:t>
                </w:r>
                <w:r>
                  <w:rPr>
                    <w:noProof/>
                    <w:webHidden/>
                  </w:rPr>
                  <w:fldChar w:fldCharType="end"/>
                </w:r>
              </w:hyperlink>
            </w:p>
            <w:p w14:paraId="1C0D000B" w14:textId="1639AF45" w:rsidR="002503A9" w:rsidRDefault="002503A9">
              <w:pPr>
                <w:pStyle w:val="TOC2"/>
                <w:tabs>
                  <w:tab w:val="right" w:leader="dot" w:pos="9016"/>
                </w:tabs>
                <w:rPr>
                  <w:rFonts w:asciiTheme="minorHAnsi" w:eastAsiaTheme="minorEastAsia" w:hAnsiTheme="minorHAnsi" w:cstheme="minorBidi"/>
                  <w:noProof/>
                  <w:lang w:val="en-US"/>
                </w:rPr>
              </w:pPr>
              <w:hyperlink w:anchor="_Toc112932727" w:history="1">
                <w:r w:rsidRPr="006B13B6">
                  <w:rPr>
                    <w:rStyle w:val="Hyperlink"/>
                    <w:b/>
                    <w:noProof/>
                    <w:lang w:val="en-GB"/>
                  </w:rPr>
                  <w:t>Article 11 of the Framework Convention</w:t>
                </w:r>
                <w:r>
                  <w:rPr>
                    <w:noProof/>
                    <w:webHidden/>
                  </w:rPr>
                  <w:tab/>
                </w:r>
                <w:r>
                  <w:rPr>
                    <w:noProof/>
                    <w:webHidden/>
                  </w:rPr>
                  <w:fldChar w:fldCharType="begin"/>
                </w:r>
                <w:r>
                  <w:rPr>
                    <w:noProof/>
                    <w:webHidden/>
                  </w:rPr>
                  <w:instrText xml:space="preserve"> PAGEREF _Toc112932727 \h </w:instrText>
                </w:r>
                <w:r>
                  <w:rPr>
                    <w:noProof/>
                    <w:webHidden/>
                  </w:rPr>
                </w:r>
                <w:r>
                  <w:rPr>
                    <w:noProof/>
                    <w:webHidden/>
                  </w:rPr>
                  <w:fldChar w:fldCharType="separate"/>
                </w:r>
                <w:r>
                  <w:rPr>
                    <w:noProof/>
                    <w:webHidden/>
                  </w:rPr>
                  <w:t>126</w:t>
                </w:r>
                <w:r>
                  <w:rPr>
                    <w:noProof/>
                    <w:webHidden/>
                  </w:rPr>
                  <w:fldChar w:fldCharType="end"/>
                </w:r>
              </w:hyperlink>
            </w:p>
            <w:p w14:paraId="39C75FB1" w14:textId="550C34AE" w:rsidR="002503A9" w:rsidRDefault="002503A9">
              <w:pPr>
                <w:pStyle w:val="TOC3"/>
                <w:tabs>
                  <w:tab w:val="right" w:leader="dot" w:pos="9016"/>
                </w:tabs>
                <w:rPr>
                  <w:rFonts w:asciiTheme="minorHAnsi" w:eastAsiaTheme="minorEastAsia" w:hAnsiTheme="minorHAnsi" w:cstheme="minorBidi"/>
                  <w:noProof/>
                  <w:lang w:val="en-US"/>
                </w:rPr>
              </w:pPr>
              <w:hyperlink w:anchor="_Toc112932728" w:history="1">
                <w:r w:rsidRPr="006B13B6">
                  <w:rPr>
                    <w:rStyle w:val="Hyperlink"/>
                    <w:b/>
                    <w:noProof/>
                    <w:lang w:val="en-GB"/>
                  </w:rPr>
                  <w:t>Personal names, topographical marks and other signs and inscriptions</w:t>
                </w:r>
                <w:r>
                  <w:rPr>
                    <w:noProof/>
                    <w:webHidden/>
                  </w:rPr>
                  <w:tab/>
                </w:r>
                <w:r>
                  <w:rPr>
                    <w:noProof/>
                    <w:webHidden/>
                  </w:rPr>
                  <w:fldChar w:fldCharType="begin"/>
                </w:r>
                <w:r>
                  <w:rPr>
                    <w:noProof/>
                    <w:webHidden/>
                  </w:rPr>
                  <w:instrText xml:space="preserve"> PAGEREF _Toc112932728 \h </w:instrText>
                </w:r>
                <w:r>
                  <w:rPr>
                    <w:noProof/>
                    <w:webHidden/>
                  </w:rPr>
                </w:r>
                <w:r>
                  <w:rPr>
                    <w:noProof/>
                    <w:webHidden/>
                  </w:rPr>
                  <w:fldChar w:fldCharType="separate"/>
                </w:r>
                <w:r>
                  <w:rPr>
                    <w:noProof/>
                    <w:webHidden/>
                  </w:rPr>
                  <w:t>126</w:t>
                </w:r>
                <w:r>
                  <w:rPr>
                    <w:noProof/>
                    <w:webHidden/>
                  </w:rPr>
                  <w:fldChar w:fldCharType="end"/>
                </w:r>
              </w:hyperlink>
            </w:p>
            <w:p w14:paraId="30AEDDE5" w14:textId="35671A21" w:rsidR="002503A9" w:rsidRDefault="002503A9">
              <w:pPr>
                <w:pStyle w:val="TOC2"/>
                <w:tabs>
                  <w:tab w:val="right" w:leader="dot" w:pos="9016"/>
                </w:tabs>
                <w:rPr>
                  <w:rFonts w:asciiTheme="minorHAnsi" w:eastAsiaTheme="minorEastAsia" w:hAnsiTheme="minorHAnsi" w:cstheme="minorBidi"/>
                  <w:noProof/>
                  <w:lang w:val="en-US"/>
                </w:rPr>
              </w:pPr>
              <w:hyperlink w:anchor="_Toc112932729" w:history="1">
                <w:r w:rsidRPr="006B13B6">
                  <w:rPr>
                    <w:rStyle w:val="Hyperlink"/>
                    <w:b/>
                    <w:noProof/>
                    <w:lang w:val="en-GB"/>
                  </w:rPr>
                  <w:t>Article 12 of the Framework Convention</w:t>
                </w:r>
                <w:r>
                  <w:rPr>
                    <w:noProof/>
                    <w:webHidden/>
                  </w:rPr>
                  <w:tab/>
                </w:r>
                <w:r>
                  <w:rPr>
                    <w:noProof/>
                    <w:webHidden/>
                  </w:rPr>
                  <w:fldChar w:fldCharType="begin"/>
                </w:r>
                <w:r>
                  <w:rPr>
                    <w:noProof/>
                    <w:webHidden/>
                  </w:rPr>
                  <w:instrText xml:space="preserve"> PAGEREF _Toc112932729 \h </w:instrText>
                </w:r>
                <w:r>
                  <w:rPr>
                    <w:noProof/>
                    <w:webHidden/>
                  </w:rPr>
                </w:r>
                <w:r>
                  <w:rPr>
                    <w:noProof/>
                    <w:webHidden/>
                  </w:rPr>
                  <w:fldChar w:fldCharType="separate"/>
                </w:r>
                <w:r>
                  <w:rPr>
                    <w:noProof/>
                    <w:webHidden/>
                  </w:rPr>
                  <w:t>130</w:t>
                </w:r>
                <w:r>
                  <w:rPr>
                    <w:noProof/>
                    <w:webHidden/>
                  </w:rPr>
                  <w:fldChar w:fldCharType="end"/>
                </w:r>
              </w:hyperlink>
            </w:p>
            <w:p w14:paraId="3F8376CE" w14:textId="5D03512E" w:rsidR="002503A9" w:rsidRDefault="002503A9">
              <w:pPr>
                <w:pStyle w:val="TOC3"/>
                <w:tabs>
                  <w:tab w:val="right" w:leader="dot" w:pos="9016"/>
                </w:tabs>
                <w:rPr>
                  <w:rFonts w:asciiTheme="minorHAnsi" w:eastAsiaTheme="minorEastAsia" w:hAnsiTheme="minorHAnsi" w:cstheme="minorBidi"/>
                  <w:noProof/>
                  <w:lang w:val="en-US"/>
                </w:rPr>
              </w:pPr>
              <w:hyperlink w:anchor="_Toc112932730" w:history="1">
                <w:r w:rsidRPr="006B13B6">
                  <w:rPr>
                    <w:rStyle w:val="Hyperlink"/>
                    <w:b/>
                    <w:noProof/>
                    <w:lang w:val="en-GB"/>
                  </w:rPr>
                  <w:t>Promotion of multicultural and intercultural perspectives in education</w:t>
                </w:r>
                <w:r>
                  <w:rPr>
                    <w:noProof/>
                    <w:webHidden/>
                  </w:rPr>
                  <w:tab/>
                </w:r>
                <w:r>
                  <w:rPr>
                    <w:noProof/>
                    <w:webHidden/>
                  </w:rPr>
                  <w:fldChar w:fldCharType="begin"/>
                </w:r>
                <w:r>
                  <w:rPr>
                    <w:noProof/>
                    <w:webHidden/>
                  </w:rPr>
                  <w:instrText xml:space="preserve"> PAGEREF _Toc112932730 \h </w:instrText>
                </w:r>
                <w:r>
                  <w:rPr>
                    <w:noProof/>
                    <w:webHidden/>
                  </w:rPr>
                </w:r>
                <w:r>
                  <w:rPr>
                    <w:noProof/>
                    <w:webHidden/>
                  </w:rPr>
                  <w:fldChar w:fldCharType="separate"/>
                </w:r>
                <w:r>
                  <w:rPr>
                    <w:noProof/>
                    <w:webHidden/>
                  </w:rPr>
                  <w:t>130</w:t>
                </w:r>
                <w:r>
                  <w:rPr>
                    <w:noProof/>
                    <w:webHidden/>
                  </w:rPr>
                  <w:fldChar w:fldCharType="end"/>
                </w:r>
              </w:hyperlink>
            </w:p>
            <w:p w14:paraId="317183CB" w14:textId="0A6B7FE1" w:rsidR="002503A9" w:rsidRDefault="002503A9">
              <w:pPr>
                <w:pStyle w:val="TOC3"/>
                <w:tabs>
                  <w:tab w:val="right" w:leader="dot" w:pos="9016"/>
                </w:tabs>
                <w:rPr>
                  <w:rFonts w:asciiTheme="minorHAnsi" w:eastAsiaTheme="minorEastAsia" w:hAnsiTheme="minorHAnsi" w:cstheme="minorBidi"/>
                  <w:noProof/>
                  <w:lang w:val="en-US"/>
                </w:rPr>
              </w:pPr>
              <w:hyperlink w:anchor="_Toc112932731" w:history="1">
                <w:r w:rsidRPr="006B13B6">
                  <w:rPr>
                    <w:rStyle w:val="Hyperlink"/>
                    <w:b/>
                    <w:noProof/>
                    <w:lang w:val="en-GB"/>
                  </w:rPr>
                  <w:t>Access to education for Roma</w:t>
                </w:r>
                <w:r>
                  <w:rPr>
                    <w:noProof/>
                    <w:webHidden/>
                  </w:rPr>
                  <w:tab/>
                </w:r>
                <w:r>
                  <w:rPr>
                    <w:noProof/>
                    <w:webHidden/>
                  </w:rPr>
                  <w:fldChar w:fldCharType="begin"/>
                </w:r>
                <w:r>
                  <w:rPr>
                    <w:noProof/>
                    <w:webHidden/>
                  </w:rPr>
                  <w:instrText xml:space="preserve"> PAGEREF _Toc112932731 \h </w:instrText>
                </w:r>
                <w:r>
                  <w:rPr>
                    <w:noProof/>
                    <w:webHidden/>
                  </w:rPr>
                </w:r>
                <w:r>
                  <w:rPr>
                    <w:noProof/>
                    <w:webHidden/>
                  </w:rPr>
                  <w:fldChar w:fldCharType="separate"/>
                </w:r>
                <w:r>
                  <w:rPr>
                    <w:noProof/>
                    <w:webHidden/>
                  </w:rPr>
                  <w:t>131</w:t>
                </w:r>
                <w:r>
                  <w:rPr>
                    <w:noProof/>
                    <w:webHidden/>
                  </w:rPr>
                  <w:fldChar w:fldCharType="end"/>
                </w:r>
              </w:hyperlink>
            </w:p>
            <w:p w14:paraId="6AD9DD1B" w14:textId="7AD55EB8" w:rsidR="002503A9" w:rsidRDefault="002503A9">
              <w:pPr>
                <w:pStyle w:val="TOC2"/>
                <w:tabs>
                  <w:tab w:val="right" w:leader="dot" w:pos="9016"/>
                </w:tabs>
                <w:rPr>
                  <w:rFonts w:asciiTheme="minorHAnsi" w:eastAsiaTheme="minorEastAsia" w:hAnsiTheme="minorHAnsi" w:cstheme="minorBidi"/>
                  <w:noProof/>
                  <w:lang w:val="en-US"/>
                </w:rPr>
              </w:pPr>
              <w:hyperlink w:anchor="_Toc112932732" w:history="1">
                <w:r w:rsidRPr="006B13B6">
                  <w:rPr>
                    <w:rStyle w:val="Hyperlink"/>
                    <w:b/>
                    <w:noProof/>
                    <w:lang w:val="en-GB"/>
                  </w:rPr>
                  <w:t>Article 14 of the Framework Convention</w:t>
                </w:r>
                <w:r>
                  <w:rPr>
                    <w:noProof/>
                    <w:webHidden/>
                  </w:rPr>
                  <w:tab/>
                </w:r>
                <w:r>
                  <w:rPr>
                    <w:noProof/>
                    <w:webHidden/>
                  </w:rPr>
                  <w:fldChar w:fldCharType="begin"/>
                </w:r>
                <w:r>
                  <w:rPr>
                    <w:noProof/>
                    <w:webHidden/>
                  </w:rPr>
                  <w:instrText xml:space="preserve"> PAGEREF _Toc112932732 \h </w:instrText>
                </w:r>
                <w:r>
                  <w:rPr>
                    <w:noProof/>
                    <w:webHidden/>
                  </w:rPr>
                </w:r>
                <w:r>
                  <w:rPr>
                    <w:noProof/>
                    <w:webHidden/>
                  </w:rPr>
                  <w:fldChar w:fldCharType="separate"/>
                </w:r>
                <w:r>
                  <w:rPr>
                    <w:noProof/>
                    <w:webHidden/>
                  </w:rPr>
                  <w:t>133</w:t>
                </w:r>
                <w:r>
                  <w:rPr>
                    <w:noProof/>
                    <w:webHidden/>
                  </w:rPr>
                  <w:fldChar w:fldCharType="end"/>
                </w:r>
              </w:hyperlink>
            </w:p>
            <w:p w14:paraId="43045742" w14:textId="4870AD19" w:rsidR="002503A9" w:rsidRDefault="002503A9">
              <w:pPr>
                <w:pStyle w:val="TOC3"/>
                <w:tabs>
                  <w:tab w:val="right" w:leader="dot" w:pos="9016"/>
                </w:tabs>
                <w:rPr>
                  <w:rFonts w:asciiTheme="minorHAnsi" w:eastAsiaTheme="minorEastAsia" w:hAnsiTheme="minorHAnsi" w:cstheme="minorBidi"/>
                  <w:noProof/>
                  <w:lang w:val="en-US"/>
                </w:rPr>
              </w:pPr>
              <w:hyperlink w:anchor="_Toc112932733" w:history="1">
                <w:r w:rsidRPr="006B13B6">
                  <w:rPr>
                    <w:rStyle w:val="Hyperlink"/>
                    <w:b/>
                    <w:noProof/>
                    <w:lang w:val="en-GB"/>
                  </w:rPr>
                  <w:t>Teaching in minority languages and minority language teaching, including teaching materials</w:t>
                </w:r>
                <w:r>
                  <w:rPr>
                    <w:noProof/>
                    <w:webHidden/>
                  </w:rPr>
                  <w:tab/>
                </w:r>
                <w:r>
                  <w:rPr>
                    <w:noProof/>
                    <w:webHidden/>
                  </w:rPr>
                  <w:fldChar w:fldCharType="begin"/>
                </w:r>
                <w:r>
                  <w:rPr>
                    <w:noProof/>
                    <w:webHidden/>
                  </w:rPr>
                  <w:instrText xml:space="preserve"> PAGEREF _Toc112932733 \h </w:instrText>
                </w:r>
                <w:r>
                  <w:rPr>
                    <w:noProof/>
                    <w:webHidden/>
                  </w:rPr>
                </w:r>
                <w:r>
                  <w:rPr>
                    <w:noProof/>
                    <w:webHidden/>
                  </w:rPr>
                  <w:fldChar w:fldCharType="separate"/>
                </w:r>
                <w:r>
                  <w:rPr>
                    <w:noProof/>
                    <w:webHidden/>
                  </w:rPr>
                  <w:t>133</w:t>
                </w:r>
                <w:r>
                  <w:rPr>
                    <w:noProof/>
                    <w:webHidden/>
                  </w:rPr>
                  <w:fldChar w:fldCharType="end"/>
                </w:r>
              </w:hyperlink>
            </w:p>
            <w:p w14:paraId="189461F6" w14:textId="506D9562" w:rsidR="002503A9" w:rsidRDefault="002503A9">
              <w:pPr>
                <w:pStyle w:val="TOC2"/>
                <w:tabs>
                  <w:tab w:val="right" w:leader="dot" w:pos="9016"/>
                </w:tabs>
                <w:rPr>
                  <w:rFonts w:asciiTheme="minorHAnsi" w:eastAsiaTheme="minorEastAsia" w:hAnsiTheme="minorHAnsi" w:cstheme="minorBidi"/>
                  <w:noProof/>
                  <w:lang w:val="en-US"/>
                </w:rPr>
              </w:pPr>
              <w:hyperlink w:anchor="_Toc112932734" w:history="1">
                <w:r w:rsidRPr="006B13B6">
                  <w:rPr>
                    <w:rStyle w:val="Hyperlink"/>
                    <w:b/>
                    <w:noProof/>
                    <w:lang w:val="en-GB"/>
                  </w:rPr>
                  <w:t>Article 15 of the Framework Convention</w:t>
                </w:r>
                <w:r>
                  <w:rPr>
                    <w:noProof/>
                    <w:webHidden/>
                  </w:rPr>
                  <w:tab/>
                </w:r>
                <w:r>
                  <w:rPr>
                    <w:noProof/>
                    <w:webHidden/>
                  </w:rPr>
                  <w:fldChar w:fldCharType="begin"/>
                </w:r>
                <w:r>
                  <w:rPr>
                    <w:noProof/>
                    <w:webHidden/>
                  </w:rPr>
                  <w:instrText xml:space="preserve"> PAGEREF _Toc112932734 \h </w:instrText>
                </w:r>
                <w:r>
                  <w:rPr>
                    <w:noProof/>
                    <w:webHidden/>
                  </w:rPr>
                </w:r>
                <w:r>
                  <w:rPr>
                    <w:noProof/>
                    <w:webHidden/>
                  </w:rPr>
                  <w:fldChar w:fldCharType="separate"/>
                </w:r>
                <w:r>
                  <w:rPr>
                    <w:noProof/>
                    <w:webHidden/>
                  </w:rPr>
                  <w:t>135</w:t>
                </w:r>
                <w:r>
                  <w:rPr>
                    <w:noProof/>
                    <w:webHidden/>
                  </w:rPr>
                  <w:fldChar w:fldCharType="end"/>
                </w:r>
              </w:hyperlink>
            </w:p>
            <w:p w14:paraId="0F7ECBD3" w14:textId="56C82A02" w:rsidR="002503A9" w:rsidRDefault="002503A9">
              <w:pPr>
                <w:pStyle w:val="TOC3"/>
                <w:tabs>
                  <w:tab w:val="right" w:leader="dot" w:pos="9016"/>
                </w:tabs>
                <w:rPr>
                  <w:rFonts w:asciiTheme="minorHAnsi" w:eastAsiaTheme="minorEastAsia" w:hAnsiTheme="minorHAnsi" w:cstheme="minorBidi"/>
                  <w:noProof/>
                  <w:lang w:val="en-US"/>
                </w:rPr>
              </w:pPr>
              <w:hyperlink w:anchor="_Toc112932735" w:history="1">
                <w:r w:rsidRPr="006B13B6">
                  <w:rPr>
                    <w:rStyle w:val="Hyperlink"/>
                    <w:b/>
                    <w:noProof/>
                    <w:lang w:val="en-GB"/>
                  </w:rPr>
                  <w:t>Institutional framework for the participation of national minorities in the decision-making process</w:t>
                </w:r>
                <w:r>
                  <w:rPr>
                    <w:noProof/>
                    <w:webHidden/>
                  </w:rPr>
                  <w:tab/>
                </w:r>
                <w:r>
                  <w:rPr>
                    <w:noProof/>
                    <w:webHidden/>
                  </w:rPr>
                  <w:fldChar w:fldCharType="begin"/>
                </w:r>
                <w:r>
                  <w:rPr>
                    <w:noProof/>
                    <w:webHidden/>
                  </w:rPr>
                  <w:instrText xml:space="preserve"> PAGEREF _Toc112932735 \h </w:instrText>
                </w:r>
                <w:r>
                  <w:rPr>
                    <w:noProof/>
                    <w:webHidden/>
                  </w:rPr>
                </w:r>
                <w:r>
                  <w:rPr>
                    <w:noProof/>
                    <w:webHidden/>
                  </w:rPr>
                  <w:fldChar w:fldCharType="separate"/>
                </w:r>
                <w:r>
                  <w:rPr>
                    <w:noProof/>
                    <w:webHidden/>
                  </w:rPr>
                  <w:t>135</w:t>
                </w:r>
                <w:r>
                  <w:rPr>
                    <w:noProof/>
                    <w:webHidden/>
                  </w:rPr>
                  <w:fldChar w:fldCharType="end"/>
                </w:r>
              </w:hyperlink>
            </w:p>
            <w:p w14:paraId="0E5E0CA3" w14:textId="69E7BB49" w:rsidR="002503A9" w:rsidRDefault="002503A9">
              <w:pPr>
                <w:pStyle w:val="TOC3"/>
                <w:tabs>
                  <w:tab w:val="right" w:leader="dot" w:pos="9016"/>
                </w:tabs>
                <w:rPr>
                  <w:rFonts w:asciiTheme="minorHAnsi" w:eastAsiaTheme="minorEastAsia" w:hAnsiTheme="minorHAnsi" w:cstheme="minorBidi"/>
                  <w:noProof/>
                  <w:lang w:val="en-US"/>
                </w:rPr>
              </w:pPr>
              <w:hyperlink w:anchor="_Toc112932736" w:history="1">
                <w:r w:rsidRPr="006B13B6">
                  <w:rPr>
                    <w:rStyle w:val="Hyperlink"/>
                    <w:b/>
                    <w:noProof/>
                    <w:lang w:val="en-GB"/>
                  </w:rPr>
                  <w:t>Representation of national minorities in elected bodies and participation in public affairs</w:t>
                </w:r>
                <w:r>
                  <w:rPr>
                    <w:noProof/>
                    <w:webHidden/>
                  </w:rPr>
                  <w:tab/>
                </w:r>
                <w:r>
                  <w:rPr>
                    <w:noProof/>
                    <w:webHidden/>
                  </w:rPr>
                  <w:fldChar w:fldCharType="begin"/>
                </w:r>
                <w:r>
                  <w:rPr>
                    <w:noProof/>
                    <w:webHidden/>
                  </w:rPr>
                  <w:instrText xml:space="preserve"> PAGEREF _Toc112932736 \h </w:instrText>
                </w:r>
                <w:r>
                  <w:rPr>
                    <w:noProof/>
                    <w:webHidden/>
                  </w:rPr>
                </w:r>
                <w:r>
                  <w:rPr>
                    <w:noProof/>
                    <w:webHidden/>
                  </w:rPr>
                  <w:fldChar w:fldCharType="separate"/>
                </w:r>
                <w:r>
                  <w:rPr>
                    <w:noProof/>
                    <w:webHidden/>
                  </w:rPr>
                  <w:t>137</w:t>
                </w:r>
                <w:r>
                  <w:rPr>
                    <w:noProof/>
                    <w:webHidden/>
                  </w:rPr>
                  <w:fldChar w:fldCharType="end"/>
                </w:r>
              </w:hyperlink>
            </w:p>
            <w:p w14:paraId="4917786B" w14:textId="21EEC828" w:rsidR="002503A9" w:rsidRDefault="002503A9">
              <w:pPr>
                <w:pStyle w:val="TOC3"/>
                <w:tabs>
                  <w:tab w:val="right" w:leader="dot" w:pos="9016"/>
                </w:tabs>
                <w:rPr>
                  <w:rFonts w:asciiTheme="minorHAnsi" w:eastAsiaTheme="minorEastAsia" w:hAnsiTheme="minorHAnsi" w:cstheme="minorBidi"/>
                  <w:noProof/>
                  <w:lang w:val="en-US"/>
                </w:rPr>
              </w:pPr>
              <w:hyperlink w:anchor="_Toc112932737" w:history="1">
                <w:r w:rsidRPr="006B13B6">
                  <w:rPr>
                    <w:rStyle w:val="Hyperlink"/>
                    <w:b/>
                    <w:noProof/>
                    <w:lang w:val="en-GB"/>
                  </w:rPr>
                  <w:t>Representation of national minorities in public administration</w:t>
                </w:r>
                <w:r>
                  <w:rPr>
                    <w:noProof/>
                    <w:webHidden/>
                  </w:rPr>
                  <w:tab/>
                </w:r>
                <w:r>
                  <w:rPr>
                    <w:noProof/>
                    <w:webHidden/>
                  </w:rPr>
                  <w:fldChar w:fldCharType="begin"/>
                </w:r>
                <w:r>
                  <w:rPr>
                    <w:noProof/>
                    <w:webHidden/>
                  </w:rPr>
                  <w:instrText xml:space="preserve"> PAGEREF _Toc112932737 \h </w:instrText>
                </w:r>
                <w:r>
                  <w:rPr>
                    <w:noProof/>
                    <w:webHidden/>
                  </w:rPr>
                </w:r>
                <w:r>
                  <w:rPr>
                    <w:noProof/>
                    <w:webHidden/>
                  </w:rPr>
                  <w:fldChar w:fldCharType="separate"/>
                </w:r>
                <w:r>
                  <w:rPr>
                    <w:noProof/>
                    <w:webHidden/>
                  </w:rPr>
                  <w:t>143</w:t>
                </w:r>
                <w:r>
                  <w:rPr>
                    <w:noProof/>
                    <w:webHidden/>
                  </w:rPr>
                  <w:fldChar w:fldCharType="end"/>
                </w:r>
              </w:hyperlink>
            </w:p>
            <w:p w14:paraId="24738B59" w14:textId="23D05843" w:rsidR="002503A9" w:rsidRDefault="002503A9">
              <w:pPr>
                <w:pStyle w:val="TOC3"/>
                <w:tabs>
                  <w:tab w:val="right" w:leader="dot" w:pos="9016"/>
                </w:tabs>
                <w:rPr>
                  <w:rFonts w:asciiTheme="minorHAnsi" w:eastAsiaTheme="minorEastAsia" w:hAnsiTheme="minorHAnsi" w:cstheme="minorBidi"/>
                  <w:noProof/>
                  <w:lang w:val="en-US"/>
                </w:rPr>
              </w:pPr>
              <w:hyperlink w:anchor="_Toc112932738" w:history="1">
                <w:r w:rsidRPr="006B13B6">
                  <w:rPr>
                    <w:rStyle w:val="Hyperlink"/>
                    <w:b/>
                    <w:noProof/>
                    <w:lang w:val="en-GB"/>
                  </w:rPr>
                  <w:t>Participation in social and economic life</w:t>
                </w:r>
                <w:r>
                  <w:rPr>
                    <w:noProof/>
                    <w:webHidden/>
                  </w:rPr>
                  <w:tab/>
                </w:r>
                <w:r>
                  <w:rPr>
                    <w:noProof/>
                    <w:webHidden/>
                  </w:rPr>
                  <w:fldChar w:fldCharType="begin"/>
                </w:r>
                <w:r>
                  <w:rPr>
                    <w:noProof/>
                    <w:webHidden/>
                  </w:rPr>
                  <w:instrText xml:space="preserve"> PAGEREF _Toc112932738 \h </w:instrText>
                </w:r>
                <w:r>
                  <w:rPr>
                    <w:noProof/>
                    <w:webHidden/>
                  </w:rPr>
                </w:r>
                <w:r>
                  <w:rPr>
                    <w:noProof/>
                    <w:webHidden/>
                  </w:rPr>
                  <w:fldChar w:fldCharType="separate"/>
                </w:r>
                <w:r>
                  <w:rPr>
                    <w:noProof/>
                    <w:webHidden/>
                  </w:rPr>
                  <w:t>143</w:t>
                </w:r>
                <w:r>
                  <w:rPr>
                    <w:noProof/>
                    <w:webHidden/>
                  </w:rPr>
                  <w:fldChar w:fldCharType="end"/>
                </w:r>
              </w:hyperlink>
            </w:p>
            <w:p w14:paraId="7FB58D13" w14:textId="2E3CD619" w:rsidR="002503A9" w:rsidRDefault="002503A9">
              <w:pPr>
                <w:pStyle w:val="TOC2"/>
                <w:tabs>
                  <w:tab w:val="right" w:leader="dot" w:pos="9016"/>
                </w:tabs>
                <w:rPr>
                  <w:rFonts w:asciiTheme="minorHAnsi" w:eastAsiaTheme="minorEastAsia" w:hAnsiTheme="minorHAnsi" w:cstheme="minorBidi"/>
                  <w:noProof/>
                  <w:lang w:val="en-US"/>
                </w:rPr>
              </w:pPr>
              <w:hyperlink w:anchor="_Toc112932739" w:history="1">
                <w:r w:rsidRPr="006B13B6">
                  <w:rPr>
                    <w:rStyle w:val="Hyperlink"/>
                    <w:b/>
                    <w:noProof/>
                    <w:lang w:val="en-GB"/>
                  </w:rPr>
                  <w:t>Articles  17 and 18 of the Framework Convention</w:t>
                </w:r>
                <w:r>
                  <w:rPr>
                    <w:noProof/>
                    <w:webHidden/>
                  </w:rPr>
                  <w:tab/>
                </w:r>
                <w:r>
                  <w:rPr>
                    <w:noProof/>
                    <w:webHidden/>
                  </w:rPr>
                  <w:fldChar w:fldCharType="begin"/>
                </w:r>
                <w:r>
                  <w:rPr>
                    <w:noProof/>
                    <w:webHidden/>
                  </w:rPr>
                  <w:instrText xml:space="preserve"> PAGEREF _Toc112932739 \h </w:instrText>
                </w:r>
                <w:r>
                  <w:rPr>
                    <w:noProof/>
                    <w:webHidden/>
                  </w:rPr>
                </w:r>
                <w:r>
                  <w:rPr>
                    <w:noProof/>
                    <w:webHidden/>
                  </w:rPr>
                  <w:fldChar w:fldCharType="separate"/>
                </w:r>
                <w:r>
                  <w:rPr>
                    <w:noProof/>
                    <w:webHidden/>
                  </w:rPr>
                  <w:t>144</w:t>
                </w:r>
                <w:r>
                  <w:rPr>
                    <w:noProof/>
                    <w:webHidden/>
                  </w:rPr>
                  <w:fldChar w:fldCharType="end"/>
                </w:r>
              </w:hyperlink>
            </w:p>
            <w:p w14:paraId="72F2177F" w14:textId="0421A735" w:rsidR="002503A9" w:rsidRDefault="002503A9">
              <w:pPr>
                <w:pStyle w:val="TOC3"/>
                <w:tabs>
                  <w:tab w:val="right" w:leader="dot" w:pos="9016"/>
                </w:tabs>
                <w:rPr>
                  <w:rFonts w:asciiTheme="minorHAnsi" w:eastAsiaTheme="minorEastAsia" w:hAnsiTheme="minorHAnsi" w:cstheme="minorBidi"/>
                  <w:noProof/>
                  <w:lang w:val="en-US"/>
                </w:rPr>
              </w:pPr>
              <w:hyperlink w:anchor="_Toc112932740" w:history="1">
                <w:r w:rsidRPr="006B13B6">
                  <w:rPr>
                    <w:rStyle w:val="Hyperlink"/>
                    <w:b/>
                    <w:noProof/>
                    <w:lang w:val="en-GB"/>
                  </w:rPr>
                  <w:t>Bilateral agreements and regional cooperation</w:t>
                </w:r>
                <w:r>
                  <w:rPr>
                    <w:noProof/>
                    <w:webHidden/>
                  </w:rPr>
                  <w:tab/>
                </w:r>
                <w:r>
                  <w:rPr>
                    <w:noProof/>
                    <w:webHidden/>
                  </w:rPr>
                  <w:fldChar w:fldCharType="begin"/>
                </w:r>
                <w:r>
                  <w:rPr>
                    <w:noProof/>
                    <w:webHidden/>
                  </w:rPr>
                  <w:instrText xml:space="preserve"> PAGEREF _Toc112932740 \h </w:instrText>
                </w:r>
                <w:r>
                  <w:rPr>
                    <w:noProof/>
                    <w:webHidden/>
                  </w:rPr>
                </w:r>
                <w:r>
                  <w:rPr>
                    <w:noProof/>
                    <w:webHidden/>
                  </w:rPr>
                  <w:fldChar w:fldCharType="separate"/>
                </w:r>
                <w:r>
                  <w:rPr>
                    <w:noProof/>
                    <w:webHidden/>
                  </w:rPr>
                  <w:t>144</w:t>
                </w:r>
                <w:r>
                  <w:rPr>
                    <w:noProof/>
                    <w:webHidden/>
                  </w:rPr>
                  <w:fldChar w:fldCharType="end"/>
                </w:r>
              </w:hyperlink>
            </w:p>
            <w:p w14:paraId="2B2A4107" w14:textId="038EFB01" w:rsidR="00550737" w:rsidRDefault="00550737" w:rsidP="00550737">
              <w:r>
                <w:rPr>
                  <w:b/>
                  <w:bCs/>
                  <w:noProof/>
                </w:rPr>
                <w:fldChar w:fldCharType="end"/>
              </w:r>
            </w:p>
          </w:sdtContent>
        </w:sdt>
        <w:p w14:paraId="0F0D7081" w14:textId="77777777" w:rsidR="00550737" w:rsidRDefault="00550737" w:rsidP="00550737">
          <w:pPr>
            <w:spacing w:after="160" w:line="259" w:lineRule="auto"/>
            <w:rPr>
              <w:rFonts w:eastAsia="Times New Roman"/>
              <w:b/>
              <w:sz w:val="24"/>
              <w:szCs w:val="24"/>
              <w:lang w:val="sr-Cyrl-CS"/>
            </w:rPr>
          </w:pPr>
          <w:r>
            <w:br w:type="page"/>
          </w:r>
        </w:p>
        <w:p w14:paraId="62719D88" w14:textId="77777777" w:rsidR="00296435" w:rsidRDefault="008227DC" w:rsidP="00296435">
          <w:pPr>
            <w:rPr>
              <w:b/>
              <w:bCs/>
              <w:noProof/>
              <w:lang w:val="en-GB"/>
            </w:rPr>
          </w:pPr>
        </w:p>
      </w:sdtContent>
    </w:sdt>
    <w:p w14:paraId="3DF258D7" w14:textId="2FF1986F" w:rsidR="00DC2FFD" w:rsidRPr="00DC2FFD" w:rsidRDefault="00DC2FFD" w:rsidP="00DC2FFD">
      <w:pPr>
        <w:keepNext/>
        <w:spacing w:after="0" w:line="240" w:lineRule="auto"/>
        <w:outlineLvl w:val="0"/>
        <w:rPr>
          <w:rFonts w:eastAsia="Times New Roman"/>
          <w:b/>
          <w:sz w:val="24"/>
          <w:szCs w:val="24"/>
          <w:lang w:val="en-GB"/>
        </w:rPr>
      </w:pPr>
      <w:bookmarkStart w:id="1" w:name="_Toc112932704"/>
      <w:r w:rsidRPr="00DC2FFD">
        <w:rPr>
          <w:rFonts w:eastAsia="Times New Roman"/>
          <w:b/>
          <w:sz w:val="24"/>
          <w:szCs w:val="24"/>
          <w:lang w:val="en-GB"/>
        </w:rPr>
        <w:t>I Introduction</w:t>
      </w:r>
      <w:bookmarkEnd w:id="0"/>
      <w:bookmarkEnd w:id="1"/>
    </w:p>
    <w:p w14:paraId="1546F9C3" w14:textId="77777777" w:rsidR="00DC2FFD" w:rsidRPr="00DC2FFD" w:rsidRDefault="00DC2FFD" w:rsidP="00DC2FFD">
      <w:pPr>
        <w:spacing w:after="0"/>
        <w:ind w:firstLine="720"/>
        <w:rPr>
          <w:sz w:val="24"/>
          <w:szCs w:val="24"/>
          <w:lang w:val="sr-Cyrl-RS"/>
        </w:rPr>
      </w:pPr>
    </w:p>
    <w:p w14:paraId="5EE87685" w14:textId="77777777" w:rsidR="00DC2FFD" w:rsidRPr="00DC2FFD" w:rsidRDefault="00DC2FFD" w:rsidP="00DC2FFD">
      <w:pPr>
        <w:spacing w:after="0"/>
        <w:ind w:firstLine="720"/>
        <w:jc w:val="both"/>
        <w:rPr>
          <w:sz w:val="24"/>
          <w:szCs w:val="24"/>
          <w:lang w:val="en-GB"/>
        </w:rPr>
      </w:pPr>
      <w:r w:rsidRPr="00DC2FFD">
        <w:rPr>
          <w:sz w:val="24"/>
          <w:lang w:val="en-GB"/>
        </w:rPr>
        <w:t>In accordance with Article 25 of the Framework Convention, the Republic of Serbia hereby submits its Fifth Interim Report on the implementation of the Framework Convention for the Protection of National Minorities, for the period from 2017 to 2021, developed on the basis of the State Report Framework, which is to be submitted in the fifth monitoring cycle, adopted by the Advisory Committee at its 64th plenary session in March 2019.</w:t>
      </w:r>
    </w:p>
    <w:p w14:paraId="1717AD80" w14:textId="77777777" w:rsidR="00DC2FFD" w:rsidRPr="00DC2FFD" w:rsidRDefault="00DC2FFD" w:rsidP="00DC2FFD">
      <w:pPr>
        <w:spacing w:after="0"/>
        <w:ind w:firstLine="720"/>
        <w:jc w:val="both"/>
        <w:rPr>
          <w:sz w:val="24"/>
          <w:szCs w:val="24"/>
          <w:lang w:val="en-GB"/>
        </w:rPr>
      </w:pPr>
      <w:r w:rsidRPr="00DC2FFD">
        <w:rPr>
          <w:sz w:val="24"/>
          <w:lang w:val="en-GB"/>
        </w:rPr>
        <w:t xml:space="preserve">The Fifth Report on the implementation of the Framework Convention was prepared by the Ministry of Human and Minority Rights and Social Dialogue, and the following state authorities participated in its development: Ministry of Education, Science and Technological Development. Ministry of Interior, Ministry of Economy, Ministry of Public Administration and Local Self-Government,  Ministry of Culture and Information, Ministry of Labour, Employment, Veteran and Social Affairs, Ministry of Construction, Transport and Infrastructure, Ministry of Justice, Ministry of Health, Ministry of European Integration, Administration for Cooperation with Churches and Religious Communities within the Ministry of Justice, Government of Serbia Coordination Body for the Municipalities of </w:t>
      </w:r>
      <w:proofErr w:type="spellStart"/>
      <w:r w:rsidRPr="00DC2FFD">
        <w:rPr>
          <w:sz w:val="24"/>
          <w:lang w:val="en-GB"/>
        </w:rPr>
        <w:t>Preševo</w:t>
      </w:r>
      <w:proofErr w:type="spellEnd"/>
      <w:r w:rsidRPr="00DC2FFD">
        <w:rPr>
          <w:sz w:val="24"/>
          <w:lang w:val="en-GB"/>
        </w:rPr>
        <w:t xml:space="preserve">, </w:t>
      </w:r>
      <w:proofErr w:type="spellStart"/>
      <w:r w:rsidRPr="00DC2FFD">
        <w:rPr>
          <w:sz w:val="24"/>
          <w:lang w:val="en-GB"/>
        </w:rPr>
        <w:t>Bujanovac</w:t>
      </w:r>
      <w:proofErr w:type="spellEnd"/>
      <w:r w:rsidRPr="00DC2FFD">
        <w:rPr>
          <w:sz w:val="24"/>
          <w:lang w:val="en-GB"/>
        </w:rPr>
        <w:t xml:space="preserve"> and </w:t>
      </w:r>
      <w:proofErr w:type="spellStart"/>
      <w:r w:rsidRPr="00DC2FFD">
        <w:rPr>
          <w:sz w:val="24"/>
          <w:lang w:val="en-GB"/>
        </w:rPr>
        <w:t>Medvedja</w:t>
      </w:r>
      <w:proofErr w:type="spellEnd"/>
      <w:r w:rsidRPr="00DC2FFD">
        <w:rPr>
          <w:sz w:val="24"/>
          <w:lang w:val="en-GB"/>
        </w:rPr>
        <w:t xml:space="preserve"> - CB's Office, Statistical Office of the Republic of Serbia, General Secretariat of the National Assembly, Human Resource Management Service, Central Registry of Compulsory Social Security, National Employment Service, and bodies and organisations of the Autonomous Province of </w:t>
      </w:r>
      <w:proofErr w:type="spellStart"/>
      <w:r w:rsidRPr="00DC2FFD">
        <w:rPr>
          <w:sz w:val="24"/>
          <w:lang w:val="en-GB"/>
        </w:rPr>
        <w:t>Vojvodina</w:t>
      </w:r>
      <w:proofErr w:type="spellEnd"/>
      <w:r w:rsidRPr="00DC2FFD">
        <w:rPr>
          <w:sz w:val="24"/>
          <w:lang w:val="en-GB"/>
        </w:rPr>
        <w:t xml:space="preserve">: </w:t>
      </w:r>
      <w:r w:rsidRPr="00DC2FFD">
        <w:rPr>
          <w:lang w:val="en-GB"/>
        </w:rPr>
        <w:t xml:space="preserve">Expert Service of the Assembly of the Autonomous Province of </w:t>
      </w:r>
      <w:proofErr w:type="spellStart"/>
      <w:r w:rsidRPr="00DC2FFD">
        <w:rPr>
          <w:lang w:val="en-GB"/>
        </w:rPr>
        <w:t>Vojvodina</w:t>
      </w:r>
      <w:proofErr w:type="spellEnd"/>
      <w:r w:rsidRPr="00DC2FFD">
        <w:rPr>
          <w:lang w:val="en-GB"/>
        </w:rPr>
        <w:t>, Provincial Secretariat for Culture, Public Information and Relations with Religious Communities, Provincial Secretariat for Education, Regulations, Administration and National Minorities/National Communities, and Provincial Secretariat for Social Policy, Demography and Gender Equality.</w:t>
      </w:r>
    </w:p>
    <w:p w14:paraId="0267D189" w14:textId="77777777" w:rsidR="00DC2FFD" w:rsidRPr="00DC2FFD" w:rsidRDefault="00DC2FFD" w:rsidP="00DC2FFD">
      <w:pPr>
        <w:spacing w:after="0"/>
        <w:ind w:firstLine="720"/>
        <w:jc w:val="both"/>
        <w:rPr>
          <w:sz w:val="24"/>
          <w:szCs w:val="24"/>
          <w:lang w:val="en-GB"/>
        </w:rPr>
      </w:pPr>
      <w:r w:rsidRPr="00DC2FFD">
        <w:rPr>
          <w:sz w:val="24"/>
          <w:lang w:val="en-GB"/>
        </w:rPr>
        <w:t>The following independent state bodies and organisations also gave their contribution to the development of the Fifth Report on the implementation of the Framework Convention: Protector of Citizens, Commissioner for the Protection of Equality, Regulatory Authority of Electronic Media, Chamber of Commerce and Industry of Serbia, and Development Agency of Serbia.</w:t>
      </w:r>
    </w:p>
    <w:p w14:paraId="63DE1390" w14:textId="77777777" w:rsidR="00DC2FFD" w:rsidRPr="00DC2FFD" w:rsidRDefault="00DC2FFD" w:rsidP="00DC2FFD">
      <w:pPr>
        <w:spacing w:after="0"/>
        <w:ind w:firstLine="720"/>
        <w:jc w:val="both"/>
        <w:rPr>
          <w:sz w:val="24"/>
          <w:szCs w:val="24"/>
          <w:lang w:val="en-GB"/>
        </w:rPr>
      </w:pPr>
      <w:r w:rsidRPr="00DC2FFD">
        <w:rPr>
          <w:sz w:val="24"/>
          <w:lang w:val="en-GB"/>
        </w:rPr>
        <w:t xml:space="preserve">Amounts of the financial contribution of public authorities on all levels which were used in tables of this Report are expressed in dinars, unless otherwise stated. </w:t>
      </w:r>
    </w:p>
    <w:p w14:paraId="59A16E41" w14:textId="77777777" w:rsidR="00DC2FFD" w:rsidRPr="00DC2FFD" w:rsidRDefault="00DC2FFD" w:rsidP="00DC2FFD">
      <w:pPr>
        <w:spacing w:after="0"/>
        <w:ind w:firstLine="720"/>
        <w:jc w:val="both"/>
        <w:rPr>
          <w:sz w:val="24"/>
          <w:szCs w:val="24"/>
          <w:lang w:val="en-GB"/>
        </w:rPr>
      </w:pPr>
      <w:r w:rsidRPr="00DC2FFD">
        <w:rPr>
          <w:sz w:val="24"/>
          <w:lang w:val="en-GB"/>
        </w:rPr>
        <w:t>All the terms in this report which are used in masculine grammatical gender cover both masculine and feminine gender of the persons they refer to.</w:t>
      </w:r>
    </w:p>
    <w:p w14:paraId="210F9685" w14:textId="77777777" w:rsidR="00DC2FFD" w:rsidRPr="00DC2FFD" w:rsidRDefault="00DC2FFD" w:rsidP="00DC2FFD">
      <w:pPr>
        <w:spacing w:after="0"/>
        <w:rPr>
          <w:b/>
          <w:sz w:val="24"/>
          <w:szCs w:val="24"/>
          <w:lang w:val="sr-Cyrl-RS"/>
        </w:rPr>
      </w:pPr>
    </w:p>
    <w:p w14:paraId="6E0E3D29" w14:textId="77777777" w:rsidR="00DC2FFD" w:rsidRPr="00DC2FFD" w:rsidRDefault="00DC2FFD" w:rsidP="00DC2FFD">
      <w:pPr>
        <w:keepNext/>
        <w:spacing w:after="0" w:line="240" w:lineRule="auto"/>
        <w:outlineLvl w:val="0"/>
        <w:rPr>
          <w:rFonts w:eastAsia="Times New Roman"/>
          <w:b/>
          <w:sz w:val="24"/>
          <w:szCs w:val="24"/>
          <w:lang w:val="en-GB"/>
        </w:rPr>
      </w:pPr>
      <w:r w:rsidRPr="00DC2FFD">
        <w:rPr>
          <w:rFonts w:eastAsia="Times New Roman"/>
          <w:b/>
          <w:sz w:val="24"/>
          <w:szCs w:val="24"/>
          <w:lang w:val="en-GB"/>
        </w:rPr>
        <w:br w:type="page"/>
      </w:r>
      <w:bookmarkStart w:id="2" w:name="_Toc524610213"/>
      <w:bookmarkStart w:id="3" w:name="_Toc112932705"/>
      <w:r w:rsidRPr="00DC2FFD">
        <w:rPr>
          <w:rFonts w:eastAsia="Times New Roman"/>
          <w:b/>
          <w:sz w:val="24"/>
          <w:szCs w:val="24"/>
          <w:lang w:val="en-GB"/>
        </w:rPr>
        <w:lastRenderedPageBreak/>
        <w:t xml:space="preserve">II. </w:t>
      </w:r>
      <w:bookmarkEnd w:id="2"/>
      <w:r w:rsidRPr="00DC2FFD">
        <w:rPr>
          <w:rFonts w:eastAsia="Times New Roman"/>
          <w:b/>
          <w:sz w:val="24"/>
          <w:szCs w:val="24"/>
          <w:lang w:val="en-GB"/>
        </w:rPr>
        <w:t>Practical arrangements made at the national level for raising awareness on the results of the fourth monitoring cycle and the Framework Convention</w:t>
      </w:r>
      <w:bookmarkEnd w:id="3"/>
    </w:p>
    <w:p w14:paraId="334D4DB9" w14:textId="77777777" w:rsidR="00DC2FFD" w:rsidRPr="00DC2FFD" w:rsidRDefault="00DC2FFD" w:rsidP="00DC2FFD">
      <w:pPr>
        <w:spacing w:after="0"/>
        <w:rPr>
          <w:lang w:val="sr-Cyrl-CS"/>
        </w:rPr>
      </w:pPr>
    </w:p>
    <w:p w14:paraId="37AB878D" w14:textId="77777777" w:rsidR="00DC2FFD" w:rsidRPr="00DC2FFD" w:rsidRDefault="00DC2FFD" w:rsidP="00DC2FFD">
      <w:pPr>
        <w:numPr>
          <w:ilvl w:val="2"/>
          <w:numId w:val="1"/>
        </w:numPr>
        <w:tabs>
          <w:tab w:val="left" w:pos="750"/>
        </w:tabs>
        <w:spacing w:after="0"/>
        <w:ind w:left="740" w:right="20" w:hanging="720"/>
        <w:jc w:val="both"/>
        <w:rPr>
          <w:rFonts w:eastAsia="Times New Roman"/>
          <w:color w:val="000000"/>
          <w:sz w:val="24"/>
          <w:szCs w:val="24"/>
          <w:lang w:val="en-GB"/>
        </w:rPr>
      </w:pPr>
      <w:r w:rsidRPr="00DC2FFD">
        <w:rPr>
          <w:rFonts w:eastAsia="Times New Roman"/>
          <w:i/>
          <w:color w:val="000000"/>
          <w:sz w:val="24"/>
          <w:lang w:val="en-GB"/>
        </w:rPr>
        <w:t>Steps undertaken for publishing the results of the fourth monitoring cycle (Opinion, comments by the state, Resolution): Publication, distribution and translation in the official language(s) and minority languages as appropriate.</w:t>
      </w:r>
    </w:p>
    <w:p w14:paraId="4A7C01CA" w14:textId="77777777" w:rsidR="00DC2FFD" w:rsidRPr="00DC2FFD" w:rsidRDefault="00DC2FFD" w:rsidP="00DC2FFD">
      <w:pPr>
        <w:spacing w:after="0"/>
        <w:rPr>
          <w:sz w:val="24"/>
          <w:szCs w:val="24"/>
          <w:lang w:val="sr-Cyrl-RS"/>
        </w:rPr>
      </w:pPr>
    </w:p>
    <w:p w14:paraId="125D8CDC" w14:textId="77777777" w:rsidR="00DC2FFD" w:rsidRPr="00DC2FFD" w:rsidRDefault="00DC2FFD" w:rsidP="00DC2FFD">
      <w:pPr>
        <w:spacing w:after="0"/>
        <w:ind w:firstLine="720"/>
        <w:jc w:val="both"/>
        <w:rPr>
          <w:sz w:val="24"/>
          <w:szCs w:val="24"/>
          <w:lang w:val="en-GB"/>
        </w:rPr>
      </w:pPr>
      <w:r w:rsidRPr="00DC2FFD">
        <w:rPr>
          <w:sz w:val="24"/>
          <w:lang w:val="en-GB"/>
        </w:rPr>
        <w:t>Development of state reports on the implementation of the Framework Convention, which serve as the basis for monitoring, as well as answers to further questions of the Advisory Committee and comments to the opinions of the Advisory Committee, shall be fully based on the principle of transparency. That commitment is reflected in the publication of all documents relating to the implementation of the Framework Convention.</w:t>
      </w:r>
    </w:p>
    <w:p w14:paraId="29F18BAC" w14:textId="77777777" w:rsidR="00DC2FFD" w:rsidRPr="00DC2FFD" w:rsidRDefault="00DC2FFD" w:rsidP="00DC2FFD">
      <w:pPr>
        <w:spacing w:after="0"/>
        <w:ind w:firstLine="720"/>
        <w:jc w:val="both"/>
        <w:rPr>
          <w:sz w:val="24"/>
          <w:szCs w:val="24"/>
          <w:lang w:val="en-GB"/>
        </w:rPr>
      </w:pPr>
      <w:r w:rsidRPr="00DC2FFD">
        <w:rPr>
          <w:sz w:val="24"/>
          <w:lang w:val="en-GB"/>
        </w:rPr>
        <w:t xml:space="preserve">The Fourth Report on the implementation of the Framework Convention was published on the website of the Ministry of Human and Minority Rights and Social Dialogue and is available to the public on the following website: </w:t>
      </w:r>
      <w:hyperlink r:id="rId8" w:history="1">
        <w:r w:rsidRPr="00DC2FFD">
          <w:rPr>
            <w:color w:val="0563C1" w:themeColor="hyperlink"/>
            <w:sz w:val="24"/>
            <w:u w:val="single"/>
            <w:lang w:val="en-GB"/>
          </w:rPr>
          <w:t>https://www.minljmpdd.gov.rs/multilateralni-ugovori.php</w:t>
        </w:r>
      </w:hyperlink>
      <w:r w:rsidRPr="00DC2FFD">
        <w:rPr>
          <w:sz w:val="24"/>
          <w:lang w:val="en-GB"/>
        </w:rPr>
        <w:t>. The same website published the results of the fourth monitoring cycle: Fourth Opinion of the Advisory Committee, Comments of the Republic of Serbia to that Opinion, and Committee of Ministers Resolution of the Council of Europe on the implementation of the Framework Convention in the Republic of Serbia. The findings of the Advisory Committee and the Committee of Ministers Resolution have been translated to Serbian:</w:t>
      </w:r>
    </w:p>
    <w:p w14:paraId="3287FE5B" w14:textId="77777777" w:rsidR="00DC2FFD" w:rsidRPr="00DC2FFD" w:rsidRDefault="00DC2FFD" w:rsidP="00DC2FFD">
      <w:pPr>
        <w:spacing w:after="0"/>
        <w:ind w:firstLine="720"/>
        <w:jc w:val="both"/>
        <w:rPr>
          <w:sz w:val="24"/>
          <w:szCs w:val="24"/>
          <w:lang w:val="en-GB"/>
        </w:rPr>
      </w:pPr>
      <w:r w:rsidRPr="00DC2FFD">
        <w:rPr>
          <w:sz w:val="24"/>
          <w:lang w:val="en-GB"/>
        </w:rPr>
        <w:t xml:space="preserve">Also available on the website re all documents from the previous reporting cycles, as well as thematic comments of the Advisory Committee of the Framework Convention, translated to Serbian. </w:t>
      </w:r>
    </w:p>
    <w:p w14:paraId="2635BDBB" w14:textId="77777777" w:rsidR="00DC2FFD" w:rsidRPr="00DC2FFD" w:rsidRDefault="00DC2FFD" w:rsidP="00DC2FFD">
      <w:pPr>
        <w:spacing w:after="0"/>
        <w:jc w:val="both"/>
        <w:rPr>
          <w:sz w:val="24"/>
          <w:szCs w:val="24"/>
          <w:lang w:val="sr-Cyrl-RS"/>
        </w:rPr>
      </w:pPr>
    </w:p>
    <w:p w14:paraId="76BC6C26" w14:textId="77777777" w:rsidR="00DC2FFD" w:rsidRPr="00DC2FFD" w:rsidRDefault="00DC2FFD" w:rsidP="00DC2FFD">
      <w:pPr>
        <w:numPr>
          <w:ilvl w:val="2"/>
          <w:numId w:val="1"/>
        </w:numPr>
        <w:tabs>
          <w:tab w:val="left" w:pos="745"/>
        </w:tabs>
        <w:spacing w:after="0"/>
        <w:ind w:left="740" w:right="20" w:hanging="720"/>
        <w:jc w:val="both"/>
        <w:rPr>
          <w:rFonts w:eastAsia="Times New Roman"/>
          <w:i/>
          <w:color w:val="000000"/>
          <w:sz w:val="24"/>
          <w:szCs w:val="24"/>
          <w:lang w:val="en-GB"/>
        </w:rPr>
      </w:pPr>
      <w:r w:rsidRPr="00DC2FFD">
        <w:rPr>
          <w:rFonts w:eastAsia="Times New Roman"/>
          <w:i/>
          <w:color w:val="000000"/>
          <w:sz w:val="24"/>
          <w:lang w:val="en-GB"/>
        </w:rPr>
        <w:t>All the accompanying activities organised at the national, regional and local levels, including activities organised together with the Council of Europe, such as discussions, seminars, evaluations, impact assessments, studies etc., as well as the results of these events.</w:t>
      </w:r>
    </w:p>
    <w:p w14:paraId="358DD701" w14:textId="77777777" w:rsidR="00DC2FFD" w:rsidRPr="00DC2FFD" w:rsidRDefault="00DC2FFD" w:rsidP="00DC2FFD">
      <w:pPr>
        <w:tabs>
          <w:tab w:val="left" w:pos="745"/>
        </w:tabs>
        <w:spacing w:after="0"/>
        <w:ind w:left="740" w:right="20"/>
        <w:jc w:val="both"/>
        <w:rPr>
          <w:rFonts w:eastAsia="Times New Roman"/>
          <w:i/>
          <w:color w:val="000000"/>
          <w:sz w:val="24"/>
          <w:szCs w:val="24"/>
          <w:lang w:val="en-GB"/>
        </w:rPr>
      </w:pPr>
    </w:p>
    <w:p w14:paraId="1D7E1C1B" w14:textId="77777777" w:rsidR="00DC2FFD" w:rsidRPr="00DC2FFD" w:rsidRDefault="00DC2FFD" w:rsidP="00DC2FFD">
      <w:pPr>
        <w:spacing w:after="0"/>
        <w:ind w:firstLine="720"/>
        <w:jc w:val="both"/>
        <w:rPr>
          <w:sz w:val="24"/>
          <w:szCs w:val="24"/>
          <w:lang w:val="en-GB"/>
        </w:rPr>
      </w:pPr>
      <w:r w:rsidRPr="00DC2FFD">
        <w:rPr>
          <w:sz w:val="24"/>
          <w:lang w:val="en-GB"/>
        </w:rPr>
        <w:t xml:space="preserve">The follow-up seminar on the implementation of the Framework Convention for the Protection of National Minorities of the Council of Europe was held on 16 June 2021 in Belgrade, </w:t>
      </w:r>
      <w:proofErr w:type="gramStart"/>
      <w:r w:rsidRPr="00DC2FFD">
        <w:rPr>
          <w:sz w:val="24"/>
          <w:lang w:val="en-GB"/>
        </w:rPr>
        <w:t>The</w:t>
      </w:r>
      <w:proofErr w:type="gramEnd"/>
      <w:r w:rsidRPr="00DC2FFD">
        <w:rPr>
          <w:sz w:val="24"/>
          <w:lang w:val="en-GB"/>
        </w:rPr>
        <w:t xml:space="preserve"> seminar was held as a part of an inclusive process. In addition to the representatives of the Advisory Committee of the Framework Convention and relevant state authorities, attendees included representatives of national councils of national minorities and civil society organisations. The goal of the seminar was to provide a platform for the dialogue between the Advisory Committee and relevant stakeholders in the Republic of Serbia, in order to discuss recommendations and establish the most efficient ways of their practical application. As a part of the seminar, appropriate materials were distributed to all participants. </w:t>
      </w:r>
    </w:p>
    <w:p w14:paraId="0A08EA04" w14:textId="77777777" w:rsidR="00DC2FFD" w:rsidRPr="00DC2FFD" w:rsidRDefault="00DC2FFD" w:rsidP="00DC2FFD">
      <w:pPr>
        <w:spacing w:after="0"/>
        <w:ind w:firstLine="720"/>
        <w:jc w:val="both"/>
        <w:rPr>
          <w:sz w:val="24"/>
          <w:szCs w:val="24"/>
          <w:lang w:val="en-GB"/>
        </w:rPr>
      </w:pPr>
      <w:r w:rsidRPr="00DC2FFD">
        <w:rPr>
          <w:sz w:val="24"/>
          <w:lang w:val="en-GB"/>
        </w:rPr>
        <w:t>Representatives of the Advisory Committee of the Framework Convention presented recommendations from the fourth monitoring cycle which the Council of Europe had given to Serbia relating to the implementation of the Framework Convention, while representatives of relevant state authorities presented activities which had been undertaken for the purpose of fulfilling the recommendations.</w:t>
      </w:r>
    </w:p>
    <w:p w14:paraId="13064365" w14:textId="77777777" w:rsidR="00DC2FFD" w:rsidRPr="00DC2FFD" w:rsidRDefault="00DC2FFD" w:rsidP="00DC2FFD">
      <w:pPr>
        <w:spacing w:after="0"/>
        <w:ind w:firstLine="720"/>
        <w:jc w:val="both"/>
        <w:rPr>
          <w:sz w:val="24"/>
          <w:szCs w:val="24"/>
          <w:lang w:val="en-GB"/>
        </w:rPr>
      </w:pPr>
      <w:r w:rsidRPr="00DC2FFD">
        <w:rPr>
          <w:sz w:val="24"/>
          <w:lang w:val="en-GB"/>
        </w:rPr>
        <w:lastRenderedPageBreak/>
        <w:t>At the seminar, it was concluded that the recommendations of the Advisory Committee for the Republic of Serbia were the foundation for undertaking activities for improving human and minority rights, as well as for the EU accession process, and that the European Union and the Council of Europe remained committed partners to the authorities of the Republic of Serbia in this process.</w:t>
      </w:r>
    </w:p>
    <w:p w14:paraId="7254260C" w14:textId="77777777" w:rsidR="00DC2FFD" w:rsidRPr="00DC2FFD" w:rsidRDefault="00DC2FFD" w:rsidP="00DC2FFD">
      <w:pPr>
        <w:spacing w:after="0"/>
        <w:ind w:firstLine="720"/>
        <w:jc w:val="both"/>
        <w:rPr>
          <w:sz w:val="24"/>
          <w:szCs w:val="24"/>
          <w:lang w:val="en-GB"/>
        </w:rPr>
      </w:pPr>
      <w:r w:rsidRPr="00DC2FFD">
        <w:rPr>
          <w:sz w:val="24"/>
          <w:lang w:val="en-GB"/>
        </w:rPr>
        <w:t>In accordance with the conclusions from the seminar, the Ministry of Human and Minority Rights and Social Dialogue, after collecting data from the competent authorities, officially informed the Advisory Committee on activities undertaken for the purpose of fulfilling the recommendations, which will be further discussed in the appropriate parts of this report.</w:t>
      </w:r>
    </w:p>
    <w:p w14:paraId="21448895" w14:textId="77777777" w:rsidR="00DC2FFD" w:rsidRPr="00DC2FFD" w:rsidRDefault="00DC2FFD" w:rsidP="00DC2FFD">
      <w:pPr>
        <w:spacing w:after="0"/>
        <w:ind w:firstLine="720"/>
        <w:jc w:val="both"/>
        <w:rPr>
          <w:sz w:val="24"/>
          <w:szCs w:val="24"/>
          <w:lang w:val="en-GB"/>
        </w:rPr>
      </w:pPr>
      <w:r w:rsidRPr="00DC2FFD">
        <w:rPr>
          <w:sz w:val="24"/>
          <w:lang w:val="en-GB"/>
        </w:rPr>
        <w:t xml:space="preserve">In addition to the above, it is important to note that the Republic of Serbia participates in the project </w:t>
      </w:r>
      <w:r w:rsidRPr="00DC2FFD">
        <w:rPr>
          <w:i/>
          <w:iCs/>
          <w:sz w:val="24"/>
          <w:lang w:val="en-GB"/>
        </w:rPr>
        <w:t>Promotion of Diversity and Equality in Serbia</w:t>
      </w:r>
      <w:r w:rsidRPr="00DC2FFD">
        <w:rPr>
          <w:sz w:val="24"/>
          <w:lang w:val="en-GB"/>
        </w:rPr>
        <w:t>, which is a part of the joint programme of the European Union/Council of Europe “Horizontal Facility for the Western Balkans and Turkey 2019-2022” (phase 2). The objective of the project is strengthening the capacities of national and local actors for the purpose of better resolution of matters relating to combating discrimination, hate speech and protection of the rights of national minorities and LGBTI persons, in accordance with the standards and recommendations established by the Council of Europe, particularly those from the Framework Convention for the Protection of National Minorities, European Charter of the Council of Europe for Regional or Minority Languages. and the European Commission against Racism and Intolerance. The project is also aimed at supporting Serbia in negotiations on the European Union accession as regards fundamental rights. The project included realisation of certain activities aimed at creating conditions for fulfilment of recommendations by competent authorities of the Council of Europe in the process of monitoring the Framework Convention and the European Charter of the Council of Europe for Regional or Minority Languages.</w:t>
      </w:r>
    </w:p>
    <w:p w14:paraId="5D387719" w14:textId="77777777" w:rsidR="00DC2FFD" w:rsidRPr="00DC2FFD" w:rsidRDefault="00DC2FFD" w:rsidP="00DC2FFD">
      <w:pPr>
        <w:spacing w:after="0"/>
        <w:ind w:firstLine="720"/>
        <w:jc w:val="both"/>
        <w:rPr>
          <w:sz w:val="24"/>
          <w:szCs w:val="24"/>
          <w:lang w:val="en-GB"/>
        </w:rPr>
      </w:pPr>
      <w:r w:rsidRPr="00DC2FFD">
        <w:rPr>
          <w:sz w:val="24"/>
          <w:lang w:val="en-GB"/>
        </w:rPr>
        <w:t xml:space="preserve">It is especially important to note that this project provides support to the Republic of Serbia for the development of a new Action Plan for the Exercise of the Rights of National Minorities, which will, </w:t>
      </w:r>
      <w:r w:rsidRPr="00DC2FFD">
        <w:rPr>
          <w:i/>
          <w:iCs/>
          <w:sz w:val="24"/>
          <w:lang w:val="en-GB"/>
        </w:rPr>
        <w:t>inter alia</w:t>
      </w:r>
      <w:r w:rsidRPr="00DC2FFD">
        <w:rPr>
          <w:sz w:val="24"/>
          <w:lang w:val="en-GB"/>
        </w:rPr>
        <w:t>, be based on the Progress Report in the Serbia’s EU accession process, as well as the recommendations from the Fourth Opinion of the Advisory Committee of the Framework Convention for the Protection of National Minorities. The Special Working Group for the preparation of the text of the Draft Action Plan for the Exercise of the Rights of National Minorities is comprised of representatives of competent authorities, national councils of national minorities and civil society organisations, and its work is managed by the Minister of Human and Minority Rights and Social Dialogue.</w:t>
      </w:r>
      <w:r w:rsidRPr="00DC2FFD">
        <w:rPr>
          <w:lang w:val="en-GB"/>
        </w:rPr>
        <w:t xml:space="preserve"> </w:t>
      </w:r>
      <w:r w:rsidRPr="00DC2FFD">
        <w:rPr>
          <w:sz w:val="24"/>
          <w:lang w:val="en-GB"/>
        </w:rPr>
        <w:t>As appropriate and upon request of the Special Working Group, representatives of other institutions shall also participate in its work, as well as experts, advisors and consultants who possess knowledge relevant for the development of this document. By following-up on all relevant recommendations for the preparation of this document, the Republic of Serbia strives to prepare a new Action Plan, which will be better, more effective and efficient, with the objective to improve efficient exercise of the rights of national minorities in the Republic of Serbia.</w:t>
      </w:r>
    </w:p>
    <w:p w14:paraId="5A3DD20C" w14:textId="77777777" w:rsidR="00DC2FFD" w:rsidRPr="00DC2FFD" w:rsidRDefault="00DC2FFD" w:rsidP="00DC2FFD">
      <w:pPr>
        <w:spacing w:after="0"/>
        <w:ind w:firstLine="720"/>
        <w:jc w:val="both"/>
        <w:rPr>
          <w:i/>
          <w:sz w:val="24"/>
          <w:szCs w:val="24"/>
          <w:lang w:val="en-GB"/>
        </w:rPr>
      </w:pPr>
    </w:p>
    <w:p w14:paraId="10AFF9A4" w14:textId="77777777" w:rsidR="00DC2FFD" w:rsidRPr="00DC2FFD" w:rsidRDefault="00DC2FFD" w:rsidP="00DC2FFD">
      <w:pPr>
        <w:numPr>
          <w:ilvl w:val="2"/>
          <w:numId w:val="1"/>
        </w:numPr>
        <w:tabs>
          <w:tab w:val="left" w:pos="745"/>
        </w:tabs>
        <w:spacing w:after="0"/>
        <w:ind w:left="720" w:right="20" w:hanging="700"/>
        <w:jc w:val="both"/>
        <w:rPr>
          <w:rFonts w:eastAsia="Times New Roman"/>
          <w:i/>
          <w:color w:val="000000"/>
          <w:sz w:val="24"/>
          <w:szCs w:val="24"/>
          <w:lang w:val="en-GB"/>
        </w:rPr>
      </w:pPr>
      <w:r w:rsidRPr="00DC2FFD">
        <w:rPr>
          <w:rFonts w:eastAsia="Times New Roman"/>
          <w:i/>
          <w:color w:val="000000"/>
          <w:sz w:val="24"/>
          <w:lang w:val="en-GB"/>
        </w:rPr>
        <w:t>Participation of minority organisations and other non-governmental organisations in the implementation and monitoring of the Framework Convention by the authorities and their participation in the preparation of the fifth report.</w:t>
      </w:r>
    </w:p>
    <w:p w14:paraId="4A08D5E7" w14:textId="77777777" w:rsidR="00DC2FFD" w:rsidRPr="00DC2FFD" w:rsidRDefault="00DC2FFD" w:rsidP="00DC2FFD">
      <w:pPr>
        <w:tabs>
          <w:tab w:val="left" w:pos="745"/>
        </w:tabs>
        <w:spacing w:after="0"/>
        <w:ind w:left="20" w:right="20"/>
        <w:jc w:val="both"/>
        <w:rPr>
          <w:rFonts w:eastAsia="Times New Roman"/>
          <w:i/>
          <w:color w:val="000000"/>
          <w:sz w:val="24"/>
          <w:szCs w:val="24"/>
          <w:lang w:val="sr-Cyrl-RS"/>
        </w:rPr>
      </w:pPr>
    </w:p>
    <w:p w14:paraId="5002EA24" w14:textId="77777777" w:rsidR="00DC2FFD" w:rsidRPr="00DC2FFD" w:rsidRDefault="00DC2FFD" w:rsidP="00DC2FFD">
      <w:pPr>
        <w:tabs>
          <w:tab w:val="left" w:pos="745"/>
        </w:tabs>
        <w:spacing w:after="0"/>
        <w:ind w:left="20" w:right="20"/>
        <w:jc w:val="both"/>
        <w:rPr>
          <w:rFonts w:eastAsia="Times New Roman"/>
          <w:color w:val="000000"/>
          <w:sz w:val="24"/>
          <w:szCs w:val="24"/>
          <w:lang w:val="en-GB"/>
        </w:rPr>
      </w:pPr>
      <w:r w:rsidRPr="00DC2FFD">
        <w:rPr>
          <w:rFonts w:eastAsia="Times New Roman"/>
          <w:i/>
          <w:color w:val="000000"/>
          <w:sz w:val="24"/>
          <w:lang w:val="en-GB"/>
        </w:rPr>
        <w:tab/>
      </w:r>
      <w:r w:rsidRPr="00DC2FFD">
        <w:rPr>
          <w:rFonts w:eastAsia="Times New Roman"/>
          <w:color w:val="000000"/>
          <w:sz w:val="24"/>
          <w:lang w:val="en-GB"/>
        </w:rPr>
        <w:t xml:space="preserve">The Action Plan for the exercise of the rights of national minorities, which was adopted in 2016, was based on findings and recommendations of the Advisory Committee of the Framework Convention from the third monitoring cycle. National councils of national minorities were included in the process of development and reporting, and in all phases of the process of monitoring and implementation of the Action Plan. Reports, with its accompanying statistical annexes, as well as overviews of comments by national councils on reports and answers by competent institutions are available at the website of the Ministry, and were also discussed in sessions of the Government Council for National Minorities, which were entrusted with monitoring of these activities, and whose members were members and presidents of all national councils. </w:t>
      </w:r>
    </w:p>
    <w:p w14:paraId="1ADD3E26" w14:textId="77777777" w:rsidR="00DC2FFD" w:rsidRPr="00DC2FFD" w:rsidRDefault="00DC2FFD" w:rsidP="00DC2FFD">
      <w:pPr>
        <w:tabs>
          <w:tab w:val="left" w:pos="745"/>
        </w:tabs>
        <w:spacing w:after="0"/>
        <w:ind w:left="20" w:right="20"/>
        <w:jc w:val="both"/>
        <w:rPr>
          <w:rFonts w:eastAsia="Times New Roman"/>
          <w:color w:val="000000"/>
          <w:sz w:val="24"/>
          <w:szCs w:val="24"/>
          <w:lang w:val="en-GB"/>
        </w:rPr>
      </w:pPr>
      <w:r w:rsidRPr="00DC2FFD">
        <w:rPr>
          <w:rFonts w:eastAsia="Times New Roman"/>
          <w:color w:val="000000"/>
          <w:sz w:val="24"/>
          <w:lang w:val="en-GB"/>
        </w:rPr>
        <w:tab/>
        <w:t xml:space="preserve">As previously mentioned, representatives of national councils and civil society organisations are a part of a Special Working Group for the preparation of the text of the Draft Action Plan for the Exercise of the Rights of National Minorities. Upon a proposal of the Coordination of National Councils of National Minorities, six representatives of national councils of national minorities were appointed to the Special Working Group. In addition to the appointed representatives, the Special Working Group also includes, at an invitation of the Ministry, representatives of national councils appointed by the Coordination of National Councils for each of the four areas where national councils exercise their powers (culture, information, official use of language and script, and education). A public invitation to civil society organisations for membership in the Special Working Group was published on the website of the Ministry of Human and Minority Rights and Social Dialogue. Five organisations which, </w:t>
      </w:r>
      <w:r w:rsidRPr="00DC2FFD">
        <w:rPr>
          <w:rFonts w:eastAsia="Times New Roman"/>
          <w:i/>
          <w:iCs/>
          <w:color w:val="000000"/>
          <w:sz w:val="24"/>
          <w:lang w:val="en-GB"/>
        </w:rPr>
        <w:t>inter alia</w:t>
      </w:r>
      <w:r w:rsidRPr="00DC2FFD">
        <w:rPr>
          <w:rFonts w:eastAsia="Times New Roman"/>
          <w:color w:val="000000"/>
          <w:sz w:val="24"/>
          <w:lang w:val="en-GB"/>
        </w:rPr>
        <w:t xml:space="preserve">, deal with the issues of minority rights, have applied for the participation in the development of the Action Plan. Upon a proposal of the Commission for the selection of civil society organisations, representatives of all organisations that applied were appointed into the Working Group. </w:t>
      </w:r>
    </w:p>
    <w:p w14:paraId="34A5EDD4" w14:textId="77777777" w:rsidR="00DC2FFD" w:rsidRPr="00DC2FFD" w:rsidRDefault="00DC2FFD" w:rsidP="00DC2FFD">
      <w:pPr>
        <w:tabs>
          <w:tab w:val="left" w:pos="745"/>
        </w:tabs>
        <w:spacing w:after="0"/>
        <w:ind w:left="20" w:right="20"/>
        <w:jc w:val="both"/>
        <w:rPr>
          <w:rFonts w:eastAsia="Times New Roman"/>
          <w:color w:val="000000"/>
          <w:sz w:val="24"/>
          <w:szCs w:val="24"/>
          <w:lang w:val="en-GB"/>
        </w:rPr>
      </w:pPr>
      <w:r w:rsidRPr="00DC2FFD">
        <w:rPr>
          <w:rFonts w:eastAsia="Times New Roman"/>
          <w:color w:val="000000"/>
          <w:sz w:val="24"/>
          <w:lang w:val="en-GB"/>
        </w:rPr>
        <w:tab/>
        <w:t xml:space="preserve">An invitation for participation in the development of the Fifth Report on the implementation of the Framework Convention was sent to all national councils of national minorities and to the Federation of Jewish Communities of Serbia, as well as to the following citizens associations which include members of national minorities or which protect the rights of national minorities. Committee for Human Rights, </w:t>
      </w:r>
      <w:proofErr w:type="spellStart"/>
      <w:r w:rsidRPr="00DC2FFD">
        <w:rPr>
          <w:rFonts w:eastAsia="Times New Roman"/>
          <w:color w:val="000000"/>
          <w:sz w:val="24"/>
          <w:lang w:val="en-GB"/>
        </w:rPr>
        <w:t>Bujanovac</w:t>
      </w:r>
      <w:proofErr w:type="spellEnd"/>
      <w:r w:rsidRPr="00DC2FFD">
        <w:rPr>
          <w:rFonts w:eastAsia="Times New Roman"/>
          <w:color w:val="000000"/>
          <w:sz w:val="24"/>
          <w:lang w:val="en-GB"/>
        </w:rPr>
        <w:t>; Albanian Cultural Society “</w:t>
      </w:r>
      <w:proofErr w:type="spellStart"/>
      <w:r w:rsidRPr="00DC2FFD">
        <w:rPr>
          <w:rFonts w:eastAsia="Times New Roman"/>
          <w:color w:val="000000"/>
          <w:sz w:val="24"/>
          <w:lang w:val="en-GB"/>
        </w:rPr>
        <w:t>Perspektiva</w:t>
      </w:r>
      <w:proofErr w:type="spellEnd"/>
      <w:r w:rsidRPr="00DC2FFD">
        <w:rPr>
          <w:rFonts w:eastAsia="Times New Roman"/>
          <w:color w:val="000000"/>
          <w:sz w:val="24"/>
          <w:lang w:val="en-GB"/>
        </w:rPr>
        <w:t xml:space="preserve">”, </w:t>
      </w:r>
      <w:proofErr w:type="spellStart"/>
      <w:r w:rsidRPr="00DC2FFD">
        <w:rPr>
          <w:rFonts w:eastAsia="Times New Roman"/>
          <w:color w:val="000000"/>
          <w:sz w:val="24"/>
          <w:lang w:val="en-GB"/>
        </w:rPr>
        <w:t>Bujanovac</w:t>
      </w:r>
      <w:proofErr w:type="spellEnd"/>
      <w:r w:rsidRPr="00DC2FFD">
        <w:rPr>
          <w:rFonts w:eastAsia="Times New Roman"/>
          <w:color w:val="000000"/>
          <w:sz w:val="24"/>
          <w:lang w:val="en-GB"/>
        </w:rPr>
        <w:t xml:space="preserve">; Civil Society Resource Centre - </w:t>
      </w:r>
      <w:proofErr w:type="spellStart"/>
      <w:r w:rsidRPr="00DC2FFD">
        <w:rPr>
          <w:rFonts w:eastAsia="Times New Roman"/>
          <w:color w:val="000000"/>
          <w:sz w:val="24"/>
          <w:lang w:val="en-GB"/>
        </w:rPr>
        <w:t>Bujanovac</w:t>
      </w:r>
      <w:proofErr w:type="spellEnd"/>
      <w:r w:rsidRPr="00DC2FFD">
        <w:rPr>
          <w:rFonts w:eastAsia="Times New Roman"/>
          <w:color w:val="000000"/>
          <w:sz w:val="24"/>
          <w:lang w:val="en-GB"/>
        </w:rPr>
        <w:t xml:space="preserve">; Cultural Centre </w:t>
      </w:r>
      <w:proofErr w:type="spellStart"/>
      <w:r w:rsidRPr="00DC2FFD">
        <w:rPr>
          <w:rFonts w:eastAsia="Times New Roman"/>
          <w:color w:val="000000"/>
          <w:sz w:val="24"/>
          <w:lang w:val="en-GB"/>
        </w:rPr>
        <w:t>DamaD</w:t>
      </w:r>
      <w:proofErr w:type="spellEnd"/>
      <w:r w:rsidRPr="00DC2FFD">
        <w:rPr>
          <w:rFonts w:eastAsia="Times New Roman"/>
          <w:color w:val="000000"/>
          <w:sz w:val="24"/>
          <w:lang w:val="en-GB"/>
        </w:rPr>
        <w:t xml:space="preserve">, Novi </w:t>
      </w:r>
      <w:proofErr w:type="spellStart"/>
      <w:r w:rsidRPr="00DC2FFD">
        <w:rPr>
          <w:rFonts w:eastAsia="Times New Roman"/>
          <w:color w:val="000000"/>
          <w:sz w:val="24"/>
          <w:lang w:val="en-GB"/>
        </w:rPr>
        <w:t>Pazar</w:t>
      </w:r>
      <w:proofErr w:type="spellEnd"/>
      <w:r w:rsidRPr="00DC2FFD">
        <w:rPr>
          <w:rFonts w:eastAsia="Times New Roman"/>
          <w:color w:val="000000"/>
          <w:sz w:val="24"/>
          <w:lang w:val="en-GB"/>
        </w:rPr>
        <w:t xml:space="preserve">; </w:t>
      </w:r>
      <w:proofErr w:type="spellStart"/>
      <w:r w:rsidRPr="00DC2FFD">
        <w:rPr>
          <w:rFonts w:eastAsia="Times New Roman"/>
          <w:color w:val="000000"/>
          <w:sz w:val="24"/>
          <w:lang w:val="en-GB"/>
        </w:rPr>
        <w:t>Sandžak</w:t>
      </w:r>
      <w:proofErr w:type="spellEnd"/>
      <w:r w:rsidRPr="00DC2FFD">
        <w:rPr>
          <w:rFonts w:eastAsia="Times New Roman"/>
          <w:color w:val="000000"/>
          <w:sz w:val="24"/>
          <w:lang w:val="en-GB"/>
        </w:rPr>
        <w:t xml:space="preserve"> Committee for Protection of Human Rights and Freedoms, Novi </w:t>
      </w:r>
      <w:proofErr w:type="spellStart"/>
      <w:r w:rsidRPr="00DC2FFD">
        <w:rPr>
          <w:rFonts w:eastAsia="Times New Roman"/>
          <w:color w:val="000000"/>
          <w:sz w:val="24"/>
          <w:lang w:val="en-GB"/>
        </w:rPr>
        <w:t>Pazar</w:t>
      </w:r>
      <w:proofErr w:type="spellEnd"/>
      <w:r w:rsidRPr="00DC2FFD">
        <w:rPr>
          <w:rFonts w:eastAsia="Times New Roman"/>
          <w:color w:val="000000"/>
          <w:sz w:val="24"/>
          <w:lang w:val="en-GB"/>
        </w:rPr>
        <w:t xml:space="preserve">; Cultural Information Centre of the Bulgarian National Minority, </w:t>
      </w:r>
      <w:proofErr w:type="spellStart"/>
      <w:r w:rsidRPr="00DC2FFD">
        <w:rPr>
          <w:rFonts w:eastAsia="Times New Roman"/>
          <w:color w:val="000000"/>
          <w:sz w:val="24"/>
          <w:lang w:val="en-GB"/>
        </w:rPr>
        <w:t>Bosilegrad</w:t>
      </w:r>
      <w:proofErr w:type="spellEnd"/>
      <w:r w:rsidRPr="00DC2FFD">
        <w:rPr>
          <w:rFonts w:eastAsia="Times New Roman"/>
          <w:color w:val="000000"/>
          <w:sz w:val="24"/>
          <w:lang w:val="en-GB"/>
        </w:rPr>
        <w:t>; Association “</w:t>
      </w:r>
      <w:proofErr w:type="spellStart"/>
      <w:r w:rsidRPr="00DC2FFD">
        <w:rPr>
          <w:rFonts w:eastAsia="Times New Roman"/>
          <w:i/>
          <w:iCs/>
          <w:color w:val="000000"/>
          <w:sz w:val="24"/>
          <w:lang w:val="en-GB"/>
        </w:rPr>
        <w:t>Matica</w:t>
      </w:r>
      <w:proofErr w:type="spellEnd"/>
      <w:r w:rsidRPr="00DC2FFD">
        <w:rPr>
          <w:rFonts w:eastAsia="Times New Roman"/>
          <w:i/>
          <w:iCs/>
          <w:color w:val="000000"/>
          <w:sz w:val="24"/>
          <w:lang w:val="en-GB"/>
        </w:rPr>
        <w:t xml:space="preserve"> </w:t>
      </w:r>
      <w:proofErr w:type="spellStart"/>
      <w:r w:rsidRPr="00DC2FFD">
        <w:rPr>
          <w:rFonts w:eastAsia="Times New Roman"/>
          <w:i/>
          <w:iCs/>
          <w:color w:val="000000"/>
          <w:sz w:val="24"/>
          <w:lang w:val="en-GB"/>
        </w:rPr>
        <w:t>Bugara</w:t>
      </w:r>
      <w:proofErr w:type="spellEnd"/>
      <w:r w:rsidRPr="00DC2FFD">
        <w:rPr>
          <w:rFonts w:eastAsia="Times New Roman"/>
          <w:i/>
          <w:iCs/>
          <w:color w:val="000000"/>
          <w:sz w:val="24"/>
          <w:lang w:val="en-GB"/>
        </w:rPr>
        <w:t xml:space="preserve"> </w:t>
      </w:r>
      <w:r w:rsidRPr="00DC2FFD">
        <w:rPr>
          <w:rFonts w:eastAsia="Times New Roman"/>
          <w:color w:val="000000"/>
          <w:sz w:val="24"/>
          <w:lang w:val="en-GB"/>
        </w:rPr>
        <w:t xml:space="preserve">in Serbia”, </w:t>
      </w:r>
      <w:proofErr w:type="spellStart"/>
      <w:r w:rsidRPr="00DC2FFD">
        <w:rPr>
          <w:rFonts w:eastAsia="Times New Roman"/>
          <w:color w:val="000000"/>
          <w:sz w:val="24"/>
          <w:lang w:val="en-GB"/>
        </w:rPr>
        <w:t>Bosilegrad</w:t>
      </w:r>
      <w:proofErr w:type="spellEnd"/>
      <w:r w:rsidRPr="00DC2FFD">
        <w:rPr>
          <w:rFonts w:eastAsia="Times New Roman"/>
          <w:color w:val="000000"/>
          <w:sz w:val="24"/>
          <w:lang w:val="en-GB"/>
        </w:rPr>
        <w:t>; Bulgarian Cultural Association “</w:t>
      </w:r>
      <w:proofErr w:type="spellStart"/>
      <w:r w:rsidRPr="00DC2FFD">
        <w:rPr>
          <w:rFonts w:eastAsia="Times New Roman"/>
          <w:color w:val="000000"/>
          <w:sz w:val="24"/>
          <w:lang w:val="en-GB"/>
        </w:rPr>
        <w:t>Trandafer</w:t>
      </w:r>
      <w:proofErr w:type="spellEnd"/>
      <w:r w:rsidRPr="00DC2FFD">
        <w:rPr>
          <w:rFonts w:eastAsia="Times New Roman"/>
          <w:color w:val="000000"/>
          <w:sz w:val="24"/>
          <w:lang w:val="en-GB"/>
        </w:rPr>
        <w:t xml:space="preserve">”, Belo </w:t>
      </w:r>
      <w:proofErr w:type="spellStart"/>
      <w:r w:rsidRPr="00DC2FFD">
        <w:rPr>
          <w:rFonts w:eastAsia="Times New Roman"/>
          <w:color w:val="000000"/>
          <w:sz w:val="24"/>
          <w:lang w:val="en-GB"/>
        </w:rPr>
        <w:t>Blato</w:t>
      </w:r>
      <w:proofErr w:type="spellEnd"/>
      <w:r w:rsidRPr="00DC2FFD">
        <w:rPr>
          <w:rFonts w:eastAsia="Times New Roman"/>
          <w:color w:val="000000"/>
          <w:sz w:val="24"/>
          <w:lang w:val="en-GB"/>
        </w:rPr>
        <w:t xml:space="preserve">; </w:t>
      </w:r>
      <w:proofErr w:type="spellStart"/>
      <w:r w:rsidRPr="00DC2FFD">
        <w:rPr>
          <w:rFonts w:eastAsia="Times New Roman"/>
          <w:i/>
          <w:iCs/>
          <w:color w:val="000000"/>
          <w:sz w:val="24"/>
          <w:lang w:val="en-GB"/>
        </w:rPr>
        <w:t>Bunjevačka</w:t>
      </w:r>
      <w:proofErr w:type="spellEnd"/>
      <w:r w:rsidRPr="00DC2FFD">
        <w:rPr>
          <w:rFonts w:eastAsia="Times New Roman"/>
          <w:i/>
          <w:iCs/>
          <w:color w:val="000000"/>
          <w:sz w:val="24"/>
          <w:lang w:val="en-GB"/>
        </w:rPr>
        <w:t xml:space="preserve"> </w:t>
      </w:r>
      <w:proofErr w:type="spellStart"/>
      <w:r w:rsidRPr="00DC2FFD">
        <w:rPr>
          <w:rFonts w:eastAsia="Times New Roman"/>
          <w:i/>
          <w:iCs/>
          <w:color w:val="000000"/>
          <w:sz w:val="24"/>
          <w:lang w:val="en-GB"/>
        </w:rPr>
        <w:t>matica</w:t>
      </w:r>
      <w:proofErr w:type="spellEnd"/>
      <w:r w:rsidRPr="00DC2FFD">
        <w:rPr>
          <w:rFonts w:eastAsia="Times New Roman"/>
          <w:color w:val="000000"/>
          <w:sz w:val="24"/>
          <w:lang w:val="en-GB"/>
        </w:rPr>
        <w:t>, Subotica; Association of citizens “</w:t>
      </w:r>
      <w:proofErr w:type="spellStart"/>
      <w:r w:rsidRPr="00DC2FFD">
        <w:rPr>
          <w:rFonts w:eastAsia="Times New Roman"/>
          <w:color w:val="000000"/>
          <w:sz w:val="24"/>
          <w:lang w:val="en-GB"/>
        </w:rPr>
        <w:t>Bunjevačko</w:t>
      </w:r>
      <w:proofErr w:type="spellEnd"/>
      <w:r w:rsidRPr="00DC2FFD">
        <w:rPr>
          <w:rFonts w:eastAsia="Times New Roman"/>
          <w:color w:val="000000"/>
          <w:sz w:val="24"/>
          <w:lang w:val="en-GB"/>
        </w:rPr>
        <w:t xml:space="preserve"> </w:t>
      </w:r>
      <w:proofErr w:type="spellStart"/>
      <w:r w:rsidRPr="00DC2FFD">
        <w:rPr>
          <w:rFonts w:eastAsia="Times New Roman"/>
          <w:color w:val="000000"/>
          <w:sz w:val="24"/>
          <w:lang w:val="en-GB"/>
        </w:rPr>
        <w:t>kolo</w:t>
      </w:r>
      <w:proofErr w:type="spellEnd"/>
      <w:r w:rsidRPr="00DC2FFD">
        <w:rPr>
          <w:rFonts w:eastAsia="Times New Roman"/>
          <w:color w:val="000000"/>
          <w:sz w:val="24"/>
          <w:lang w:val="en-GB"/>
        </w:rPr>
        <w:t xml:space="preserve">”, </w:t>
      </w:r>
      <w:proofErr w:type="spellStart"/>
      <w:r w:rsidRPr="00DC2FFD">
        <w:rPr>
          <w:rFonts w:eastAsia="Times New Roman"/>
          <w:color w:val="000000"/>
          <w:sz w:val="24"/>
          <w:lang w:val="en-GB"/>
        </w:rPr>
        <w:t>Sombor</w:t>
      </w:r>
      <w:proofErr w:type="spellEnd"/>
      <w:r w:rsidRPr="00DC2FFD">
        <w:rPr>
          <w:rFonts w:eastAsia="Times New Roman"/>
          <w:color w:val="000000"/>
          <w:sz w:val="24"/>
          <w:lang w:val="en-GB"/>
        </w:rPr>
        <w:t xml:space="preserve">; Forum of </w:t>
      </w:r>
      <w:proofErr w:type="spellStart"/>
      <w:r w:rsidRPr="00DC2FFD">
        <w:rPr>
          <w:rFonts w:eastAsia="Times New Roman"/>
          <w:color w:val="000000"/>
          <w:sz w:val="24"/>
          <w:lang w:val="en-GB"/>
        </w:rPr>
        <w:t>Vlachs</w:t>
      </w:r>
      <w:proofErr w:type="spellEnd"/>
      <w:r w:rsidRPr="00DC2FFD">
        <w:rPr>
          <w:rFonts w:eastAsia="Times New Roman"/>
          <w:color w:val="000000"/>
          <w:sz w:val="24"/>
          <w:lang w:val="en-GB"/>
        </w:rPr>
        <w:t xml:space="preserve">, </w:t>
      </w:r>
      <w:proofErr w:type="spellStart"/>
      <w:r w:rsidRPr="00DC2FFD">
        <w:rPr>
          <w:rFonts w:eastAsia="Times New Roman"/>
          <w:color w:val="000000"/>
          <w:sz w:val="24"/>
          <w:lang w:val="en-GB"/>
        </w:rPr>
        <w:t>Bor</w:t>
      </w:r>
      <w:proofErr w:type="spellEnd"/>
      <w:r w:rsidRPr="00DC2FFD">
        <w:rPr>
          <w:rFonts w:eastAsia="Times New Roman"/>
          <w:color w:val="000000"/>
          <w:sz w:val="24"/>
          <w:lang w:val="en-GB"/>
        </w:rPr>
        <w:t>; Association “</w:t>
      </w:r>
      <w:proofErr w:type="spellStart"/>
      <w:r w:rsidRPr="00DC2FFD">
        <w:rPr>
          <w:rFonts w:eastAsia="Times New Roman"/>
          <w:color w:val="000000"/>
          <w:sz w:val="24"/>
          <w:lang w:val="en-GB"/>
        </w:rPr>
        <w:t>Gergina</w:t>
      </w:r>
      <w:proofErr w:type="spellEnd"/>
      <w:r w:rsidRPr="00DC2FFD">
        <w:rPr>
          <w:rFonts w:eastAsia="Times New Roman"/>
          <w:color w:val="000000"/>
          <w:sz w:val="24"/>
          <w:lang w:val="en-GB"/>
        </w:rPr>
        <w:t xml:space="preserve">”, </w:t>
      </w:r>
      <w:proofErr w:type="spellStart"/>
      <w:r w:rsidRPr="00DC2FFD">
        <w:rPr>
          <w:rFonts w:eastAsia="Times New Roman"/>
          <w:color w:val="000000"/>
          <w:sz w:val="24"/>
          <w:lang w:val="en-GB"/>
        </w:rPr>
        <w:t>Negotin</w:t>
      </w:r>
      <w:proofErr w:type="spellEnd"/>
      <w:r w:rsidRPr="00DC2FFD">
        <w:rPr>
          <w:rFonts w:eastAsia="Times New Roman"/>
          <w:color w:val="000000"/>
          <w:sz w:val="24"/>
          <w:lang w:val="en-GB"/>
        </w:rPr>
        <w:t xml:space="preserve">; Movement of Vlach Unification, </w:t>
      </w:r>
      <w:proofErr w:type="spellStart"/>
      <w:r w:rsidRPr="00DC2FFD">
        <w:rPr>
          <w:rFonts w:eastAsia="Times New Roman"/>
          <w:color w:val="000000"/>
          <w:sz w:val="24"/>
          <w:lang w:val="en-GB"/>
        </w:rPr>
        <w:t>Petrovac-na-Mlavi</w:t>
      </w:r>
      <w:proofErr w:type="spellEnd"/>
      <w:r w:rsidRPr="00DC2FFD">
        <w:rPr>
          <w:rFonts w:eastAsia="Times New Roman"/>
          <w:color w:val="000000"/>
          <w:sz w:val="24"/>
          <w:lang w:val="en-GB"/>
        </w:rPr>
        <w:t>; Foundation “</w:t>
      </w:r>
      <w:proofErr w:type="spellStart"/>
      <w:r w:rsidRPr="00DC2FFD">
        <w:rPr>
          <w:rFonts w:eastAsia="Times New Roman"/>
          <w:color w:val="000000"/>
          <w:sz w:val="24"/>
          <w:lang w:val="en-GB"/>
        </w:rPr>
        <w:t>László</w:t>
      </w:r>
      <w:proofErr w:type="spellEnd"/>
      <w:r w:rsidRPr="00DC2FFD">
        <w:rPr>
          <w:rFonts w:eastAsia="Times New Roman"/>
          <w:color w:val="000000"/>
          <w:sz w:val="24"/>
          <w:lang w:val="en-GB"/>
        </w:rPr>
        <w:t xml:space="preserve"> </w:t>
      </w:r>
      <w:proofErr w:type="spellStart"/>
      <w:r w:rsidRPr="00DC2FFD">
        <w:rPr>
          <w:rFonts w:eastAsia="Times New Roman"/>
          <w:color w:val="000000"/>
          <w:sz w:val="24"/>
          <w:lang w:val="en-GB"/>
        </w:rPr>
        <w:t>Szekeres</w:t>
      </w:r>
      <w:proofErr w:type="spellEnd"/>
      <w:r w:rsidRPr="00DC2FFD">
        <w:rPr>
          <w:rFonts w:eastAsia="Times New Roman"/>
          <w:color w:val="000000"/>
          <w:sz w:val="24"/>
          <w:lang w:val="en-GB"/>
        </w:rPr>
        <w:t xml:space="preserve">”, Subotica; Novi Sad Hungarian Culture and Art Centre, Novi Sad; Linguistic Association for the Hungarian Language “Gabor </w:t>
      </w:r>
      <w:proofErr w:type="spellStart"/>
      <w:r w:rsidRPr="00DC2FFD">
        <w:rPr>
          <w:rFonts w:eastAsia="Times New Roman"/>
          <w:color w:val="000000"/>
          <w:sz w:val="24"/>
          <w:lang w:val="en-GB"/>
        </w:rPr>
        <w:t>Szarvas</w:t>
      </w:r>
      <w:proofErr w:type="spellEnd"/>
      <w:r w:rsidRPr="00DC2FFD">
        <w:rPr>
          <w:rFonts w:eastAsia="Times New Roman"/>
          <w:color w:val="000000"/>
          <w:sz w:val="24"/>
          <w:lang w:val="en-GB"/>
        </w:rPr>
        <w:t xml:space="preserve">”, Ada; Association of Hungarian Journalists of </w:t>
      </w:r>
      <w:proofErr w:type="spellStart"/>
      <w:r w:rsidRPr="00DC2FFD">
        <w:rPr>
          <w:rFonts w:eastAsia="Times New Roman"/>
          <w:color w:val="000000"/>
          <w:sz w:val="24"/>
          <w:lang w:val="en-GB"/>
        </w:rPr>
        <w:t>Vojvodina</w:t>
      </w:r>
      <w:proofErr w:type="spellEnd"/>
      <w:r w:rsidRPr="00DC2FFD">
        <w:rPr>
          <w:rFonts w:eastAsia="Times New Roman"/>
          <w:color w:val="000000"/>
          <w:sz w:val="24"/>
          <w:lang w:val="en-GB"/>
        </w:rPr>
        <w:t xml:space="preserve">, Novi Sad; </w:t>
      </w:r>
      <w:proofErr w:type="spellStart"/>
      <w:r w:rsidRPr="00DC2FFD">
        <w:rPr>
          <w:rFonts w:eastAsia="Times New Roman"/>
          <w:color w:val="000000"/>
          <w:sz w:val="24"/>
          <w:lang w:val="en-GB"/>
        </w:rPr>
        <w:t>Vojvodina</w:t>
      </w:r>
      <w:proofErr w:type="spellEnd"/>
      <w:r w:rsidRPr="00DC2FFD">
        <w:rPr>
          <w:rFonts w:eastAsia="Times New Roman"/>
          <w:color w:val="000000"/>
          <w:sz w:val="24"/>
          <w:lang w:val="en-GB"/>
        </w:rPr>
        <w:t xml:space="preserve"> Centre for Methodology, Subotica; Citizens Association of the Macedonian national community in </w:t>
      </w:r>
      <w:proofErr w:type="spellStart"/>
      <w:r w:rsidRPr="00DC2FFD">
        <w:rPr>
          <w:rFonts w:eastAsia="Times New Roman"/>
          <w:color w:val="000000"/>
          <w:sz w:val="24"/>
          <w:lang w:val="en-GB"/>
        </w:rPr>
        <w:t>Jabuka</w:t>
      </w:r>
      <w:proofErr w:type="spellEnd"/>
      <w:r w:rsidRPr="00DC2FFD">
        <w:rPr>
          <w:rFonts w:eastAsia="Times New Roman"/>
          <w:color w:val="000000"/>
          <w:sz w:val="24"/>
          <w:lang w:val="en-GB"/>
        </w:rPr>
        <w:t xml:space="preserve"> “</w:t>
      </w:r>
      <w:proofErr w:type="spellStart"/>
      <w:r w:rsidRPr="00DC2FFD">
        <w:rPr>
          <w:rFonts w:eastAsia="Times New Roman"/>
          <w:color w:val="000000"/>
          <w:sz w:val="24"/>
          <w:lang w:val="en-GB"/>
        </w:rPr>
        <w:t>Ilinden-Jabuka</w:t>
      </w:r>
      <w:proofErr w:type="spellEnd"/>
      <w:r w:rsidRPr="00DC2FFD">
        <w:rPr>
          <w:rFonts w:eastAsia="Times New Roman"/>
          <w:color w:val="000000"/>
          <w:sz w:val="24"/>
          <w:lang w:val="en-GB"/>
        </w:rPr>
        <w:t xml:space="preserve">”, </w:t>
      </w:r>
      <w:proofErr w:type="spellStart"/>
      <w:r w:rsidRPr="00DC2FFD">
        <w:rPr>
          <w:rFonts w:eastAsia="Times New Roman"/>
          <w:color w:val="000000"/>
          <w:sz w:val="24"/>
          <w:lang w:val="en-GB"/>
        </w:rPr>
        <w:t>Jabuka</w:t>
      </w:r>
      <w:proofErr w:type="spellEnd"/>
      <w:r w:rsidRPr="00DC2FFD">
        <w:rPr>
          <w:rFonts w:eastAsia="Times New Roman"/>
          <w:color w:val="000000"/>
          <w:sz w:val="24"/>
          <w:lang w:val="en-GB"/>
        </w:rPr>
        <w:t xml:space="preserve">; Citizens Association of the Macedonian national community of the </w:t>
      </w:r>
      <w:proofErr w:type="spellStart"/>
      <w:r w:rsidRPr="00DC2FFD">
        <w:rPr>
          <w:rFonts w:eastAsia="Times New Roman"/>
          <w:color w:val="000000"/>
          <w:sz w:val="24"/>
          <w:lang w:val="en-GB"/>
        </w:rPr>
        <w:t>Nišava</w:t>
      </w:r>
      <w:proofErr w:type="spellEnd"/>
      <w:r w:rsidRPr="00DC2FFD">
        <w:rPr>
          <w:rFonts w:eastAsia="Times New Roman"/>
          <w:color w:val="000000"/>
          <w:sz w:val="24"/>
          <w:lang w:val="en-GB"/>
        </w:rPr>
        <w:t xml:space="preserve"> District “Vardar”, </w:t>
      </w:r>
      <w:proofErr w:type="spellStart"/>
      <w:r w:rsidRPr="00DC2FFD">
        <w:rPr>
          <w:rFonts w:eastAsia="Times New Roman"/>
          <w:color w:val="000000"/>
          <w:sz w:val="24"/>
          <w:lang w:val="en-GB"/>
        </w:rPr>
        <w:t>Niš</w:t>
      </w:r>
      <w:proofErr w:type="spellEnd"/>
      <w:r w:rsidRPr="00DC2FFD">
        <w:rPr>
          <w:rFonts w:eastAsia="Times New Roman"/>
          <w:color w:val="000000"/>
          <w:sz w:val="24"/>
          <w:lang w:val="en-GB"/>
        </w:rPr>
        <w:t>; Macedonian Cultural Centre “</w:t>
      </w:r>
      <w:proofErr w:type="spellStart"/>
      <w:r w:rsidRPr="00DC2FFD">
        <w:rPr>
          <w:rFonts w:eastAsia="Times New Roman"/>
          <w:color w:val="000000"/>
          <w:sz w:val="24"/>
          <w:lang w:val="en-GB"/>
        </w:rPr>
        <w:t>Blaže</w:t>
      </w:r>
      <w:proofErr w:type="spellEnd"/>
      <w:r w:rsidRPr="00DC2FFD">
        <w:rPr>
          <w:rFonts w:eastAsia="Times New Roman"/>
          <w:color w:val="000000"/>
          <w:sz w:val="24"/>
          <w:lang w:val="en-GB"/>
        </w:rPr>
        <w:t xml:space="preserve"> </w:t>
      </w:r>
      <w:proofErr w:type="spellStart"/>
      <w:r w:rsidRPr="00DC2FFD">
        <w:rPr>
          <w:rFonts w:eastAsia="Times New Roman"/>
          <w:color w:val="000000"/>
          <w:sz w:val="24"/>
          <w:lang w:val="en-GB"/>
        </w:rPr>
        <w:t>Koneski</w:t>
      </w:r>
      <w:proofErr w:type="spellEnd"/>
      <w:r w:rsidRPr="00DC2FFD">
        <w:rPr>
          <w:rFonts w:eastAsia="Times New Roman"/>
          <w:color w:val="000000"/>
          <w:sz w:val="24"/>
          <w:lang w:val="en-GB"/>
        </w:rPr>
        <w:t xml:space="preserve">”, </w:t>
      </w:r>
      <w:proofErr w:type="spellStart"/>
      <w:r w:rsidRPr="00DC2FFD">
        <w:rPr>
          <w:rFonts w:eastAsia="Times New Roman"/>
          <w:color w:val="000000"/>
          <w:sz w:val="24"/>
          <w:lang w:val="en-GB"/>
        </w:rPr>
        <w:t>Pančevo</w:t>
      </w:r>
      <w:proofErr w:type="spellEnd"/>
      <w:r w:rsidRPr="00DC2FFD">
        <w:rPr>
          <w:rFonts w:eastAsia="Times New Roman"/>
          <w:color w:val="000000"/>
          <w:sz w:val="24"/>
          <w:lang w:val="en-GB"/>
        </w:rPr>
        <w:t xml:space="preserve">; German National Council, Subotica; German Cultural </w:t>
      </w:r>
      <w:r w:rsidRPr="00DC2FFD">
        <w:rPr>
          <w:rFonts w:eastAsia="Times New Roman"/>
          <w:color w:val="000000"/>
          <w:sz w:val="24"/>
          <w:lang w:val="en-GB"/>
        </w:rPr>
        <w:lastRenderedPageBreak/>
        <w:t>Society “</w:t>
      </w:r>
      <w:proofErr w:type="spellStart"/>
      <w:r w:rsidRPr="00DC2FFD">
        <w:rPr>
          <w:rFonts w:eastAsia="Times New Roman"/>
          <w:color w:val="000000"/>
          <w:sz w:val="24"/>
          <w:lang w:val="en-GB"/>
        </w:rPr>
        <w:t>Dоnaubrűcke</w:t>
      </w:r>
      <w:proofErr w:type="spellEnd"/>
      <w:r w:rsidRPr="00DC2FFD">
        <w:rPr>
          <w:rFonts w:eastAsia="Times New Roman"/>
          <w:color w:val="000000"/>
          <w:sz w:val="24"/>
          <w:lang w:val="en-GB"/>
        </w:rPr>
        <w:t xml:space="preserve"> </w:t>
      </w:r>
      <w:proofErr w:type="spellStart"/>
      <w:r w:rsidRPr="00DC2FFD">
        <w:rPr>
          <w:rFonts w:eastAsia="Times New Roman"/>
          <w:color w:val="000000"/>
          <w:sz w:val="24"/>
          <w:lang w:val="en-GB"/>
        </w:rPr>
        <w:t>Neusatz</w:t>
      </w:r>
      <w:proofErr w:type="spellEnd"/>
      <w:r w:rsidRPr="00DC2FFD">
        <w:rPr>
          <w:rFonts w:eastAsia="Times New Roman"/>
          <w:color w:val="000000"/>
          <w:sz w:val="24"/>
          <w:lang w:val="en-GB"/>
        </w:rPr>
        <w:t xml:space="preserve">”, Novi Sad; Roma Information Centre of Yugoslavia, </w:t>
      </w:r>
      <w:proofErr w:type="spellStart"/>
      <w:r w:rsidRPr="00DC2FFD">
        <w:rPr>
          <w:rFonts w:eastAsia="Times New Roman"/>
          <w:color w:val="000000"/>
          <w:sz w:val="24"/>
          <w:lang w:val="en-GB"/>
        </w:rPr>
        <w:t>Kragujevac</w:t>
      </w:r>
      <w:proofErr w:type="spellEnd"/>
      <w:r w:rsidRPr="00DC2FFD">
        <w:rPr>
          <w:rFonts w:eastAsia="Times New Roman"/>
          <w:color w:val="000000"/>
          <w:sz w:val="24"/>
          <w:lang w:val="en-GB"/>
        </w:rPr>
        <w:t xml:space="preserve">; Association of Coordinators for Roma issues, </w:t>
      </w:r>
      <w:proofErr w:type="spellStart"/>
      <w:r w:rsidRPr="00DC2FFD">
        <w:rPr>
          <w:rFonts w:eastAsia="Times New Roman"/>
          <w:color w:val="000000"/>
          <w:sz w:val="24"/>
          <w:lang w:val="en-GB"/>
        </w:rPr>
        <w:t>Valjevo</w:t>
      </w:r>
      <w:proofErr w:type="spellEnd"/>
      <w:r w:rsidRPr="00DC2FFD">
        <w:rPr>
          <w:rFonts w:eastAsia="Times New Roman"/>
          <w:color w:val="000000"/>
          <w:sz w:val="24"/>
          <w:lang w:val="en-GB"/>
        </w:rPr>
        <w:t xml:space="preserve">; Association of Pedagogical Assistants of Serbia, </w:t>
      </w:r>
      <w:proofErr w:type="spellStart"/>
      <w:r w:rsidRPr="00DC2FFD">
        <w:rPr>
          <w:rFonts w:eastAsia="Times New Roman"/>
          <w:color w:val="000000"/>
          <w:sz w:val="24"/>
          <w:lang w:val="en-GB"/>
        </w:rPr>
        <w:t>Kragujevac</w:t>
      </w:r>
      <w:proofErr w:type="spellEnd"/>
      <w:r w:rsidRPr="00DC2FFD">
        <w:rPr>
          <w:rFonts w:eastAsia="Times New Roman"/>
          <w:color w:val="000000"/>
          <w:sz w:val="24"/>
          <w:lang w:val="en-GB"/>
        </w:rPr>
        <w:t xml:space="preserve">; Citizens Association Roma Women </w:t>
      </w:r>
      <w:proofErr w:type="spellStart"/>
      <w:r w:rsidRPr="00DC2FFD">
        <w:rPr>
          <w:rFonts w:eastAsia="Times New Roman"/>
          <w:color w:val="000000"/>
          <w:sz w:val="24"/>
          <w:lang w:val="en-GB"/>
        </w:rPr>
        <w:t>Center</w:t>
      </w:r>
      <w:proofErr w:type="spellEnd"/>
      <w:r w:rsidRPr="00DC2FFD">
        <w:rPr>
          <w:rFonts w:eastAsia="Times New Roman"/>
          <w:color w:val="000000"/>
          <w:sz w:val="24"/>
          <w:lang w:val="en-GB"/>
        </w:rPr>
        <w:t xml:space="preserve">  “BIBIJA”, Belgrade; Citizens Association Roma Production Roma World, </w:t>
      </w:r>
      <w:proofErr w:type="spellStart"/>
      <w:r w:rsidRPr="00DC2FFD">
        <w:rPr>
          <w:rFonts w:eastAsia="Times New Roman"/>
          <w:color w:val="000000"/>
          <w:sz w:val="24"/>
          <w:lang w:val="en-GB"/>
        </w:rPr>
        <w:t>Niš</w:t>
      </w:r>
      <w:proofErr w:type="spellEnd"/>
      <w:r w:rsidRPr="00DC2FFD">
        <w:rPr>
          <w:rFonts w:eastAsia="Times New Roman"/>
          <w:color w:val="000000"/>
          <w:sz w:val="24"/>
          <w:lang w:val="en-GB"/>
        </w:rPr>
        <w:t>;</w:t>
      </w:r>
    </w:p>
    <w:p w14:paraId="5CA1B66E" w14:textId="77777777" w:rsidR="00DC2FFD" w:rsidRPr="00DC2FFD" w:rsidRDefault="00DC2FFD" w:rsidP="00DC2FFD">
      <w:pPr>
        <w:tabs>
          <w:tab w:val="left" w:pos="745"/>
        </w:tabs>
        <w:spacing w:after="0"/>
        <w:ind w:left="20" w:right="20"/>
        <w:jc w:val="both"/>
        <w:rPr>
          <w:rFonts w:eastAsia="Times New Roman"/>
          <w:i/>
          <w:color w:val="000000"/>
          <w:sz w:val="24"/>
          <w:szCs w:val="24"/>
          <w:lang w:val="en-GB"/>
        </w:rPr>
      </w:pPr>
      <w:r w:rsidRPr="00DC2FFD">
        <w:rPr>
          <w:rFonts w:eastAsia="Times New Roman"/>
          <w:color w:val="000000"/>
          <w:sz w:val="24"/>
          <w:lang w:val="en-GB"/>
        </w:rPr>
        <w:t xml:space="preserve">Romanian Centre for Democratic Institutions and Human Rights, Novi Sad; Society for Romanian language of </w:t>
      </w:r>
      <w:proofErr w:type="spellStart"/>
      <w:r w:rsidRPr="00DC2FFD">
        <w:rPr>
          <w:rFonts w:eastAsia="Times New Roman"/>
          <w:color w:val="000000"/>
          <w:sz w:val="24"/>
          <w:lang w:val="en-GB"/>
        </w:rPr>
        <w:t>Vojvodina</w:t>
      </w:r>
      <w:proofErr w:type="spellEnd"/>
      <w:r w:rsidRPr="00DC2FFD">
        <w:rPr>
          <w:rFonts w:eastAsia="Times New Roman"/>
          <w:color w:val="000000"/>
          <w:sz w:val="24"/>
          <w:lang w:val="en-GB"/>
        </w:rPr>
        <w:t xml:space="preserve"> - Republic of Serbia, </w:t>
      </w:r>
      <w:proofErr w:type="spellStart"/>
      <w:r w:rsidRPr="00DC2FFD">
        <w:rPr>
          <w:rFonts w:eastAsia="Times New Roman"/>
          <w:color w:val="000000"/>
          <w:sz w:val="24"/>
          <w:lang w:val="en-GB"/>
        </w:rPr>
        <w:t>Vršac</w:t>
      </w:r>
      <w:proofErr w:type="spellEnd"/>
      <w:r w:rsidRPr="00DC2FFD">
        <w:rPr>
          <w:rFonts w:eastAsia="Times New Roman"/>
          <w:color w:val="000000"/>
          <w:sz w:val="24"/>
          <w:lang w:val="en-GB"/>
        </w:rPr>
        <w:t xml:space="preserve">; Romanian Society for Ethnography and Folklore, </w:t>
      </w:r>
      <w:proofErr w:type="spellStart"/>
      <w:r w:rsidRPr="00DC2FFD">
        <w:rPr>
          <w:rFonts w:eastAsia="Times New Roman"/>
          <w:color w:val="000000"/>
          <w:sz w:val="24"/>
          <w:lang w:val="en-GB"/>
        </w:rPr>
        <w:t>Torak</w:t>
      </w:r>
      <w:proofErr w:type="spellEnd"/>
      <w:r w:rsidRPr="00DC2FFD">
        <w:rPr>
          <w:rFonts w:eastAsia="Times New Roman"/>
          <w:color w:val="000000"/>
          <w:sz w:val="24"/>
          <w:lang w:val="en-GB"/>
        </w:rPr>
        <w:t>; Folklore Society “</w:t>
      </w:r>
      <w:proofErr w:type="spellStart"/>
      <w:r w:rsidRPr="00DC2FFD">
        <w:rPr>
          <w:rFonts w:eastAsia="Times New Roman"/>
          <w:color w:val="000000"/>
          <w:sz w:val="24"/>
          <w:lang w:val="en-GB"/>
        </w:rPr>
        <w:t>Tibiskus</w:t>
      </w:r>
      <w:proofErr w:type="spellEnd"/>
      <w:r w:rsidRPr="00DC2FFD">
        <w:rPr>
          <w:rFonts w:eastAsia="Times New Roman"/>
          <w:color w:val="000000"/>
          <w:sz w:val="24"/>
          <w:lang w:val="en-GB"/>
        </w:rPr>
        <w:t xml:space="preserve">”, </w:t>
      </w:r>
      <w:proofErr w:type="spellStart"/>
      <w:r w:rsidRPr="00DC2FFD">
        <w:rPr>
          <w:rFonts w:eastAsia="Times New Roman"/>
          <w:color w:val="000000"/>
          <w:sz w:val="24"/>
          <w:lang w:val="en-GB"/>
        </w:rPr>
        <w:t>Uzdin</w:t>
      </w:r>
      <w:proofErr w:type="spellEnd"/>
      <w:r w:rsidRPr="00DC2FFD">
        <w:rPr>
          <w:rFonts w:eastAsia="Times New Roman"/>
          <w:color w:val="000000"/>
          <w:sz w:val="24"/>
          <w:lang w:val="en-GB"/>
        </w:rPr>
        <w:t xml:space="preserve">; </w:t>
      </w:r>
      <w:proofErr w:type="spellStart"/>
      <w:r w:rsidRPr="00DC2FFD">
        <w:rPr>
          <w:rFonts w:eastAsia="Times New Roman"/>
          <w:i/>
          <w:iCs/>
          <w:color w:val="000000"/>
          <w:sz w:val="24"/>
          <w:lang w:val="en-GB"/>
        </w:rPr>
        <w:t>Matica</w:t>
      </w:r>
      <w:proofErr w:type="spellEnd"/>
      <w:r w:rsidRPr="00DC2FFD">
        <w:rPr>
          <w:rFonts w:eastAsia="Times New Roman"/>
          <w:i/>
          <w:iCs/>
          <w:color w:val="000000"/>
          <w:sz w:val="24"/>
          <w:lang w:val="en-GB"/>
        </w:rPr>
        <w:t xml:space="preserve"> </w:t>
      </w:r>
      <w:proofErr w:type="spellStart"/>
      <w:r w:rsidRPr="00DC2FFD">
        <w:rPr>
          <w:rFonts w:eastAsia="Times New Roman"/>
          <w:i/>
          <w:iCs/>
          <w:color w:val="000000"/>
          <w:sz w:val="24"/>
          <w:lang w:val="en-GB"/>
        </w:rPr>
        <w:t>rusinska</w:t>
      </w:r>
      <w:proofErr w:type="spellEnd"/>
      <w:r w:rsidRPr="00DC2FFD">
        <w:rPr>
          <w:rFonts w:eastAsia="Times New Roman"/>
          <w:color w:val="000000"/>
          <w:sz w:val="24"/>
          <w:lang w:val="en-GB"/>
        </w:rPr>
        <w:t xml:space="preserve">, </w:t>
      </w:r>
      <w:proofErr w:type="spellStart"/>
      <w:r w:rsidRPr="00DC2FFD">
        <w:rPr>
          <w:rFonts w:eastAsia="Times New Roman"/>
          <w:color w:val="000000"/>
          <w:sz w:val="24"/>
          <w:lang w:val="en-GB"/>
        </w:rPr>
        <w:t>Ruski</w:t>
      </w:r>
      <w:proofErr w:type="spellEnd"/>
      <w:r w:rsidRPr="00DC2FFD">
        <w:rPr>
          <w:rFonts w:eastAsia="Times New Roman"/>
          <w:color w:val="000000"/>
          <w:sz w:val="24"/>
          <w:lang w:val="en-GB"/>
        </w:rPr>
        <w:t xml:space="preserve"> </w:t>
      </w:r>
      <w:proofErr w:type="spellStart"/>
      <w:r w:rsidRPr="00DC2FFD">
        <w:rPr>
          <w:rFonts w:eastAsia="Times New Roman"/>
          <w:color w:val="000000"/>
          <w:sz w:val="24"/>
          <w:lang w:val="en-GB"/>
        </w:rPr>
        <w:t>Krstur</w:t>
      </w:r>
      <w:proofErr w:type="spellEnd"/>
      <w:r w:rsidRPr="00DC2FFD">
        <w:rPr>
          <w:rFonts w:eastAsia="Times New Roman"/>
          <w:color w:val="000000"/>
          <w:sz w:val="24"/>
          <w:lang w:val="en-GB"/>
        </w:rPr>
        <w:t xml:space="preserve">; Society for </w:t>
      </w:r>
      <w:proofErr w:type="spellStart"/>
      <w:r w:rsidRPr="00DC2FFD">
        <w:rPr>
          <w:rFonts w:eastAsia="Times New Roman"/>
          <w:color w:val="000000"/>
          <w:sz w:val="24"/>
          <w:lang w:val="en-GB"/>
        </w:rPr>
        <w:t>Ruthenian</w:t>
      </w:r>
      <w:proofErr w:type="spellEnd"/>
      <w:r w:rsidRPr="00DC2FFD">
        <w:rPr>
          <w:rFonts w:eastAsia="Times New Roman"/>
          <w:color w:val="000000"/>
          <w:sz w:val="24"/>
          <w:lang w:val="en-GB"/>
        </w:rPr>
        <w:t xml:space="preserve"> Language, Literature and Culture, Novi Sad; “Association of Slovakian Pedagogues”, </w:t>
      </w:r>
      <w:proofErr w:type="spellStart"/>
      <w:r w:rsidRPr="00DC2FFD">
        <w:rPr>
          <w:rFonts w:eastAsia="Times New Roman"/>
          <w:color w:val="000000"/>
          <w:sz w:val="24"/>
          <w:lang w:val="en-GB"/>
        </w:rPr>
        <w:t>Bački</w:t>
      </w:r>
      <w:proofErr w:type="spellEnd"/>
      <w:r w:rsidRPr="00DC2FFD">
        <w:rPr>
          <w:rFonts w:eastAsia="Times New Roman"/>
          <w:color w:val="000000"/>
          <w:sz w:val="24"/>
          <w:lang w:val="en-GB"/>
        </w:rPr>
        <w:t xml:space="preserve"> </w:t>
      </w:r>
      <w:proofErr w:type="spellStart"/>
      <w:r w:rsidRPr="00DC2FFD">
        <w:rPr>
          <w:rFonts w:eastAsia="Times New Roman"/>
          <w:color w:val="000000"/>
          <w:sz w:val="24"/>
          <w:lang w:val="en-GB"/>
        </w:rPr>
        <w:t>Petrovac</w:t>
      </w:r>
      <w:proofErr w:type="spellEnd"/>
      <w:r w:rsidRPr="00DC2FFD">
        <w:rPr>
          <w:rFonts w:eastAsia="Times New Roman"/>
          <w:color w:val="000000"/>
          <w:sz w:val="24"/>
          <w:lang w:val="en-GB"/>
        </w:rPr>
        <w:t xml:space="preserve">; Association of Slovakian Journalists, Novi Sad; Association of Slovakian Local Media, </w:t>
      </w:r>
      <w:proofErr w:type="spellStart"/>
      <w:r w:rsidRPr="00DC2FFD">
        <w:rPr>
          <w:rFonts w:eastAsia="Times New Roman"/>
          <w:color w:val="000000"/>
          <w:sz w:val="24"/>
          <w:lang w:val="en-GB"/>
        </w:rPr>
        <w:t>Bački</w:t>
      </w:r>
      <w:proofErr w:type="spellEnd"/>
      <w:r w:rsidRPr="00DC2FFD">
        <w:rPr>
          <w:rFonts w:eastAsia="Times New Roman"/>
          <w:color w:val="000000"/>
          <w:sz w:val="24"/>
          <w:lang w:val="en-GB"/>
        </w:rPr>
        <w:t xml:space="preserve"> </w:t>
      </w:r>
      <w:proofErr w:type="spellStart"/>
      <w:r w:rsidRPr="00DC2FFD">
        <w:rPr>
          <w:rFonts w:eastAsia="Times New Roman"/>
          <w:color w:val="000000"/>
          <w:sz w:val="24"/>
          <w:lang w:val="en-GB"/>
        </w:rPr>
        <w:t>Petrovac</w:t>
      </w:r>
      <w:proofErr w:type="spellEnd"/>
      <w:r w:rsidRPr="00DC2FFD">
        <w:rPr>
          <w:rFonts w:eastAsia="Times New Roman"/>
          <w:color w:val="000000"/>
          <w:sz w:val="24"/>
          <w:lang w:val="en-GB"/>
        </w:rPr>
        <w:t xml:space="preserve">; </w:t>
      </w:r>
      <w:proofErr w:type="spellStart"/>
      <w:r w:rsidRPr="00DC2FFD">
        <w:rPr>
          <w:rFonts w:eastAsia="Times New Roman"/>
          <w:i/>
          <w:iCs/>
          <w:color w:val="000000"/>
          <w:sz w:val="24"/>
          <w:lang w:val="en-GB"/>
        </w:rPr>
        <w:t>Matica</w:t>
      </w:r>
      <w:proofErr w:type="spellEnd"/>
      <w:r w:rsidRPr="00DC2FFD">
        <w:rPr>
          <w:rFonts w:eastAsia="Times New Roman"/>
          <w:i/>
          <w:iCs/>
          <w:color w:val="000000"/>
          <w:sz w:val="24"/>
          <w:lang w:val="en-GB"/>
        </w:rPr>
        <w:t xml:space="preserve"> </w:t>
      </w:r>
      <w:proofErr w:type="spellStart"/>
      <w:r w:rsidRPr="00DC2FFD">
        <w:rPr>
          <w:rFonts w:eastAsia="Times New Roman"/>
          <w:i/>
          <w:iCs/>
          <w:color w:val="000000"/>
          <w:sz w:val="24"/>
          <w:lang w:val="en-GB"/>
        </w:rPr>
        <w:t>slovačka</w:t>
      </w:r>
      <w:proofErr w:type="spellEnd"/>
      <w:r w:rsidRPr="00DC2FFD">
        <w:rPr>
          <w:rFonts w:eastAsia="Times New Roman"/>
          <w:color w:val="000000"/>
          <w:sz w:val="24"/>
          <w:lang w:val="en-GB"/>
        </w:rPr>
        <w:t xml:space="preserve"> in Serbia, </w:t>
      </w:r>
      <w:proofErr w:type="spellStart"/>
      <w:r w:rsidRPr="00DC2FFD">
        <w:rPr>
          <w:rFonts w:eastAsia="Times New Roman"/>
          <w:color w:val="000000"/>
          <w:sz w:val="24"/>
          <w:lang w:val="en-GB"/>
        </w:rPr>
        <w:t>Bački</w:t>
      </w:r>
      <w:proofErr w:type="spellEnd"/>
      <w:r w:rsidRPr="00DC2FFD">
        <w:rPr>
          <w:rFonts w:eastAsia="Times New Roman"/>
          <w:color w:val="000000"/>
          <w:sz w:val="24"/>
          <w:lang w:val="en-GB"/>
        </w:rPr>
        <w:t xml:space="preserve"> </w:t>
      </w:r>
      <w:proofErr w:type="spellStart"/>
      <w:r w:rsidRPr="00DC2FFD">
        <w:rPr>
          <w:rFonts w:eastAsia="Times New Roman"/>
          <w:color w:val="000000"/>
          <w:sz w:val="24"/>
          <w:lang w:val="en-GB"/>
        </w:rPr>
        <w:t>Petrovac</w:t>
      </w:r>
      <w:proofErr w:type="spellEnd"/>
      <w:r w:rsidRPr="00DC2FFD">
        <w:rPr>
          <w:rFonts w:eastAsia="Times New Roman"/>
          <w:color w:val="000000"/>
          <w:sz w:val="24"/>
          <w:lang w:val="en-GB"/>
        </w:rPr>
        <w:t>; Slovenian society in Belgrade - “Sava” society, Belgrade; Association of Slovenians “</w:t>
      </w:r>
      <w:proofErr w:type="spellStart"/>
      <w:r w:rsidRPr="00DC2FFD">
        <w:rPr>
          <w:rFonts w:eastAsia="Times New Roman"/>
          <w:color w:val="000000"/>
          <w:sz w:val="24"/>
          <w:lang w:val="en-GB"/>
        </w:rPr>
        <w:t>Kredarica</w:t>
      </w:r>
      <w:proofErr w:type="spellEnd"/>
      <w:r w:rsidRPr="00DC2FFD">
        <w:rPr>
          <w:rFonts w:eastAsia="Times New Roman"/>
          <w:color w:val="000000"/>
          <w:sz w:val="24"/>
          <w:lang w:val="en-GB"/>
        </w:rPr>
        <w:t>”, Novi Sad; Society for Ukrainian, Literature and Culture “</w:t>
      </w:r>
      <w:proofErr w:type="spellStart"/>
      <w:r w:rsidRPr="00DC2FFD">
        <w:rPr>
          <w:rFonts w:eastAsia="Times New Roman"/>
          <w:color w:val="000000"/>
          <w:sz w:val="24"/>
          <w:lang w:val="en-GB"/>
        </w:rPr>
        <w:t>Prosveta</w:t>
      </w:r>
      <w:proofErr w:type="spellEnd"/>
      <w:r w:rsidRPr="00DC2FFD">
        <w:rPr>
          <w:rFonts w:eastAsia="Times New Roman"/>
          <w:color w:val="000000"/>
          <w:sz w:val="24"/>
          <w:lang w:val="en-GB"/>
        </w:rPr>
        <w:t xml:space="preserve">”, Novi Sad; “Croatian Academic Society”, Subotica; Croatian Educational Society “Bela </w:t>
      </w:r>
      <w:proofErr w:type="spellStart"/>
      <w:r w:rsidRPr="00DC2FFD">
        <w:rPr>
          <w:rFonts w:eastAsia="Times New Roman"/>
          <w:color w:val="000000"/>
          <w:sz w:val="24"/>
          <w:lang w:val="en-GB"/>
        </w:rPr>
        <w:t>Gabrić</w:t>
      </w:r>
      <w:proofErr w:type="spellEnd"/>
      <w:r w:rsidRPr="00DC2FFD">
        <w:rPr>
          <w:rFonts w:eastAsia="Times New Roman"/>
          <w:color w:val="000000"/>
          <w:sz w:val="24"/>
          <w:lang w:val="en-GB"/>
        </w:rPr>
        <w:t xml:space="preserve">”, Subotica; </w:t>
      </w:r>
      <w:proofErr w:type="spellStart"/>
      <w:r w:rsidRPr="00DC2FFD">
        <w:rPr>
          <w:rFonts w:eastAsia="Times New Roman"/>
          <w:i/>
          <w:iCs/>
          <w:color w:val="000000"/>
          <w:sz w:val="24"/>
          <w:lang w:val="en-GB"/>
        </w:rPr>
        <w:t>Matica</w:t>
      </w:r>
      <w:proofErr w:type="spellEnd"/>
      <w:r w:rsidRPr="00DC2FFD">
        <w:rPr>
          <w:rFonts w:eastAsia="Times New Roman"/>
          <w:i/>
          <w:iCs/>
          <w:color w:val="000000"/>
          <w:sz w:val="24"/>
          <w:lang w:val="en-GB"/>
        </w:rPr>
        <w:t xml:space="preserve"> </w:t>
      </w:r>
      <w:proofErr w:type="spellStart"/>
      <w:r w:rsidRPr="00DC2FFD">
        <w:rPr>
          <w:rFonts w:eastAsia="Times New Roman"/>
          <w:i/>
          <w:iCs/>
          <w:color w:val="000000"/>
          <w:sz w:val="24"/>
          <w:lang w:val="en-GB"/>
        </w:rPr>
        <w:t>hrvatska</w:t>
      </w:r>
      <w:proofErr w:type="spellEnd"/>
      <w:r w:rsidRPr="00DC2FFD">
        <w:rPr>
          <w:rFonts w:eastAsia="Times New Roman"/>
          <w:color w:val="000000"/>
          <w:sz w:val="24"/>
          <w:lang w:val="en-GB"/>
        </w:rPr>
        <w:t>, Subotica; “</w:t>
      </w:r>
      <w:proofErr w:type="spellStart"/>
      <w:r w:rsidRPr="00DC2FFD">
        <w:rPr>
          <w:rFonts w:eastAsia="Times New Roman"/>
          <w:color w:val="000000"/>
          <w:sz w:val="24"/>
          <w:lang w:val="en-GB"/>
        </w:rPr>
        <w:t>Češka</w:t>
      </w:r>
      <w:proofErr w:type="spellEnd"/>
      <w:r w:rsidRPr="00DC2FFD">
        <w:rPr>
          <w:rFonts w:eastAsia="Times New Roman"/>
          <w:color w:val="000000"/>
          <w:sz w:val="24"/>
          <w:lang w:val="en-GB"/>
        </w:rPr>
        <w:t xml:space="preserve"> </w:t>
      </w:r>
      <w:proofErr w:type="spellStart"/>
      <w:r w:rsidRPr="00DC2FFD">
        <w:rPr>
          <w:rFonts w:eastAsia="Times New Roman"/>
          <w:color w:val="000000"/>
          <w:sz w:val="24"/>
          <w:lang w:val="en-GB"/>
        </w:rPr>
        <w:t>beseda</w:t>
      </w:r>
      <w:proofErr w:type="spellEnd"/>
      <w:r w:rsidRPr="00DC2FFD">
        <w:rPr>
          <w:rFonts w:eastAsia="Times New Roman"/>
          <w:color w:val="000000"/>
          <w:sz w:val="24"/>
          <w:lang w:val="en-GB"/>
        </w:rPr>
        <w:t xml:space="preserve">”, Bela </w:t>
      </w:r>
      <w:proofErr w:type="spellStart"/>
      <w:r w:rsidRPr="00DC2FFD">
        <w:rPr>
          <w:rFonts w:eastAsia="Times New Roman"/>
          <w:color w:val="000000"/>
          <w:sz w:val="24"/>
          <w:lang w:val="en-GB"/>
        </w:rPr>
        <w:t>Crkva</w:t>
      </w:r>
      <w:proofErr w:type="spellEnd"/>
      <w:r w:rsidRPr="00DC2FFD">
        <w:rPr>
          <w:rFonts w:eastAsia="Times New Roman"/>
          <w:color w:val="000000"/>
          <w:sz w:val="24"/>
          <w:lang w:val="en-GB"/>
        </w:rPr>
        <w:t xml:space="preserve">; </w:t>
      </w:r>
      <w:proofErr w:type="spellStart"/>
      <w:r w:rsidRPr="00DC2FFD">
        <w:rPr>
          <w:rFonts w:eastAsia="Times New Roman"/>
          <w:i/>
          <w:iCs/>
          <w:color w:val="000000"/>
          <w:sz w:val="24"/>
          <w:lang w:val="en-GB"/>
        </w:rPr>
        <w:t>Matica</w:t>
      </w:r>
      <w:proofErr w:type="spellEnd"/>
      <w:r w:rsidRPr="00DC2FFD">
        <w:rPr>
          <w:rFonts w:eastAsia="Times New Roman"/>
          <w:i/>
          <w:iCs/>
          <w:color w:val="000000"/>
          <w:sz w:val="24"/>
          <w:lang w:val="en-GB"/>
        </w:rPr>
        <w:t xml:space="preserve"> </w:t>
      </w:r>
      <w:proofErr w:type="spellStart"/>
      <w:r w:rsidRPr="00DC2FFD">
        <w:rPr>
          <w:rFonts w:eastAsia="Times New Roman"/>
          <w:i/>
          <w:iCs/>
          <w:color w:val="000000"/>
          <w:sz w:val="24"/>
          <w:lang w:val="en-GB"/>
        </w:rPr>
        <w:t>češka</w:t>
      </w:r>
      <w:proofErr w:type="spellEnd"/>
      <w:r w:rsidRPr="00DC2FFD">
        <w:rPr>
          <w:rFonts w:eastAsia="Times New Roman"/>
          <w:color w:val="000000"/>
          <w:sz w:val="24"/>
          <w:lang w:val="en-GB"/>
        </w:rPr>
        <w:t xml:space="preserve">, Bela </w:t>
      </w:r>
      <w:proofErr w:type="spellStart"/>
      <w:r w:rsidRPr="00DC2FFD">
        <w:rPr>
          <w:rFonts w:eastAsia="Times New Roman"/>
          <w:color w:val="000000"/>
          <w:sz w:val="24"/>
          <w:lang w:val="en-GB"/>
        </w:rPr>
        <w:t>Crkva</w:t>
      </w:r>
      <w:proofErr w:type="spellEnd"/>
      <w:r w:rsidRPr="00DC2FFD">
        <w:rPr>
          <w:rFonts w:eastAsia="Times New Roman"/>
          <w:color w:val="000000"/>
          <w:sz w:val="24"/>
          <w:lang w:val="en-GB"/>
        </w:rPr>
        <w:t>; Association of Greeks and friends of Greece “</w:t>
      </w:r>
      <w:proofErr w:type="spellStart"/>
      <w:r w:rsidRPr="00DC2FFD">
        <w:rPr>
          <w:rFonts w:eastAsia="Times New Roman"/>
          <w:color w:val="000000"/>
          <w:sz w:val="24"/>
          <w:lang w:val="en-GB"/>
        </w:rPr>
        <w:t>Eleftherios</w:t>
      </w:r>
      <w:proofErr w:type="spellEnd"/>
      <w:r w:rsidRPr="00DC2FFD">
        <w:rPr>
          <w:rFonts w:eastAsia="Times New Roman"/>
          <w:color w:val="000000"/>
          <w:sz w:val="24"/>
          <w:lang w:val="en-GB"/>
        </w:rPr>
        <w:t xml:space="preserve"> Venizelos,” Novi Sad; “Jewish Centre for Culture and Arts Programmes”, Belgrade; Association of Citizens of Montenegrin Nationality “Montenegro”, Belgrade; Association of Montenegrins of Serbia “</w:t>
      </w:r>
      <w:proofErr w:type="spellStart"/>
      <w:r w:rsidRPr="00DC2FFD">
        <w:rPr>
          <w:rFonts w:eastAsia="Times New Roman"/>
          <w:color w:val="000000"/>
          <w:sz w:val="24"/>
          <w:lang w:val="en-GB"/>
        </w:rPr>
        <w:t>Krstaš</w:t>
      </w:r>
      <w:proofErr w:type="spellEnd"/>
      <w:r w:rsidRPr="00DC2FFD">
        <w:rPr>
          <w:rFonts w:eastAsia="Times New Roman"/>
          <w:color w:val="000000"/>
          <w:sz w:val="24"/>
          <w:lang w:val="en-GB"/>
        </w:rPr>
        <w:t xml:space="preserve">”, </w:t>
      </w:r>
      <w:proofErr w:type="spellStart"/>
      <w:r w:rsidRPr="00DC2FFD">
        <w:rPr>
          <w:rFonts w:eastAsia="Times New Roman"/>
          <w:color w:val="000000"/>
          <w:sz w:val="24"/>
          <w:lang w:val="en-GB"/>
        </w:rPr>
        <w:t>Lovćevac</w:t>
      </w:r>
      <w:proofErr w:type="spellEnd"/>
      <w:r w:rsidRPr="00DC2FFD">
        <w:rPr>
          <w:rFonts w:eastAsia="Times New Roman"/>
          <w:color w:val="000000"/>
          <w:sz w:val="24"/>
          <w:lang w:val="en-GB"/>
        </w:rPr>
        <w:t>;  “</w:t>
      </w:r>
      <w:proofErr w:type="spellStart"/>
      <w:r w:rsidRPr="00DC2FFD">
        <w:rPr>
          <w:rFonts w:eastAsia="Times New Roman"/>
          <w:color w:val="000000"/>
          <w:sz w:val="24"/>
          <w:lang w:val="en-GB"/>
        </w:rPr>
        <w:t>Banatski</w:t>
      </w:r>
      <w:proofErr w:type="spellEnd"/>
      <w:r w:rsidRPr="00DC2FFD">
        <w:rPr>
          <w:rFonts w:eastAsia="Times New Roman"/>
          <w:color w:val="000000"/>
          <w:sz w:val="24"/>
          <w:lang w:val="en-GB"/>
        </w:rPr>
        <w:t xml:space="preserve"> </w:t>
      </w:r>
      <w:proofErr w:type="spellStart"/>
      <w:r w:rsidRPr="00DC2FFD">
        <w:rPr>
          <w:rFonts w:eastAsia="Times New Roman"/>
          <w:color w:val="000000"/>
          <w:sz w:val="24"/>
          <w:lang w:val="en-GB"/>
        </w:rPr>
        <w:t>Poljaci</w:t>
      </w:r>
      <w:proofErr w:type="spellEnd"/>
      <w:r w:rsidRPr="00DC2FFD">
        <w:rPr>
          <w:rFonts w:eastAsia="Times New Roman"/>
          <w:color w:val="000000"/>
          <w:sz w:val="24"/>
          <w:lang w:val="en-GB"/>
        </w:rPr>
        <w:t xml:space="preserve">”, </w:t>
      </w:r>
      <w:proofErr w:type="spellStart"/>
      <w:r w:rsidRPr="00DC2FFD">
        <w:rPr>
          <w:rFonts w:eastAsia="Times New Roman"/>
          <w:color w:val="000000"/>
          <w:sz w:val="24"/>
          <w:lang w:val="en-GB"/>
        </w:rPr>
        <w:t>Ostojićevo</w:t>
      </w:r>
      <w:proofErr w:type="spellEnd"/>
      <w:r w:rsidRPr="00DC2FFD">
        <w:rPr>
          <w:rFonts w:eastAsia="Times New Roman"/>
          <w:color w:val="000000"/>
          <w:sz w:val="24"/>
          <w:lang w:val="en-GB"/>
        </w:rPr>
        <w:t>; Citizens Association “</w:t>
      </w:r>
      <w:proofErr w:type="spellStart"/>
      <w:r w:rsidRPr="00DC2FFD">
        <w:rPr>
          <w:rFonts w:eastAsia="Times New Roman"/>
          <w:color w:val="000000"/>
          <w:sz w:val="24"/>
          <w:lang w:val="en-GB"/>
        </w:rPr>
        <w:t>Ruski</w:t>
      </w:r>
      <w:proofErr w:type="spellEnd"/>
      <w:r w:rsidRPr="00DC2FFD">
        <w:rPr>
          <w:rFonts w:eastAsia="Times New Roman"/>
          <w:color w:val="000000"/>
          <w:sz w:val="24"/>
          <w:lang w:val="en-GB"/>
        </w:rPr>
        <w:t xml:space="preserve"> </w:t>
      </w:r>
      <w:proofErr w:type="spellStart"/>
      <w:r w:rsidRPr="00DC2FFD">
        <w:rPr>
          <w:rFonts w:eastAsia="Times New Roman"/>
          <w:color w:val="000000"/>
          <w:sz w:val="24"/>
          <w:lang w:val="en-GB"/>
        </w:rPr>
        <w:t>talas</w:t>
      </w:r>
      <w:proofErr w:type="spellEnd"/>
      <w:r w:rsidRPr="00DC2FFD">
        <w:rPr>
          <w:rFonts w:eastAsia="Times New Roman"/>
          <w:color w:val="000000"/>
          <w:sz w:val="24"/>
          <w:lang w:val="en-GB"/>
        </w:rPr>
        <w:t xml:space="preserve">”, </w:t>
      </w:r>
      <w:proofErr w:type="spellStart"/>
      <w:r w:rsidRPr="00DC2FFD">
        <w:rPr>
          <w:rFonts w:eastAsia="Times New Roman"/>
          <w:color w:val="000000"/>
          <w:sz w:val="24"/>
          <w:lang w:val="en-GB"/>
        </w:rPr>
        <w:t>Zemun</w:t>
      </w:r>
      <w:proofErr w:type="spellEnd"/>
      <w:r w:rsidRPr="00DC2FFD">
        <w:rPr>
          <w:rFonts w:eastAsia="Times New Roman"/>
          <w:color w:val="000000"/>
          <w:sz w:val="24"/>
          <w:lang w:val="en-GB"/>
        </w:rPr>
        <w:t>; Russian Cultural Centre, Novi Sad.</w:t>
      </w:r>
    </w:p>
    <w:p w14:paraId="42E080B0" w14:textId="77777777" w:rsidR="00DC2FFD" w:rsidRPr="00DC2FFD" w:rsidRDefault="00DC2FFD" w:rsidP="00DC2FFD">
      <w:pPr>
        <w:tabs>
          <w:tab w:val="left" w:pos="745"/>
        </w:tabs>
        <w:spacing w:after="0"/>
        <w:ind w:left="20" w:right="20"/>
        <w:jc w:val="both"/>
        <w:rPr>
          <w:rFonts w:eastAsia="Times New Roman"/>
          <w:color w:val="000000"/>
          <w:sz w:val="24"/>
          <w:szCs w:val="24"/>
          <w:lang w:val="en-GB"/>
        </w:rPr>
      </w:pPr>
      <w:r w:rsidRPr="00DC2FFD">
        <w:rPr>
          <w:rFonts w:eastAsia="Times New Roman"/>
          <w:i/>
          <w:color w:val="000000"/>
          <w:sz w:val="24"/>
          <w:lang w:val="en-GB"/>
        </w:rPr>
        <w:tab/>
      </w:r>
      <w:r w:rsidRPr="00DC2FFD">
        <w:rPr>
          <w:rFonts w:eastAsia="Times New Roman"/>
          <w:color w:val="000000"/>
          <w:sz w:val="24"/>
          <w:lang w:val="en-GB"/>
        </w:rPr>
        <w:t xml:space="preserve">The invitation to participate in the development of the Fifth Report on the implementation of the Framework Convention was answered only by the National Council of the </w:t>
      </w:r>
      <w:proofErr w:type="spellStart"/>
      <w:r w:rsidRPr="00DC2FFD">
        <w:rPr>
          <w:rFonts w:eastAsia="Times New Roman"/>
          <w:color w:val="000000"/>
          <w:sz w:val="24"/>
          <w:lang w:val="en-GB"/>
        </w:rPr>
        <w:t>Bosniak</w:t>
      </w:r>
      <w:proofErr w:type="spellEnd"/>
      <w:r w:rsidRPr="00DC2FFD">
        <w:rPr>
          <w:rFonts w:eastAsia="Times New Roman"/>
          <w:color w:val="000000"/>
          <w:sz w:val="24"/>
          <w:lang w:val="en-GB"/>
        </w:rPr>
        <w:t xml:space="preserve"> National Minority, even though invitations had been sent to all national councils. The following associations also answered the invitation: Society for </w:t>
      </w:r>
      <w:proofErr w:type="spellStart"/>
      <w:r w:rsidRPr="00DC2FFD">
        <w:rPr>
          <w:rFonts w:eastAsia="Times New Roman"/>
          <w:color w:val="000000"/>
          <w:sz w:val="24"/>
          <w:lang w:val="en-GB"/>
        </w:rPr>
        <w:t>Ruthenian</w:t>
      </w:r>
      <w:proofErr w:type="spellEnd"/>
      <w:r w:rsidRPr="00DC2FFD">
        <w:rPr>
          <w:rFonts w:eastAsia="Times New Roman"/>
          <w:color w:val="000000"/>
          <w:sz w:val="24"/>
          <w:lang w:val="en-GB"/>
        </w:rPr>
        <w:t xml:space="preserve"> Language, Literature and Culture, Novi Sad; Association “</w:t>
      </w:r>
      <w:proofErr w:type="spellStart"/>
      <w:r w:rsidRPr="00DC2FFD">
        <w:rPr>
          <w:rFonts w:eastAsia="Times New Roman"/>
          <w:color w:val="000000"/>
          <w:sz w:val="24"/>
          <w:lang w:val="en-GB"/>
        </w:rPr>
        <w:t>Gergina</w:t>
      </w:r>
      <w:proofErr w:type="spellEnd"/>
      <w:r w:rsidRPr="00DC2FFD">
        <w:rPr>
          <w:rFonts w:eastAsia="Times New Roman"/>
          <w:color w:val="000000"/>
          <w:sz w:val="24"/>
          <w:lang w:val="en-GB"/>
        </w:rPr>
        <w:t xml:space="preserve">”, </w:t>
      </w:r>
      <w:proofErr w:type="spellStart"/>
      <w:r w:rsidRPr="00DC2FFD">
        <w:rPr>
          <w:rFonts w:eastAsia="Times New Roman"/>
          <w:color w:val="000000"/>
          <w:sz w:val="24"/>
          <w:lang w:val="en-GB"/>
        </w:rPr>
        <w:t>Negotin</w:t>
      </w:r>
      <w:proofErr w:type="spellEnd"/>
      <w:r w:rsidRPr="00DC2FFD">
        <w:rPr>
          <w:rFonts w:eastAsia="Times New Roman"/>
          <w:color w:val="000000"/>
          <w:sz w:val="24"/>
          <w:lang w:val="en-GB"/>
        </w:rPr>
        <w:t xml:space="preserve">; Citizens Association Roma Production Roma World, </w:t>
      </w:r>
      <w:proofErr w:type="spellStart"/>
      <w:r w:rsidRPr="00DC2FFD">
        <w:rPr>
          <w:rFonts w:eastAsia="Times New Roman"/>
          <w:color w:val="000000"/>
          <w:sz w:val="24"/>
          <w:lang w:val="en-GB"/>
        </w:rPr>
        <w:t>Niš</w:t>
      </w:r>
      <w:proofErr w:type="spellEnd"/>
      <w:r w:rsidRPr="00DC2FFD">
        <w:rPr>
          <w:rFonts w:eastAsia="Times New Roman"/>
          <w:color w:val="000000"/>
          <w:sz w:val="24"/>
          <w:lang w:val="en-GB"/>
        </w:rPr>
        <w:t xml:space="preserve"> and Committee for Human Rights, </w:t>
      </w:r>
      <w:proofErr w:type="spellStart"/>
      <w:r w:rsidRPr="00DC2FFD">
        <w:rPr>
          <w:rFonts w:eastAsia="Times New Roman"/>
          <w:color w:val="000000"/>
          <w:sz w:val="24"/>
          <w:lang w:val="en-GB"/>
        </w:rPr>
        <w:t>Bujanovac</w:t>
      </w:r>
      <w:proofErr w:type="spellEnd"/>
      <w:r w:rsidRPr="00DC2FFD">
        <w:rPr>
          <w:rFonts w:eastAsia="Times New Roman"/>
          <w:color w:val="000000"/>
          <w:sz w:val="24"/>
          <w:lang w:val="en-GB"/>
        </w:rPr>
        <w:t>. Their main observations on certain matters relating to the status of national minorities are presented within the framework of the implementation of certain provisions contained in the Fifth Report on the implementation of the Framework Convention. Views and observations of the national councils and associations do not necessarily reflect the opinions and findings of state authorities.</w:t>
      </w:r>
    </w:p>
    <w:p w14:paraId="39B5BAE7" w14:textId="77777777" w:rsidR="00DC2FFD" w:rsidRPr="00DC2FFD" w:rsidRDefault="00DC2FFD" w:rsidP="00DC2FFD">
      <w:pPr>
        <w:tabs>
          <w:tab w:val="left" w:pos="745"/>
        </w:tabs>
        <w:spacing w:after="0"/>
        <w:ind w:left="20" w:right="20"/>
        <w:jc w:val="both"/>
        <w:rPr>
          <w:rFonts w:eastAsia="Times New Roman"/>
          <w:i/>
          <w:color w:val="000000"/>
          <w:sz w:val="24"/>
          <w:szCs w:val="24"/>
          <w:lang w:val="en-GB"/>
        </w:rPr>
      </w:pPr>
      <w:r w:rsidRPr="00DC2FFD">
        <w:rPr>
          <w:rFonts w:eastAsia="Times New Roman"/>
          <w:color w:val="000000"/>
          <w:sz w:val="24"/>
          <w:lang w:val="en-GB"/>
        </w:rPr>
        <w:tab/>
      </w:r>
    </w:p>
    <w:p w14:paraId="0BCFF707" w14:textId="77777777" w:rsidR="00DC2FFD" w:rsidRPr="00DC2FFD" w:rsidRDefault="00DC2FFD" w:rsidP="00DC2FFD">
      <w:pPr>
        <w:numPr>
          <w:ilvl w:val="2"/>
          <w:numId w:val="1"/>
        </w:numPr>
        <w:tabs>
          <w:tab w:val="left" w:pos="745"/>
        </w:tabs>
        <w:spacing w:after="0"/>
        <w:ind w:left="740" w:right="20" w:hanging="720"/>
        <w:jc w:val="both"/>
        <w:rPr>
          <w:rFonts w:eastAsia="Times New Roman"/>
          <w:i/>
          <w:color w:val="000000"/>
          <w:sz w:val="24"/>
          <w:szCs w:val="24"/>
          <w:lang w:val="en-GB"/>
        </w:rPr>
      </w:pPr>
      <w:r w:rsidRPr="00DC2FFD">
        <w:rPr>
          <w:rFonts w:eastAsia="Times New Roman"/>
          <w:i/>
          <w:color w:val="000000"/>
          <w:sz w:val="24"/>
          <w:lang w:val="en-GB"/>
        </w:rPr>
        <w:t>All other measures undertaken to promote the knowledge of the Framework Convention among national minorities, civil servants and the public.</w:t>
      </w:r>
    </w:p>
    <w:p w14:paraId="4444897B" w14:textId="77777777" w:rsidR="00DC2FFD" w:rsidRPr="00DC2FFD" w:rsidRDefault="00DC2FFD" w:rsidP="00DC2FFD">
      <w:pPr>
        <w:tabs>
          <w:tab w:val="left" w:pos="745"/>
        </w:tabs>
        <w:spacing w:after="0"/>
        <w:ind w:left="20" w:right="20"/>
        <w:jc w:val="both"/>
        <w:rPr>
          <w:rFonts w:eastAsia="Times New Roman"/>
          <w:i/>
          <w:color w:val="000000"/>
          <w:sz w:val="24"/>
          <w:szCs w:val="24"/>
          <w:lang w:val="sr-Cyrl-RS"/>
        </w:rPr>
      </w:pPr>
    </w:p>
    <w:p w14:paraId="145B0788" w14:textId="77777777" w:rsidR="00DC2FFD" w:rsidRPr="00DC2FFD" w:rsidRDefault="00DC2FFD" w:rsidP="00DC2FFD">
      <w:pPr>
        <w:spacing w:after="0"/>
        <w:ind w:firstLine="720"/>
        <w:jc w:val="both"/>
        <w:rPr>
          <w:sz w:val="24"/>
          <w:szCs w:val="24"/>
          <w:lang w:val="en-GB"/>
        </w:rPr>
      </w:pPr>
      <w:r w:rsidRPr="00DC2FFD">
        <w:rPr>
          <w:sz w:val="24"/>
          <w:lang w:val="en-GB"/>
        </w:rPr>
        <w:t xml:space="preserve">The 2016 Action Plan for exercise of the rights of national minorities provided for approximately 80 different developers, including ministries and other competent authorities, national councils of national minorities, provincial institutions, tertiary education establishments, regulatory bodies etc. Reporting in 2017 included 76 multi-ethnic local self-government units and 53 councils for inter-ethnic relations, which have been established at the level of self-government units. After local self-government units and councils for inter-ethnic relations had been included in the reporting, the then Office for Human and Minority Rights, which was preparing reports on the implementation of the Action Plan, with a view to improving the quality of reporting on the implemented activities, strengthening the capacities of employees in local self-governments and, most of all, learning about the Conventions of the </w:t>
      </w:r>
      <w:r w:rsidRPr="00DC2FFD">
        <w:rPr>
          <w:sz w:val="24"/>
          <w:lang w:val="en-GB"/>
        </w:rPr>
        <w:lastRenderedPageBreak/>
        <w:t>Council of Europe and recommendations of the Advisory Committee of the Framework Convention for the Protection of National Minorities, held the following trainings in 2017:</w:t>
      </w:r>
    </w:p>
    <w:p w14:paraId="033CA9B4" w14:textId="77777777" w:rsidR="00DC2FFD" w:rsidRPr="00DC2FFD" w:rsidRDefault="00DC2FFD" w:rsidP="00DC2FFD">
      <w:pPr>
        <w:spacing w:after="0"/>
        <w:ind w:firstLine="720"/>
        <w:jc w:val="both"/>
        <w:rPr>
          <w:sz w:val="24"/>
          <w:szCs w:val="24"/>
          <w:lang w:val="en-GB"/>
        </w:rPr>
      </w:pPr>
      <w:r w:rsidRPr="00DC2FFD">
        <w:rPr>
          <w:sz w:val="24"/>
          <w:lang w:val="en-GB"/>
        </w:rPr>
        <w:t xml:space="preserve">- on 25 September in </w:t>
      </w:r>
      <w:proofErr w:type="spellStart"/>
      <w:r w:rsidRPr="00DC2FFD">
        <w:rPr>
          <w:sz w:val="24"/>
          <w:lang w:val="en-GB"/>
        </w:rPr>
        <w:t>Niš</w:t>
      </w:r>
      <w:proofErr w:type="spellEnd"/>
      <w:r w:rsidRPr="00DC2FFD">
        <w:rPr>
          <w:sz w:val="24"/>
          <w:lang w:val="en-GB"/>
        </w:rPr>
        <w:t xml:space="preserve">, for representatives of 12 local self-governments from South Serbia,  </w:t>
      </w:r>
    </w:p>
    <w:p w14:paraId="494701D5" w14:textId="77777777" w:rsidR="00DC2FFD" w:rsidRPr="00DC2FFD" w:rsidRDefault="00DC2FFD" w:rsidP="00DC2FFD">
      <w:pPr>
        <w:spacing w:after="0"/>
        <w:ind w:firstLine="720"/>
        <w:jc w:val="both"/>
        <w:rPr>
          <w:sz w:val="24"/>
          <w:szCs w:val="24"/>
          <w:lang w:val="en-GB"/>
        </w:rPr>
      </w:pPr>
      <w:r w:rsidRPr="00DC2FFD">
        <w:rPr>
          <w:sz w:val="24"/>
          <w:lang w:val="en-GB"/>
        </w:rPr>
        <w:t xml:space="preserve">- on 27 September in Novi Sad, for representatives of 40 local self-governments from the Autonomous Province of </w:t>
      </w:r>
      <w:proofErr w:type="spellStart"/>
      <w:r w:rsidRPr="00DC2FFD">
        <w:rPr>
          <w:sz w:val="24"/>
          <w:lang w:val="en-GB"/>
        </w:rPr>
        <w:t>Vojvodina</w:t>
      </w:r>
      <w:proofErr w:type="spellEnd"/>
      <w:r w:rsidRPr="00DC2FFD">
        <w:rPr>
          <w:sz w:val="24"/>
          <w:lang w:val="en-GB"/>
        </w:rPr>
        <w:t>.</w:t>
      </w:r>
    </w:p>
    <w:p w14:paraId="441E1F00" w14:textId="77777777" w:rsidR="00DC2FFD" w:rsidRPr="00DC2FFD" w:rsidRDefault="00DC2FFD" w:rsidP="00DC2FFD">
      <w:pPr>
        <w:spacing w:after="0"/>
        <w:ind w:firstLine="720"/>
        <w:jc w:val="both"/>
        <w:rPr>
          <w:sz w:val="24"/>
          <w:szCs w:val="24"/>
          <w:lang w:val="en-GB"/>
        </w:rPr>
      </w:pPr>
      <w:r w:rsidRPr="00DC2FFD">
        <w:rPr>
          <w:sz w:val="24"/>
          <w:lang w:val="en-GB"/>
        </w:rPr>
        <w:t xml:space="preserve">The Office for Human and Minority Rights, in collaboration with the Council of Europe Office in Belgrade, within the framework of the project </w:t>
      </w:r>
      <w:r w:rsidRPr="00DC2FFD">
        <w:rPr>
          <w:i/>
          <w:iCs/>
          <w:sz w:val="24"/>
          <w:lang w:val="en-GB"/>
        </w:rPr>
        <w:t>Strengthening the protection of national minorities in Serbia</w:t>
      </w:r>
      <w:r w:rsidRPr="00DC2FFD">
        <w:rPr>
          <w:sz w:val="24"/>
          <w:lang w:val="en-GB"/>
        </w:rPr>
        <w:t xml:space="preserve">, which was a part of the joint programme of the European Union/Council of Europe “Horizontal Facility for Western Balkans and Turkey” (phase 1), organised a presentation of results relating to the implementation of the Action Plan for the Exercise of the Rights of National Minorities. </w:t>
      </w:r>
    </w:p>
    <w:p w14:paraId="52980C94" w14:textId="77777777" w:rsidR="00DC2FFD" w:rsidRPr="00DC2FFD" w:rsidRDefault="00DC2FFD" w:rsidP="00DC2FFD">
      <w:pPr>
        <w:spacing w:after="0"/>
        <w:ind w:firstLine="720"/>
        <w:jc w:val="both"/>
        <w:rPr>
          <w:sz w:val="24"/>
          <w:szCs w:val="24"/>
          <w:lang w:val="en-GB"/>
        </w:rPr>
      </w:pPr>
      <w:r w:rsidRPr="00DC2FFD">
        <w:rPr>
          <w:sz w:val="24"/>
          <w:lang w:val="en-GB"/>
        </w:rPr>
        <w:t xml:space="preserve">Within this project, an Analysis of the Report on the implementation of the Action Plan for the Exercise of the Rights of National Minorities has been developed, containing recommendations for further improvements in accordance with the standards of the Council of Europe and the European Union. The analysis was prepared by experts on the basis of interim reports on the implementation of the Action Plan and on the basis of conversations with persons in charge of preparing reports in certain authorities and bodies, in view of the European standards in this field, primarily the provisions of the Framework Convention for the Protection of National Minorities of the Council of Europe. </w:t>
      </w:r>
    </w:p>
    <w:p w14:paraId="2E2771D8" w14:textId="77777777" w:rsidR="00DC2FFD" w:rsidRPr="00DC2FFD" w:rsidRDefault="00DC2FFD" w:rsidP="00DC2FFD">
      <w:pPr>
        <w:spacing w:after="0"/>
        <w:ind w:firstLine="720"/>
        <w:jc w:val="both"/>
        <w:rPr>
          <w:sz w:val="24"/>
          <w:szCs w:val="24"/>
          <w:lang w:val="en-GB"/>
        </w:rPr>
      </w:pPr>
      <w:r w:rsidRPr="00DC2FFD">
        <w:rPr>
          <w:sz w:val="24"/>
          <w:lang w:val="en-GB"/>
        </w:rPr>
        <w:t>This presentation was attended by representatives of state authorities, international organisations, independent state authorities and national councils of national minorities, They agreed that, since the adoption of the Action Plan, considerable progress had been made in terms of improvement of legal solutions and their more consistent application, as well as enhancing human and material capacities in certain areas of social life where the rights of national minorities are exercised, as clearly shown in reports.</w:t>
      </w:r>
    </w:p>
    <w:p w14:paraId="3A472A69" w14:textId="77777777" w:rsidR="00DC2FFD" w:rsidRPr="00DC2FFD" w:rsidRDefault="00DC2FFD" w:rsidP="00DC2FFD">
      <w:pPr>
        <w:spacing w:after="0"/>
        <w:ind w:firstLine="720"/>
        <w:jc w:val="both"/>
        <w:rPr>
          <w:sz w:val="24"/>
          <w:szCs w:val="24"/>
          <w:lang w:val="en-GB"/>
        </w:rPr>
      </w:pPr>
      <w:r w:rsidRPr="00DC2FFD">
        <w:rPr>
          <w:sz w:val="24"/>
          <w:lang w:val="en-GB"/>
        </w:rPr>
        <w:t>Also, significant measures were undertaken for promotion of awareness on the Framework Convention, as provided for in the Rulebook establishing a general programme of professional development for civil servants in state administration bodies and Government agencies.</w:t>
      </w:r>
      <w:r w:rsidRPr="00DC2FFD">
        <w:rPr>
          <w:sz w:val="24"/>
          <w:szCs w:val="24"/>
          <w:vertAlign w:val="superscript"/>
          <w:lang w:val="sr-Cyrl-RS"/>
        </w:rPr>
        <w:footnoteReference w:id="1"/>
      </w:r>
      <w:r w:rsidRPr="00DC2FFD">
        <w:rPr>
          <w:sz w:val="24"/>
          <w:lang w:val="en-GB"/>
        </w:rPr>
        <w:t xml:space="preserve"> Within the framework of the Programme of Professional Development for Civil Servants, the programme area Protection of human rights and data confidentiality was established, together with accompanying thematic areas such as Protection from discrimination, Discrimination before state authorities, Personal data protection, Data confidentiality protection, Rights of persons belonging to national minorities, Mechanisms for monitoring the state of human rights in the Republic of Serbia with an emphasis of particularly vulnerable groups, and Enforcement of the decisions of the European Court of Human Rights. The objective of the thematic area Rights of persons belonging to national minorities is for the attendees to be informed on the rights of persons belonging to national minorities which have been defined in applicable regulations and international standards, informed about the method and procedure for exercise and protection of the rights of national minorities, as well as competent authorities for matters from this area, to gain knowledge on national councils of national minorities, be informed about the obligations of the Republic of Serbia in the process </w:t>
      </w:r>
      <w:r w:rsidRPr="00DC2FFD">
        <w:rPr>
          <w:sz w:val="24"/>
          <w:lang w:val="en-GB"/>
        </w:rPr>
        <w:lastRenderedPageBreak/>
        <w:t>of European integration as regards the rights of persons belonging to national minorities.  The target group in trainings which are organised within this thematic area are all civil servants, and the anticipated outcome is improvement and gaining new knowledge, as well as raising awareness of civil servants on the rights of national minorities on the method and procedure of exercise and protection of human rights. The trainings are continuously implemented.</w:t>
      </w:r>
    </w:p>
    <w:p w14:paraId="5732C7CC" w14:textId="77777777" w:rsidR="00DC2FFD" w:rsidRPr="00DC2FFD" w:rsidRDefault="00DC2FFD" w:rsidP="00DC2FFD">
      <w:pPr>
        <w:spacing w:after="0"/>
        <w:jc w:val="both"/>
        <w:rPr>
          <w:sz w:val="24"/>
          <w:szCs w:val="24"/>
          <w:lang w:val="sr-Cyrl-RS"/>
        </w:rPr>
      </w:pPr>
    </w:p>
    <w:p w14:paraId="5227CC27" w14:textId="77777777" w:rsidR="00DC2FFD" w:rsidRPr="00DC2FFD" w:rsidRDefault="00DC2FFD" w:rsidP="00DC2FFD">
      <w:pPr>
        <w:keepNext/>
        <w:spacing w:after="0" w:line="240" w:lineRule="auto"/>
        <w:outlineLvl w:val="0"/>
        <w:rPr>
          <w:rFonts w:eastAsia="Times New Roman"/>
          <w:b/>
          <w:sz w:val="24"/>
          <w:szCs w:val="24"/>
          <w:lang w:val="en-GB"/>
        </w:rPr>
      </w:pPr>
      <w:bookmarkStart w:id="4" w:name="_Toc112932706"/>
      <w:r w:rsidRPr="00DC2FFD">
        <w:rPr>
          <w:rFonts w:eastAsia="Times New Roman"/>
          <w:b/>
          <w:sz w:val="24"/>
          <w:szCs w:val="24"/>
          <w:lang w:val="en-GB"/>
        </w:rPr>
        <w:t>III Measures undertaken to resolve key issues</w:t>
      </w:r>
      <w:bookmarkEnd w:id="4"/>
    </w:p>
    <w:p w14:paraId="5BCFD559" w14:textId="77777777" w:rsidR="00DC2FFD" w:rsidRPr="00DC2FFD" w:rsidRDefault="00DC2FFD" w:rsidP="00DC2FFD">
      <w:pPr>
        <w:spacing w:after="0"/>
        <w:jc w:val="both"/>
        <w:rPr>
          <w:b/>
          <w:sz w:val="24"/>
          <w:szCs w:val="24"/>
          <w:lang w:val="en-GB"/>
        </w:rPr>
      </w:pPr>
    </w:p>
    <w:p w14:paraId="4F38A7B9" w14:textId="77777777" w:rsidR="00DC2FFD" w:rsidRPr="00DC2FFD" w:rsidRDefault="00DC2FFD" w:rsidP="00DC2FFD">
      <w:pPr>
        <w:spacing w:after="0"/>
        <w:jc w:val="both"/>
        <w:rPr>
          <w:i/>
          <w:sz w:val="24"/>
          <w:szCs w:val="24"/>
          <w:lang w:val="en-GB"/>
        </w:rPr>
      </w:pPr>
      <w:r w:rsidRPr="00DC2FFD">
        <w:rPr>
          <w:i/>
          <w:sz w:val="24"/>
          <w:lang w:val="en-GB"/>
        </w:rPr>
        <w:t>1. Raise awareness of persons belonging to the Roma minority living in informal settlements as well as relevant community workers about the legislative standards and the remedies available to victims of discrimination; continue and intensify resolutely addressing structural discrimination faced by Roma with regard to their citizenship status, as well as housing, healthcare, education  and employment, including by taking the necessary affirmative measures to address the root causes of the discrimination they face; eliminate all forms of segregation of Roma children and include them in mainstream education; redouble efforts to combat school absenteeism and early dropouts among Roma children, including by expanding and developing the long-term use of pedagogical assistants; step up efforts to improve participation of Roma in the economic and social life, by designing policy measures based on disaggregated data, setting up clear indicators, monitoring them in close co-operation with representatives of the Roma, with a view to adapting and strengthening them on a periodical basis.</w:t>
      </w:r>
    </w:p>
    <w:p w14:paraId="4B874FBB" w14:textId="77777777" w:rsidR="00DC2FFD" w:rsidRPr="00DC2FFD" w:rsidRDefault="00DC2FFD" w:rsidP="00DC2FFD">
      <w:pPr>
        <w:spacing w:after="0"/>
        <w:jc w:val="both"/>
        <w:rPr>
          <w:sz w:val="24"/>
          <w:szCs w:val="24"/>
          <w:lang w:val="sr-Cyrl-RS"/>
        </w:rPr>
      </w:pPr>
    </w:p>
    <w:p w14:paraId="2BB0BE7E" w14:textId="2DAAE573" w:rsidR="00DC2FFD" w:rsidRPr="00DC2FFD" w:rsidRDefault="00DC2FFD" w:rsidP="00296435">
      <w:pPr>
        <w:spacing w:after="0"/>
        <w:ind w:firstLine="720"/>
        <w:jc w:val="both"/>
        <w:rPr>
          <w:sz w:val="24"/>
          <w:szCs w:val="24"/>
          <w:lang w:val="sr-Cyrl-RS"/>
        </w:rPr>
      </w:pPr>
      <w:r w:rsidRPr="00DC2FFD">
        <w:rPr>
          <w:sz w:val="24"/>
          <w:lang w:val="en-GB"/>
        </w:rPr>
        <w:t>The Republic of Serbia implements a series of activities aimed at improving the status of persons belonging to the Roma minority, including measures for resolving the causes of the discrimination they are facing and raising awareness of the persons belonging to the Roma minority who live in informal settlements, as well as relevant community workers, about the legislative standards and the remedies available to victims of discrimination.</w:t>
      </w:r>
      <w:r w:rsidRPr="00DC2FFD">
        <w:rPr>
          <w:sz w:val="24"/>
          <w:lang w:val="en-GB"/>
        </w:rPr>
        <w:cr/>
      </w:r>
    </w:p>
    <w:p w14:paraId="3688C1B0" w14:textId="77777777" w:rsidR="00DC2FFD" w:rsidRPr="00DC2FFD" w:rsidRDefault="00DC2FFD" w:rsidP="00DC2FFD">
      <w:pPr>
        <w:spacing w:after="0"/>
        <w:jc w:val="both"/>
        <w:rPr>
          <w:i/>
          <w:sz w:val="24"/>
          <w:szCs w:val="24"/>
          <w:lang w:val="en-GB"/>
        </w:rPr>
      </w:pPr>
      <w:r w:rsidRPr="00DC2FFD">
        <w:rPr>
          <w:i/>
          <w:sz w:val="24"/>
          <w:lang w:val="en-GB"/>
        </w:rPr>
        <w:t>Activities for raising awareness about the legislative standards and the remedies available to victims of discrimination</w:t>
      </w:r>
    </w:p>
    <w:p w14:paraId="377B5594" w14:textId="77777777" w:rsidR="00DC2FFD" w:rsidRPr="00DC2FFD" w:rsidRDefault="00DC2FFD" w:rsidP="00DC2FFD">
      <w:pPr>
        <w:spacing w:after="0"/>
        <w:jc w:val="both"/>
        <w:rPr>
          <w:sz w:val="24"/>
          <w:szCs w:val="24"/>
          <w:lang w:val="sr-Cyrl-RS"/>
        </w:rPr>
      </w:pPr>
    </w:p>
    <w:p w14:paraId="118EE40A" w14:textId="77777777" w:rsidR="00DC2FFD" w:rsidRPr="00DC2FFD" w:rsidRDefault="00DC2FFD" w:rsidP="00DC2FFD">
      <w:pPr>
        <w:spacing w:after="0"/>
        <w:ind w:firstLine="720"/>
        <w:jc w:val="both"/>
        <w:rPr>
          <w:sz w:val="24"/>
          <w:szCs w:val="24"/>
          <w:lang w:val="en-GB"/>
        </w:rPr>
      </w:pPr>
      <w:r w:rsidRPr="00DC2FFD">
        <w:rPr>
          <w:sz w:val="24"/>
          <w:lang w:val="en-GB"/>
        </w:rPr>
        <w:t xml:space="preserve">The Commissioner for the Protection of Equality, as an independent, autonomous and specialised state authority competent for preventing all types, forms and cases of discrimination, protection of equality, as well as improvement of the exercise and protection of equality, has prepared and published a number of expert publications on the status and protection from discrimination, which are available to the broad community, including persons belonging to the Roma minority who live in informal settlements. </w:t>
      </w:r>
      <w:r w:rsidRPr="00DC2FFD">
        <w:rPr>
          <w:i/>
          <w:iCs/>
          <w:sz w:val="24"/>
          <w:lang w:val="en-GB"/>
        </w:rPr>
        <w:t>Inter alia</w:t>
      </w:r>
      <w:r w:rsidRPr="00DC2FFD">
        <w:rPr>
          <w:sz w:val="24"/>
          <w:lang w:val="en-GB"/>
        </w:rPr>
        <w:t xml:space="preserve">, brochures on the main terms and methods of protection from discrimination, as well as the form of appeal to the Commissioner, have been developed and issued in minority languages, including the Romani language. The publication “Recognise and report discrimination” in the Romani and Serbian language, primarily intended for persons belonging to the Roma community, which contains an explanation of various forms of discrimination, mechanisms for protection against discrimination, with relevant examples from everyday life, as well as an integrated form of appeal in order to facilitate access to protection from discrimination, as well as the procedure </w:t>
      </w:r>
      <w:r w:rsidRPr="00DC2FFD">
        <w:rPr>
          <w:sz w:val="24"/>
          <w:lang w:val="en-GB"/>
        </w:rPr>
        <w:lastRenderedPageBreak/>
        <w:t xml:space="preserve">of submitting an appeal, to persons belonging to the Roma community, as well as civil society organisations protecting the rights of Roma. Leaflets such as “Who is the Commissioner?”, printed in Romani and other minority languages, explain the term “discrimination” in a simple manner, as well as the mechanisms for protection against discrimination, affirmative measures, and the method of submitting an appeal to the Commissioner, with an integrated form of appeal.  For the purpose of ensuring higher availability of mechanisms for protection against discrimination, the Commissioner has, in collaboration with the Roma Platform of the Roma Association of </w:t>
      </w:r>
      <w:proofErr w:type="spellStart"/>
      <w:r w:rsidRPr="00DC2FFD">
        <w:rPr>
          <w:sz w:val="24"/>
          <w:lang w:val="en-GB"/>
        </w:rPr>
        <w:t>Zaječar</w:t>
      </w:r>
      <w:proofErr w:type="spellEnd"/>
      <w:r w:rsidRPr="00DC2FFD">
        <w:rPr>
          <w:sz w:val="24"/>
          <w:lang w:val="en-GB"/>
        </w:rPr>
        <w:t xml:space="preserve"> and the Association of Roma students from Novi Sad, enabled the availability of the form for reporting discrimination at the website romskaplatforma.rs, which features examples of cases of discrimination, as well as other topics relating to the status of Roma.</w:t>
      </w:r>
    </w:p>
    <w:p w14:paraId="31CEFBDF" w14:textId="77777777" w:rsidR="00DC2FFD" w:rsidRPr="00DC2FFD" w:rsidRDefault="00DC2FFD" w:rsidP="00DC2FFD">
      <w:pPr>
        <w:spacing w:after="0"/>
        <w:ind w:firstLine="720"/>
        <w:jc w:val="both"/>
        <w:rPr>
          <w:sz w:val="24"/>
          <w:szCs w:val="24"/>
          <w:lang w:val="en-GB"/>
        </w:rPr>
      </w:pPr>
      <w:r w:rsidRPr="00DC2FFD">
        <w:rPr>
          <w:sz w:val="24"/>
          <w:lang w:val="en-GB"/>
        </w:rPr>
        <w:t xml:space="preserve">In addition to the above, the Commissioner, for the purpose of preventing all types, forms and cases of discrimination and improving the exercise and protection of equality, continuously implements trainings relating to the anti-discrimination law, trainings on the recognition and response to discrimination, as well as mechanisms for protection against discrimination intended to various professional groups and the general public, aimed at, </w:t>
      </w:r>
      <w:r w:rsidRPr="00DC2FFD">
        <w:rPr>
          <w:i/>
          <w:iCs/>
          <w:sz w:val="24"/>
          <w:lang w:val="en-GB"/>
        </w:rPr>
        <w:t>inter alia</w:t>
      </w:r>
      <w:r w:rsidRPr="00DC2FFD">
        <w:rPr>
          <w:sz w:val="24"/>
          <w:lang w:val="en-GB"/>
        </w:rPr>
        <w:t>, resolving the matter of discrimination that persons belonging to the Roma national minority face in various social spheres.. In the period which covers the Fifth Interim Report, the Commissioner implemented the following trainings:</w:t>
      </w:r>
    </w:p>
    <w:p w14:paraId="6CA1623D" w14:textId="77777777" w:rsidR="00DC2FFD" w:rsidRPr="00DC2FFD" w:rsidRDefault="00DC2FFD" w:rsidP="00DC2FFD">
      <w:pPr>
        <w:spacing w:after="0"/>
        <w:ind w:firstLine="720"/>
        <w:jc w:val="both"/>
        <w:rPr>
          <w:sz w:val="24"/>
          <w:szCs w:val="24"/>
          <w:lang w:val="en-GB"/>
        </w:rPr>
      </w:pPr>
      <w:r w:rsidRPr="00DC2FFD">
        <w:rPr>
          <w:sz w:val="24"/>
          <w:lang w:val="en-GB"/>
        </w:rPr>
        <w:t xml:space="preserve">- between 2016 and 2021, trainings of police officers were implemented on the definitions and forms of discrimination, particularly that of hate crime. Over 600 members of the Ministry of Interior from various area police administrations; </w:t>
      </w:r>
    </w:p>
    <w:p w14:paraId="0642C243" w14:textId="77777777" w:rsidR="00DC2FFD" w:rsidRPr="00DC2FFD" w:rsidRDefault="00DC2FFD" w:rsidP="00DC2FFD">
      <w:pPr>
        <w:spacing w:after="0"/>
        <w:ind w:firstLine="720"/>
        <w:jc w:val="both"/>
        <w:rPr>
          <w:sz w:val="24"/>
          <w:szCs w:val="24"/>
          <w:lang w:val="en-GB"/>
        </w:rPr>
      </w:pPr>
      <w:r w:rsidRPr="00DC2FFD">
        <w:rPr>
          <w:sz w:val="24"/>
          <w:lang w:val="en-GB"/>
        </w:rPr>
        <w:t>- in 2017, 10 regional seminars were held for community workers, with the title “Protection against discrimination - recognition and prevention of cases of discrimination in the local self-government”. The training programme included over 300 employees from 75 local self-government units.</w:t>
      </w:r>
    </w:p>
    <w:p w14:paraId="4A2340CF" w14:textId="77777777" w:rsidR="00DC2FFD" w:rsidRPr="00DC2FFD" w:rsidRDefault="00DC2FFD" w:rsidP="00DC2FFD">
      <w:pPr>
        <w:spacing w:after="0"/>
        <w:ind w:firstLine="720"/>
        <w:jc w:val="both"/>
        <w:rPr>
          <w:sz w:val="24"/>
          <w:szCs w:val="24"/>
          <w:lang w:val="en-GB"/>
        </w:rPr>
      </w:pPr>
      <w:r w:rsidRPr="00DC2FFD">
        <w:rPr>
          <w:sz w:val="24"/>
          <w:lang w:val="en-GB"/>
        </w:rPr>
        <w:t xml:space="preserve">- in 2017 and 2018, a total of 11 seminars were organised on the application of antidiscrimination regulations, which included all labour inspectors in the Republic of Serbia (242 in total); </w:t>
      </w:r>
    </w:p>
    <w:p w14:paraId="457A0F14" w14:textId="77777777" w:rsidR="00DC2FFD" w:rsidRPr="00DC2FFD" w:rsidRDefault="00DC2FFD" w:rsidP="00DC2FFD">
      <w:pPr>
        <w:spacing w:after="0"/>
        <w:ind w:firstLine="720"/>
        <w:jc w:val="both"/>
        <w:rPr>
          <w:sz w:val="24"/>
          <w:szCs w:val="24"/>
          <w:lang w:val="en-GB"/>
        </w:rPr>
      </w:pPr>
      <w:r w:rsidRPr="00DC2FFD">
        <w:rPr>
          <w:sz w:val="24"/>
          <w:lang w:val="en-GB"/>
        </w:rPr>
        <w:t>- within the curriculum of the Judicial Academy, in 2018, four seminars were held for judges of civil departments of higher courts in the Republic of Serbia, on the topic of “Judicial Civil Legal Protection Against Discrimination”, and the programme covered 86 judges from all four appellate courts. In addition, a workshop for judges of appellate courts and higher courts was organised on the topic of strategic disputes relating to protection against discrimination;</w:t>
      </w:r>
    </w:p>
    <w:p w14:paraId="76A14FD9" w14:textId="77777777" w:rsidR="00DC2FFD" w:rsidRPr="00DC2FFD" w:rsidRDefault="00DC2FFD" w:rsidP="00DC2FFD">
      <w:pPr>
        <w:spacing w:after="0"/>
        <w:ind w:firstLine="720"/>
        <w:jc w:val="both"/>
        <w:rPr>
          <w:sz w:val="24"/>
          <w:szCs w:val="24"/>
          <w:lang w:val="en-GB"/>
        </w:rPr>
      </w:pPr>
      <w:r w:rsidRPr="00DC2FFD">
        <w:rPr>
          <w:sz w:val="24"/>
          <w:lang w:val="en-GB"/>
        </w:rPr>
        <w:t>- in 2018, seminars were held for media representatives on the topic of reporting on the issues of discrimination, equality and observance of fundamental human rights, as well as trainings for representatives of 16 civil society organisations whose aim was raising capacities for implementing situational testing of cases of discrimination;</w:t>
      </w:r>
    </w:p>
    <w:p w14:paraId="25813304" w14:textId="77777777" w:rsidR="00DC2FFD" w:rsidRPr="00DC2FFD" w:rsidRDefault="00DC2FFD" w:rsidP="00DC2FFD">
      <w:pPr>
        <w:spacing w:after="0"/>
        <w:ind w:firstLine="720"/>
        <w:jc w:val="both"/>
        <w:rPr>
          <w:sz w:val="24"/>
          <w:szCs w:val="24"/>
          <w:lang w:val="en-GB"/>
        </w:rPr>
      </w:pPr>
      <w:r w:rsidRPr="00DC2FFD">
        <w:rPr>
          <w:sz w:val="24"/>
          <w:lang w:val="en-GB"/>
        </w:rPr>
        <w:t>- in 2018, within the framework of the programme “Support to Roma Inclusion – Strengthening local communities towards Roma inclusion” of the Standing Conference of Towns and Municipalities, mechanisms for protection against discrimination, as well as the role and significance of the Commissioner, were presented to representatives of local self-</w:t>
      </w:r>
      <w:r w:rsidRPr="00DC2FFD">
        <w:rPr>
          <w:sz w:val="24"/>
          <w:lang w:val="en-GB"/>
        </w:rPr>
        <w:lastRenderedPageBreak/>
        <w:t>governments, social welfare centres and civil society organisations. Trainings were held in four cities, for over 100 participants;</w:t>
      </w:r>
    </w:p>
    <w:p w14:paraId="688EEB9B" w14:textId="77777777" w:rsidR="00DC2FFD" w:rsidRPr="00DC2FFD" w:rsidRDefault="00DC2FFD" w:rsidP="00DC2FFD">
      <w:pPr>
        <w:spacing w:after="0"/>
        <w:ind w:firstLine="720"/>
        <w:jc w:val="both"/>
        <w:rPr>
          <w:sz w:val="24"/>
          <w:szCs w:val="24"/>
          <w:lang w:val="en-GB"/>
        </w:rPr>
      </w:pPr>
      <w:r w:rsidRPr="00DC2FFD">
        <w:rPr>
          <w:sz w:val="24"/>
          <w:lang w:val="en-GB"/>
        </w:rPr>
        <w:t>- in 2019, pilot training was held for 25 advisors from the National Employment Service, intended for gaining theoretical and practical knowledge on the definition and forms of discrimination, as well as the Commissioner’s purview and practice in the field of employment and labour. These trainings continued in 2021. Over 60 employees in the National Employment Service were included in this programme:</w:t>
      </w:r>
    </w:p>
    <w:p w14:paraId="4DF17A44" w14:textId="77777777" w:rsidR="00DC2FFD" w:rsidRPr="00DC2FFD" w:rsidRDefault="00DC2FFD" w:rsidP="00DC2FFD">
      <w:pPr>
        <w:spacing w:after="0"/>
        <w:ind w:firstLine="720"/>
        <w:jc w:val="both"/>
        <w:rPr>
          <w:sz w:val="24"/>
          <w:szCs w:val="24"/>
          <w:lang w:val="en-GB"/>
        </w:rPr>
      </w:pPr>
      <w:r w:rsidRPr="00DC2FFD">
        <w:rPr>
          <w:sz w:val="24"/>
          <w:lang w:val="en-GB"/>
        </w:rPr>
        <w:t xml:space="preserve">- in 2019, within the framework of the project “Social services for vulnerable groups”, three trainings were held (in </w:t>
      </w:r>
      <w:proofErr w:type="spellStart"/>
      <w:r w:rsidRPr="00DC2FFD">
        <w:rPr>
          <w:sz w:val="24"/>
          <w:lang w:val="en-GB"/>
        </w:rPr>
        <w:t>Sombor</w:t>
      </w:r>
      <w:proofErr w:type="spellEnd"/>
      <w:r w:rsidRPr="00DC2FFD">
        <w:rPr>
          <w:sz w:val="24"/>
          <w:lang w:val="en-GB"/>
        </w:rPr>
        <w:t xml:space="preserve">, </w:t>
      </w:r>
      <w:proofErr w:type="spellStart"/>
      <w:r w:rsidRPr="00DC2FFD">
        <w:rPr>
          <w:sz w:val="24"/>
          <w:lang w:val="en-GB"/>
        </w:rPr>
        <w:t>Niš</w:t>
      </w:r>
      <w:proofErr w:type="spellEnd"/>
      <w:r w:rsidRPr="00DC2FFD">
        <w:rPr>
          <w:sz w:val="24"/>
          <w:lang w:val="en-GB"/>
        </w:rPr>
        <w:t xml:space="preserve"> and Belgrade) for providers of social services at the local level in the field of the application of anti-discrimination regulations;</w:t>
      </w:r>
    </w:p>
    <w:p w14:paraId="43EC5E31" w14:textId="77777777" w:rsidR="00DC2FFD" w:rsidRPr="00DC2FFD" w:rsidRDefault="00DC2FFD" w:rsidP="00DC2FFD">
      <w:pPr>
        <w:spacing w:after="0"/>
        <w:ind w:firstLine="720"/>
        <w:jc w:val="both"/>
        <w:rPr>
          <w:sz w:val="24"/>
          <w:szCs w:val="24"/>
          <w:lang w:val="en-GB"/>
        </w:rPr>
      </w:pPr>
      <w:r w:rsidRPr="00DC2FFD">
        <w:rPr>
          <w:sz w:val="24"/>
          <w:lang w:val="en-GB"/>
        </w:rPr>
        <w:t>- trainings titled “Right to equality and non-discrimination in the field of tourism” during 2019 and 2021 covered over 50 tourism workers;</w:t>
      </w:r>
    </w:p>
    <w:p w14:paraId="5DE64F52" w14:textId="77777777" w:rsidR="00DC2FFD" w:rsidRPr="00DC2FFD" w:rsidRDefault="00DC2FFD" w:rsidP="00DC2FFD">
      <w:pPr>
        <w:spacing w:after="0"/>
        <w:ind w:firstLine="720"/>
        <w:jc w:val="both"/>
        <w:rPr>
          <w:sz w:val="24"/>
          <w:szCs w:val="24"/>
          <w:lang w:val="en-GB"/>
        </w:rPr>
      </w:pPr>
      <w:r w:rsidRPr="00DC2FFD">
        <w:rPr>
          <w:sz w:val="24"/>
          <w:lang w:val="en-GB"/>
        </w:rPr>
        <w:t xml:space="preserve">- during the execution of the project “Strengthening of local anti-discrimination and institutional capacities”, the Commissioner implemented multiple trainings on the topic “How to recognise work discrimination”, with over 30 representatives from 15 local self-governments in Serbia; </w:t>
      </w:r>
    </w:p>
    <w:p w14:paraId="677DEE9A" w14:textId="77777777" w:rsidR="00DC2FFD" w:rsidRPr="00DC2FFD" w:rsidRDefault="00DC2FFD" w:rsidP="00DC2FFD">
      <w:pPr>
        <w:spacing w:after="0"/>
        <w:ind w:firstLine="720"/>
        <w:jc w:val="both"/>
        <w:rPr>
          <w:sz w:val="24"/>
          <w:szCs w:val="24"/>
          <w:lang w:val="en-GB"/>
        </w:rPr>
      </w:pPr>
      <w:r w:rsidRPr="00DC2FFD">
        <w:rPr>
          <w:sz w:val="24"/>
          <w:lang w:val="en-GB"/>
        </w:rPr>
        <w:t xml:space="preserve">- in 2021, for trainees of the Judicial Academy, judges and public prosecutors, a comprehensive online training course on the protection against discrimination, which will be available at the platform of the Judicial Academy, was recorded. Online training was also created on the topics of anti-discrimination, gender-based violence and strategic disputes, which will become an obligatory part of education for future generations of trainees. This training is available to the public on the Commissioner’s website; </w:t>
      </w:r>
    </w:p>
    <w:p w14:paraId="653786C6" w14:textId="77777777" w:rsidR="00DC2FFD" w:rsidRPr="00DC2FFD" w:rsidRDefault="00DC2FFD" w:rsidP="00DC2FFD">
      <w:pPr>
        <w:spacing w:after="0"/>
        <w:ind w:firstLine="720"/>
        <w:jc w:val="both"/>
        <w:rPr>
          <w:sz w:val="24"/>
          <w:szCs w:val="24"/>
          <w:lang w:val="en-GB"/>
        </w:rPr>
      </w:pPr>
      <w:r w:rsidRPr="00DC2FFD">
        <w:rPr>
          <w:sz w:val="24"/>
          <w:lang w:val="en-GB"/>
        </w:rPr>
        <w:t>- in 2020, for representatives of national councils of national minorities, training was held on the definition and forms of discrimination and mechanisms for protection. In 2021, two trainings were held for over 30 activists of Roma organisations. The same year, over 20 media representatives were trained to recognise discrimination, with an emphasis on hate speech towards minority communities.</w:t>
      </w:r>
    </w:p>
    <w:p w14:paraId="1E3A4B4C" w14:textId="77777777" w:rsidR="00DC2FFD" w:rsidRPr="00DC2FFD" w:rsidRDefault="00DC2FFD" w:rsidP="00DC2FFD">
      <w:pPr>
        <w:spacing w:after="0"/>
        <w:ind w:firstLine="720"/>
        <w:jc w:val="both"/>
        <w:rPr>
          <w:sz w:val="24"/>
          <w:szCs w:val="24"/>
          <w:lang w:val="sr-Cyrl-RS"/>
        </w:rPr>
      </w:pPr>
    </w:p>
    <w:p w14:paraId="3D6775A1" w14:textId="77777777" w:rsidR="00DC2FFD" w:rsidRPr="00DC2FFD" w:rsidRDefault="00DC2FFD" w:rsidP="00DC2FFD">
      <w:pPr>
        <w:spacing w:after="0"/>
        <w:ind w:firstLine="720"/>
        <w:jc w:val="both"/>
        <w:rPr>
          <w:sz w:val="24"/>
          <w:szCs w:val="24"/>
          <w:lang w:val="en-GB"/>
        </w:rPr>
      </w:pPr>
      <w:r w:rsidRPr="00DC2FFD">
        <w:rPr>
          <w:sz w:val="24"/>
          <w:lang w:val="en-GB"/>
        </w:rPr>
        <w:t xml:space="preserve">In addition to the above, the Commissioner regularly implements education for civil servants employed in state administration, within the framework of the training by the National Academy for Public Administration. The training programme </w:t>
      </w:r>
      <w:r w:rsidRPr="00DC2FFD">
        <w:rPr>
          <w:i/>
          <w:iCs/>
          <w:sz w:val="24"/>
          <w:lang w:val="en-GB"/>
        </w:rPr>
        <w:t>Protection from Discrimination</w:t>
      </w:r>
      <w:r w:rsidRPr="00DC2FFD">
        <w:rPr>
          <w:sz w:val="24"/>
          <w:lang w:val="en-GB"/>
        </w:rPr>
        <w:t xml:space="preserve"> is aimed at improving civil servants’ knowledge relating to the legal and institutional framework for protection against discrimination, as well as the definition and forms of discrimination, and role and competences of the Commissioner for the Protection of Equality. </w:t>
      </w:r>
    </w:p>
    <w:p w14:paraId="45188538" w14:textId="77777777" w:rsidR="00DC2FFD" w:rsidRPr="00DC2FFD" w:rsidRDefault="00DC2FFD" w:rsidP="00DC2FFD">
      <w:pPr>
        <w:spacing w:after="0"/>
        <w:ind w:firstLine="720"/>
        <w:jc w:val="both"/>
        <w:rPr>
          <w:sz w:val="24"/>
          <w:szCs w:val="24"/>
          <w:lang w:val="en-GB"/>
        </w:rPr>
      </w:pPr>
      <w:r w:rsidRPr="00DC2FFD">
        <w:rPr>
          <w:sz w:val="24"/>
          <w:lang w:val="en-GB"/>
        </w:rPr>
        <w:t>The Commissioner’s regular activities for the improvement of the situation in terms of equality also include organising and participating in meetings of experts, as well as direct contact with citizens in the Commissioner’s reception office, and time in the field (visits to local self-governments, informal settlements) with the objective of higher accessibility of the institution to citizens and providing effective protection against discrimination. In addition, the Commissioner shall warn the public about the most frequent, typical and severe cases of discrimination, as well as the frequent inappropriate discriminatory speech and hate speech in public spaces, thus raising public awareness about the consequences of such negative occurrences.</w:t>
      </w:r>
    </w:p>
    <w:p w14:paraId="58BB861E" w14:textId="77777777" w:rsidR="00DC2FFD" w:rsidRPr="00DC2FFD" w:rsidRDefault="00DC2FFD" w:rsidP="00DC2FFD">
      <w:pPr>
        <w:spacing w:after="0"/>
        <w:ind w:firstLine="720"/>
        <w:jc w:val="both"/>
        <w:rPr>
          <w:sz w:val="24"/>
          <w:szCs w:val="24"/>
          <w:lang w:val="en-GB"/>
        </w:rPr>
      </w:pPr>
      <w:r w:rsidRPr="00DC2FFD">
        <w:rPr>
          <w:sz w:val="24"/>
          <w:lang w:val="en-GB"/>
        </w:rPr>
        <w:lastRenderedPageBreak/>
        <w:t>The Commissioner is a partner in the project “Inclusion of Roma and other marginalised groups in Serbia”, which,</w:t>
      </w:r>
      <w:r w:rsidRPr="00DC2FFD">
        <w:rPr>
          <w:i/>
          <w:iCs/>
          <w:sz w:val="24"/>
          <w:lang w:val="en-GB"/>
        </w:rPr>
        <w:t xml:space="preserve"> inter alia</w:t>
      </w:r>
      <w:r w:rsidRPr="00DC2FFD">
        <w:rPr>
          <w:sz w:val="24"/>
          <w:lang w:val="en-GB"/>
        </w:rPr>
        <w:t xml:space="preserve">, included the campaign “Inform yourself and don't judge”, aimed at raising awareness about the discrimination of Roma and promoting adequate response and prevention thereof. This campaign also included debates at the Public Broadcasting Service of </w:t>
      </w:r>
      <w:proofErr w:type="spellStart"/>
      <w:r w:rsidRPr="00DC2FFD">
        <w:rPr>
          <w:sz w:val="24"/>
          <w:lang w:val="en-GB"/>
        </w:rPr>
        <w:t>Vojvodina</w:t>
      </w:r>
      <w:proofErr w:type="spellEnd"/>
      <w:r w:rsidRPr="00DC2FFD">
        <w:rPr>
          <w:sz w:val="24"/>
          <w:lang w:val="en-GB"/>
        </w:rPr>
        <w:t xml:space="preserve"> (RTV), as well as conferences and round tables in a number in cities, which included persons belonging to the Roma national minority.</w:t>
      </w:r>
    </w:p>
    <w:p w14:paraId="19969F02" w14:textId="77777777" w:rsidR="00DC2FFD" w:rsidRPr="00DC2FFD" w:rsidRDefault="00DC2FFD" w:rsidP="00DC2FFD">
      <w:pPr>
        <w:spacing w:after="0"/>
        <w:ind w:firstLine="720"/>
        <w:jc w:val="both"/>
        <w:rPr>
          <w:sz w:val="24"/>
          <w:szCs w:val="24"/>
          <w:lang w:val="sr-Cyrl-RS"/>
        </w:rPr>
      </w:pPr>
    </w:p>
    <w:p w14:paraId="425ED6FC" w14:textId="77777777" w:rsidR="00DC2FFD" w:rsidRPr="00DC2FFD" w:rsidRDefault="00DC2FFD" w:rsidP="00DC2FFD">
      <w:pPr>
        <w:spacing w:after="0"/>
        <w:jc w:val="both"/>
        <w:rPr>
          <w:i/>
          <w:sz w:val="24"/>
          <w:szCs w:val="24"/>
          <w:lang w:val="en-GB"/>
        </w:rPr>
      </w:pPr>
      <w:r w:rsidRPr="00DC2FFD">
        <w:rPr>
          <w:i/>
          <w:sz w:val="24"/>
          <w:lang w:val="en-GB"/>
        </w:rPr>
        <w:t>Activities relating to the issuance of personal documents</w:t>
      </w:r>
    </w:p>
    <w:p w14:paraId="4B6A516C" w14:textId="77777777" w:rsidR="00DC2FFD" w:rsidRPr="00DC2FFD" w:rsidRDefault="00DC2FFD" w:rsidP="00DC2FFD">
      <w:pPr>
        <w:spacing w:after="0"/>
        <w:jc w:val="both"/>
        <w:rPr>
          <w:sz w:val="24"/>
          <w:szCs w:val="24"/>
          <w:lang w:val="sr-Cyrl-RS"/>
        </w:rPr>
      </w:pPr>
    </w:p>
    <w:p w14:paraId="48C267D6" w14:textId="77777777" w:rsidR="00DC2FFD" w:rsidRPr="00DC2FFD" w:rsidRDefault="00DC2FFD" w:rsidP="00DC2FFD">
      <w:pPr>
        <w:spacing w:after="0"/>
        <w:ind w:firstLine="720"/>
        <w:jc w:val="both"/>
        <w:rPr>
          <w:sz w:val="24"/>
          <w:szCs w:val="24"/>
          <w:lang w:val="en-GB"/>
        </w:rPr>
      </w:pPr>
      <w:r w:rsidRPr="00DC2FFD">
        <w:rPr>
          <w:sz w:val="24"/>
          <w:lang w:val="en-GB"/>
        </w:rPr>
        <w:t xml:space="preserve">As stated in the Fourth State Report, the Republic of Serbia, in the process of execution of the Memorandum of Understanding between the Ministry of Public Administration and Local Self-Government, the Protector of Citizens and the United Nations High Commissioner for Refugees – Office in Serbia, provided mechanisms </w:t>
      </w:r>
      <w:proofErr w:type="gramStart"/>
      <w:r w:rsidRPr="00DC2FFD">
        <w:rPr>
          <w:sz w:val="24"/>
          <w:lang w:val="en-GB"/>
        </w:rPr>
        <w:t>for  prevention</w:t>
      </w:r>
      <w:proofErr w:type="gramEnd"/>
      <w:r w:rsidRPr="00DC2FFD">
        <w:rPr>
          <w:sz w:val="24"/>
          <w:lang w:val="en-GB"/>
        </w:rPr>
        <w:t xml:space="preserve"> of the risk of statelessness through a number of activities. The right to birth registration, as a precondition for exercising other rights, and thus also eliminating the risk of statelessness, is enabled by the improvement of the legal framework, media campaign and invigoration of particularly vulnerable population groups – primarily the Roma population. This comprehensive action considerably reduced the number of persons who are not entered in the birth registry, to the point that such cases now occur only as an exception. </w:t>
      </w:r>
    </w:p>
    <w:p w14:paraId="65166125" w14:textId="77777777" w:rsidR="00DC2FFD" w:rsidRPr="00DC2FFD" w:rsidRDefault="00DC2FFD" w:rsidP="00DC2FFD">
      <w:pPr>
        <w:spacing w:after="0"/>
        <w:ind w:firstLine="720"/>
        <w:jc w:val="both"/>
        <w:rPr>
          <w:sz w:val="24"/>
          <w:szCs w:val="24"/>
          <w:lang w:val="en-GB"/>
        </w:rPr>
      </w:pPr>
      <w:r w:rsidRPr="00DC2FFD">
        <w:rPr>
          <w:sz w:val="24"/>
          <w:lang w:val="en-GB"/>
        </w:rPr>
        <w:t xml:space="preserve">After monitoring the status in this area, for the purpose of resolving situations which occur as individual cases, it was agreed to continue </w:t>
      </w:r>
      <w:proofErr w:type="gramStart"/>
      <w:r w:rsidRPr="00DC2FFD">
        <w:rPr>
          <w:sz w:val="24"/>
          <w:lang w:val="en-GB"/>
        </w:rPr>
        <w:t>cooperation,.</w:t>
      </w:r>
      <w:proofErr w:type="gramEnd"/>
      <w:r w:rsidRPr="00DC2FFD">
        <w:rPr>
          <w:sz w:val="24"/>
          <w:lang w:val="en-GB"/>
        </w:rPr>
        <w:t xml:space="preserve"> On 3 October 2019, the new Memorandum of Understanding was signed for the purpose of discussing any problems of persons belonging to the Roma national minority in the exercise of the rights to birth registration, as well as other rights as regards personal status, with an emphasis on new born children, for the purpose of preventing the risk of statelessness.</w:t>
      </w:r>
    </w:p>
    <w:p w14:paraId="2699B191" w14:textId="77777777" w:rsidR="00DC2FFD" w:rsidRPr="00DC2FFD" w:rsidRDefault="00DC2FFD" w:rsidP="00DC2FFD">
      <w:pPr>
        <w:spacing w:after="0"/>
        <w:ind w:firstLine="720"/>
        <w:jc w:val="both"/>
        <w:rPr>
          <w:sz w:val="24"/>
          <w:szCs w:val="24"/>
          <w:lang w:val="en-GB"/>
        </w:rPr>
      </w:pPr>
      <w:r w:rsidRPr="00DC2FFD">
        <w:rPr>
          <w:sz w:val="24"/>
          <w:lang w:val="en-GB"/>
        </w:rPr>
        <w:t>The Ministry of Interior, within its purview, decides on requests for acquisition and termination of citizenship of the Republic of Serbia, enforcing the Citizenship Law of the Republic of Serbia.</w:t>
      </w:r>
      <w:r w:rsidRPr="00DC2FFD">
        <w:rPr>
          <w:sz w:val="24"/>
          <w:szCs w:val="24"/>
          <w:vertAlign w:val="superscript"/>
          <w:lang w:val="sr-Cyrl-RS"/>
        </w:rPr>
        <w:footnoteReference w:id="2"/>
      </w:r>
      <w:r w:rsidRPr="00DC2FFD">
        <w:rPr>
          <w:sz w:val="24"/>
          <w:lang w:val="en-GB"/>
        </w:rPr>
        <w:t xml:space="preserve"> Observing the general principles of international law, primarily the provisions of the European Convention on Nationality, the Law is particularly focused on principles aimed at prevention and reduction of statelessness, through the possibility of acquiring the citizenship of the Republic of Serbia on various legal grounds (birth, origin, immigrants, foreigners, etc.). Applications for citizenship of the Republic of Serbia for persons belonging to the Roma national minority are considered urgent and resolved as a priority in accordance with the new law. </w:t>
      </w:r>
    </w:p>
    <w:p w14:paraId="713DDB71" w14:textId="77777777" w:rsidR="00DC2FFD" w:rsidRPr="00DC2FFD" w:rsidRDefault="00DC2FFD" w:rsidP="00DC2FFD">
      <w:pPr>
        <w:spacing w:after="0"/>
        <w:ind w:firstLine="720"/>
        <w:jc w:val="both"/>
        <w:rPr>
          <w:sz w:val="24"/>
          <w:szCs w:val="24"/>
          <w:lang w:val="en-GB"/>
        </w:rPr>
      </w:pPr>
      <w:r w:rsidRPr="00DC2FFD">
        <w:rPr>
          <w:sz w:val="24"/>
          <w:lang w:val="en-GB"/>
        </w:rPr>
        <w:t xml:space="preserve">The United Nations High Commissioner for Refugees – Office in Serbia has so far implemented three surveys on the risk of statelessness in the Republic of Serbia, in 2010, 2015 and 2020. The third survey “Persons at risk of statelessness in Serbia: Review of the current situation and recommendations for the future”, </w:t>
      </w:r>
      <w:r w:rsidRPr="00DC2FFD">
        <w:rPr>
          <w:sz w:val="24"/>
          <w:szCs w:val="24"/>
          <w:vertAlign w:val="superscript"/>
          <w:lang w:val="sr-Cyrl-RS"/>
        </w:rPr>
        <w:footnoteReference w:id="3"/>
      </w:r>
      <w:r w:rsidRPr="00DC2FFD">
        <w:rPr>
          <w:sz w:val="24"/>
          <w:lang w:val="en-GB"/>
        </w:rPr>
        <w:t xml:space="preserve"> with the primary objective of collecting representative data on the spread of statelessness among the population of Roma, </w:t>
      </w:r>
      <w:proofErr w:type="spellStart"/>
      <w:r w:rsidRPr="00DC2FFD">
        <w:rPr>
          <w:sz w:val="24"/>
          <w:lang w:val="en-GB"/>
        </w:rPr>
        <w:t>Ashkali</w:t>
      </w:r>
      <w:proofErr w:type="spellEnd"/>
      <w:r w:rsidRPr="00DC2FFD">
        <w:rPr>
          <w:sz w:val="24"/>
          <w:lang w:val="en-GB"/>
        </w:rPr>
        <w:t xml:space="preserve"> and Egyptians who live in informal settlements in Serbia, was implemented by </w:t>
      </w:r>
      <w:proofErr w:type="spellStart"/>
      <w:r w:rsidRPr="00DC2FFD">
        <w:rPr>
          <w:sz w:val="24"/>
          <w:lang w:val="en-GB"/>
        </w:rPr>
        <w:t>CeSID</w:t>
      </w:r>
      <w:proofErr w:type="spellEnd"/>
      <w:r w:rsidRPr="00DC2FFD">
        <w:rPr>
          <w:sz w:val="24"/>
          <w:lang w:val="en-GB"/>
        </w:rPr>
        <w:t xml:space="preserve"> for the </w:t>
      </w:r>
      <w:r w:rsidRPr="00DC2FFD">
        <w:rPr>
          <w:sz w:val="24"/>
          <w:lang w:val="en-GB"/>
        </w:rPr>
        <w:lastRenderedPageBreak/>
        <w:t>purposes of the UNHCR in October 2020. This is an example of an independent survey which may provide a basis for public policy making by the authorities of the Republic of Serbia.</w:t>
      </w:r>
      <w:r w:rsidRPr="00DC2FFD">
        <w:rPr>
          <w:lang w:val="en-GB"/>
        </w:rPr>
        <w:t xml:space="preserve"> </w:t>
      </w:r>
    </w:p>
    <w:p w14:paraId="6D188119" w14:textId="77777777" w:rsidR="00DC2FFD" w:rsidRPr="00DC2FFD" w:rsidRDefault="00DC2FFD" w:rsidP="00DC2FFD">
      <w:pPr>
        <w:spacing w:after="0"/>
        <w:ind w:firstLine="720"/>
        <w:jc w:val="both"/>
        <w:rPr>
          <w:sz w:val="24"/>
          <w:szCs w:val="24"/>
          <w:lang w:val="en-GB"/>
        </w:rPr>
      </w:pPr>
      <w:r w:rsidRPr="00DC2FFD">
        <w:rPr>
          <w:sz w:val="24"/>
          <w:lang w:val="en-GB"/>
        </w:rPr>
        <w:t>The survey was implemented using the quantitative method, and the face-to-face technique, on a representative sample of interviewees living in informal settlements in the territory of the Republic of Serbia. The survey included 56 municipalities/towns in Serbia where, according to the findings of the 2011 census, the registered number of Roma was higher than the national average. In these municipalities, 117 informal settlements were sampled, of which 1,807 households were chosen through the random selection method.</w:t>
      </w:r>
    </w:p>
    <w:p w14:paraId="601D9072" w14:textId="77777777" w:rsidR="00DC2FFD" w:rsidRPr="00DC2FFD" w:rsidRDefault="00DC2FFD" w:rsidP="00DC2FFD">
      <w:pPr>
        <w:spacing w:after="0"/>
        <w:ind w:firstLine="720"/>
        <w:jc w:val="both"/>
        <w:rPr>
          <w:sz w:val="24"/>
          <w:szCs w:val="24"/>
          <w:lang w:val="en-GB"/>
        </w:rPr>
      </w:pPr>
      <w:r w:rsidRPr="00DC2FFD">
        <w:rPr>
          <w:sz w:val="24"/>
          <w:lang w:val="en-GB"/>
        </w:rPr>
        <w:t xml:space="preserve">The conclusion of the survey was that the execution of the Memorandum of Understanding, which was signed by UNHCR in 2012 with the Ministry of Public Administration and Local Self-Government and the Protector of Citizens, had resulted in a considerable improvement of the enforcement of some of the legal solutions, as well as harmonisation of the practice by state authorities, which had resulted in a reduction of the number of persons under risk of statelessness within this population living in informal settlements, by a little over 1,100 people, which was a big increase - of 42% compared - to 2015. A total of 45 persons, or 0.49% of the sample, do not have the citizenship, from which it may be concluded that persons in danger of statelessness who are not registered in citizenship records make up 0.49% of persons belonging to the Roma, </w:t>
      </w:r>
      <w:proofErr w:type="spellStart"/>
      <w:r w:rsidRPr="00DC2FFD">
        <w:rPr>
          <w:sz w:val="24"/>
          <w:lang w:val="en-GB"/>
        </w:rPr>
        <w:t>Ashkali</w:t>
      </w:r>
      <w:proofErr w:type="spellEnd"/>
      <w:r w:rsidRPr="00DC2FFD">
        <w:rPr>
          <w:sz w:val="24"/>
          <w:lang w:val="en-GB"/>
        </w:rPr>
        <w:t xml:space="preserve"> or Egyptians national minority in informal settlements. </w:t>
      </w:r>
    </w:p>
    <w:p w14:paraId="693B42B3" w14:textId="77777777" w:rsidR="00DC2FFD" w:rsidRPr="00DC2FFD" w:rsidRDefault="00DC2FFD" w:rsidP="00DC2FFD">
      <w:pPr>
        <w:spacing w:after="0"/>
        <w:ind w:firstLine="720"/>
        <w:jc w:val="both"/>
        <w:rPr>
          <w:sz w:val="24"/>
          <w:szCs w:val="24"/>
          <w:lang w:val="en-GB"/>
        </w:rPr>
      </w:pPr>
      <w:r w:rsidRPr="00DC2FFD">
        <w:rPr>
          <w:sz w:val="24"/>
          <w:lang w:val="en-GB"/>
        </w:rPr>
        <w:t xml:space="preserve">Activities planned for the upcoming period should make it possible to regulate the remaining problems of persons under risk of statelessness. The progress indicates that Serbia, together with the UNHCR and civil society organisations which deal with human rights, are paying considerable attention to this problem. Nevertheless, the number of persons who still do not own personal documents, and who are often on the margins of society and not easy to access, leaves enough space for further efforts which would improve the status of the community and reduce the potential for an increase of the number of persons under risk of statelessness in Serbia. </w:t>
      </w:r>
    </w:p>
    <w:p w14:paraId="217AAC57" w14:textId="77777777" w:rsidR="00DC2FFD" w:rsidRPr="00DC2FFD" w:rsidRDefault="00DC2FFD" w:rsidP="00DC2FFD">
      <w:pPr>
        <w:spacing w:after="0"/>
        <w:ind w:firstLine="720"/>
        <w:jc w:val="both"/>
        <w:rPr>
          <w:sz w:val="24"/>
          <w:szCs w:val="24"/>
          <w:lang w:val="en-GB"/>
        </w:rPr>
      </w:pPr>
      <w:r w:rsidRPr="00DC2FFD">
        <w:rPr>
          <w:sz w:val="24"/>
          <w:lang w:val="en-GB"/>
        </w:rPr>
        <w:t>In view of the progress achieved so far, UNHCR indicates that the Republic of Serbia is one of the countries which could fully eliminate statelessness by 2024, or even earlier.</w:t>
      </w:r>
      <w:r w:rsidRPr="00DC2FFD">
        <w:rPr>
          <w:sz w:val="24"/>
          <w:szCs w:val="24"/>
          <w:vertAlign w:val="superscript"/>
          <w:lang w:val="sr-Cyrl-RS"/>
        </w:rPr>
        <w:footnoteReference w:id="4"/>
      </w:r>
      <w:r w:rsidRPr="00DC2FFD">
        <w:rPr>
          <w:sz w:val="24"/>
          <w:lang w:val="en-GB"/>
        </w:rPr>
        <w:t xml:space="preserve"> </w:t>
      </w:r>
    </w:p>
    <w:p w14:paraId="7A323AE0" w14:textId="77777777" w:rsidR="00DC2FFD" w:rsidRPr="00DC2FFD" w:rsidRDefault="00DC2FFD" w:rsidP="00DC2FFD">
      <w:pPr>
        <w:spacing w:after="0"/>
        <w:jc w:val="both"/>
        <w:rPr>
          <w:sz w:val="24"/>
          <w:szCs w:val="24"/>
          <w:lang w:val="sr-Cyrl-RS"/>
        </w:rPr>
      </w:pPr>
    </w:p>
    <w:p w14:paraId="7409A932" w14:textId="77777777" w:rsidR="00DC2FFD" w:rsidRPr="00DC2FFD" w:rsidRDefault="00DC2FFD" w:rsidP="00DC2FFD">
      <w:pPr>
        <w:spacing w:after="0"/>
        <w:jc w:val="both"/>
        <w:rPr>
          <w:i/>
          <w:sz w:val="24"/>
          <w:szCs w:val="24"/>
          <w:lang w:val="en-GB"/>
        </w:rPr>
      </w:pPr>
      <w:r w:rsidRPr="00DC2FFD">
        <w:rPr>
          <w:i/>
          <w:sz w:val="24"/>
          <w:lang w:val="en-GB"/>
        </w:rPr>
        <w:t>Activities relating to housing</w:t>
      </w:r>
    </w:p>
    <w:p w14:paraId="31ACCCE4" w14:textId="77777777" w:rsidR="00DC2FFD" w:rsidRPr="00DC2FFD" w:rsidRDefault="00DC2FFD" w:rsidP="00DC2FFD">
      <w:pPr>
        <w:spacing w:after="0"/>
        <w:jc w:val="both"/>
        <w:rPr>
          <w:sz w:val="24"/>
          <w:szCs w:val="24"/>
          <w:highlight w:val="yellow"/>
          <w:lang w:val="sr-Cyrl-RS"/>
        </w:rPr>
      </w:pPr>
    </w:p>
    <w:p w14:paraId="4D3D05B1" w14:textId="77777777" w:rsidR="00DC2FFD" w:rsidRPr="00DC2FFD" w:rsidRDefault="00DC2FFD" w:rsidP="00DC2FFD">
      <w:pPr>
        <w:spacing w:after="0"/>
        <w:ind w:firstLine="720"/>
        <w:jc w:val="both"/>
        <w:rPr>
          <w:sz w:val="24"/>
          <w:szCs w:val="24"/>
          <w:lang w:val="en-GB"/>
        </w:rPr>
      </w:pPr>
      <w:r w:rsidRPr="00DC2FFD">
        <w:rPr>
          <w:sz w:val="24"/>
          <w:lang w:val="en-GB"/>
        </w:rPr>
        <w:t xml:space="preserve">The Republic of Serbia implements a large number of projects with the support of the international community, whose objective is to improve the housing conditions for persons of the Roma national minority. Through the IPA 2013 agreement “Durable housing solutions and physical infrastructure improvements in Roma settlements” - Grant Scheme, planned activities in terms of construction/reconstruction/social housing and construction of road and utility infrastructure were implemented between 2017 and 2019. The planned works were successfully executed through 9 projects in 11 local self-government units (LSGUs). The agreement was executed in parallel with the technical assistance agreement “Technical support for improving the living conditions and housing conditions of the Roma population currently residing in informal settlements”, which provided expert support for the implementation of the </w:t>
      </w:r>
      <w:r w:rsidRPr="00DC2FFD">
        <w:rPr>
          <w:sz w:val="24"/>
          <w:lang w:val="en-GB"/>
        </w:rPr>
        <w:lastRenderedPageBreak/>
        <w:t xml:space="preserve">grant scheme. The agreement was officially completed in September 2019, and the final works in the city of </w:t>
      </w:r>
      <w:proofErr w:type="spellStart"/>
      <w:r w:rsidRPr="00DC2FFD">
        <w:rPr>
          <w:sz w:val="24"/>
          <w:lang w:val="en-GB"/>
        </w:rPr>
        <w:t>Prokuplje</w:t>
      </w:r>
      <w:proofErr w:type="spellEnd"/>
      <w:r w:rsidRPr="00DC2FFD">
        <w:rPr>
          <w:sz w:val="24"/>
          <w:lang w:val="en-GB"/>
        </w:rPr>
        <w:t xml:space="preserve"> were completed in Q3 2020. A total of 114 housing units were constructed in houses and 12 apartments, and 59 houses were reconstructed. The total number of persons belonging to the Roma population who have resolved their housing issue through this project is over 750. </w:t>
      </w:r>
    </w:p>
    <w:p w14:paraId="3910405A" w14:textId="77777777" w:rsidR="00DC2FFD" w:rsidRPr="00DC2FFD" w:rsidRDefault="00DC2FFD" w:rsidP="00DC2FFD">
      <w:pPr>
        <w:spacing w:after="0"/>
        <w:ind w:firstLine="720"/>
        <w:jc w:val="both"/>
        <w:rPr>
          <w:sz w:val="24"/>
          <w:szCs w:val="24"/>
          <w:lang w:val="en-GB"/>
        </w:rPr>
      </w:pPr>
      <w:r w:rsidRPr="00DC2FFD">
        <w:rPr>
          <w:sz w:val="24"/>
          <w:lang w:val="en-GB"/>
        </w:rPr>
        <w:t>Through the IPA 2014 Programme, the project “EU Support to Improvement of Living Conditions of Roma” was executed between 2019 and 2021, which included the implementation of activities in 35 local self-government units. In that period, 24 sets of planning documentation and 82 sets of technical documentation were created for addressing housing needs for over 340 Roma households for 115 settlements, and due to the prepared documentation, six local self-government units provided financial means for construction of apartments from the IPA 2018 programme. This project provided support for activities of 15 mobile teams for the purposes of developing operational plans and action plans for Roma inclusion, and updating of a database on substandard Roma settlements.</w:t>
      </w:r>
    </w:p>
    <w:p w14:paraId="3F81897F" w14:textId="77777777" w:rsidR="00DC2FFD" w:rsidRPr="00DC2FFD" w:rsidRDefault="00DC2FFD" w:rsidP="00DC2FFD">
      <w:pPr>
        <w:spacing w:after="0"/>
        <w:ind w:firstLine="720"/>
        <w:jc w:val="both"/>
        <w:rPr>
          <w:sz w:val="24"/>
          <w:szCs w:val="24"/>
          <w:lang w:val="en-GB"/>
        </w:rPr>
      </w:pPr>
      <w:r w:rsidRPr="00DC2FFD">
        <w:rPr>
          <w:sz w:val="24"/>
          <w:lang w:val="en-GB"/>
        </w:rPr>
        <w:t>Within the framework of the IPA 2016 Programme, which expired in late March 2022, the Standing Conference of Towns and Municipalities implemented the project “Strengthening local communities towards Roma inclusion”. By the end of 2021, 11 urban plans and 12 sets of technical documentation were completed (social housing, road and utility infrastructure), the situation as regards legalisation of substandard Roma settlements was analysed in 23 local self-government units, and a methodology was created for improving the situation in this field. In addition to the above, the Report on the situation as regards the legalisation of Roma community buildings was created, with recommendations for an improvement of the process,</w:t>
      </w:r>
      <w:r w:rsidRPr="00DC2FFD">
        <w:rPr>
          <w:sz w:val="24"/>
          <w:szCs w:val="24"/>
          <w:vertAlign w:val="superscript"/>
          <w:lang w:val="sr-Cyrl-RS"/>
        </w:rPr>
        <w:footnoteReference w:id="5"/>
      </w:r>
      <w:r w:rsidRPr="00DC2FFD">
        <w:rPr>
          <w:sz w:val="24"/>
          <w:lang w:val="en-GB"/>
        </w:rPr>
        <w:t xml:space="preserve"> 10 mobile teams were created for support to Roma inclusion, 2,153 requests for legalisation were submitted (individually or through municipal/city administration) and legal assistance for resolving property rights issues for 247 Roma households for the purposes of legalisation was provided.</w:t>
      </w:r>
    </w:p>
    <w:p w14:paraId="6784ADF1" w14:textId="77777777" w:rsidR="00DC2FFD" w:rsidRPr="00DC2FFD" w:rsidRDefault="00DC2FFD" w:rsidP="00DC2FFD">
      <w:pPr>
        <w:spacing w:after="0"/>
        <w:ind w:firstLine="720"/>
        <w:jc w:val="both"/>
        <w:rPr>
          <w:sz w:val="24"/>
          <w:szCs w:val="24"/>
          <w:lang w:val="en-GB"/>
        </w:rPr>
      </w:pPr>
      <w:r w:rsidRPr="00DC2FFD">
        <w:rPr>
          <w:sz w:val="24"/>
          <w:lang w:val="en-GB"/>
        </w:rPr>
        <w:t>The IPA 2018 Programme, which includes the execution of the Project “European Union Support to Social Housing and Active Inclusion”, is to ensure resolution of housing problems for 500 families/approximately 1,500 individuals belonging to vulnerable social groups, most of them Roma, in over 15 local self-government units, in the next two years.</w:t>
      </w:r>
    </w:p>
    <w:p w14:paraId="6811EA76" w14:textId="77777777" w:rsidR="00DC2FFD" w:rsidRPr="00DC2FFD" w:rsidRDefault="00DC2FFD" w:rsidP="00DC2FFD">
      <w:pPr>
        <w:spacing w:after="0"/>
        <w:ind w:firstLine="720"/>
        <w:jc w:val="both"/>
        <w:rPr>
          <w:sz w:val="24"/>
          <w:szCs w:val="24"/>
          <w:lang w:val="en-GB"/>
        </w:rPr>
      </w:pPr>
      <w:r w:rsidRPr="00DC2FFD">
        <w:rPr>
          <w:sz w:val="24"/>
          <w:lang w:val="en-GB"/>
        </w:rPr>
        <w:t>Between March and September 2020, the team for social inclusion and reduction of poverty, in collaboration with the UN Human Rights Team, implemented  the project “Mapping of Substandard Roma Settlements according to Risks and Access to Rights in the Republic of Serbia, with Special Reference to the COVID 19 Epidemic”.</w:t>
      </w:r>
      <w:r w:rsidRPr="00DC2FFD">
        <w:rPr>
          <w:sz w:val="24"/>
          <w:szCs w:val="24"/>
          <w:vertAlign w:val="superscript"/>
          <w:lang w:val="sr-Cyrl-RS"/>
        </w:rPr>
        <w:footnoteReference w:id="6"/>
      </w:r>
      <w:r w:rsidRPr="00DC2FFD">
        <w:rPr>
          <w:sz w:val="24"/>
          <w:lang w:val="en-GB"/>
        </w:rPr>
        <w:t xml:space="preserve"> The mapping covers a total of 702 substandard Roma settlements which are located in the territory of 94 local self-government units, with 167,975 inhabitants. Collected data include access to clean water and sewage, health risks in the epidemiological context, performance of activities with increased health risks, and access to electricity and sustainable sources of income. The data were obtained from established institutional mechanisms for the inclusion of Roma men and women at the level of local self-government units, and representatives of civil society organisations.  According to the mapping results, 159 substandard settlements with no access or irregular </w:t>
      </w:r>
      <w:r w:rsidRPr="00DC2FFD">
        <w:rPr>
          <w:sz w:val="24"/>
          <w:lang w:val="en-GB"/>
        </w:rPr>
        <w:lastRenderedPageBreak/>
        <w:t xml:space="preserve">access to clean water are located in the territories of 51 LSGUs; 64 substandard settlements with no access or irregular access to electricity are located in the territories of 35 LSGUs; 457 substandard settlements with no access or irregular access to sewage are located in the territories of 82 LSGUs; 44 substandard settlements with no access  or irregular access to clean drinking water, electricity and sewage are located in the territories of 13 LSGUs. </w:t>
      </w:r>
    </w:p>
    <w:p w14:paraId="125CB0FF" w14:textId="77777777" w:rsidR="00DC2FFD" w:rsidRPr="00DC2FFD" w:rsidRDefault="00DC2FFD" w:rsidP="00DC2FFD">
      <w:pPr>
        <w:spacing w:after="0"/>
        <w:ind w:firstLine="720"/>
        <w:jc w:val="both"/>
        <w:rPr>
          <w:sz w:val="24"/>
          <w:szCs w:val="24"/>
          <w:lang w:val="en-GB"/>
        </w:rPr>
      </w:pPr>
      <w:r w:rsidRPr="00DC2FFD">
        <w:rPr>
          <w:sz w:val="24"/>
          <w:lang w:val="en-GB"/>
        </w:rPr>
        <w:t>The team for social inclusion and poverty reduction subsequently initiated the development of the “Analysis of sustainable models for ensuring access to clean water, sewage and electricity to inhabitants of substandard Roma settlements in the Republic of Serbia”,</w:t>
      </w:r>
      <w:r w:rsidRPr="00DC2FFD">
        <w:rPr>
          <w:sz w:val="24"/>
          <w:szCs w:val="24"/>
          <w:vertAlign w:val="superscript"/>
          <w:lang w:val="sr-Cyrl-RS"/>
        </w:rPr>
        <w:footnoteReference w:id="7"/>
      </w:r>
      <w:r w:rsidRPr="00DC2FFD">
        <w:rPr>
          <w:sz w:val="24"/>
          <w:lang w:val="en-GB"/>
        </w:rPr>
        <w:t xml:space="preserve"> which was prepared in late 2021. The objective of the analysis to show sustainable models and methods of providing access to clean water, sewage and electricity which will be based on the existing legal and strategic (national and local) framework, as well as propose their amendments and supplements for the purpose of improving the access to fundamental rights and services. </w:t>
      </w:r>
    </w:p>
    <w:p w14:paraId="08FEF158" w14:textId="77777777" w:rsidR="00DC2FFD" w:rsidRPr="00DC2FFD" w:rsidRDefault="00DC2FFD" w:rsidP="00DC2FFD">
      <w:pPr>
        <w:spacing w:after="0"/>
        <w:ind w:firstLine="720"/>
        <w:jc w:val="both"/>
        <w:rPr>
          <w:sz w:val="24"/>
          <w:szCs w:val="24"/>
          <w:highlight w:val="yellow"/>
          <w:lang w:val="en-GB"/>
        </w:rPr>
      </w:pPr>
      <w:r w:rsidRPr="00DC2FFD">
        <w:rPr>
          <w:sz w:val="24"/>
          <w:lang w:val="en-GB"/>
        </w:rPr>
        <w:t xml:space="preserve">The Government of the Republic of Serbia is executing the project “Reducing Additional Vulnerability of Roma Men and Women and other Marginalised Groups, Caused by the COVID-19 Pandemic in 18 Local Self-Governments”. The project is aimed at overcoming challenges resulting from the epidemic in the fields of education, improvement of the access to water, information and promotion of immunisation against COVID-19, as well as technical support to competent local institutions for the purposes of monitoring the course of the epidemic. In the field of education, support is provided to students of elementary schools with learning, as well as to parents so they could help children in school. In addition, technical equipment is also assigned, as a precondition for distance learning and achieving school assignments. As regards information, prevention and promotion of immunisation against COVID-19, Roma families are given advice on preventive measures and provided with information on the importance of the process. Improvement of the access to water will be ensured by finding permanent solutions for 545 marginalised families who live in 11 sub-standard settlements in the municipalities of </w:t>
      </w:r>
      <w:proofErr w:type="spellStart"/>
      <w:r w:rsidRPr="00DC2FFD">
        <w:rPr>
          <w:sz w:val="24"/>
          <w:lang w:val="en-GB"/>
        </w:rPr>
        <w:t>Stara</w:t>
      </w:r>
      <w:proofErr w:type="spellEnd"/>
      <w:r w:rsidRPr="00DC2FFD">
        <w:rPr>
          <w:sz w:val="24"/>
          <w:lang w:val="en-GB"/>
        </w:rPr>
        <w:t xml:space="preserve"> </w:t>
      </w:r>
      <w:proofErr w:type="spellStart"/>
      <w:r w:rsidRPr="00DC2FFD">
        <w:rPr>
          <w:sz w:val="24"/>
          <w:lang w:val="en-GB"/>
        </w:rPr>
        <w:t>Pazova</w:t>
      </w:r>
      <w:proofErr w:type="spellEnd"/>
      <w:r w:rsidRPr="00DC2FFD">
        <w:rPr>
          <w:sz w:val="24"/>
          <w:lang w:val="en-GB"/>
        </w:rPr>
        <w:t xml:space="preserve">, </w:t>
      </w:r>
      <w:proofErr w:type="spellStart"/>
      <w:r w:rsidRPr="00DC2FFD">
        <w:rPr>
          <w:sz w:val="24"/>
          <w:lang w:val="en-GB"/>
        </w:rPr>
        <w:t>Zrenjanin</w:t>
      </w:r>
      <w:proofErr w:type="spellEnd"/>
      <w:r w:rsidRPr="00DC2FFD">
        <w:rPr>
          <w:sz w:val="24"/>
          <w:lang w:val="en-GB"/>
        </w:rPr>
        <w:t xml:space="preserve">, </w:t>
      </w:r>
      <w:proofErr w:type="spellStart"/>
      <w:r w:rsidRPr="00DC2FFD">
        <w:rPr>
          <w:sz w:val="24"/>
          <w:lang w:val="en-GB"/>
        </w:rPr>
        <w:t>Smederevska</w:t>
      </w:r>
      <w:proofErr w:type="spellEnd"/>
      <w:r w:rsidRPr="00DC2FFD">
        <w:rPr>
          <w:sz w:val="24"/>
          <w:lang w:val="en-GB"/>
        </w:rPr>
        <w:t xml:space="preserve"> </w:t>
      </w:r>
      <w:proofErr w:type="spellStart"/>
      <w:r w:rsidRPr="00DC2FFD">
        <w:rPr>
          <w:sz w:val="24"/>
          <w:lang w:val="en-GB"/>
        </w:rPr>
        <w:t>Palanka</w:t>
      </w:r>
      <w:proofErr w:type="spellEnd"/>
      <w:r w:rsidRPr="00DC2FFD">
        <w:rPr>
          <w:sz w:val="24"/>
          <w:lang w:val="en-GB"/>
        </w:rPr>
        <w:t xml:space="preserve">, </w:t>
      </w:r>
      <w:proofErr w:type="spellStart"/>
      <w:r w:rsidRPr="00DC2FFD">
        <w:rPr>
          <w:sz w:val="24"/>
          <w:lang w:val="en-GB"/>
        </w:rPr>
        <w:t>Topola</w:t>
      </w:r>
      <w:proofErr w:type="spellEnd"/>
      <w:r w:rsidRPr="00DC2FFD">
        <w:rPr>
          <w:sz w:val="24"/>
          <w:lang w:val="en-GB"/>
        </w:rPr>
        <w:t xml:space="preserve">, </w:t>
      </w:r>
      <w:proofErr w:type="spellStart"/>
      <w:r w:rsidRPr="00DC2FFD">
        <w:rPr>
          <w:sz w:val="24"/>
          <w:lang w:val="en-GB"/>
        </w:rPr>
        <w:t>Valjevo</w:t>
      </w:r>
      <w:proofErr w:type="spellEnd"/>
      <w:r w:rsidRPr="00DC2FFD">
        <w:rPr>
          <w:sz w:val="24"/>
          <w:lang w:val="en-GB"/>
        </w:rPr>
        <w:t xml:space="preserve">, </w:t>
      </w:r>
      <w:proofErr w:type="spellStart"/>
      <w:r w:rsidRPr="00DC2FFD">
        <w:rPr>
          <w:sz w:val="24"/>
          <w:lang w:val="en-GB"/>
        </w:rPr>
        <w:t>Kanjiža</w:t>
      </w:r>
      <w:proofErr w:type="spellEnd"/>
      <w:r w:rsidRPr="00DC2FFD">
        <w:rPr>
          <w:sz w:val="24"/>
          <w:lang w:val="en-GB"/>
        </w:rPr>
        <w:t xml:space="preserve"> and </w:t>
      </w:r>
      <w:proofErr w:type="spellStart"/>
      <w:r w:rsidRPr="00DC2FFD">
        <w:rPr>
          <w:sz w:val="24"/>
          <w:lang w:val="en-GB"/>
        </w:rPr>
        <w:t>Alibunar</w:t>
      </w:r>
      <w:proofErr w:type="spellEnd"/>
      <w:r w:rsidRPr="00DC2FFD">
        <w:rPr>
          <w:sz w:val="24"/>
          <w:lang w:val="en-GB"/>
        </w:rPr>
        <w:t>, through the construction and upgrade of water supply networks, or provision of individual connections to the water supply network. Project beneficiaries are, primarily, Roma men and women, returnees who live in 18 self-government units, as well as persons belonging to other marginalised groups.</w:t>
      </w:r>
    </w:p>
    <w:p w14:paraId="377D741E" w14:textId="77777777" w:rsidR="00DC2FFD" w:rsidRPr="00DC2FFD" w:rsidRDefault="00DC2FFD" w:rsidP="00DC2FFD">
      <w:pPr>
        <w:spacing w:after="0"/>
        <w:jc w:val="both"/>
        <w:rPr>
          <w:sz w:val="24"/>
          <w:szCs w:val="24"/>
          <w:highlight w:val="yellow"/>
          <w:lang w:val="sr-Cyrl-RS"/>
        </w:rPr>
      </w:pPr>
    </w:p>
    <w:p w14:paraId="62DC70BF" w14:textId="77777777" w:rsidR="00DC2FFD" w:rsidRPr="00DC2FFD" w:rsidRDefault="00DC2FFD" w:rsidP="00DC2FFD">
      <w:pPr>
        <w:spacing w:after="0"/>
        <w:jc w:val="both"/>
        <w:rPr>
          <w:i/>
          <w:sz w:val="24"/>
          <w:szCs w:val="24"/>
          <w:lang w:val="en-GB"/>
        </w:rPr>
      </w:pPr>
      <w:r w:rsidRPr="00DC2FFD">
        <w:rPr>
          <w:i/>
          <w:sz w:val="24"/>
          <w:lang w:val="en-GB"/>
        </w:rPr>
        <w:t>Activities in the field of health protection</w:t>
      </w:r>
    </w:p>
    <w:p w14:paraId="3DDE4506" w14:textId="77777777" w:rsidR="00DC2FFD" w:rsidRPr="00DC2FFD" w:rsidRDefault="00DC2FFD" w:rsidP="00DC2FFD">
      <w:pPr>
        <w:spacing w:after="0"/>
        <w:jc w:val="both"/>
        <w:rPr>
          <w:sz w:val="24"/>
          <w:szCs w:val="24"/>
          <w:lang w:val="sr-Cyrl-RS"/>
        </w:rPr>
      </w:pPr>
    </w:p>
    <w:p w14:paraId="130AD7C4" w14:textId="77777777" w:rsidR="00DC2FFD" w:rsidRPr="00DC2FFD" w:rsidRDefault="00DC2FFD" w:rsidP="00DC2FFD">
      <w:pPr>
        <w:spacing w:after="0"/>
        <w:ind w:firstLine="720"/>
        <w:jc w:val="both"/>
        <w:rPr>
          <w:sz w:val="24"/>
          <w:szCs w:val="24"/>
          <w:lang w:val="en-GB"/>
        </w:rPr>
      </w:pPr>
      <w:r w:rsidRPr="00DC2FFD">
        <w:rPr>
          <w:sz w:val="24"/>
          <w:lang w:val="en-GB"/>
        </w:rPr>
        <w:t>Significant results were achieved in the reporting period relating to the activities in the field of health protection of Roma. The Republic of Serbia has achieved practically full coverage of expertly assisted births, in view of the fact that 100% of children were born in a health institution, and 99% of children in Roma settlements were born with expert assistance, in health institutions. Infant mortality in Roma settlements, according to the MICS survey data</w:t>
      </w:r>
      <w:r w:rsidRPr="00DC2FFD">
        <w:rPr>
          <w:sz w:val="24"/>
          <w:szCs w:val="24"/>
          <w:vertAlign w:val="superscript"/>
          <w:lang w:val="sr-Cyrl-RS"/>
        </w:rPr>
        <w:footnoteReference w:id="8"/>
      </w:r>
      <w:r w:rsidRPr="00DC2FFD">
        <w:rPr>
          <w:sz w:val="24"/>
          <w:lang w:val="en-GB"/>
        </w:rPr>
        <w:t xml:space="preserve"> </w:t>
      </w:r>
      <w:r w:rsidRPr="00DC2FFD">
        <w:rPr>
          <w:sz w:val="24"/>
          <w:lang w:val="en-GB"/>
        </w:rPr>
        <w:lastRenderedPageBreak/>
        <w:t xml:space="preserve">referring to 2019, was 8 per </w:t>
      </w:r>
      <w:proofErr w:type="spellStart"/>
      <w:r w:rsidRPr="00DC2FFD">
        <w:rPr>
          <w:sz w:val="24"/>
          <w:lang w:val="en-GB"/>
        </w:rPr>
        <w:t>mille</w:t>
      </w:r>
      <w:proofErr w:type="spellEnd"/>
      <w:r w:rsidRPr="00DC2FFD">
        <w:rPr>
          <w:sz w:val="24"/>
          <w:lang w:val="en-GB"/>
        </w:rPr>
        <w:t xml:space="preserve">, and is higher than the national average, but is reduced by almost 5 per mille compared to the previous MICS survey from 2014. According to the Report of the Government of the Republic of Serbia with respect to the results of the programmes and projects of the Ministry of Health - improvement of the availability of health care to Roma population, it was stated that 8,250 vaccinations and systemic examinations of Roma children were performed in 2020, and 2.150 documents were created (health cards, personal documents, certifications of health cards). In addition, 10,500 children attended workshops and planned conversations from various fields of health education. </w:t>
      </w:r>
    </w:p>
    <w:p w14:paraId="220432DA" w14:textId="77777777" w:rsidR="00DC2FFD" w:rsidRPr="00DC2FFD" w:rsidRDefault="00DC2FFD" w:rsidP="00DC2FFD">
      <w:pPr>
        <w:spacing w:after="0"/>
        <w:ind w:firstLine="720"/>
        <w:jc w:val="both"/>
        <w:rPr>
          <w:sz w:val="24"/>
          <w:szCs w:val="24"/>
          <w:lang w:val="en-GB"/>
        </w:rPr>
      </w:pPr>
      <w:r w:rsidRPr="00DC2FFD">
        <w:rPr>
          <w:sz w:val="24"/>
          <w:lang w:val="en-GB"/>
        </w:rPr>
        <w:t xml:space="preserve">Children aged up to 5 in Serbia are insured in 99% cases, while children of the same age in Roma settlements are insured in 96% of cases. Children aged 5 to 17 in Serbia are insured in 99% of cases, and the percentage of children of the same age in Roma settlements who are insured is 97%. Women in the reproductive period (age 15-19) are insured (mandatory health insurance) in 97% cases according to the MICS survey data for 2019. At least 97% of women in Serbia have undergone prenatal tests at least four times, while 80% of women were checked 8 or more times. In Roma settlements, 95%  of women who gave birth in the last two years had prenatal tests more than once, 83% at least four times, and 43% eight or more times. In Serbia, 94% of women who had given birth had a health visitor during the week after birth (average number of visits was 3.8 times), while that percentage in Roma settlements was 90% (average number of visits to a baby was 3.6 times). </w:t>
      </w:r>
    </w:p>
    <w:p w14:paraId="161F94F6" w14:textId="77777777" w:rsidR="00DC2FFD" w:rsidRPr="00DC2FFD" w:rsidRDefault="00DC2FFD" w:rsidP="00DC2FFD">
      <w:pPr>
        <w:shd w:val="clear" w:color="auto" w:fill="FFFFFF"/>
        <w:spacing w:after="0"/>
        <w:ind w:firstLine="720"/>
        <w:jc w:val="both"/>
        <w:rPr>
          <w:rFonts w:eastAsia="Times New Roman"/>
          <w:sz w:val="24"/>
          <w:szCs w:val="24"/>
          <w:lang w:val="en-GB"/>
        </w:rPr>
      </w:pPr>
      <w:r w:rsidRPr="00DC2FFD">
        <w:rPr>
          <w:sz w:val="24"/>
          <w:lang w:val="en-GB"/>
        </w:rPr>
        <w:t>The Ministry of Health pays particular attention to improving the availability of health care to persons belonging to the Roma national minority. Every year, the Ministry announces an open competition titled “Improvement of availability of health care of the Roma population”, where the priority of the competition are defined in accordance with the Health Care Development Plan</w:t>
      </w:r>
      <w:r w:rsidRPr="00DC2FFD">
        <w:rPr>
          <w:rFonts w:eastAsia="Times New Roman"/>
          <w:sz w:val="24"/>
          <w:szCs w:val="24"/>
          <w:vertAlign w:val="superscript"/>
          <w:lang w:val="sr-Cyrl-RS" w:eastAsia="en-GB"/>
        </w:rPr>
        <w:footnoteReference w:id="9"/>
      </w:r>
      <w:r w:rsidRPr="00DC2FFD">
        <w:rPr>
          <w:sz w:val="24"/>
          <w:lang w:val="en-GB"/>
        </w:rPr>
        <w:t> and the Strategy for Social Inclusion of Roma Men and Women. The objectives of the open competition are: 1) improvement of the availability of health care, and 2) improvement of the quality of the provision of health care services to the Roma population.</w:t>
      </w:r>
    </w:p>
    <w:p w14:paraId="54A26AF2" w14:textId="77777777" w:rsidR="00DC2FFD" w:rsidRPr="00DC2FFD" w:rsidRDefault="00DC2FFD" w:rsidP="00DC2FFD">
      <w:pPr>
        <w:shd w:val="clear" w:color="auto" w:fill="FFFFFF"/>
        <w:spacing w:after="0"/>
        <w:ind w:firstLine="720"/>
        <w:jc w:val="both"/>
        <w:rPr>
          <w:rFonts w:eastAsia="Times New Roman"/>
          <w:sz w:val="24"/>
          <w:szCs w:val="24"/>
          <w:lang w:val="en-GB"/>
        </w:rPr>
      </w:pPr>
      <w:r w:rsidRPr="00DC2FFD">
        <w:rPr>
          <w:sz w:val="24"/>
          <w:lang w:val="en-GB"/>
        </w:rPr>
        <w:t xml:space="preserve">As regards the improvement of the availability of health care, priority areas of the open competition are, </w:t>
      </w:r>
      <w:r w:rsidRPr="00DC2FFD">
        <w:rPr>
          <w:i/>
          <w:iCs/>
          <w:sz w:val="24"/>
          <w:lang w:val="en-GB"/>
        </w:rPr>
        <w:t>inter alia</w:t>
      </w:r>
      <w:r w:rsidRPr="00DC2FFD">
        <w:rPr>
          <w:sz w:val="24"/>
          <w:lang w:val="en-GB"/>
        </w:rPr>
        <w:t>, about reducing all forms of discrimination, prevention of chronic diseases, reproductive health, health of children, young and old people, addictions, mental health, prevention of domestic violence, and as a priority in the recent years, mitigation of the consequences of the COVID-19 pandemic.</w:t>
      </w:r>
    </w:p>
    <w:p w14:paraId="75EDADFD" w14:textId="77777777" w:rsidR="00DC2FFD" w:rsidRPr="00DC2FFD" w:rsidRDefault="00DC2FFD" w:rsidP="00DC2FFD">
      <w:pPr>
        <w:shd w:val="clear" w:color="auto" w:fill="FFFFFF"/>
        <w:spacing w:after="0"/>
        <w:ind w:firstLine="720"/>
        <w:jc w:val="both"/>
        <w:rPr>
          <w:rFonts w:eastAsia="Times New Roman"/>
          <w:sz w:val="24"/>
          <w:szCs w:val="24"/>
          <w:lang w:val="en-GB"/>
        </w:rPr>
      </w:pPr>
      <w:r w:rsidRPr="00DC2FFD">
        <w:rPr>
          <w:sz w:val="24"/>
          <w:lang w:val="en-GB"/>
        </w:rPr>
        <w:t>Improvement of the quality of the provision of health care services to the Roma population is implemented through educational programmes for health care workers on combating discrimination, stereotypes and prejudice on the health status and needs of the Roma population and protection of the rights of Roma as patients. In addition, educational programmes for health mediators, as regards the protection of health of women, reproductive health and family planning, vaccination of children, prevention of domestic violence, reduction of all forms of discrimination, as well as development of educational materials and materials for health mediators, are also financed. The table below shows the amounts of allocated funds in this open competition by years.</w:t>
      </w:r>
    </w:p>
    <w:p w14:paraId="3A38A837" w14:textId="77777777" w:rsidR="00DC2FFD" w:rsidRPr="00DC2FFD" w:rsidRDefault="00DC2FFD" w:rsidP="00DC2FFD">
      <w:pPr>
        <w:shd w:val="clear" w:color="auto" w:fill="FFFFFF"/>
        <w:spacing w:after="75" w:line="240" w:lineRule="auto"/>
        <w:jc w:val="both"/>
        <w:rPr>
          <w:rFonts w:ascii="Arial" w:eastAsia="Times New Roman" w:hAnsi="Arial" w:cs="Arial"/>
          <w:color w:val="0D4077"/>
          <w:sz w:val="27"/>
          <w:szCs w:val="27"/>
          <w:lang w:val="sr-Cyrl-RS" w:eastAsia="en-GB"/>
        </w:rPr>
      </w:pPr>
    </w:p>
    <w:tbl>
      <w:tblPr>
        <w:tblStyle w:val="TableGrid"/>
        <w:tblW w:w="0" w:type="auto"/>
        <w:tblLook w:val="04A0" w:firstRow="1" w:lastRow="0" w:firstColumn="1" w:lastColumn="0" w:noHBand="0" w:noVBand="1"/>
      </w:tblPr>
      <w:tblGrid>
        <w:gridCol w:w="1271"/>
        <w:gridCol w:w="5528"/>
        <w:gridCol w:w="2217"/>
      </w:tblGrid>
      <w:tr w:rsidR="00DC2FFD" w:rsidRPr="00DC2FFD" w14:paraId="5DBE3EFA" w14:textId="77777777" w:rsidTr="00296435">
        <w:tc>
          <w:tcPr>
            <w:tcW w:w="1271" w:type="dxa"/>
          </w:tcPr>
          <w:p w14:paraId="2A9A0FA3" w14:textId="77777777" w:rsidR="00DC2FFD" w:rsidRPr="00DC2FFD" w:rsidRDefault="00DC2FFD" w:rsidP="00DC2FFD">
            <w:pPr>
              <w:spacing w:after="0"/>
              <w:jc w:val="center"/>
              <w:rPr>
                <w:rFonts w:eastAsia="Times New Roman"/>
                <w:sz w:val="20"/>
                <w:szCs w:val="20"/>
                <w:lang w:val="en-GB"/>
              </w:rPr>
            </w:pPr>
            <w:r w:rsidRPr="00DC2FFD">
              <w:rPr>
                <w:sz w:val="20"/>
                <w:lang w:val="en-GB"/>
              </w:rPr>
              <w:t>Year</w:t>
            </w:r>
          </w:p>
        </w:tc>
        <w:tc>
          <w:tcPr>
            <w:tcW w:w="5528" w:type="dxa"/>
          </w:tcPr>
          <w:p w14:paraId="7356A8E4" w14:textId="77777777" w:rsidR="00DC2FFD" w:rsidRPr="00DC2FFD" w:rsidRDefault="00DC2FFD" w:rsidP="00DC2FFD">
            <w:pPr>
              <w:spacing w:after="0"/>
              <w:jc w:val="center"/>
              <w:rPr>
                <w:rFonts w:eastAsia="Times New Roman"/>
                <w:sz w:val="20"/>
                <w:szCs w:val="20"/>
                <w:lang w:val="en-GB"/>
              </w:rPr>
            </w:pPr>
            <w:r w:rsidRPr="00DC2FFD">
              <w:rPr>
                <w:sz w:val="20"/>
                <w:lang w:val="en-GB"/>
              </w:rPr>
              <w:t>Policy area</w:t>
            </w:r>
          </w:p>
        </w:tc>
        <w:tc>
          <w:tcPr>
            <w:tcW w:w="2217" w:type="dxa"/>
          </w:tcPr>
          <w:p w14:paraId="5E9A3A5F" w14:textId="77777777" w:rsidR="00DC2FFD" w:rsidRPr="00DC2FFD" w:rsidRDefault="00DC2FFD" w:rsidP="00DC2FFD">
            <w:pPr>
              <w:spacing w:after="0"/>
              <w:jc w:val="center"/>
              <w:rPr>
                <w:rFonts w:eastAsia="Times New Roman"/>
                <w:sz w:val="20"/>
                <w:szCs w:val="20"/>
                <w:lang w:val="en-GB"/>
              </w:rPr>
            </w:pPr>
            <w:r w:rsidRPr="00DC2FFD">
              <w:rPr>
                <w:sz w:val="20"/>
                <w:lang w:val="en-GB"/>
              </w:rPr>
              <w:t>Amount</w:t>
            </w:r>
          </w:p>
        </w:tc>
      </w:tr>
      <w:tr w:rsidR="00DC2FFD" w:rsidRPr="00DC2FFD" w14:paraId="24CD879D" w14:textId="77777777" w:rsidTr="00296435">
        <w:tc>
          <w:tcPr>
            <w:tcW w:w="1271" w:type="dxa"/>
          </w:tcPr>
          <w:p w14:paraId="6682EF4F" w14:textId="77777777" w:rsidR="00DC2FFD" w:rsidRPr="00DC2FFD" w:rsidRDefault="00DC2FFD" w:rsidP="00DC2FFD">
            <w:pPr>
              <w:spacing w:after="0"/>
              <w:jc w:val="center"/>
              <w:rPr>
                <w:rFonts w:eastAsia="Times New Roman"/>
                <w:sz w:val="20"/>
                <w:szCs w:val="20"/>
                <w:lang w:val="en-GB"/>
              </w:rPr>
            </w:pPr>
            <w:r w:rsidRPr="00DC2FFD">
              <w:rPr>
                <w:sz w:val="20"/>
                <w:lang w:val="en-GB"/>
              </w:rPr>
              <w:t>2018</w:t>
            </w:r>
          </w:p>
        </w:tc>
        <w:tc>
          <w:tcPr>
            <w:tcW w:w="5528" w:type="dxa"/>
          </w:tcPr>
          <w:p w14:paraId="48239885" w14:textId="77777777" w:rsidR="00DC2FFD" w:rsidRPr="00DC2FFD" w:rsidRDefault="00DC2FFD" w:rsidP="00DC2FFD">
            <w:pPr>
              <w:spacing w:after="0"/>
              <w:rPr>
                <w:rFonts w:eastAsia="Times New Roman"/>
                <w:sz w:val="20"/>
                <w:szCs w:val="20"/>
                <w:lang w:val="en-GB"/>
              </w:rPr>
            </w:pPr>
            <w:r w:rsidRPr="00DC2FFD">
              <w:rPr>
                <w:sz w:val="20"/>
                <w:lang w:val="en-GB"/>
              </w:rPr>
              <w:t>Improvement of the availability of health care to the Roma population</w:t>
            </w:r>
          </w:p>
        </w:tc>
        <w:tc>
          <w:tcPr>
            <w:tcW w:w="2217" w:type="dxa"/>
          </w:tcPr>
          <w:p w14:paraId="189EF299" w14:textId="77777777" w:rsidR="00DC2FFD" w:rsidRPr="00DC2FFD" w:rsidRDefault="00DC2FFD" w:rsidP="00DC2FFD">
            <w:pPr>
              <w:spacing w:after="0"/>
              <w:jc w:val="right"/>
              <w:rPr>
                <w:rFonts w:eastAsia="Times New Roman"/>
                <w:sz w:val="20"/>
                <w:szCs w:val="20"/>
                <w:lang w:val="en-GB"/>
              </w:rPr>
            </w:pPr>
            <w:r w:rsidRPr="00DC2FFD">
              <w:rPr>
                <w:sz w:val="20"/>
                <w:lang w:val="en-GB"/>
              </w:rPr>
              <w:t>5,499,100.00</w:t>
            </w:r>
          </w:p>
        </w:tc>
      </w:tr>
      <w:tr w:rsidR="00DC2FFD" w:rsidRPr="00DC2FFD" w14:paraId="7F920BD6" w14:textId="77777777" w:rsidTr="00296435">
        <w:tc>
          <w:tcPr>
            <w:tcW w:w="1271" w:type="dxa"/>
            <w:vMerge w:val="restart"/>
            <w:vAlign w:val="center"/>
          </w:tcPr>
          <w:p w14:paraId="7BD85611" w14:textId="77777777" w:rsidR="00DC2FFD" w:rsidRPr="00DC2FFD" w:rsidRDefault="00DC2FFD" w:rsidP="00DC2FFD">
            <w:pPr>
              <w:spacing w:after="0"/>
              <w:jc w:val="center"/>
              <w:rPr>
                <w:rFonts w:eastAsia="Times New Roman"/>
                <w:sz w:val="20"/>
                <w:szCs w:val="20"/>
                <w:lang w:val="en-GB"/>
              </w:rPr>
            </w:pPr>
            <w:r w:rsidRPr="00DC2FFD">
              <w:rPr>
                <w:sz w:val="20"/>
                <w:lang w:val="en-GB"/>
              </w:rPr>
              <w:t>2019</w:t>
            </w:r>
          </w:p>
        </w:tc>
        <w:tc>
          <w:tcPr>
            <w:tcW w:w="5528" w:type="dxa"/>
          </w:tcPr>
          <w:p w14:paraId="356AC7AF" w14:textId="77777777" w:rsidR="00DC2FFD" w:rsidRPr="00DC2FFD" w:rsidRDefault="00DC2FFD" w:rsidP="00DC2FFD">
            <w:pPr>
              <w:spacing w:after="0"/>
              <w:rPr>
                <w:rFonts w:eastAsia="Times New Roman"/>
                <w:sz w:val="20"/>
                <w:szCs w:val="20"/>
                <w:lang w:val="en-GB"/>
              </w:rPr>
            </w:pPr>
            <w:r w:rsidRPr="00DC2FFD">
              <w:rPr>
                <w:sz w:val="20"/>
                <w:lang w:val="en-GB"/>
              </w:rPr>
              <w:t>Improvement of the availability of health care</w:t>
            </w:r>
          </w:p>
        </w:tc>
        <w:tc>
          <w:tcPr>
            <w:tcW w:w="2217" w:type="dxa"/>
          </w:tcPr>
          <w:p w14:paraId="5C7B41A4" w14:textId="77777777" w:rsidR="00DC2FFD" w:rsidRPr="00DC2FFD" w:rsidRDefault="00DC2FFD" w:rsidP="00DC2FFD">
            <w:pPr>
              <w:spacing w:after="0"/>
              <w:jc w:val="right"/>
              <w:rPr>
                <w:rFonts w:eastAsia="Times New Roman"/>
                <w:sz w:val="20"/>
                <w:szCs w:val="20"/>
                <w:lang w:val="en-GB"/>
              </w:rPr>
            </w:pPr>
            <w:r w:rsidRPr="00DC2FFD">
              <w:rPr>
                <w:sz w:val="20"/>
                <w:lang w:val="en-GB"/>
              </w:rPr>
              <w:t>5,499,600.00</w:t>
            </w:r>
          </w:p>
        </w:tc>
      </w:tr>
      <w:tr w:rsidR="00DC2FFD" w:rsidRPr="00DC2FFD" w14:paraId="7FD642F4" w14:textId="77777777" w:rsidTr="00296435">
        <w:tc>
          <w:tcPr>
            <w:tcW w:w="1271" w:type="dxa"/>
            <w:vMerge/>
          </w:tcPr>
          <w:p w14:paraId="20DD1A17" w14:textId="77777777" w:rsidR="00DC2FFD" w:rsidRPr="00DC2FFD" w:rsidRDefault="00DC2FFD" w:rsidP="00DC2FFD">
            <w:pPr>
              <w:spacing w:after="0"/>
              <w:jc w:val="center"/>
              <w:rPr>
                <w:rFonts w:eastAsia="Times New Roman"/>
                <w:sz w:val="20"/>
                <w:szCs w:val="20"/>
                <w:lang w:val="sr-Cyrl-RS" w:eastAsia="en-GB"/>
              </w:rPr>
            </w:pPr>
          </w:p>
        </w:tc>
        <w:tc>
          <w:tcPr>
            <w:tcW w:w="5528" w:type="dxa"/>
          </w:tcPr>
          <w:p w14:paraId="5D3E95E2" w14:textId="77777777" w:rsidR="00DC2FFD" w:rsidRPr="00DC2FFD" w:rsidRDefault="00DC2FFD" w:rsidP="00DC2FFD">
            <w:pPr>
              <w:spacing w:after="0"/>
              <w:rPr>
                <w:rFonts w:eastAsia="Times New Roman"/>
                <w:sz w:val="20"/>
                <w:szCs w:val="20"/>
                <w:lang w:val="en-GB"/>
              </w:rPr>
            </w:pPr>
            <w:r w:rsidRPr="00DC2FFD">
              <w:rPr>
                <w:sz w:val="20"/>
                <w:lang w:val="en-GB"/>
              </w:rPr>
              <w:t>Improvement of the quality of the provision of health care services</w:t>
            </w:r>
          </w:p>
        </w:tc>
        <w:tc>
          <w:tcPr>
            <w:tcW w:w="2217" w:type="dxa"/>
          </w:tcPr>
          <w:p w14:paraId="4508DB6A" w14:textId="77777777" w:rsidR="00DC2FFD" w:rsidRPr="00DC2FFD" w:rsidRDefault="00DC2FFD" w:rsidP="00DC2FFD">
            <w:pPr>
              <w:spacing w:after="0"/>
              <w:jc w:val="right"/>
              <w:rPr>
                <w:rFonts w:eastAsia="Times New Roman"/>
                <w:sz w:val="20"/>
                <w:szCs w:val="20"/>
                <w:lang w:val="en-GB"/>
              </w:rPr>
            </w:pPr>
            <w:r w:rsidRPr="00DC2FFD">
              <w:rPr>
                <w:sz w:val="20"/>
                <w:lang w:val="en-GB"/>
              </w:rPr>
              <w:t>3,197,000.00</w:t>
            </w:r>
          </w:p>
        </w:tc>
      </w:tr>
      <w:tr w:rsidR="00DC2FFD" w:rsidRPr="00DC2FFD" w14:paraId="1C673BD0" w14:textId="77777777" w:rsidTr="00296435">
        <w:tc>
          <w:tcPr>
            <w:tcW w:w="1271" w:type="dxa"/>
            <w:vMerge w:val="restart"/>
            <w:vAlign w:val="center"/>
          </w:tcPr>
          <w:p w14:paraId="59D3757D" w14:textId="77777777" w:rsidR="00DC2FFD" w:rsidRPr="00DC2FFD" w:rsidRDefault="00DC2FFD" w:rsidP="00DC2FFD">
            <w:pPr>
              <w:spacing w:after="0"/>
              <w:jc w:val="center"/>
              <w:rPr>
                <w:rFonts w:eastAsia="Times New Roman"/>
                <w:sz w:val="20"/>
                <w:szCs w:val="20"/>
                <w:lang w:val="en-GB"/>
              </w:rPr>
            </w:pPr>
            <w:r w:rsidRPr="00DC2FFD">
              <w:rPr>
                <w:sz w:val="20"/>
                <w:lang w:val="en-GB"/>
              </w:rPr>
              <w:t>2020</w:t>
            </w:r>
          </w:p>
        </w:tc>
        <w:tc>
          <w:tcPr>
            <w:tcW w:w="5528" w:type="dxa"/>
          </w:tcPr>
          <w:p w14:paraId="204F1727" w14:textId="77777777" w:rsidR="00DC2FFD" w:rsidRPr="00DC2FFD" w:rsidRDefault="00DC2FFD" w:rsidP="00DC2FFD">
            <w:pPr>
              <w:spacing w:after="0"/>
              <w:rPr>
                <w:rFonts w:eastAsia="Times New Roman"/>
                <w:sz w:val="20"/>
                <w:szCs w:val="20"/>
                <w:lang w:val="en-GB"/>
              </w:rPr>
            </w:pPr>
            <w:r w:rsidRPr="00DC2FFD">
              <w:rPr>
                <w:sz w:val="20"/>
                <w:lang w:val="en-GB"/>
              </w:rPr>
              <w:t>Improvement of the availability of health care</w:t>
            </w:r>
          </w:p>
        </w:tc>
        <w:tc>
          <w:tcPr>
            <w:tcW w:w="2217" w:type="dxa"/>
          </w:tcPr>
          <w:p w14:paraId="1537E55F" w14:textId="77777777" w:rsidR="00DC2FFD" w:rsidRPr="00DC2FFD" w:rsidRDefault="00DC2FFD" w:rsidP="00DC2FFD">
            <w:pPr>
              <w:spacing w:after="0"/>
              <w:jc w:val="right"/>
              <w:rPr>
                <w:rFonts w:eastAsia="Times New Roman"/>
                <w:sz w:val="20"/>
                <w:szCs w:val="20"/>
                <w:lang w:val="en-GB"/>
              </w:rPr>
            </w:pPr>
            <w:r w:rsidRPr="00DC2FFD">
              <w:rPr>
                <w:sz w:val="20"/>
                <w:lang w:val="en-GB"/>
              </w:rPr>
              <w:t>5,888,759.00</w:t>
            </w:r>
          </w:p>
        </w:tc>
      </w:tr>
      <w:tr w:rsidR="00DC2FFD" w:rsidRPr="00DC2FFD" w14:paraId="69D93659" w14:textId="77777777" w:rsidTr="00296435">
        <w:tc>
          <w:tcPr>
            <w:tcW w:w="1271" w:type="dxa"/>
            <w:vMerge/>
          </w:tcPr>
          <w:p w14:paraId="3F6E6D49" w14:textId="77777777" w:rsidR="00DC2FFD" w:rsidRPr="00DC2FFD" w:rsidRDefault="00DC2FFD" w:rsidP="00DC2FFD">
            <w:pPr>
              <w:spacing w:after="0"/>
              <w:jc w:val="center"/>
              <w:rPr>
                <w:rFonts w:eastAsia="Times New Roman"/>
                <w:sz w:val="20"/>
                <w:szCs w:val="20"/>
                <w:lang w:val="sr-Cyrl-RS" w:eastAsia="en-GB"/>
              </w:rPr>
            </w:pPr>
          </w:p>
        </w:tc>
        <w:tc>
          <w:tcPr>
            <w:tcW w:w="5528" w:type="dxa"/>
          </w:tcPr>
          <w:p w14:paraId="0A635161" w14:textId="77777777" w:rsidR="00DC2FFD" w:rsidRPr="00DC2FFD" w:rsidRDefault="00DC2FFD" w:rsidP="00DC2FFD">
            <w:pPr>
              <w:spacing w:after="0"/>
              <w:rPr>
                <w:rFonts w:eastAsia="Times New Roman"/>
                <w:sz w:val="20"/>
                <w:szCs w:val="20"/>
                <w:lang w:val="en-GB"/>
              </w:rPr>
            </w:pPr>
            <w:r w:rsidRPr="00DC2FFD">
              <w:rPr>
                <w:sz w:val="20"/>
                <w:lang w:val="en-GB"/>
              </w:rPr>
              <w:t>Improvement of the quality of the provision of health care services</w:t>
            </w:r>
          </w:p>
        </w:tc>
        <w:tc>
          <w:tcPr>
            <w:tcW w:w="2217" w:type="dxa"/>
          </w:tcPr>
          <w:p w14:paraId="1F35B122" w14:textId="77777777" w:rsidR="00DC2FFD" w:rsidRPr="00DC2FFD" w:rsidRDefault="00DC2FFD" w:rsidP="00DC2FFD">
            <w:pPr>
              <w:spacing w:after="0"/>
              <w:jc w:val="right"/>
              <w:rPr>
                <w:rFonts w:eastAsia="Times New Roman"/>
                <w:sz w:val="20"/>
                <w:szCs w:val="20"/>
                <w:lang w:val="en-GB"/>
              </w:rPr>
            </w:pPr>
            <w:r w:rsidRPr="00DC2FFD">
              <w:rPr>
                <w:sz w:val="20"/>
                <w:lang w:val="en-GB"/>
              </w:rPr>
              <w:t>3,500,000.00</w:t>
            </w:r>
          </w:p>
        </w:tc>
      </w:tr>
      <w:tr w:rsidR="00DC2FFD" w:rsidRPr="00DC2FFD" w14:paraId="7B9A5728" w14:textId="77777777" w:rsidTr="00296435">
        <w:tc>
          <w:tcPr>
            <w:tcW w:w="1271" w:type="dxa"/>
            <w:vMerge w:val="restart"/>
            <w:vAlign w:val="center"/>
          </w:tcPr>
          <w:p w14:paraId="4D06DBBC" w14:textId="77777777" w:rsidR="00DC2FFD" w:rsidRPr="00DC2FFD" w:rsidRDefault="00DC2FFD" w:rsidP="00DC2FFD">
            <w:pPr>
              <w:spacing w:after="0"/>
              <w:jc w:val="center"/>
              <w:rPr>
                <w:rFonts w:eastAsia="Times New Roman"/>
                <w:sz w:val="20"/>
                <w:szCs w:val="20"/>
                <w:lang w:val="en-GB"/>
              </w:rPr>
            </w:pPr>
            <w:r w:rsidRPr="00DC2FFD">
              <w:rPr>
                <w:sz w:val="20"/>
                <w:lang w:val="en-GB"/>
              </w:rPr>
              <w:t>2021</w:t>
            </w:r>
          </w:p>
        </w:tc>
        <w:tc>
          <w:tcPr>
            <w:tcW w:w="5528" w:type="dxa"/>
          </w:tcPr>
          <w:p w14:paraId="1B288840" w14:textId="77777777" w:rsidR="00DC2FFD" w:rsidRPr="00DC2FFD" w:rsidRDefault="00DC2FFD" w:rsidP="00DC2FFD">
            <w:pPr>
              <w:spacing w:after="0"/>
              <w:rPr>
                <w:rFonts w:eastAsia="Times New Roman"/>
                <w:sz w:val="20"/>
                <w:szCs w:val="20"/>
                <w:lang w:val="en-GB"/>
              </w:rPr>
            </w:pPr>
            <w:r w:rsidRPr="00DC2FFD">
              <w:rPr>
                <w:sz w:val="20"/>
                <w:lang w:val="en-GB"/>
              </w:rPr>
              <w:t>Improvement of the availability of health care</w:t>
            </w:r>
          </w:p>
        </w:tc>
        <w:tc>
          <w:tcPr>
            <w:tcW w:w="2217" w:type="dxa"/>
          </w:tcPr>
          <w:p w14:paraId="7CFFC7A1" w14:textId="77777777" w:rsidR="00DC2FFD" w:rsidRPr="00DC2FFD" w:rsidRDefault="00DC2FFD" w:rsidP="00DC2FFD">
            <w:pPr>
              <w:spacing w:after="0"/>
              <w:jc w:val="right"/>
              <w:rPr>
                <w:rFonts w:eastAsia="Times New Roman"/>
                <w:sz w:val="20"/>
                <w:szCs w:val="20"/>
                <w:lang w:val="en-GB"/>
              </w:rPr>
            </w:pPr>
            <w:r w:rsidRPr="00DC2FFD">
              <w:rPr>
                <w:sz w:val="20"/>
                <w:lang w:val="en-GB"/>
              </w:rPr>
              <w:t>6,498,600.00</w:t>
            </w:r>
          </w:p>
        </w:tc>
      </w:tr>
      <w:tr w:rsidR="00DC2FFD" w:rsidRPr="00DC2FFD" w14:paraId="6AC9880F" w14:textId="77777777" w:rsidTr="00296435">
        <w:tc>
          <w:tcPr>
            <w:tcW w:w="1271" w:type="dxa"/>
            <w:vMerge/>
            <w:vAlign w:val="center"/>
          </w:tcPr>
          <w:p w14:paraId="6B0E9A7B" w14:textId="77777777" w:rsidR="00DC2FFD" w:rsidRPr="00DC2FFD" w:rsidRDefault="00DC2FFD" w:rsidP="00DC2FFD">
            <w:pPr>
              <w:spacing w:after="0"/>
              <w:jc w:val="center"/>
              <w:rPr>
                <w:rFonts w:eastAsia="Times New Roman"/>
                <w:sz w:val="20"/>
                <w:szCs w:val="20"/>
                <w:lang w:val="sr-Cyrl-RS" w:eastAsia="en-GB"/>
              </w:rPr>
            </w:pPr>
          </w:p>
        </w:tc>
        <w:tc>
          <w:tcPr>
            <w:tcW w:w="5528" w:type="dxa"/>
          </w:tcPr>
          <w:p w14:paraId="2A4951C1" w14:textId="77777777" w:rsidR="00DC2FFD" w:rsidRPr="00DC2FFD" w:rsidRDefault="00DC2FFD" w:rsidP="00DC2FFD">
            <w:pPr>
              <w:spacing w:after="0"/>
              <w:rPr>
                <w:rFonts w:eastAsia="Times New Roman"/>
                <w:sz w:val="20"/>
                <w:szCs w:val="20"/>
                <w:lang w:val="en-GB"/>
              </w:rPr>
            </w:pPr>
            <w:r w:rsidRPr="00DC2FFD">
              <w:rPr>
                <w:sz w:val="20"/>
                <w:lang w:val="en-GB"/>
              </w:rPr>
              <w:t>Improvement of the quality of the provision of health care services</w:t>
            </w:r>
          </w:p>
        </w:tc>
        <w:tc>
          <w:tcPr>
            <w:tcW w:w="2217" w:type="dxa"/>
          </w:tcPr>
          <w:p w14:paraId="59D21056" w14:textId="77777777" w:rsidR="00DC2FFD" w:rsidRPr="00DC2FFD" w:rsidRDefault="00DC2FFD" w:rsidP="00DC2FFD">
            <w:pPr>
              <w:spacing w:after="0"/>
              <w:jc w:val="right"/>
              <w:rPr>
                <w:rFonts w:eastAsia="Times New Roman"/>
                <w:sz w:val="20"/>
                <w:szCs w:val="20"/>
                <w:lang w:val="en-GB"/>
              </w:rPr>
            </w:pPr>
            <w:r w:rsidRPr="00DC2FFD">
              <w:rPr>
                <w:sz w:val="20"/>
                <w:lang w:val="en-GB"/>
              </w:rPr>
              <w:t>3,500,000.00</w:t>
            </w:r>
          </w:p>
        </w:tc>
      </w:tr>
      <w:tr w:rsidR="00DC2FFD" w:rsidRPr="00DC2FFD" w14:paraId="3DF1FC03" w14:textId="77777777" w:rsidTr="00296435">
        <w:tc>
          <w:tcPr>
            <w:tcW w:w="1271" w:type="dxa"/>
            <w:vMerge w:val="restart"/>
            <w:vAlign w:val="center"/>
          </w:tcPr>
          <w:p w14:paraId="507598F7" w14:textId="77777777" w:rsidR="00DC2FFD" w:rsidRPr="00DC2FFD" w:rsidRDefault="00DC2FFD" w:rsidP="00DC2FFD">
            <w:pPr>
              <w:spacing w:after="0"/>
              <w:jc w:val="center"/>
              <w:rPr>
                <w:rFonts w:eastAsia="Times New Roman"/>
                <w:sz w:val="20"/>
                <w:szCs w:val="20"/>
                <w:lang w:val="en-GB"/>
              </w:rPr>
            </w:pPr>
            <w:r w:rsidRPr="00DC2FFD">
              <w:rPr>
                <w:sz w:val="20"/>
                <w:lang w:val="en-GB"/>
              </w:rPr>
              <w:t>2022</w:t>
            </w:r>
          </w:p>
        </w:tc>
        <w:tc>
          <w:tcPr>
            <w:tcW w:w="5528" w:type="dxa"/>
          </w:tcPr>
          <w:p w14:paraId="4A7A1CC3" w14:textId="77777777" w:rsidR="00DC2FFD" w:rsidRPr="00DC2FFD" w:rsidRDefault="00DC2FFD" w:rsidP="00DC2FFD">
            <w:pPr>
              <w:spacing w:after="0"/>
              <w:rPr>
                <w:rFonts w:eastAsia="Times New Roman"/>
                <w:sz w:val="20"/>
                <w:szCs w:val="20"/>
                <w:lang w:val="en-GB"/>
              </w:rPr>
            </w:pPr>
            <w:r w:rsidRPr="00DC2FFD">
              <w:rPr>
                <w:sz w:val="20"/>
                <w:lang w:val="en-GB"/>
              </w:rPr>
              <w:t>Improvement of the availability of health care</w:t>
            </w:r>
          </w:p>
        </w:tc>
        <w:tc>
          <w:tcPr>
            <w:tcW w:w="2217" w:type="dxa"/>
          </w:tcPr>
          <w:p w14:paraId="49AE474C" w14:textId="77777777" w:rsidR="00DC2FFD" w:rsidRPr="00DC2FFD" w:rsidRDefault="00DC2FFD" w:rsidP="00DC2FFD">
            <w:pPr>
              <w:spacing w:after="0"/>
              <w:jc w:val="right"/>
              <w:rPr>
                <w:rFonts w:eastAsia="Times New Roman"/>
                <w:sz w:val="20"/>
                <w:szCs w:val="20"/>
                <w:lang w:val="en-GB"/>
              </w:rPr>
            </w:pPr>
            <w:r w:rsidRPr="00DC2FFD">
              <w:rPr>
                <w:sz w:val="20"/>
                <w:lang w:val="en-GB"/>
              </w:rPr>
              <w:t>6,460,450.00</w:t>
            </w:r>
          </w:p>
        </w:tc>
      </w:tr>
      <w:tr w:rsidR="00DC2FFD" w:rsidRPr="00DC2FFD" w14:paraId="57E7D255" w14:textId="77777777" w:rsidTr="00296435">
        <w:tc>
          <w:tcPr>
            <w:tcW w:w="1271" w:type="dxa"/>
            <w:vMerge/>
          </w:tcPr>
          <w:p w14:paraId="075DCAEC" w14:textId="77777777" w:rsidR="00DC2FFD" w:rsidRPr="00DC2FFD" w:rsidRDefault="00DC2FFD" w:rsidP="00DC2FFD">
            <w:pPr>
              <w:spacing w:after="0"/>
              <w:jc w:val="both"/>
              <w:rPr>
                <w:rFonts w:eastAsia="Times New Roman"/>
                <w:sz w:val="20"/>
                <w:szCs w:val="20"/>
                <w:lang w:val="sr-Cyrl-RS" w:eastAsia="en-GB"/>
              </w:rPr>
            </w:pPr>
          </w:p>
        </w:tc>
        <w:tc>
          <w:tcPr>
            <w:tcW w:w="5528" w:type="dxa"/>
          </w:tcPr>
          <w:p w14:paraId="343E6C51" w14:textId="77777777" w:rsidR="00DC2FFD" w:rsidRPr="00DC2FFD" w:rsidRDefault="00DC2FFD" w:rsidP="00DC2FFD">
            <w:pPr>
              <w:spacing w:after="0"/>
              <w:rPr>
                <w:rFonts w:eastAsia="Times New Roman"/>
                <w:sz w:val="20"/>
                <w:szCs w:val="20"/>
                <w:lang w:val="en-GB"/>
              </w:rPr>
            </w:pPr>
            <w:r w:rsidRPr="00DC2FFD">
              <w:rPr>
                <w:sz w:val="20"/>
                <w:lang w:val="en-GB"/>
              </w:rPr>
              <w:t>Improvement of the quality of the provision of health care services</w:t>
            </w:r>
          </w:p>
        </w:tc>
        <w:tc>
          <w:tcPr>
            <w:tcW w:w="2217" w:type="dxa"/>
          </w:tcPr>
          <w:p w14:paraId="59CE3C30" w14:textId="77777777" w:rsidR="00DC2FFD" w:rsidRPr="00DC2FFD" w:rsidRDefault="00DC2FFD" w:rsidP="00DC2FFD">
            <w:pPr>
              <w:spacing w:after="0"/>
              <w:jc w:val="right"/>
              <w:rPr>
                <w:rFonts w:eastAsia="Times New Roman"/>
                <w:sz w:val="20"/>
                <w:szCs w:val="20"/>
                <w:lang w:val="en-GB"/>
              </w:rPr>
            </w:pPr>
            <w:r w:rsidRPr="00DC2FFD">
              <w:rPr>
                <w:sz w:val="20"/>
                <w:lang w:val="en-GB"/>
              </w:rPr>
              <w:t>3,500,000.00</w:t>
            </w:r>
          </w:p>
        </w:tc>
      </w:tr>
    </w:tbl>
    <w:p w14:paraId="737CD8FF" w14:textId="77777777" w:rsidR="00DC2FFD" w:rsidRPr="00DC2FFD" w:rsidRDefault="00DC2FFD" w:rsidP="00DC2FFD">
      <w:pPr>
        <w:spacing w:after="0"/>
        <w:ind w:firstLine="720"/>
        <w:jc w:val="both"/>
        <w:rPr>
          <w:sz w:val="24"/>
          <w:szCs w:val="24"/>
          <w:lang w:val="sr-Cyrl-RS"/>
        </w:rPr>
      </w:pPr>
    </w:p>
    <w:p w14:paraId="179DB1D7" w14:textId="77777777" w:rsidR="00DC2FFD" w:rsidRPr="00DC2FFD" w:rsidRDefault="00DC2FFD" w:rsidP="00DC2FFD">
      <w:pPr>
        <w:spacing w:after="0"/>
        <w:ind w:firstLine="720"/>
        <w:jc w:val="both"/>
        <w:rPr>
          <w:sz w:val="24"/>
          <w:szCs w:val="24"/>
          <w:lang w:val="en-GB"/>
        </w:rPr>
      </w:pPr>
      <w:r w:rsidRPr="00DC2FFD">
        <w:rPr>
          <w:sz w:val="24"/>
          <w:lang w:val="en-GB"/>
        </w:rPr>
        <w:t>Multi-year activity of health mediators has also considerably contributed to the improvement of the situation in terms of exercising the right to health care and social protection and education of persons belonging to the Roma national minority, primarily those living in informal settlements. The number of health mediators is continuously increasing. At the moment, there are 85 recruited health mediators. The table below provides data recorded by health mediators between 2017 and 2021 as regards access to health care for persons belonging to the Roma national minority.</w:t>
      </w:r>
    </w:p>
    <w:p w14:paraId="17BC3AAF" w14:textId="77777777" w:rsidR="00DC2FFD" w:rsidRPr="00DC2FFD" w:rsidRDefault="00DC2FFD" w:rsidP="00DC2FFD">
      <w:pPr>
        <w:spacing w:after="0"/>
        <w:jc w:val="both"/>
        <w:rPr>
          <w:sz w:val="24"/>
          <w:szCs w:val="24"/>
          <w:lang w:val="sr-Cyrl-RS"/>
        </w:rPr>
      </w:pPr>
    </w:p>
    <w:tbl>
      <w:tblPr>
        <w:tblStyle w:val="TableGrid"/>
        <w:tblW w:w="0" w:type="auto"/>
        <w:tblInd w:w="2122" w:type="dxa"/>
        <w:tblLook w:val="04A0" w:firstRow="1" w:lastRow="0" w:firstColumn="1" w:lastColumn="0" w:noHBand="0" w:noVBand="1"/>
      </w:tblPr>
      <w:tblGrid>
        <w:gridCol w:w="2767"/>
        <w:gridCol w:w="1531"/>
      </w:tblGrid>
      <w:tr w:rsidR="00DC2FFD" w:rsidRPr="00DC2FFD" w14:paraId="54368430" w14:textId="77777777" w:rsidTr="00296435">
        <w:trPr>
          <w:trHeight w:val="246"/>
        </w:trPr>
        <w:tc>
          <w:tcPr>
            <w:tcW w:w="2767" w:type="dxa"/>
          </w:tcPr>
          <w:p w14:paraId="2B23FA2E" w14:textId="77777777" w:rsidR="00DC2FFD" w:rsidRPr="00DC2FFD" w:rsidRDefault="00DC2FFD" w:rsidP="00DC2FFD">
            <w:pPr>
              <w:spacing w:after="0"/>
              <w:rPr>
                <w:sz w:val="20"/>
                <w:szCs w:val="20"/>
                <w:lang w:val="en-GB"/>
              </w:rPr>
            </w:pPr>
            <w:r w:rsidRPr="00DC2FFD">
              <w:rPr>
                <w:sz w:val="20"/>
                <w:lang w:val="en-GB"/>
              </w:rPr>
              <w:t>Number of households</w:t>
            </w:r>
          </w:p>
        </w:tc>
        <w:tc>
          <w:tcPr>
            <w:tcW w:w="1531" w:type="dxa"/>
          </w:tcPr>
          <w:p w14:paraId="1E418FCE" w14:textId="77777777" w:rsidR="00DC2FFD" w:rsidRPr="00DC2FFD" w:rsidRDefault="00DC2FFD" w:rsidP="00DC2FFD">
            <w:pPr>
              <w:spacing w:after="0"/>
              <w:rPr>
                <w:sz w:val="20"/>
                <w:szCs w:val="20"/>
                <w:lang w:val="en-GB"/>
              </w:rPr>
            </w:pPr>
            <w:r w:rsidRPr="00DC2FFD">
              <w:rPr>
                <w:sz w:val="20"/>
                <w:lang w:val="en-GB"/>
              </w:rPr>
              <w:t>58,837</w:t>
            </w:r>
          </w:p>
        </w:tc>
      </w:tr>
      <w:tr w:rsidR="00DC2FFD" w:rsidRPr="00DC2FFD" w14:paraId="02DBA320" w14:textId="77777777" w:rsidTr="00296435">
        <w:trPr>
          <w:trHeight w:val="246"/>
        </w:trPr>
        <w:tc>
          <w:tcPr>
            <w:tcW w:w="2767" w:type="dxa"/>
          </w:tcPr>
          <w:p w14:paraId="4A7A01AD" w14:textId="77777777" w:rsidR="00DC2FFD" w:rsidRPr="00DC2FFD" w:rsidRDefault="00DC2FFD" w:rsidP="00DC2FFD">
            <w:pPr>
              <w:spacing w:after="0"/>
              <w:rPr>
                <w:sz w:val="20"/>
                <w:szCs w:val="20"/>
                <w:lang w:val="en-GB"/>
              </w:rPr>
            </w:pPr>
            <w:r w:rsidRPr="00DC2FFD">
              <w:rPr>
                <w:sz w:val="20"/>
                <w:lang w:val="en-GB"/>
              </w:rPr>
              <w:t>Number of persons</w:t>
            </w:r>
          </w:p>
        </w:tc>
        <w:tc>
          <w:tcPr>
            <w:tcW w:w="1531" w:type="dxa"/>
          </w:tcPr>
          <w:p w14:paraId="459F1454" w14:textId="77777777" w:rsidR="00DC2FFD" w:rsidRPr="00DC2FFD" w:rsidRDefault="00DC2FFD" w:rsidP="00DC2FFD">
            <w:pPr>
              <w:spacing w:after="0"/>
              <w:rPr>
                <w:sz w:val="20"/>
                <w:szCs w:val="20"/>
                <w:lang w:val="en-GB"/>
              </w:rPr>
            </w:pPr>
            <w:r w:rsidRPr="00DC2FFD">
              <w:rPr>
                <w:sz w:val="20"/>
                <w:lang w:val="en-GB"/>
              </w:rPr>
              <w:t>146,763</w:t>
            </w:r>
          </w:p>
        </w:tc>
      </w:tr>
      <w:tr w:rsidR="00DC2FFD" w:rsidRPr="00DC2FFD" w14:paraId="7DCFE1BE" w14:textId="77777777" w:rsidTr="00296435">
        <w:trPr>
          <w:trHeight w:val="246"/>
        </w:trPr>
        <w:tc>
          <w:tcPr>
            <w:tcW w:w="2767" w:type="dxa"/>
          </w:tcPr>
          <w:p w14:paraId="3F0DB67A" w14:textId="77777777" w:rsidR="00DC2FFD" w:rsidRPr="00DC2FFD" w:rsidRDefault="00DC2FFD" w:rsidP="00DC2FFD">
            <w:pPr>
              <w:spacing w:after="0"/>
              <w:rPr>
                <w:b/>
                <w:sz w:val="20"/>
                <w:szCs w:val="20"/>
                <w:lang w:val="en-GB"/>
              </w:rPr>
            </w:pPr>
            <w:r w:rsidRPr="00DC2FFD">
              <w:rPr>
                <w:b/>
                <w:sz w:val="20"/>
                <w:lang w:val="en-GB"/>
              </w:rPr>
              <w:t>Men</w:t>
            </w:r>
          </w:p>
        </w:tc>
        <w:tc>
          <w:tcPr>
            <w:tcW w:w="1531" w:type="dxa"/>
          </w:tcPr>
          <w:p w14:paraId="0C1E347A" w14:textId="77777777" w:rsidR="00DC2FFD" w:rsidRPr="00DC2FFD" w:rsidRDefault="00DC2FFD" w:rsidP="00DC2FFD">
            <w:pPr>
              <w:spacing w:after="0"/>
              <w:rPr>
                <w:b/>
                <w:sz w:val="20"/>
                <w:szCs w:val="20"/>
                <w:lang w:val="en-GB"/>
              </w:rPr>
            </w:pPr>
            <w:r w:rsidRPr="00DC2FFD">
              <w:rPr>
                <w:b/>
                <w:sz w:val="20"/>
                <w:lang w:val="en-GB"/>
              </w:rPr>
              <w:t>43,774</w:t>
            </w:r>
          </w:p>
        </w:tc>
      </w:tr>
      <w:tr w:rsidR="00DC2FFD" w:rsidRPr="00DC2FFD" w14:paraId="0CF81FDC" w14:textId="77777777" w:rsidTr="00296435">
        <w:trPr>
          <w:trHeight w:val="239"/>
        </w:trPr>
        <w:tc>
          <w:tcPr>
            <w:tcW w:w="2767" w:type="dxa"/>
          </w:tcPr>
          <w:p w14:paraId="2B14236C" w14:textId="77777777" w:rsidR="00DC2FFD" w:rsidRPr="00DC2FFD" w:rsidRDefault="00DC2FFD" w:rsidP="00DC2FFD">
            <w:pPr>
              <w:spacing w:after="0"/>
              <w:rPr>
                <w:b/>
                <w:sz w:val="20"/>
                <w:szCs w:val="20"/>
                <w:lang w:val="en-GB"/>
              </w:rPr>
            </w:pPr>
            <w:r w:rsidRPr="00DC2FFD">
              <w:rPr>
                <w:b/>
                <w:sz w:val="20"/>
                <w:lang w:val="en-GB"/>
              </w:rPr>
              <w:t>Women</w:t>
            </w:r>
          </w:p>
        </w:tc>
        <w:tc>
          <w:tcPr>
            <w:tcW w:w="1531" w:type="dxa"/>
          </w:tcPr>
          <w:p w14:paraId="3E9FA134" w14:textId="77777777" w:rsidR="00DC2FFD" w:rsidRPr="00DC2FFD" w:rsidRDefault="00DC2FFD" w:rsidP="00DC2FFD">
            <w:pPr>
              <w:spacing w:after="0"/>
              <w:rPr>
                <w:b/>
                <w:sz w:val="20"/>
                <w:szCs w:val="20"/>
                <w:lang w:val="en-GB"/>
              </w:rPr>
            </w:pPr>
            <w:r w:rsidRPr="00DC2FFD">
              <w:rPr>
                <w:b/>
                <w:sz w:val="20"/>
                <w:lang w:val="en-GB"/>
              </w:rPr>
              <w:t>47,261</w:t>
            </w:r>
          </w:p>
        </w:tc>
      </w:tr>
      <w:tr w:rsidR="00DC2FFD" w:rsidRPr="00DC2FFD" w14:paraId="300D272F" w14:textId="77777777" w:rsidTr="00296435">
        <w:trPr>
          <w:trHeight w:val="246"/>
        </w:trPr>
        <w:tc>
          <w:tcPr>
            <w:tcW w:w="2767" w:type="dxa"/>
          </w:tcPr>
          <w:p w14:paraId="25EAF7D7" w14:textId="77777777" w:rsidR="00DC2FFD" w:rsidRPr="00DC2FFD" w:rsidRDefault="00DC2FFD" w:rsidP="00DC2FFD">
            <w:pPr>
              <w:spacing w:after="0"/>
              <w:rPr>
                <w:sz w:val="20"/>
                <w:szCs w:val="20"/>
                <w:lang w:val="en-GB"/>
              </w:rPr>
            </w:pPr>
            <w:r w:rsidRPr="00DC2FFD">
              <w:rPr>
                <w:sz w:val="20"/>
                <w:lang w:val="en-GB"/>
              </w:rPr>
              <w:t>Pregnant women</w:t>
            </w:r>
          </w:p>
        </w:tc>
        <w:tc>
          <w:tcPr>
            <w:tcW w:w="1531" w:type="dxa"/>
          </w:tcPr>
          <w:p w14:paraId="4232C06F" w14:textId="77777777" w:rsidR="00DC2FFD" w:rsidRPr="00DC2FFD" w:rsidRDefault="00DC2FFD" w:rsidP="00DC2FFD">
            <w:pPr>
              <w:spacing w:after="0"/>
              <w:rPr>
                <w:sz w:val="20"/>
                <w:szCs w:val="20"/>
                <w:lang w:val="en-GB"/>
              </w:rPr>
            </w:pPr>
            <w:r w:rsidRPr="00DC2FFD">
              <w:rPr>
                <w:sz w:val="20"/>
                <w:lang w:val="en-GB"/>
              </w:rPr>
              <w:t>9,756</w:t>
            </w:r>
          </w:p>
        </w:tc>
      </w:tr>
      <w:tr w:rsidR="00DC2FFD" w:rsidRPr="00DC2FFD" w14:paraId="10967FA6" w14:textId="77777777" w:rsidTr="00296435">
        <w:trPr>
          <w:trHeight w:val="246"/>
        </w:trPr>
        <w:tc>
          <w:tcPr>
            <w:tcW w:w="2767" w:type="dxa"/>
          </w:tcPr>
          <w:p w14:paraId="03A50D25" w14:textId="77777777" w:rsidR="00DC2FFD" w:rsidRPr="00DC2FFD" w:rsidRDefault="00DC2FFD" w:rsidP="00DC2FFD">
            <w:pPr>
              <w:spacing w:after="0"/>
              <w:rPr>
                <w:sz w:val="20"/>
                <w:szCs w:val="20"/>
                <w:lang w:val="en-GB"/>
              </w:rPr>
            </w:pPr>
            <w:r w:rsidRPr="00DC2FFD">
              <w:rPr>
                <w:sz w:val="20"/>
                <w:lang w:val="en-GB"/>
              </w:rPr>
              <w:t>Risky pregnancies</w:t>
            </w:r>
          </w:p>
        </w:tc>
        <w:tc>
          <w:tcPr>
            <w:tcW w:w="1531" w:type="dxa"/>
          </w:tcPr>
          <w:p w14:paraId="6DF5FA76" w14:textId="77777777" w:rsidR="00DC2FFD" w:rsidRPr="00DC2FFD" w:rsidRDefault="00DC2FFD" w:rsidP="00DC2FFD">
            <w:pPr>
              <w:spacing w:after="0"/>
              <w:rPr>
                <w:sz w:val="20"/>
                <w:szCs w:val="20"/>
                <w:lang w:val="en-GB"/>
              </w:rPr>
            </w:pPr>
            <w:r w:rsidRPr="00DC2FFD">
              <w:rPr>
                <w:sz w:val="20"/>
                <w:lang w:val="en-GB"/>
              </w:rPr>
              <w:t>743</w:t>
            </w:r>
          </w:p>
        </w:tc>
      </w:tr>
      <w:tr w:rsidR="00DC2FFD" w:rsidRPr="00DC2FFD" w14:paraId="391FDD40" w14:textId="77777777" w:rsidTr="00296435">
        <w:trPr>
          <w:trHeight w:val="246"/>
        </w:trPr>
        <w:tc>
          <w:tcPr>
            <w:tcW w:w="2767" w:type="dxa"/>
          </w:tcPr>
          <w:p w14:paraId="78ABC3AA" w14:textId="77777777" w:rsidR="00DC2FFD" w:rsidRPr="00DC2FFD" w:rsidRDefault="00DC2FFD" w:rsidP="00DC2FFD">
            <w:pPr>
              <w:spacing w:after="0"/>
              <w:rPr>
                <w:sz w:val="20"/>
                <w:szCs w:val="20"/>
                <w:lang w:val="en-GB"/>
              </w:rPr>
            </w:pPr>
            <w:r w:rsidRPr="00DC2FFD">
              <w:rPr>
                <w:sz w:val="20"/>
                <w:lang w:val="en-GB"/>
              </w:rPr>
              <w:t>Puerperal women</w:t>
            </w:r>
          </w:p>
        </w:tc>
        <w:tc>
          <w:tcPr>
            <w:tcW w:w="1531" w:type="dxa"/>
          </w:tcPr>
          <w:p w14:paraId="707E5215" w14:textId="77777777" w:rsidR="00DC2FFD" w:rsidRPr="00DC2FFD" w:rsidRDefault="00DC2FFD" w:rsidP="00DC2FFD">
            <w:pPr>
              <w:spacing w:after="0"/>
              <w:rPr>
                <w:sz w:val="20"/>
                <w:szCs w:val="20"/>
                <w:lang w:val="en-GB"/>
              </w:rPr>
            </w:pPr>
            <w:r w:rsidRPr="00DC2FFD">
              <w:rPr>
                <w:sz w:val="20"/>
                <w:lang w:val="en-GB"/>
              </w:rPr>
              <w:t>4,880</w:t>
            </w:r>
          </w:p>
        </w:tc>
      </w:tr>
      <w:tr w:rsidR="00DC2FFD" w:rsidRPr="00DC2FFD" w14:paraId="4C130A5D" w14:textId="77777777" w:rsidTr="00296435">
        <w:trPr>
          <w:trHeight w:val="246"/>
        </w:trPr>
        <w:tc>
          <w:tcPr>
            <w:tcW w:w="2767" w:type="dxa"/>
          </w:tcPr>
          <w:p w14:paraId="1677B034" w14:textId="77777777" w:rsidR="00DC2FFD" w:rsidRPr="00DC2FFD" w:rsidRDefault="00DC2FFD" w:rsidP="00DC2FFD">
            <w:pPr>
              <w:spacing w:after="0"/>
              <w:rPr>
                <w:sz w:val="20"/>
                <w:szCs w:val="20"/>
                <w:lang w:val="en-GB"/>
              </w:rPr>
            </w:pPr>
            <w:r w:rsidRPr="00DC2FFD">
              <w:rPr>
                <w:sz w:val="20"/>
                <w:lang w:val="en-GB"/>
              </w:rPr>
              <w:t>Generative period</w:t>
            </w:r>
          </w:p>
        </w:tc>
        <w:tc>
          <w:tcPr>
            <w:tcW w:w="1531" w:type="dxa"/>
          </w:tcPr>
          <w:p w14:paraId="08AF671A" w14:textId="77777777" w:rsidR="00DC2FFD" w:rsidRPr="00DC2FFD" w:rsidRDefault="00DC2FFD" w:rsidP="00DC2FFD">
            <w:pPr>
              <w:spacing w:after="0"/>
              <w:rPr>
                <w:sz w:val="20"/>
                <w:szCs w:val="20"/>
                <w:lang w:val="en-GB"/>
              </w:rPr>
            </w:pPr>
            <w:r w:rsidRPr="00DC2FFD">
              <w:rPr>
                <w:sz w:val="20"/>
                <w:lang w:val="en-GB"/>
              </w:rPr>
              <w:t>32,910</w:t>
            </w:r>
          </w:p>
        </w:tc>
      </w:tr>
      <w:tr w:rsidR="00DC2FFD" w:rsidRPr="00DC2FFD" w14:paraId="14C3A0A6" w14:textId="77777777" w:rsidTr="00296435">
        <w:trPr>
          <w:trHeight w:val="246"/>
        </w:trPr>
        <w:tc>
          <w:tcPr>
            <w:tcW w:w="2767" w:type="dxa"/>
          </w:tcPr>
          <w:p w14:paraId="11817B4A" w14:textId="77777777" w:rsidR="00DC2FFD" w:rsidRPr="00DC2FFD" w:rsidRDefault="00DC2FFD" w:rsidP="00DC2FFD">
            <w:pPr>
              <w:spacing w:after="0"/>
              <w:rPr>
                <w:sz w:val="20"/>
                <w:szCs w:val="20"/>
                <w:lang w:val="en-GB"/>
              </w:rPr>
            </w:pPr>
            <w:r w:rsidRPr="00DC2FFD">
              <w:rPr>
                <w:sz w:val="20"/>
                <w:lang w:val="en-GB"/>
              </w:rPr>
              <w:t>post-generative period</w:t>
            </w:r>
          </w:p>
        </w:tc>
        <w:tc>
          <w:tcPr>
            <w:tcW w:w="1531" w:type="dxa"/>
          </w:tcPr>
          <w:p w14:paraId="2F636FC5" w14:textId="77777777" w:rsidR="00DC2FFD" w:rsidRPr="00DC2FFD" w:rsidRDefault="00DC2FFD" w:rsidP="00DC2FFD">
            <w:pPr>
              <w:spacing w:after="0"/>
              <w:rPr>
                <w:sz w:val="20"/>
                <w:szCs w:val="20"/>
                <w:lang w:val="en-GB"/>
              </w:rPr>
            </w:pPr>
            <w:r w:rsidRPr="00DC2FFD">
              <w:rPr>
                <w:sz w:val="20"/>
                <w:lang w:val="en-GB"/>
              </w:rPr>
              <w:t>14,430</w:t>
            </w:r>
          </w:p>
        </w:tc>
      </w:tr>
      <w:tr w:rsidR="00DC2FFD" w:rsidRPr="00DC2FFD" w14:paraId="2A9A6072" w14:textId="77777777" w:rsidTr="00296435">
        <w:trPr>
          <w:trHeight w:val="239"/>
        </w:trPr>
        <w:tc>
          <w:tcPr>
            <w:tcW w:w="4298" w:type="dxa"/>
            <w:gridSpan w:val="2"/>
          </w:tcPr>
          <w:p w14:paraId="2FF6D01B" w14:textId="77777777" w:rsidR="00DC2FFD" w:rsidRPr="00DC2FFD" w:rsidRDefault="00DC2FFD" w:rsidP="00DC2FFD">
            <w:pPr>
              <w:spacing w:after="0"/>
              <w:rPr>
                <w:sz w:val="20"/>
                <w:szCs w:val="20"/>
                <w:lang w:val="en-GB"/>
              </w:rPr>
            </w:pPr>
            <w:r w:rsidRPr="00DC2FFD">
              <w:rPr>
                <w:i/>
                <w:sz w:val="20"/>
                <w:lang w:val="en-GB"/>
              </w:rPr>
              <w:t>Physician</w:t>
            </w:r>
          </w:p>
        </w:tc>
      </w:tr>
      <w:tr w:rsidR="00DC2FFD" w:rsidRPr="00DC2FFD" w14:paraId="71908E9B" w14:textId="77777777" w:rsidTr="00296435">
        <w:trPr>
          <w:trHeight w:val="246"/>
        </w:trPr>
        <w:tc>
          <w:tcPr>
            <w:tcW w:w="2767" w:type="dxa"/>
          </w:tcPr>
          <w:p w14:paraId="7F72B792" w14:textId="77777777" w:rsidR="00DC2FFD" w:rsidRPr="00DC2FFD" w:rsidRDefault="00DC2FFD" w:rsidP="00DC2FFD">
            <w:pPr>
              <w:spacing w:after="0"/>
              <w:rPr>
                <w:sz w:val="20"/>
                <w:szCs w:val="20"/>
                <w:lang w:val="en-GB"/>
              </w:rPr>
            </w:pPr>
            <w:r w:rsidRPr="00DC2FFD">
              <w:rPr>
                <w:sz w:val="20"/>
                <w:lang w:val="en-GB"/>
              </w:rPr>
              <w:t xml:space="preserve">Chosen doctor </w:t>
            </w:r>
          </w:p>
        </w:tc>
        <w:tc>
          <w:tcPr>
            <w:tcW w:w="1531" w:type="dxa"/>
          </w:tcPr>
          <w:p w14:paraId="6EF96B26" w14:textId="77777777" w:rsidR="00DC2FFD" w:rsidRPr="00DC2FFD" w:rsidRDefault="00DC2FFD" w:rsidP="00DC2FFD">
            <w:pPr>
              <w:spacing w:after="0"/>
              <w:rPr>
                <w:sz w:val="20"/>
                <w:szCs w:val="20"/>
                <w:lang w:val="en-GB"/>
              </w:rPr>
            </w:pPr>
            <w:r w:rsidRPr="00DC2FFD">
              <w:rPr>
                <w:sz w:val="20"/>
                <w:lang w:val="en-GB"/>
              </w:rPr>
              <w:t>39,555</w:t>
            </w:r>
          </w:p>
        </w:tc>
      </w:tr>
      <w:tr w:rsidR="00DC2FFD" w:rsidRPr="00DC2FFD" w14:paraId="20AEE3EA" w14:textId="77777777" w:rsidTr="00296435">
        <w:trPr>
          <w:trHeight w:val="246"/>
        </w:trPr>
        <w:tc>
          <w:tcPr>
            <w:tcW w:w="2767" w:type="dxa"/>
          </w:tcPr>
          <w:p w14:paraId="51BBCF9C" w14:textId="77777777" w:rsidR="00DC2FFD" w:rsidRPr="00DC2FFD" w:rsidRDefault="00DC2FFD" w:rsidP="00DC2FFD">
            <w:pPr>
              <w:spacing w:after="0"/>
              <w:rPr>
                <w:sz w:val="20"/>
                <w:szCs w:val="20"/>
                <w:lang w:val="en-GB"/>
              </w:rPr>
            </w:pPr>
            <w:r w:rsidRPr="00DC2FFD">
              <w:rPr>
                <w:sz w:val="20"/>
                <w:lang w:val="en-GB"/>
              </w:rPr>
              <w:t xml:space="preserve">No chosen doctor </w:t>
            </w:r>
          </w:p>
        </w:tc>
        <w:tc>
          <w:tcPr>
            <w:tcW w:w="1531" w:type="dxa"/>
          </w:tcPr>
          <w:p w14:paraId="2D1884E4" w14:textId="77777777" w:rsidR="00DC2FFD" w:rsidRPr="00DC2FFD" w:rsidRDefault="00DC2FFD" w:rsidP="00DC2FFD">
            <w:pPr>
              <w:spacing w:after="0"/>
              <w:rPr>
                <w:sz w:val="20"/>
                <w:szCs w:val="20"/>
                <w:lang w:val="en-GB"/>
              </w:rPr>
            </w:pPr>
            <w:r w:rsidRPr="00DC2FFD">
              <w:rPr>
                <w:sz w:val="20"/>
                <w:lang w:val="en-GB"/>
              </w:rPr>
              <w:t>16,340</w:t>
            </w:r>
          </w:p>
        </w:tc>
      </w:tr>
      <w:tr w:rsidR="00DC2FFD" w:rsidRPr="00DC2FFD" w14:paraId="3930766C" w14:textId="77777777" w:rsidTr="00296435">
        <w:trPr>
          <w:trHeight w:val="246"/>
        </w:trPr>
        <w:tc>
          <w:tcPr>
            <w:tcW w:w="4298" w:type="dxa"/>
            <w:gridSpan w:val="2"/>
          </w:tcPr>
          <w:p w14:paraId="706A4D9D" w14:textId="77777777" w:rsidR="00DC2FFD" w:rsidRPr="00DC2FFD" w:rsidRDefault="00DC2FFD" w:rsidP="00DC2FFD">
            <w:pPr>
              <w:spacing w:after="0"/>
              <w:rPr>
                <w:i/>
                <w:sz w:val="20"/>
                <w:szCs w:val="20"/>
                <w:lang w:val="en-GB"/>
              </w:rPr>
            </w:pPr>
            <w:r w:rsidRPr="00DC2FFD">
              <w:rPr>
                <w:i/>
                <w:sz w:val="20"/>
                <w:lang w:val="en-GB"/>
              </w:rPr>
              <w:t>Gynaecologist control</w:t>
            </w:r>
          </w:p>
        </w:tc>
      </w:tr>
      <w:tr w:rsidR="00DC2FFD" w:rsidRPr="00DC2FFD" w14:paraId="36895A3B" w14:textId="77777777" w:rsidTr="00296435">
        <w:trPr>
          <w:trHeight w:val="246"/>
        </w:trPr>
        <w:tc>
          <w:tcPr>
            <w:tcW w:w="2767" w:type="dxa"/>
          </w:tcPr>
          <w:p w14:paraId="133BE6C7" w14:textId="77777777" w:rsidR="00DC2FFD" w:rsidRPr="00DC2FFD" w:rsidRDefault="00DC2FFD" w:rsidP="00DC2FFD">
            <w:pPr>
              <w:spacing w:after="0"/>
              <w:rPr>
                <w:sz w:val="20"/>
                <w:szCs w:val="20"/>
                <w:lang w:val="en-GB"/>
              </w:rPr>
            </w:pPr>
            <w:r w:rsidRPr="00DC2FFD">
              <w:rPr>
                <w:sz w:val="20"/>
                <w:lang w:val="en-GB"/>
              </w:rPr>
              <w:t xml:space="preserve">Systemic examination </w:t>
            </w:r>
          </w:p>
        </w:tc>
        <w:tc>
          <w:tcPr>
            <w:tcW w:w="1531" w:type="dxa"/>
          </w:tcPr>
          <w:p w14:paraId="7C111617" w14:textId="77777777" w:rsidR="00DC2FFD" w:rsidRPr="00DC2FFD" w:rsidRDefault="00DC2FFD" w:rsidP="00DC2FFD">
            <w:pPr>
              <w:spacing w:after="0"/>
              <w:rPr>
                <w:sz w:val="20"/>
                <w:szCs w:val="20"/>
                <w:lang w:val="en-GB"/>
              </w:rPr>
            </w:pPr>
            <w:r w:rsidRPr="00DC2FFD">
              <w:rPr>
                <w:sz w:val="20"/>
                <w:lang w:val="en-GB"/>
              </w:rPr>
              <w:t>19,867</w:t>
            </w:r>
          </w:p>
        </w:tc>
      </w:tr>
      <w:tr w:rsidR="00DC2FFD" w:rsidRPr="00DC2FFD" w14:paraId="581A33DC" w14:textId="77777777" w:rsidTr="00296435">
        <w:trPr>
          <w:trHeight w:val="246"/>
        </w:trPr>
        <w:tc>
          <w:tcPr>
            <w:tcW w:w="2767" w:type="dxa"/>
          </w:tcPr>
          <w:p w14:paraId="4E57563C" w14:textId="77777777" w:rsidR="00DC2FFD" w:rsidRPr="00DC2FFD" w:rsidRDefault="00DC2FFD" w:rsidP="00DC2FFD">
            <w:pPr>
              <w:spacing w:after="0"/>
              <w:rPr>
                <w:sz w:val="20"/>
                <w:szCs w:val="20"/>
                <w:lang w:val="en-GB"/>
              </w:rPr>
            </w:pPr>
            <w:r w:rsidRPr="00DC2FFD">
              <w:rPr>
                <w:sz w:val="20"/>
                <w:lang w:val="en-GB"/>
              </w:rPr>
              <w:t xml:space="preserve">Control examination </w:t>
            </w:r>
          </w:p>
        </w:tc>
        <w:tc>
          <w:tcPr>
            <w:tcW w:w="1531" w:type="dxa"/>
          </w:tcPr>
          <w:p w14:paraId="07941C9C" w14:textId="77777777" w:rsidR="00DC2FFD" w:rsidRPr="00DC2FFD" w:rsidRDefault="00DC2FFD" w:rsidP="00DC2FFD">
            <w:pPr>
              <w:spacing w:after="0"/>
              <w:rPr>
                <w:sz w:val="20"/>
                <w:szCs w:val="20"/>
                <w:lang w:val="en-GB"/>
              </w:rPr>
            </w:pPr>
            <w:r w:rsidRPr="00DC2FFD">
              <w:rPr>
                <w:sz w:val="20"/>
                <w:lang w:val="en-GB"/>
              </w:rPr>
              <w:t>5,250</w:t>
            </w:r>
          </w:p>
        </w:tc>
      </w:tr>
      <w:tr w:rsidR="00DC2FFD" w:rsidRPr="00DC2FFD" w14:paraId="1B3CCB18" w14:textId="77777777" w:rsidTr="00296435">
        <w:trPr>
          <w:trHeight w:val="239"/>
        </w:trPr>
        <w:tc>
          <w:tcPr>
            <w:tcW w:w="2767" w:type="dxa"/>
          </w:tcPr>
          <w:p w14:paraId="004458B1" w14:textId="77777777" w:rsidR="00DC2FFD" w:rsidRPr="00DC2FFD" w:rsidRDefault="00DC2FFD" w:rsidP="00DC2FFD">
            <w:pPr>
              <w:spacing w:after="0"/>
              <w:rPr>
                <w:sz w:val="20"/>
                <w:szCs w:val="20"/>
                <w:lang w:val="en-GB"/>
              </w:rPr>
            </w:pPr>
            <w:r w:rsidRPr="00DC2FFD">
              <w:rPr>
                <w:sz w:val="20"/>
                <w:lang w:val="en-GB"/>
              </w:rPr>
              <w:t xml:space="preserve">Mammogram  </w:t>
            </w:r>
          </w:p>
        </w:tc>
        <w:tc>
          <w:tcPr>
            <w:tcW w:w="1531" w:type="dxa"/>
          </w:tcPr>
          <w:p w14:paraId="590B22A4" w14:textId="77777777" w:rsidR="00DC2FFD" w:rsidRPr="00DC2FFD" w:rsidRDefault="00DC2FFD" w:rsidP="00DC2FFD">
            <w:pPr>
              <w:spacing w:after="0"/>
              <w:rPr>
                <w:sz w:val="20"/>
                <w:szCs w:val="20"/>
                <w:lang w:val="en-GB"/>
              </w:rPr>
            </w:pPr>
            <w:r w:rsidRPr="00DC2FFD">
              <w:rPr>
                <w:sz w:val="20"/>
                <w:lang w:val="en-GB"/>
              </w:rPr>
              <w:t>1,255</w:t>
            </w:r>
          </w:p>
        </w:tc>
      </w:tr>
      <w:tr w:rsidR="00DC2FFD" w:rsidRPr="00DC2FFD" w14:paraId="153E4AB3" w14:textId="77777777" w:rsidTr="00296435">
        <w:trPr>
          <w:trHeight w:val="246"/>
        </w:trPr>
        <w:tc>
          <w:tcPr>
            <w:tcW w:w="4298" w:type="dxa"/>
            <w:gridSpan w:val="2"/>
          </w:tcPr>
          <w:p w14:paraId="06480D99" w14:textId="77777777" w:rsidR="00DC2FFD" w:rsidRPr="00DC2FFD" w:rsidRDefault="00DC2FFD" w:rsidP="00DC2FFD">
            <w:pPr>
              <w:spacing w:after="0"/>
              <w:rPr>
                <w:sz w:val="20"/>
                <w:szCs w:val="20"/>
                <w:lang w:val="en-GB"/>
              </w:rPr>
            </w:pPr>
            <w:r w:rsidRPr="00DC2FFD">
              <w:rPr>
                <w:i/>
                <w:sz w:val="20"/>
                <w:lang w:val="en-GB"/>
              </w:rPr>
              <w:t>Gynaecologist control for pregnant women</w:t>
            </w:r>
          </w:p>
        </w:tc>
      </w:tr>
      <w:tr w:rsidR="00DC2FFD" w:rsidRPr="00DC2FFD" w14:paraId="41017C54" w14:textId="77777777" w:rsidTr="00296435">
        <w:trPr>
          <w:trHeight w:val="246"/>
        </w:trPr>
        <w:tc>
          <w:tcPr>
            <w:tcW w:w="2767" w:type="dxa"/>
          </w:tcPr>
          <w:p w14:paraId="11C47DA3" w14:textId="77777777" w:rsidR="00DC2FFD" w:rsidRPr="00DC2FFD" w:rsidRDefault="00DC2FFD" w:rsidP="00DC2FFD">
            <w:pPr>
              <w:spacing w:after="0"/>
              <w:rPr>
                <w:sz w:val="20"/>
                <w:szCs w:val="20"/>
                <w:lang w:val="en-GB"/>
              </w:rPr>
            </w:pPr>
            <w:r w:rsidRPr="00DC2FFD">
              <w:rPr>
                <w:sz w:val="20"/>
                <w:lang w:val="en-GB"/>
              </w:rPr>
              <w:t xml:space="preserve">Examination completed </w:t>
            </w:r>
          </w:p>
        </w:tc>
        <w:tc>
          <w:tcPr>
            <w:tcW w:w="1531" w:type="dxa"/>
          </w:tcPr>
          <w:p w14:paraId="3A148A11" w14:textId="77777777" w:rsidR="00DC2FFD" w:rsidRPr="00DC2FFD" w:rsidRDefault="00DC2FFD" w:rsidP="00DC2FFD">
            <w:pPr>
              <w:spacing w:after="0"/>
              <w:rPr>
                <w:sz w:val="20"/>
                <w:szCs w:val="20"/>
                <w:lang w:val="en-GB"/>
              </w:rPr>
            </w:pPr>
            <w:r w:rsidRPr="00DC2FFD">
              <w:rPr>
                <w:sz w:val="20"/>
                <w:lang w:val="en-GB"/>
              </w:rPr>
              <w:t>5,408</w:t>
            </w:r>
          </w:p>
        </w:tc>
      </w:tr>
      <w:tr w:rsidR="00DC2FFD" w:rsidRPr="00DC2FFD" w14:paraId="16432420" w14:textId="77777777" w:rsidTr="00296435">
        <w:trPr>
          <w:trHeight w:val="246"/>
        </w:trPr>
        <w:tc>
          <w:tcPr>
            <w:tcW w:w="2767" w:type="dxa"/>
          </w:tcPr>
          <w:p w14:paraId="710B674C" w14:textId="77777777" w:rsidR="00DC2FFD" w:rsidRPr="00DC2FFD" w:rsidRDefault="00DC2FFD" w:rsidP="00DC2FFD">
            <w:pPr>
              <w:spacing w:after="0"/>
              <w:rPr>
                <w:sz w:val="20"/>
                <w:szCs w:val="20"/>
                <w:lang w:val="en-GB"/>
              </w:rPr>
            </w:pPr>
            <w:r w:rsidRPr="00DC2FFD">
              <w:rPr>
                <w:sz w:val="20"/>
                <w:lang w:val="en-GB"/>
              </w:rPr>
              <w:t xml:space="preserve">Does not contact the physician </w:t>
            </w:r>
          </w:p>
        </w:tc>
        <w:tc>
          <w:tcPr>
            <w:tcW w:w="1531" w:type="dxa"/>
          </w:tcPr>
          <w:p w14:paraId="5D86C512" w14:textId="77777777" w:rsidR="00DC2FFD" w:rsidRPr="00DC2FFD" w:rsidRDefault="00DC2FFD" w:rsidP="00DC2FFD">
            <w:pPr>
              <w:spacing w:after="0"/>
              <w:rPr>
                <w:sz w:val="20"/>
                <w:szCs w:val="20"/>
                <w:lang w:val="en-GB"/>
              </w:rPr>
            </w:pPr>
            <w:r w:rsidRPr="00DC2FFD">
              <w:rPr>
                <w:sz w:val="20"/>
                <w:lang w:val="en-GB"/>
              </w:rPr>
              <w:t>4,348</w:t>
            </w:r>
          </w:p>
        </w:tc>
      </w:tr>
      <w:tr w:rsidR="00DC2FFD" w:rsidRPr="00DC2FFD" w14:paraId="2037C8BF" w14:textId="77777777" w:rsidTr="00296435">
        <w:trPr>
          <w:trHeight w:val="246"/>
        </w:trPr>
        <w:tc>
          <w:tcPr>
            <w:tcW w:w="2767" w:type="dxa"/>
          </w:tcPr>
          <w:p w14:paraId="28CD9846" w14:textId="77777777" w:rsidR="00DC2FFD" w:rsidRPr="00DC2FFD" w:rsidRDefault="00DC2FFD" w:rsidP="00DC2FFD">
            <w:pPr>
              <w:spacing w:after="0"/>
              <w:rPr>
                <w:b/>
                <w:sz w:val="20"/>
                <w:szCs w:val="20"/>
                <w:lang w:val="en-GB"/>
              </w:rPr>
            </w:pPr>
            <w:r w:rsidRPr="00DC2FFD">
              <w:rPr>
                <w:b/>
                <w:sz w:val="20"/>
                <w:lang w:val="en-GB"/>
              </w:rPr>
              <w:t>Children</w:t>
            </w:r>
          </w:p>
        </w:tc>
        <w:tc>
          <w:tcPr>
            <w:tcW w:w="1531" w:type="dxa"/>
          </w:tcPr>
          <w:p w14:paraId="72577531" w14:textId="77777777" w:rsidR="00DC2FFD" w:rsidRPr="00DC2FFD" w:rsidRDefault="00DC2FFD" w:rsidP="00DC2FFD">
            <w:pPr>
              <w:spacing w:after="0"/>
              <w:rPr>
                <w:b/>
                <w:sz w:val="20"/>
                <w:szCs w:val="20"/>
                <w:lang w:val="en-GB"/>
              </w:rPr>
            </w:pPr>
            <w:r w:rsidRPr="00DC2FFD">
              <w:rPr>
                <w:b/>
                <w:sz w:val="20"/>
                <w:lang w:val="en-GB"/>
              </w:rPr>
              <w:t>55,728</w:t>
            </w:r>
          </w:p>
        </w:tc>
      </w:tr>
      <w:tr w:rsidR="00DC2FFD" w:rsidRPr="00DC2FFD" w14:paraId="117D1867" w14:textId="77777777" w:rsidTr="00296435">
        <w:trPr>
          <w:trHeight w:val="246"/>
        </w:trPr>
        <w:tc>
          <w:tcPr>
            <w:tcW w:w="2767" w:type="dxa"/>
          </w:tcPr>
          <w:p w14:paraId="171D0940" w14:textId="77777777" w:rsidR="00DC2FFD" w:rsidRPr="00DC2FFD" w:rsidRDefault="00DC2FFD" w:rsidP="00DC2FFD">
            <w:pPr>
              <w:spacing w:after="0"/>
              <w:rPr>
                <w:sz w:val="20"/>
                <w:szCs w:val="20"/>
                <w:lang w:val="en-GB"/>
              </w:rPr>
            </w:pPr>
            <w:r w:rsidRPr="00DC2FFD">
              <w:rPr>
                <w:sz w:val="20"/>
                <w:lang w:val="en-GB"/>
              </w:rPr>
              <w:t>Babies</w:t>
            </w:r>
          </w:p>
        </w:tc>
        <w:tc>
          <w:tcPr>
            <w:tcW w:w="1531" w:type="dxa"/>
          </w:tcPr>
          <w:p w14:paraId="4FF8A920" w14:textId="77777777" w:rsidR="00DC2FFD" w:rsidRPr="00DC2FFD" w:rsidRDefault="00DC2FFD" w:rsidP="00DC2FFD">
            <w:pPr>
              <w:spacing w:after="0"/>
              <w:rPr>
                <w:sz w:val="20"/>
                <w:szCs w:val="20"/>
                <w:lang w:val="en-GB"/>
              </w:rPr>
            </w:pPr>
            <w:r w:rsidRPr="00DC2FFD">
              <w:rPr>
                <w:sz w:val="20"/>
                <w:lang w:val="en-GB"/>
              </w:rPr>
              <w:t>10,433</w:t>
            </w:r>
          </w:p>
        </w:tc>
      </w:tr>
      <w:tr w:rsidR="00DC2FFD" w:rsidRPr="00DC2FFD" w14:paraId="7752ADA3" w14:textId="77777777" w:rsidTr="00296435">
        <w:trPr>
          <w:trHeight w:val="239"/>
        </w:trPr>
        <w:tc>
          <w:tcPr>
            <w:tcW w:w="2767" w:type="dxa"/>
          </w:tcPr>
          <w:p w14:paraId="071DF0DA" w14:textId="77777777" w:rsidR="00DC2FFD" w:rsidRPr="00DC2FFD" w:rsidRDefault="00DC2FFD" w:rsidP="00DC2FFD">
            <w:pPr>
              <w:spacing w:after="0"/>
              <w:rPr>
                <w:i/>
                <w:sz w:val="20"/>
                <w:szCs w:val="20"/>
                <w:lang w:val="en-GB"/>
              </w:rPr>
            </w:pPr>
            <w:r w:rsidRPr="00DC2FFD">
              <w:rPr>
                <w:i/>
                <w:sz w:val="20"/>
                <w:lang w:val="en-GB"/>
              </w:rPr>
              <w:t>Physician</w:t>
            </w:r>
          </w:p>
        </w:tc>
        <w:tc>
          <w:tcPr>
            <w:tcW w:w="1531" w:type="dxa"/>
          </w:tcPr>
          <w:p w14:paraId="22AD8EF9" w14:textId="77777777" w:rsidR="00DC2FFD" w:rsidRPr="00DC2FFD" w:rsidRDefault="00DC2FFD" w:rsidP="00DC2FFD">
            <w:pPr>
              <w:spacing w:after="0"/>
              <w:rPr>
                <w:sz w:val="20"/>
                <w:szCs w:val="20"/>
                <w:lang w:val="sr-Cyrl-RS"/>
              </w:rPr>
            </w:pPr>
          </w:p>
        </w:tc>
      </w:tr>
      <w:tr w:rsidR="00DC2FFD" w:rsidRPr="00DC2FFD" w14:paraId="2A733A78" w14:textId="77777777" w:rsidTr="00296435">
        <w:trPr>
          <w:trHeight w:val="246"/>
        </w:trPr>
        <w:tc>
          <w:tcPr>
            <w:tcW w:w="2767" w:type="dxa"/>
          </w:tcPr>
          <w:p w14:paraId="39DC357C" w14:textId="77777777" w:rsidR="00DC2FFD" w:rsidRPr="00DC2FFD" w:rsidRDefault="00DC2FFD" w:rsidP="00DC2FFD">
            <w:pPr>
              <w:spacing w:after="0"/>
              <w:rPr>
                <w:sz w:val="20"/>
                <w:szCs w:val="20"/>
                <w:lang w:val="en-GB"/>
              </w:rPr>
            </w:pPr>
            <w:r w:rsidRPr="00DC2FFD">
              <w:rPr>
                <w:sz w:val="20"/>
                <w:lang w:val="en-GB"/>
              </w:rPr>
              <w:t xml:space="preserve">Chosen doctor </w:t>
            </w:r>
          </w:p>
        </w:tc>
        <w:tc>
          <w:tcPr>
            <w:tcW w:w="1531" w:type="dxa"/>
          </w:tcPr>
          <w:p w14:paraId="4FFCA5D8" w14:textId="77777777" w:rsidR="00DC2FFD" w:rsidRPr="00DC2FFD" w:rsidRDefault="00DC2FFD" w:rsidP="00DC2FFD">
            <w:pPr>
              <w:spacing w:after="0"/>
              <w:rPr>
                <w:sz w:val="20"/>
                <w:szCs w:val="20"/>
                <w:lang w:val="en-GB"/>
              </w:rPr>
            </w:pPr>
            <w:r w:rsidRPr="00DC2FFD">
              <w:rPr>
                <w:sz w:val="20"/>
                <w:lang w:val="en-GB"/>
              </w:rPr>
              <w:t>5,452</w:t>
            </w:r>
          </w:p>
        </w:tc>
      </w:tr>
      <w:tr w:rsidR="00DC2FFD" w:rsidRPr="00DC2FFD" w14:paraId="56138093" w14:textId="77777777" w:rsidTr="00296435">
        <w:trPr>
          <w:trHeight w:val="246"/>
        </w:trPr>
        <w:tc>
          <w:tcPr>
            <w:tcW w:w="2767" w:type="dxa"/>
          </w:tcPr>
          <w:p w14:paraId="2196CFC2" w14:textId="77777777" w:rsidR="00DC2FFD" w:rsidRPr="00DC2FFD" w:rsidRDefault="00DC2FFD" w:rsidP="00DC2FFD">
            <w:pPr>
              <w:spacing w:after="0"/>
              <w:rPr>
                <w:sz w:val="20"/>
                <w:szCs w:val="20"/>
                <w:lang w:val="en-GB"/>
              </w:rPr>
            </w:pPr>
            <w:r w:rsidRPr="00DC2FFD">
              <w:rPr>
                <w:sz w:val="20"/>
                <w:lang w:val="en-GB"/>
              </w:rPr>
              <w:t xml:space="preserve">No chosen doctor </w:t>
            </w:r>
          </w:p>
        </w:tc>
        <w:tc>
          <w:tcPr>
            <w:tcW w:w="1531" w:type="dxa"/>
          </w:tcPr>
          <w:p w14:paraId="31AD07DD" w14:textId="77777777" w:rsidR="00DC2FFD" w:rsidRPr="00DC2FFD" w:rsidRDefault="00DC2FFD" w:rsidP="00DC2FFD">
            <w:pPr>
              <w:spacing w:after="0"/>
              <w:rPr>
                <w:sz w:val="20"/>
                <w:szCs w:val="20"/>
                <w:lang w:val="en-GB"/>
              </w:rPr>
            </w:pPr>
            <w:r w:rsidRPr="00DC2FFD">
              <w:rPr>
                <w:sz w:val="20"/>
                <w:lang w:val="en-GB"/>
              </w:rPr>
              <w:t>5,590</w:t>
            </w:r>
          </w:p>
        </w:tc>
      </w:tr>
      <w:tr w:rsidR="00DC2FFD" w:rsidRPr="00DC2FFD" w14:paraId="227B10B8" w14:textId="77777777" w:rsidTr="00296435">
        <w:trPr>
          <w:trHeight w:val="246"/>
        </w:trPr>
        <w:tc>
          <w:tcPr>
            <w:tcW w:w="4298" w:type="dxa"/>
            <w:gridSpan w:val="2"/>
          </w:tcPr>
          <w:p w14:paraId="453878B2" w14:textId="77777777" w:rsidR="00DC2FFD" w:rsidRPr="00DC2FFD" w:rsidRDefault="00DC2FFD" w:rsidP="00DC2FFD">
            <w:pPr>
              <w:spacing w:after="0"/>
              <w:rPr>
                <w:i/>
                <w:sz w:val="20"/>
                <w:szCs w:val="20"/>
                <w:lang w:val="en-GB"/>
              </w:rPr>
            </w:pPr>
            <w:r w:rsidRPr="00DC2FFD">
              <w:rPr>
                <w:i/>
                <w:sz w:val="20"/>
                <w:lang w:val="en-GB"/>
              </w:rPr>
              <w:lastRenderedPageBreak/>
              <w:t>Vaccination</w:t>
            </w:r>
          </w:p>
        </w:tc>
      </w:tr>
      <w:tr w:rsidR="00DC2FFD" w:rsidRPr="00DC2FFD" w14:paraId="03E2F6D1" w14:textId="77777777" w:rsidTr="00296435">
        <w:trPr>
          <w:trHeight w:val="246"/>
        </w:trPr>
        <w:tc>
          <w:tcPr>
            <w:tcW w:w="2767" w:type="dxa"/>
          </w:tcPr>
          <w:p w14:paraId="663D2454" w14:textId="77777777" w:rsidR="00DC2FFD" w:rsidRPr="00DC2FFD" w:rsidRDefault="00DC2FFD" w:rsidP="00DC2FFD">
            <w:pPr>
              <w:spacing w:after="0"/>
              <w:rPr>
                <w:sz w:val="20"/>
                <w:szCs w:val="20"/>
                <w:lang w:val="en-GB"/>
              </w:rPr>
            </w:pPr>
            <w:r w:rsidRPr="00DC2FFD">
              <w:rPr>
                <w:sz w:val="20"/>
                <w:lang w:val="en-GB"/>
              </w:rPr>
              <w:t xml:space="preserve">Complete </w:t>
            </w:r>
          </w:p>
        </w:tc>
        <w:tc>
          <w:tcPr>
            <w:tcW w:w="1531" w:type="dxa"/>
          </w:tcPr>
          <w:p w14:paraId="52A7A147" w14:textId="77777777" w:rsidR="00DC2FFD" w:rsidRPr="00DC2FFD" w:rsidRDefault="00DC2FFD" w:rsidP="00DC2FFD">
            <w:pPr>
              <w:spacing w:after="0"/>
              <w:rPr>
                <w:sz w:val="20"/>
                <w:szCs w:val="20"/>
                <w:lang w:val="en-GB"/>
              </w:rPr>
            </w:pPr>
            <w:r w:rsidRPr="00DC2FFD">
              <w:rPr>
                <w:sz w:val="20"/>
                <w:lang w:val="en-GB"/>
              </w:rPr>
              <w:t>5,951</w:t>
            </w:r>
          </w:p>
        </w:tc>
      </w:tr>
      <w:tr w:rsidR="00DC2FFD" w:rsidRPr="00DC2FFD" w14:paraId="40BCB66C" w14:textId="77777777" w:rsidTr="00296435">
        <w:trPr>
          <w:trHeight w:val="246"/>
        </w:trPr>
        <w:tc>
          <w:tcPr>
            <w:tcW w:w="2767" w:type="dxa"/>
          </w:tcPr>
          <w:p w14:paraId="3523511F" w14:textId="77777777" w:rsidR="00DC2FFD" w:rsidRPr="00DC2FFD" w:rsidRDefault="00DC2FFD" w:rsidP="00DC2FFD">
            <w:pPr>
              <w:spacing w:after="0"/>
              <w:rPr>
                <w:sz w:val="20"/>
                <w:szCs w:val="20"/>
                <w:lang w:val="en-GB"/>
              </w:rPr>
            </w:pPr>
            <w:r w:rsidRPr="00DC2FFD">
              <w:rPr>
                <w:sz w:val="20"/>
                <w:lang w:val="en-GB"/>
              </w:rPr>
              <w:t xml:space="preserve">Incomplete </w:t>
            </w:r>
          </w:p>
        </w:tc>
        <w:tc>
          <w:tcPr>
            <w:tcW w:w="1531" w:type="dxa"/>
          </w:tcPr>
          <w:p w14:paraId="26EBD7A6" w14:textId="77777777" w:rsidR="00DC2FFD" w:rsidRPr="00DC2FFD" w:rsidRDefault="00DC2FFD" w:rsidP="00DC2FFD">
            <w:pPr>
              <w:spacing w:after="0"/>
              <w:rPr>
                <w:sz w:val="20"/>
                <w:szCs w:val="20"/>
                <w:lang w:val="en-GB"/>
              </w:rPr>
            </w:pPr>
            <w:r w:rsidRPr="00DC2FFD">
              <w:rPr>
                <w:sz w:val="20"/>
                <w:lang w:val="en-GB"/>
              </w:rPr>
              <w:t>7,262</w:t>
            </w:r>
          </w:p>
        </w:tc>
      </w:tr>
      <w:tr w:rsidR="00DC2FFD" w:rsidRPr="00DC2FFD" w14:paraId="41A8DA30" w14:textId="77777777" w:rsidTr="00296435">
        <w:trPr>
          <w:trHeight w:val="246"/>
        </w:trPr>
        <w:tc>
          <w:tcPr>
            <w:tcW w:w="2767" w:type="dxa"/>
          </w:tcPr>
          <w:p w14:paraId="22AF3324" w14:textId="77777777" w:rsidR="00DC2FFD" w:rsidRPr="00DC2FFD" w:rsidRDefault="00DC2FFD" w:rsidP="00DC2FFD">
            <w:pPr>
              <w:spacing w:after="0"/>
              <w:rPr>
                <w:sz w:val="20"/>
                <w:szCs w:val="20"/>
                <w:lang w:val="en-GB"/>
              </w:rPr>
            </w:pPr>
            <w:r w:rsidRPr="00DC2FFD">
              <w:rPr>
                <w:sz w:val="20"/>
                <w:lang w:val="en-GB"/>
              </w:rPr>
              <w:t xml:space="preserve">No vaccines </w:t>
            </w:r>
          </w:p>
        </w:tc>
        <w:tc>
          <w:tcPr>
            <w:tcW w:w="1531" w:type="dxa"/>
          </w:tcPr>
          <w:p w14:paraId="3649A0C1" w14:textId="77777777" w:rsidR="00DC2FFD" w:rsidRPr="00DC2FFD" w:rsidRDefault="00DC2FFD" w:rsidP="00DC2FFD">
            <w:pPr>
              <w:spacing w:after="0"/>
              <w:rPr>
                <w:sz w:val="20"/>
                <w:szCs w:val="20"/>
                <w:lang w:val="en-GB"/>
              </w:rPr>
            </w:pPr>
            <w:r w:rsidRPr="00DC2FFD">
              <w:rPr>
                <w:sz w:val="20"/>
                <w:lang w:val="en-GB"/>
              </w:rPr>
              <w:t>1,013</w:t>
            </w:r>
          </w:p>
        </w:tc>
      </w:tr>
      <w:tr w:rsidR="00DC2FFD" w:rsidRPr="00DC2FFD" w14:paraId="046F2989" w14:textId="77777777" w:rsidTr="00296435">
        <w:trPr>
          <w:trHeight w:val="246"/>
        </w:trPr>
        <w:tc>
          <w:tcPr>
            <w:tcW w:w="2767" w:type="dxa"/>
          </w:tcPr>
          <w:p w14:paraId="05C7479F" w14:textId="77777777" w:rsidR="00DC2FFD" w:rsidRPr="00DC2FFD" w:rsidRDefault="00DC2FFD" w:rsidP="00DC2FFD">
            <w:pPr>
              <w:spacing w:after="0"/>
              <w:rPr>
                <w:sz w:val="20"/>
                <w:szCs w:val="20"/>
                <w:lang w:val="en-GB"/>
              </w:rPr>
            </w:pPr>
            <w:r w:rsidRPr="00DC2FFD">
              <w:rPr>
                <w:sz w:val="20"/>
                <w:lang w:val="en-GB"/>
              </w:rPr>
              <w:t xml:space="preserve">1-5 years </w:t>
            </w:r>
          </w:p>
        </w:tc>
        <w:tc>
          <w:tcPr>
            <w:tcW w:w="1531" w:type="dxa"/>
          </w:tcPr>
          <w:p w14:paraId="49134C9E" w14:textId="77777777" w:rsidR="00DC2FFD" w:rsidRPr="00DC2FFD" w:rsidRDefault="00DC2FFD" w:rsidP="00DC2FFD">
            <w:pPr>
              <w:spacing w:after="0"/>
              <w:rPr>
                <w:sz w:val="20"/>
                <w:szCs w:val="20"/>
                <w:lang w:val="en-GB"/>
              </w:rPr>
            </w:pPr>
            <w:r w:rsidRPr="00DC2FFD">
              <w:rPr>
                <w:sz w:val="20"/>
                <w:lang w:val="en-GB"/>
              </w:rPr>
              <w:t>17,076</w:t>
            </w:r>
          </w:p>
        </w:tc>
      </w:tr>
      <w:tr w:rsidR="00DC2FFD" w:rsidRPr="00DC2FFD" w14:paraId="3C31E4D3" w14:textId="77777777" w:rsidTr="00296435">
        <w:trPr>
          <w:trHeight w:val="246"/>
        </w:trPr>
        <w:tc>
          <w:tcPr>
            <w:tcW w:w="2767" w:type="dxa"/>
          </w:tcPr>
          <w:p w14:paraId="379921F8" w14:textId="77777777" w:rsidR="00DC2FFD" w:rsidRPr="00DC2FFD" w:rsidRDefault="00DC2FFD" w:rsidP="00DC2FFD">
            <w:pPr>
              <w:spacing w:after="0"/>
              <w:rPr>
                <w:sz w:val="20"/>
                <w:szCs w:val="20"/>
                <w:lang w:val="en-GB"/>
              </w:rPr>
            </w:pPr>
            <w:r w:rsidRPr="00DC2FFD">
              <w:rPr>
                <w:sz w:val="20"/>
                <w:lang w:val="en-GB"/>
              </w:rPr>
              <w:t xml:space="preserve">6-9 years </w:t>
            </w:r>
          </w:p>
        </w:tc>
        <w:tc>
          <w:tcPr>
            <w:tcW w:w="1531" w:type="dxa"/>
          </w:tcPr>
          <w:p w14:paraId="08B8FF96" w14:textId="77777777" w:rsidR="00DC2FFD" w:rsidRPr="00DC2FFD" w:rsidRDefault="00DC2FFD" w:rsidP="00DC2FFD">
            <w:pPr>
              <w:spacing w:after="0"/>
              <w:rPr>
                <w:sz w:val="20"/>
                <w:szCs w:val="20"/>
                <w:lang w:val="en-GB"/>
              </w:rPr>
            </w:pPr>
            <w:r w:rsidRPr="00DC2FFD">
              <w:rPr>
                <w:sz w:val="20"/>
                <w:lang w:val="en-GB"/>
              </w:rPr>
              <w:t>12,792</w:t>
            </w:r>
          </w:p>
        </w:tc>
      </w:tr>
      <w:tr w:rsidR="00DC2FFD" w:rsidRPr="00DC2FFD" w14:paraId="34CF162E" w14:textId="77777777" w:rsidTr="00296435">
        <w:trPr>
          <w:trHeight w:val="239"/>
        </w:trPr>
        <w:tc>
          <w:tcPr>
            <w:tcW w:w="2767" w:type="dxa"/>
          </w:tcPr>
          <w:p w14:paraId="6124497E" w14:textId="77777777" w:rsidR="00DC2FFD" w:rsidRPr="00DC2FFD" w:rsidRDefault="00DC2FFD" w:rsidP="00DC2FFD">
            <w:pPr>
              <w:spacing w:after="0"/>
              <w:rPr>
                <w:sz w:val="20"/>
                <w:szCs w:val="20"/>
                <w:lang w:val="en-GB"/>
              </w:rPr>
            </w:pPr>
            <w:r w:rsidRPr="00DC2FFD">
              <w:rPr>
                <w:sz w:val="20"/>
                <w:lang w:val="en-GB"/>
              </w:rPr>
              <w:t xml:space="preserve">10-18 years </w:t>
            </w:r>
          </w:p>
        </w:tc>
        <w:tc>
          <w:tcPr>
            <w:tcW w:w="1531" w:type="dxa"/>
          </w:tcPr>
          <w:p w14:paraId="4824549E" w14:textId="77777777" w:rsidR="00DC2FFD" w:rsidRPr="00DC2FFD" w:rsidRDefault="00DC2FFD" w:rsidP="00DC2FFD">
            <w:pPr>
              <w:spacing w:after="0"/>
              <w:rPr>
                <w:sz w:val="20"/>
                <w:szCs w:val="20"/>
                <w:lang w:val="en-GB"/>
              </w:rPr>
            </w:pPr>
            <w:r w:rsidRPr="00DC2FFD">
              <w:rPr>
                <w:sz w:val="20"/>
                <w:lang w:val="en-GB"/>
              </w:rPr>
              <w:t>14,825</w:t>
            </w:r>
          </w:p>
        </w:tc>
      </w:tr>
      <w:tr w:rsidR="00DC2FFD" w:rsidRPr="00DC2FFD" w14:paraId="1F5BCCCF" w14:textId="77777777" w:rsidTr="00296435">
        <w:trPr>
          <w:trHeight w:val="246"/>
        </w:trPr>
        <w:tc>
          <w:tcPr>
            <w:tcW w:w="4298" w:type="dxa"/>
            <w:gridSpan w:val="2"/>
          </w:tcPr>
          <w:p w14:paraId="0792A1F4" w14:textId="77777777" w:rsidR="00DC2FFD" w:rsidRPr="00DC2FFD" w:rsidRDefault="00DC2FFD" w:rsidP="00DC2FFD">
            <w:pPr>
              <w:spacing w:after="0"/>
              <w:rPr>
                <w:sz w:val="20"/>
                <w:szCs w:val="20"/>
                <w:lang w:val="en-GB"/>
              </w:rPr>
            </w:pPr>
            <w:r w:rsidRPr="00DC2FFD">
              <w:rPr>
                <w:i/>
                <w:sz w:val="20"/>
                <w:lang w:val="en-GB"/>
              </w:rPr>
              <w:t>Physician</w:t>
            </w:r>
          </w:p>
        </w:tc>
      </w:tr>
      <w:tr w:rsidR="00DC2FFD" w:rsidRPr="00DC2FFD" w14:paraId="381250D2" w14:textId="77777777" w:rsidTr="00296435">
        <w:trPr>
          <w:trHeight w:val="246"/>
        </w:trPr>
        <w:tc>
          <w:tcPr>
            <w:tcW w:w="2767" w:type="dxa"/>
          </w:tcPr>
          <w:p w14:paraId="1FCCD966" w14:textId="77777777" w:rsidR="00DC2FFD" w:rsidRPr="00DC2FFD" w:rsidRDefault="00DC2FFD" w:rsidP="00DC2FFD">
            <w:pPr>
              <w:spacing w:after="0"/>
              <w:rPr>
                <w:sz w:val="20"/>
                <w:szCs w:val="20"/>
                <w:lang w:val="en-GB"/>
              </w:rPr>
            </w:pPr>
            <w:r w:rsidRPr="00DC2FFD">
              <w:rPr>
                <w:sz w:val="20"/>
                <w:lang w:val="en-GB"/>
              </w:rPr>
              <w:t xml:space="preserve">Chosen doctor </w:t>
            </w:r>
          </w:p>
        </w:tc>
        <w:tc>
          <w:tcPr>
            <w:tcW w:w="1531" w:type="dxa"/>
          </w:tcPr>
          <w:p w14:paraId="10BCDA60" w14:textId="77777777" w:rsidR="00DC2FFD" w:rsidRPr="00DC2FFD" w:rsidRDefault="00DC2FFD" w:rsidP="00DC2FFD">
            <w:pPr>
              <w:spacing w:after="0"/>
              <w:rPr>
                <w:sz w:val="20"/>
                <w:szCs w:val="20"/>
                <w:lang w:val="en-GB"/>
              </w:rPr>
            </w:pPr>
            <w:r w:rsidRPr="00DC2FFD">
              <w:rPr>
                <w:sz w:val="20"/>
                <w:lang w:val="en-GB"/>
              </w:rPr>
              <w:t>35,593</w:t>
            </w:r>
          </w:p>
        </w:tc>
      </w:tr>
      <w:tr w:rsidR="00DC2FFD" w:rsidRPr="00DC2FFD" w14:paraId="05EC5C46" w14:textId="77777777" w:rsidTr="00296435">
        <w:trPr>
          <w:trHeight w:val="246"/>
        </w:trPr>
        <w:tc>
          <w:tcPr>
            <w:tcW w:w="2767" w:type="dxa"/>
          </w:tcPr>
          <w:p w14:paraId="31B347C1" w14:textId="77777777" w:rsidR="00DC2FFD" w:rsidRPr="00DC2FFD" w:rsidRDefault="00DC2FFD" w:rsidP="00DC2FFD">
            <w:pPr>
              <w:spacing w:after="0"/>
              <w:rPr>
                <w:sz w:val="20"/>
                <w:szCs w:val="20"/>
                <w:lang w:val="en-GB"/>
              </w:rPr>
            </w:pPr>
            <w:r w:rsidRPr="00DC2FFD">
              <w:rPr>
                <w:sz w:val="20"/>
                <w:lang w:val="en-GB"/>
              </w:rPr>
              <w:t>No chosen doctor</w:t>
            </w:r>
          </w:p>
        </w:tc>
        <w:tc>
          <w:tcPr>
            <w:tcW w:w="1531" w:type="dxa"/>
          </w:tcPr>
          <w:p w14:paraId="45D48B2F" w14:textId="77777777" w:rsidR="00DC2FFD" w:rsidRPr="00DC2FFD" w:rsidRDefault="00DC2FFD" w:rsidP="00DC2FFD">
            <w:pPr>
              <w:spacing w:after="0"/>
              <w:rPr>
                <w:sz w:val="20"/>
                <w:szCs w:val="20"/>
                <w:lang w:val="en-GB"/>
              </w:rPr>
            </w:pPr>
            <w:r w:rsidRPr="00DC2FFD">
              <w:rPr>
                <w:sz w:val="20"/>
                <w:lang w:val="en-GB"/>
              </w:rPr>
              <w:t>9,100</w:t>
            </w:r>
          </w:p>
        </w:tc>
      </w:tr>
      <w:tr w:rsidR="00DC2FFD" w:rsidRPr="00DC2FFD" w14:paraId="2FBA90C1" w14:textId="77777777" w:rsidTr="00296435">
        <w:trPr>
          <w:trHeight w:val="246"/>
        </w:trPr>
        <w:tc>
          <w:tcPr>
            <w:tcW w:w="4298" w:type="dxa"/>
            <w:gridSpan w:val="2"/>
          </w:tcPr>
          <w:p w14:paraId="579CA6DF" w14:textId="77777777" w:rsidR="00DC2FFD" w:rsidRPr="00DC2FFD" w:rsidRDefault="00DC2FFD" w:rsidP="00DC2FFD">
            <w:pPr>
              <w:spacing w:after="0"/>
              <w:rPr>
                <w:i/>
                <w:sz w:val="20"/>
                <w:szCs w:val="20"/>
                <w:lang w:val="en-GB"/>
              </w:rPr>
            </w:pPr>
            <w:r w:rsidRPr="00DC2FFD">
              <w:rPr>
                <w:i/>
                <w:sz w:val="20"/>
                <w:lang w:val="en-GB"/>
              </w:rPr>
              <w:t>Vaccination</w:t>
            </w:r>
          </w:p>
        </w:tc>
      </w:tr>
      <w:tr w:rsidR="00DC2FFD" w:rsidRPr="00DC2FFD" w14:paraId="6CE1A42E" w14:textId="77777777" w:rsidTr="00296435">
        <w:trPr>
          <w:trHeight w:val="246"/>
        </w:trPr>
        <w:tc>
          <w:tcPr>
            <w:tcW w:w="2767" w:type="dxa"/>
          </w:tcPr>
          <w:p w14:paraId="23500A7E" w14:textId="77777777" w:rsidR="00DC2FFD" w:rsidRPr="00DC2FFD" w:rsidRDefault="00DC2FFD" w:rsidP="00DC2FFD">
            <w:pPr>
              <w:spacing w:after="0"/>
              <w:rPr>
                <w:sz w:val="20"/>
                <w:szCs w:val="20"/>
                <w:lang w:val="en-GB"/>
              </w:rPr>
            </w:pPr>
            <w:r w:rsidRPr="00DC2FFD">
              <w:rPr>
                <w:sz w:val="20"/>
                <w:lang w:val="en-GB"/>
              </w:rPr>
              <w:t xml:space="preserve">Complete </w:t>
            </w:r>
          </w:p>
        </w:tc>
        <w:tc>
          <w:tcPr>
            <w:tcW w:w="1531" w:type="dxa"/>
          </w:tcPr>
          <w:p w14:paraId="50AF3719" w14:textId="77777777" w:rsidR="00DC2FFD" w:rsidRPr="00DC2FFD" w:rsidRDefault="00DC2FFD" w:rsidP="00DC2FFD">
            <w:pPr>
              <w:spacing w:after="0"/>
              <w:rPr>
                <w:sz w:val="20"/>
                <w:szCs w:val="20"/>
                <w:lang w:val="en-GB"/>
              </w:rPr>
            </w:pPr>
            <w:r w:rsidRPr="00DC2FFD">
              <w:rPr>
                <w:sz w:val="20"/>
                <w:lang w:val="en-GB"/>
              </w:rPr>
              <w:t>29,803</w:t>
            </w:r>
          </w:p>
        </w:tc>
      </w:tr>
      <w:tr w:rsidR="00DC2FFD" w:rsidRPr="00DC2FFD" w14:paraId="795C5B14" w14:textId="77777777" w:rsidTr="00296435">
        <w:trPr>
          <w:trHeight w:val="239"/>
        </w:trPr>
        <w:tc>
          <w:tcPr>
            <w:tcW w:w="2767" w:type="dxa"/>
          </w:tcPr>
          <w:p w14:paraId="27645A58" w14:textId="77777777" w:rsidR="00DC2FFD" w:rsidRPr="00DC2FFD" w:rsidRDefault="00DC2FFD" w:rsidP="00DC2FFD">
            <w:pPr>
              <w:spacing w:after="0"/>
              <w:rPr>
                <w:sz w:val="20"/>
                <w:szCs w:val="20"/>
                <w:lang w:val="en-GB"/>
              </w:rPr>
            </w:pPr>
            <w:r w:rsidRPr="00DC2FFD">
              <w:rPr>
                <w:sz w:val="20"/>
                <w:lang w:val="en-GB"/>
              </w:rPr>
              <w:t xml:space="preserve">Incomplete </w:t>
            </w:r>
          </w:p>
        </w:tc>
        <w:tc>
          <w:tcPr>
            <w:tcW w:w="1531" w:type="dxa"/>
          </w:tcPr>
          <w:p w14:paraId="4FEAAF85" w14:textId="77777777" w:rsidR="00DC2FFD" w:rsidRPr="00DC2FFD" w:rsidRDefault="00DC2FFD" w:rsidP="00DC2FFD">
            <w:pPr>
              <w:spacing w:after="0"/>
              <w:rPr>
                <w:sz w:val="20"/>
                <w:szCs w:val="20"/>
                <w:lang w:val="en-GB"/>
              </w:rPr>
            </w:pPr>
            <w:r w:rsidRPr="00DC2FFD">
              <w:rPr>
                <w:sz w:val="20"/>
                <w:lang w:val="en-GB"/>
              </w:rPr>
              <w:t>14,625</w:t>
            </w:r>
          </w:p>
        </w:tc>
      </w:tr>
      <w:tr w:rsidR="00DC2FFD" w:rsidRPr="00DC2FFD" w14:paraId="5AE0D30C" w14:textId="77777777" w:rsidTr="00296435">
        <w:trPr>
          <w:trHeight w:val="246"/>
        </w:trPr>
        <w:tc>
          <w:tcPr>
            <w:tcW w:w="2767" w:type="dxa"/>
          </w:tcPr>
          <w:p w14:paraId="671EFF55" w14:textId="77777777" w:rsidR="00DC2FFD" w:rsidRPr="00DC2FFD" w:rsidRDefault="00DC2FFD" w:rsidP="00DC2FFD">
            <w:pPr>
              <w:spacing w:after="0"/>
              <w:rPr>
                <w:sz w:val="20"/>
                <w:szCs w:val="20"/>
                <w:lang w:val="en-GB"/>
              </w:rPr>
            </w:pPr>
            <w:r w:rsidRPr="00DC2FFD">
              <w:rPr>
                <w:sz w:val="20"/>
                <w:lang w:val="en-GB"/>
              </w:rPr>
              <w:t xml:space="preserve">No vaccines </w:t>
            </w:r>
          </w:p>
        </w:tc>
        <w:tc>
          <w:tcPr>
            <w:tcW w:w="1531" w:type="dxa"/>
          </w:tcPr>
          <w:p w14:paraId="2B363D77" w14:textId="77777777" w:rsidR="00DC2FFD" w:rsidRPr="00DC2FFD" w:rsidRDefault="00DC2FFD" w:rsidP="00DC2FFD">
            <w:pPr>
              <w:spacing w:after="0"/>
              <w:rPr>
                <w:sz w:val="20"/>
                <w:szCs w:val="20"/>
                <w:lang w:val="en-GB"/>
              </w:rPr>
            </w:pPr>
            <w:r w:rsidRPr="00DC2FFD">
              <w:rPr>
                <w:sz w:val="20"/>
                <w:lang w:val="en-GB"/>
              </w:rPr>
              <w:t>1,009</w:t>
            </w:r>
          </w:p>
        </w:tc>
      </w:tr>
      <w:tr w:rsidR="00DC2FFD" w:rsidRPr="00DC2FFD" w14:paraId="62E3C655" w14:textId="77777777" w:rsidTr="00296435">
        <w:trPr>
          <w:trHeight w:val="246"/>
        </w:trPr>
        <w:tc>
          <w:tcPr>
            <w:tcW w:w="4298" w:type="dxa"/>
            <w:gridSpan w:val="2"/>
          </w:tcPr>
          <w:p w14:paraId="7E0D64DF" w14:textId="77777777" w:rsidR="00DC2FFD" w:rsidRPr="00DC2FFD" w:rsidRDefault="00DC2FFD" w:rsidP="00DC2FFD">
            <w:pPr>
              <w:spacing w:after="0"/>
              <w:rPr>
                <w:i/>
                <w:sz w:val="20"/>
                <w:szCs w:val="20"/>
                <w:lang w:val="en-GB"/>
              </w:rPr>
            </w:pPr>
            <w:r w:rsidRPr="00DC2FFD">
              <w:rPr>
                <w:i/>
                <w:sz w:val="20"/>
                <w:lang w:val="en-GB"/>
              </w:rPr>
              <w:t>Child benefit</w:t>
            </w:r>
          </w:p>
        </w:tc>
      </w:tr>
      <w:tr w:rsidR="00DC2FFD" w:rsidRPr="00DC2FFD" w14:paraId="763686B7" w14:textId="77777777" w:rsidTr="00296435">
        <w:trPr>
          <w:trHeight w:val="246"/>
        </w:trPr>
        <w:tc>
          <w:tcPr>
            <w:tcW w:w="2767" w:type="dxa"/>
          </w:tcPr>
          <w:p w14:paraId="573C8684" w14:textId="77777777" w:rsidR="00DC2FFD" w:rsidRPr="00DC2FFD" w:rsidRDefault="00DC2FFD" w:rsidP="00DC2FFD">
            <w:pPr>
              <w:spacing w:after="0"/>
              <w:rPr>
                <w:sz w:val="20"/>
                <w:szCs w:val="20"/>
                <w:lang w:val="en-GB"/>
              </w:rPr>
            </w:pPr>
            <w:r w:rsidRPr="00DC2FFD">
              <w:rPr>
                <w:sz w:val="20"/>
                <w:lang w:val="en-GB"/>
              </w:rPr>
              <w:t xml:space="preserve">Realised </w:t>
            </w:r>
          </w:p>
        </w:tc>
        <w:tc>
          <w:tcPr>
            <w:tcW w:w="1531" w:type="dxa"/>
          </w:tcPr>
          <w:p w14:paraId="48015569" w14:textId="77777777" w:rsidR="00DC2FFD" w:rsidRPr="00DC2FFD" w:rsidRDefault="00DC2FFD" w:rsidP="00DC2FFD">
            <w:pPr>
              <w:spacing w:after="0"/>
              <w:rPr>
                <w:sz w:val="20"/>
                <w:szCs w:val="20"/>
                <w:lang w:val="en-GB"/>
              </w:rPr>
            </w:pPr>
            <w:r w:rsidRPr="00DC2FFD">
              <w:rPr>
                <w:sz w:val="20"/>
                <w:lang w:val="en-GB"/>
              </w:rPr>
              <w:t>31,362</w:t>
            </w:r>
          </w:p>
        </w:tc>
      </w:tr>
      <w:tr w:rsidR="00DC2FFD" w:rsidRPr="00DC2FFD" w14:paraId="4880391A" w14:textId="77777777" w:rsidTr="00296435">
        <w:trPr>
          <w:trHeight w:val="246"/>
        </w:trPr>
        <w:tc>
          <w:tcPr>
            <w:tcW w:w="2767" w:type="dxa"/>
          </w:tcPr>
          <w:p w14:paraId="24DB1810" w14:textId="77777777" w:rsidR="00DC2FFD" w:rsidRPr="00DC2FFD" w:rsidRDefault="00DC2FFD" w:rsidP="00DC2FFD">
            <w:pPr>
              <w:spacing w:after="0"/>
              <w:rPr>
                <w:sz w:val="20"/>
                <w:szCs w:val="20"/>
                <w:lang w:val="en-GB"/>
              </w:rPr>
            </w:pPr>
            <w:r w:rsidRPr="00DC2FFD">
              <w:rPr>
                <w:sz w:val="20"/>
                <w:lang w:val="en-GB"/>
              </w:rPr>
              <w:t xml:space="preserve">Not realised </w:t>
            </w:r>
          </w:p>
        </w:tc>
        <w:tc>
          <w:tcPr>
            <w:tcW w:w="1531" w:type="dxa"/>
          </w:tcPr>
          <w:p w14:paraId="0436E1C7" w14:textId="77777777" w:rsidR="00DC2FFD" w:rsidRPr="00DC2FFD" w:rsidRDefault="00DC2FFD" w:rsidP="00DC2FFD">
            <w:pPr>
              <w:spacing w:after="0"/>
              <w:rPr>
                <w:sz w:val="20"/>
                <w:szCs w:val="20"/>
                <w:lang w:val="en-GB"/>
              </w:rPr>
            </w:pPr>
            <w:r w:rsidRPr="00DC2FFD">
              <w:rPr>
                <w:sz w:val="20"/>
                <w:lang w:val="en-GB"/>
              </w:rPr>
              <w:t>11,619</w:t>
            </w:r>
          </w:p>
        </w:tc>
      </w:tr>
    </w:tbl>
    <w:p w14:paraId="7A1B81EB" w14:textId="77777777" w:rsidR="00DC2FFD" w:rsidRPr="00DC2FFD" w:rsidRDefault="00DC2FFD" w:rsidP="00DC2FFD">
      <w:pPr>
        <w:spacing w:after="0"/>
        <w:jc w:val="center"/>
        <w:rPr>
          <w:sz w:val="24"/>
          <w:szCs w:val="24"/>
          <w:lang w:val="sr-Cyrl-RS"/>
        </w:rPr>
      </w:pPr>
    </w:p>
    <w:p w14:paraId="0C540EA8" w14:textId="77777777" w:rsidR="00DC2FFD" w:rsidRPr="00DC2FFD" w:rsidRDefault="00DC2FFD" w:rsidP="00DC2FFD">
      <w:pPr>
        <w:spacing w:after="0"/>
        <w:ind w:firstLine="720"/>
        <w:jc w:val="both"/>
        <w:rPr>
          <w:sz w:val="24"/>
          <w:szCs w:val="24"/>
          <w:lang w:val="en-GB"/>
        </w:rPr>
      </w:pPr>
      <w:r w:rsidRPr="00DC2FFD">
        <w:rPr>
          <w:sz w:val="24"/>
          <w:lang w:val="en-GB"/>
        </w:rPr>
        <w:t xml:space="preserve">In many local self-government units, workshops are organised, and implemented by mediators in collaboration with civil society organisations, particularly workshops on the topics of reproductive health and prevention of early marriages and underage pregnancies. In health care centres, various activities and education are periodically implemented, relating </w:t>
      </w:r>
      <w:proofErr w:type="gramStart"/>
      <w:r w:rsidRPr="00DC2FFD">
        <w:rPr>
          <w:sz w:val="24"/>
          <w:lang w:val="en-GB"/>
        </w:rPr>
        <w:t>to  immunisation</w:t>
      </w:r>
      <w:proofErr w:type="gramEnd"/>
      <w:r w:rsidRPr="00DC2FFD">
        <w:rPr>
          <w:sz w:val="24"/>
          <w:lang w:val="en-GB"/>
        </w:rPr>
        <w:t xml:space="preserve"> and reproductive and sexual health, protection from infectious diseases, etc.</w:t>
      </w:r>
    </w:p>
    <w:p w14:paraId="0FC3074B" w14:textId="77777777" w:rsidR="00DC2FFD" w:rsidRPr="00DC2FFD" w:rsidRDefault="00DC2FFD" w:rsidP="00DC2FFD">
      <w:pPr>
        <w:spacing w:after="0"/>
        <w:ind w:firstLine="720"/>
        <w:jc w:val="both"/>
        <w:rPr>
          <w:sz w:val="24"/>
          <w:szCs w:val="24"/>
          <w:lang w:val="en-GB"/>
        </w:rPr>
      </w:pPr>
      <w:r w:rsidRPr="00DC2FFD">
        <w:rPr>
          <w:sz w:val="24"/>
          <w:lang w:val="en-GB"/>
        </w:rPr>
        <w:t>After the outbreak of the COVID-19 pandemic, the Ministry of Health, in collaboration with UNICEF and the Association of Health Mediators, initiated the joint project “Health for all - improvement and support of the activity of health mediators with sensitive and vulnerable groups in Roma settlements in emergencies - COVID-19 pandemic”. During the implementation of the project in 2020, health mediators paid over 14,000 visits to Roma families, and, in collaboration with the Red Cross, distributed packages of games for children and printed materials with explanations of the method of prevention and handling the COVID-19 pandemic. They contacted 1,108 pregnant women, 1,577 children were vaccinated, and over 800 persons were sent to COVID clinics. In 2021, health mediators participated in the vaccination against COVID-19 of the Roma population in substandard settlements. For that purpose, vehicles were provided for transport of elderly people with decreased mobility.</w:t>
      </w:r>
    </w:p>
    <w:p w14:paraId="47FB8DEE" w14:textId="77777777" w:rsidR="00DC2FFD" w:rsidRPr="00DC2FFD" w:rsidRDefault="00DC2FFD" w:rsidP="00DC2FFD">
      <w:pPr>
        <w:spacing w:after="0"/>
        <w:ind w:firstLine="720"/>
        <w:jc w:val="both"/>
        <w:rPr>
          <w:sz w:val="24"/>
          <w:szCs w:val="24"/>
          <w:lang w:val="en-GB"/>
        </w:rPr>
      </w:pPr>
      <w:r w:rsidRPr="00DC2FFD">
        <w:rPr>
          <w:sz w:val="24"/>
          <w:lang w:val="en-GB"/>
        </w:rPr>
        <w:t>During the pandemic, representatives of the Expert Service of the Protector of Citizens organised visits to Roma settlements.</w:t>
      </w:r>
      <w:r w:rsidRPr="00DC2FFD">
        <w:rPr>
          <w:sz w:val="24"/>
          <w:szCs w:val="24"/>
          <w:vertAlign w:val="superscript"/>
          <w:lang w:val="sr-Cyrl-RS"/>
        </w:rPr>
        <w:footnoteReference w:id="10"/>
      </w:r>
      <w:r w:rsidRPr="00DC2FFD">
        <w:rPr>
          <w:sz w:val="24"/>
          <w:lang w:val="en-GB"/>
        </w:rPr>
        <w:t xml:space="preserve"> The objective of the visit was primarily to ascertain, through field work, the hygienic conditions in settlements, particularly during the pandemic, access to water and electricity supply, as well as needs of inhabitants for additional assistance measures in the form of packages and social allowances. On the basis of data collected through field work, a Special Report of the Protector of Citizens was developed, with recommendations, </w:t>
      </w:r>
      <w:r w:rsidRPr="00DC2FFD">
        <w:rPr>
          <w:sz w:val="24"/>
          <w:lang w:val="en-GB"/>
        </w:rPr>
        <w:lastRenderedPageBreak/>
        <w:t>titled “Conditions in Roma settlements in an emergency situation and protection measures undertaken due to the Coronavirus pandemic”.</w:t>
      </w:r>
      <w:r w:rsidRPr="00DC2FFD">
        <w:rPr>
          <w:sz w:val="24"/>
          <w:szCs w:val="24"/>
          <w:vertAlign w:val="superscript"/>
          <w:lang w:val="sr-Cyrl-RS"/>
        </w:rPr>
        <w:footnoteReference w:id="11"/>
      </w:r>
      <w:r w:rsidRPr="00DC2FFD">
        <w:rPr>
          <w:rFonts w:ascii="Book Antiqua" w:hAnsi="Book Antiqua"/>
          <w:lang w:val="en-GB"/>
        </w:rPr>
        <w:t xml:space="preserve"> </w:t>
      </w:r>
    </w:p>
    <w:p w14:paraId="1880BA75" w14:textId="77777777" w:rsidR="00DC2FFD" w:rsidRPr="00DC2FFD" w:rsidRDefault="00DC2FFD" w:rsidP="00DC2FFD">
      <w:pPr>
        <w:spacing w:after="0"/>
        <w:jc w:val="both"/>
        <w:rPr>
          <w:sz w:val="24"/>
          <w:szCs w:val="24"/>
          <w:highlight w:val="yellow"/>
          <w:lang w:val="sr-Cyrl-RS"/>
        </w:rPr>
      </w:pPr>
    </w:p>
    <w:p w14:paraId="1D7DC990" w14:textId="77777777" w:rsidR="00DC2FFD" w:rsidRPr="00DC2FFD" w:rsidRDefault="00DC2FFD" w:rsidP="00DC2FFD">
      <w:pPr>
        <w:spacing w:after="0"/>
        <w:jc w:val="both"/>
        <w:rPr>
          <w:i/>
          <w:sz w:val="24"/>
          <w:szCs w:val="24"/>
          <w:lang w:val="en-GB"/>
        </w:rPr>
      </w:pPr>
      <w:r w:rsidRPr="00DC2FFD">
        <w:rPr>
          <w:i/>
          <w:sz w:val="24"/>
          <w:lang w:val="en-GB"/>
        </w:rPr>
        <w:t>Activities relating to education</w:t>
      </w:r>
    </w:p>
    <w:p w14:paraId="7DAA4F7B" w14:textId="77777777" w:rsidR="00DC2FFD" w:rsidRPr="00DC2FFD" w:rsidRDefault="00DC2FFD" w:rsidP="00DC2FFD">
      <w:pPr>
        <w:spacing w:after="0"/>
        <w:jc w:val="both"/>
        <w:rPr>
          <w:sz w:val="24"/>
          <w:szCs w:val="24"/>
          <w:lang w:val="sr-Cyrl-RS"/>
        </w:rPr>
      </w:pPr>
    </w:p>
    <w:p w14:paraId="09B82E67" w14:textId="77777777" w:rsidR="00DC2FFD" w:rsidRPr="00DC2FFD" w:rsidRDefault="00DC2FFD" w:rsidP="00DC2FFD">
      <w:pPr>
        <w:spacing w:after="0"/>
        <w:ind w:firstLine="720"/>
        <w:jc w:val="both"/>
        <w:rPr>
          <w:bCs/>
          <w:sz w:val="24"/>
          <w:szCs w:val="24"/>
          <w:lang w:val="en-GB"/>
        </w:rPr>
      </w:pPr>
      <w:r w:rsidRPr="00DC2FFD">
        <w:rPr>
          <w:lang w:val="en-GB"/>
        </w:rPr>
        <w:t>With a view to preventing discrimination and violence in education, the Ministry of Education, Science and Technological Development has, since 2011, had an SOS telephone for reporting school violence (80 telephone advisors have been trained), to which, in addition to violence, cases of discrimination in education shall also be reported.</w:t>
      </w:r>
      <w:r w:rsidRPr="00DC2FFD">
        <w:rPr>
          <w:sz w:val="24"/>
          <w:lang w:val="en-GB"/>
        </w:rPr>
        <w:t xml:space="preserve"> During the school year 2016/17, 750 cases of discrimination and violence in educational and pedagogical institutions were reported, In the school year 2017/18 it was 820, in the school year 2018/19 - 890, and in the school year 2019/20 – 950 such cases. At the quarterly level, there were 150 reports on average, 10% of which were about cases of discrimination. During the COVID-19 pandemic, this SOS telephone started to provide psychological and social support to students and parents.</w:t>
      </w:r>
    </w:p>
    <w:p w14:paraId="79D8DDB0" w14:textId="77777777" w:rsidR="00DC2FFD" w:rsidRPr="00DC2FFD" w:rsidRDefault="00DC2FFD" w:rsidP="00DC2FFD">
      <w:pPr>
        <w:spacing w:after="0"/>
        <w:ind w:firstLine="720"/>
        <w:jc w:val="both"/>
        <w:rPr>
          <w:bCs/>
          <w:sz w:val="24"/>
          <w:szCs w:val="24"/>
          <w:lang w:val="en-GB"/>
        </w:rPr>
      </w:pPr>
      <w:r w:rsidRPr="00DC2FFD">
        <w:rPr>
          <w:sz w:val="24"/>
          <w:lang w:val="en-GB"/>
        </w:rPr>
        <w:t>Two by-laws were also adopted: Rulebook on detailed criteria on identifying forms of discrimination by employees, children, students or third parties in educational institutions</w:t>
      </w:r>
      <w:r w:rsidRPr="00DC2FFD">
        <w:rPr>
          <w:bCs/>
          <w:sz w:val="24"/>
          <w:szCs w:val="24"/>
          <w:vertAlign w:val="superscript"/>
          <w:lang w:val="sr-Cyrl-RS"/>
        </w:rPr>
        <w:footnoteReference w:id="12"/>
      </w:r>
      <w:r w:rsidRPr="00DC2FFD">
        <w:rPr>
          <w:sz w:val="24"/>
          <w:lang w:val="en-GB"/>
        </w:rPr>
        <w:t xml:space="preserve"> and the Rulebook on the conduct of institutions in cases of suspected or identified discriminatory behaviour and insult to the reputation, honour or personal dignity.</w:t>
      </w:r>
      <w:r w:rsidRPr="00DC2FFD">
        <w:rPr>
          <w:sz w:val="24"/>
          <w:szCs w:val="24"/>
          <w:vertAlign w:val="superscript"/>
          <w:lang w:val="sr-Cyrl-RS"/>
        </w:rPr>
        <w:footnoteReference w:id="13"/>
      </w:r>
      <w:r w:rsidRPr="00DC2FFD">
        <w:rPr>
          <w:sz w:val="24"/>
          <w:lang w:val="en-GB"/>
        </w:rPr>
        <w:t xml:space="preserve"> </w:t>
      </w:r>
    </w:p>
    <w:p w14:paraId="0FBD9297" w14:textId="77777777" w:rsidR="00DC2FFD" w:rsidRPr="00DC2FFD" w:rsidRDefault="00DC2FFD" w:rsidP="00DC2FFD">
      <w:pPr>
        <w:spacing w:after="0"/>
        <w:ind w:firstLine="720"/>
        <w:jc w:val="both"/>
        <w:rPr>
          <w:sz w:val="24"/>
          <w:szCs w:val="24"/>
          <w:lang w:val="en-GB"/>
        </w:rPr>
      </w:pPr>
      <w:r w:rsidRPr="00DC2FFD">
        <w:rPr>
          <w:sz w:val="24"/>
          <w:lang w:val="en-GB"/>
        </w:rPr>
        <w:t xml:space="preserve">For the purpose of professional development of employees in the education system for the application of the Rulebook on the conduct of institutions in cases of suspected or identified discriminatory behaviour, trainings were held for 30 education inspectors and advisors and online trainings for 300 teachers and expert associates, education advisors and education inspectors. Since the entry into force of the Rulebook on the conduct of institutions, 30 cases of discriminatory behaviour have been reported in total. Reports by parents are mostly reports which do not entail an assumed or real personal characteristic which is crucial while ascertaining discriminatory behaviour. Institutions mostly report when parents associate for the purpose of excluding students who need additional educational support from the school. Some of the reports (up to 25%) concern the personal characteristic of national affiliation. </w:t>
      </w:r>
    </w:p>
    <w:p w14:paraId="76AD62D3" w14:textId="77777777" w:rsidR="00DC2FFD" w:rsidRPr="00DC2FFD" w:rsidRDefault="00DC2FFD" w:rsidP="00DC2FFD">
      <w:pPr>
        <w:spacing w:after="0"/>
        <w:ind w:firstLine="720"/>
        <w:jc w:val="both"/>
        <w:rPr>
          <w:sz w:val="24"/>
          <w:szCs w:val="24"/>
          <w:lang w:val="en-GB"/>
        </w:rPr>
      </w:pPr>
      <w:r w:rsidRPr="00DC2FFD">
        <w:rPr>
          <w:sz w:val="24"/>
          <w:lang w:val="en-GB"/>
        </w:rPr>
        <w:t>In addition, a rulebook/brochure was developed for parents about the prevention, protection and handling cases of discrimination in education</w:t>
      </w:r>
      <w:r w:rsidRPr="00DC2FFD">
        <w:rPr>
          <w:sz w:val="24"/>
          <w:szCs w:val="24"/>
          <w:vertAlign w:val="superscript"/>
          <w:lang w:val="sr-Cyrl-RS"/>
        </w:rPr>
        <w:footnoteReference w:id="14"/>
      </w:r>
      <w:r w:rsidRPr="00DC2FFD">
        <w:rPr>
          <w:sz w:val="24"/>
          <w:lang w:val="en-GB"/>
        </w:rPr>
        <w:t xml:space="preserve"> and the Guide through the prevention and response to the discrimination for employees in education institutions.</w:t>
      </w:r>
      <w:r w:rsidRPr="00DC2FFD">
        <w:rPr>
          <w:sz w:val="24"/>
          <w:szCs w:val="24"/>
          <w:vertAlign w:val="superscript"/>
          <w:lang w:val="sr-Cyrl-RS"/>
        </w:rPr>
        <w:footnoteReference w:id="15"/>
      </w:r>
      <w:r w:rsidRPr="00DC2FFD">
        <w:rPr>
          <w:sz w:val="24"/>
          <w:lang w:val="en-GB"/>
        </w:rPr>
        <w:t xml:space="preserve"> </w:t>
      </w:r>
    </w:p>
    <w:p w14:paraId="74B52CCA" w14:textId="77777777" w:rsidR="00DC2FFD" w:rsidRPr="00DC2FFD" w:rsidRDefault="00DC2FFD" w:rsidP="00DC2FFD">
      <w:pPr>
        <w:spacing w:after="0"/>
        <w:ind w:firstLine="720"/>
        <w:jc w:val="both"/>
        <w:rPr>
          <w:sz w:val="24"/>
          <w:szCs w:val="24"/>
          <w:lang w:val="en-GB"/>
        </w:rPr>
      </w:pPr>
      <w:r w:rsidRPr="00DC2FFD">
        <w:rPr>
          <w:sz w:val="24"/>
          <w:lang w:val="en-GB"/>
        </w:rPr>
        <w:t>In 2017, the Commissioner for the Protection of Equality published the handbook “Prevention of segregation, development of inclusive enrolment policies and desegregation of schools and classes: international experiences and proposals for the improvement of practice in Serbia”</w:t>
      </w:r>
      <w:r w:rsidRPr="00DC2FFD">
        <w:rPr>
          <w:sz w:val="24"/>
          <w:szCs w:val="24"/>
          <w:vertAlign w:val="superscript"/>
          <w:lang w:val="sr-Cyrl-RS"/>
        </w:rPr>
        <w:footnoteReference w:id="16"/>
      </w:r>
      <w:r w:rsidRPr="00DC2FFD">
        <w:rPr>
          <w:sz w:val="24"/>
          <w:lang w:val="en-GB"/>
        </w:rPr>
        <w:t xml:space="preserve"> with a view to enabling the recognition of the problem of segregation, as well as provide an overview of prevention measures, primarily through the development of inclusive education. The handbook contains, </w:t>
      </w:r>
      <w:r w:rsidRPr="00DC2FFD">
        <w:rPr>
          <w:i/>
          <w:iCs/>
          <w:sz w:val="24"/>
          <w:lang w:val="en-GB"/>
        </w:rPr>
        <w:t>inter alia</w:t>
      </w:r>
      <w:r w:rsidRPr="00DC2FFD">
        <w:rPr>
          <w:sz w:val="24"/>
          <w:lang w:val="en-GB"/>
        </w:rPr>
        <w:t xml:space="preserve">, a comparative overview of the desegregation </w:t>
      </w:r>
      <w:r w:rsidRPr="00DC2FFD">
        <w:rPr>
          <w:sz w:val="24"/>
          <w:lang w:val="en-GB"/>
        </w:rPr>
        <w:lastRenderedPageBreak/>
        <w:t>model in certain European countries, as well as concrete proposal for improving the practice in Serbia.</w:t>
      </w:r>
    </w:p>
    <w:p w14:paraId="65843033" w14:textId="77777777" w:rsidR="00DC2FFD" w:rsidRPr="00DC2FFD" w:rsidRDefault="00DC2FFD" w:rsidP="00DC2FFD">
      <w:pPr>
        <w:spacing w:after="0"/>
        <w:ind w:firstLine="720"/>
        <w:jc w:val="both"/>
        <w:rPr>
          <w:sz w:val="24"/>
          <w:szCs w:val="24"/>
          <w:lang w:val="en-GB"/>
        </w:rPr>
      </w:pPr>
      <w:r w:rsidRPr="00DC2FFD">
        <w:rPr>
          <w:sz w:val="24"/>
          <w:lang w:val="en-GB"/>
        </w:rPr>
        <w:t>The project “Partnerships for Fair Quality Education”, executed by the Ministry of Justice in collaboration with the Centre for Interactive Pedagogy and the Pestalozzi Foundation (2020-2022) includes efforts for recognising the risk of segregation in 10 elementary schools. Activities are also aimed at strengthening cooperation at the local level, developing an enrolment policy, and enhancing the capacities of local governments and schools, as well as improving the quality of education. Financial and technical support was provided to schools and students for the implementation of distance learning (with an emphasis on students from vulnerable groups) and training for employees, educational video materials for parents were developed, and grants were provided for the execution of joint activities which included schools that were under risk of segregation and partner schools. Three local self-governments started the process of developing action plans for the development of enrolment policies for the purpose of prevention of segregation. The Guide to the implementation of the Rulebook on the conduct of institutions in cases of suspected or identified discriminatory behaviour and insult to the reputation, honour or personal dignity, with an emphasis on the Articles of the Rulebook which concern segregation, is in development. In this context, it is particularly important to note that amendments and supplements to the Law on the Prohibition of Discrimination</w:t>
      </w:r>
      <w:r w:rsidRPr="00DC2FFD">
        <w:rPr>
          <w:sz w:val="24"/>
          <w:szCs w:val="24"/>
          <w:vertAlign w:val="superscript"/>
          <w:lang w:val="en-GB" w:bidi="th-TH"/>
        </w:rPr>
        <w:footnoteReference w:id="17"/>
      </w:r>
      <w:r w:rsidRPr="00DC2FFD">
        <w:rPr>
          <w:sz w:val="24"/>
          <w:lang w:val="en-GB"/>
        </w:rPr>
        <w:t xml:space="preserve"> of 20 May 2021 introduced the concept of segregation into the legal text, which will be further elaborated in the appropriate parts of this report. </w:t>
      </w:r>
    </w:p>
    <w:p w14:paraId="1B3A073F" w14:textId="77777777" w:rsidR="00DC2FFD" w:rsidRPr="00DC2FFD" w:rsidRDefault="00DC2FFD" w:rsidP="00DC2FFD">
      <w:pPr>
        <w:spacing w:after="0"/>
        <w:ind w:firstLine="720"/>
        <w:jc w:val="both"/>
        <w:rPr>
          <w:sz w:val="24"/>
          <w:szCs w:val="24"/>
          <w:highlight w:val="yellow"/>
          <w:lang w:val="en-GB"/>
        </w:rPr>
      </w:pPr>
      <w:r w:rsidRPr="00DC2FFD">
        <w:rPr>
          <w:sz w:val="24"/>
          <w:lang w:val="en-GB"/>
        </w:rPr>
        <w:t>Some of the examples of good practice of activities at the local level were applied within this project by establishing local project teams and signing a Memorandum of Cooperation. Direct trainings and work meetings were implemented for the purpose of exchanging experience. An important step towards the elimination of segregation are developed action plans for fair enrolment policies. Additional support has been provided for students from vulnerable groups for learning by organising additional compensation classes and learning assistance. Through obtained financial grants, schools plan and execute a series of joint activities which include students, teachers and parents. In addition to employees in schools who work on strengthening their competences, support is also provided to parents of Roma students through panel discussions on the rights of children to education, recognition and handling of discrimination cases. Three promotional films have been made in order to present focus schools. This has significantly contributed to the promotion of schools and increased interested of parents in enrolment of children in the first grade. Project activities have been promoted on social networks and in local media. In the school year 2021/22, 10% more students were enrolled in the first grade in three focus schools compared to the previous school year.</w:t>
      </w:r>
    </w:p>
    <w:p w14:paraId="1C34B2E3" w14:textId="77777777" w:rsidR="00DC2FFD" w:rsidRPr="00DC2FFD" w:rsidRDefault="00DC2FFD" w:rsidP="00DC2FFD">
      <w:pPr>
        <w:spacing w:after="0"/>
        <w:ind w:firstLine="720"/>
        <w:jc w:val="both"/>
        <w:rPr>
          <w:rFonts w:eastAsia="Book Antiqua"/>
          <w:position w:val="-1"/>
          <w:sz w:val="24"/>
          <w:szCs w:val="24"/>
          <w:u w:val="single"/>
          <w:lang w:val="en-GB"/>
        </w:rPr>
      </w:pPr>
      <w:r w:rsidRPr="00DC2FFD">
        <w:rPr>
          <w:sz w:val="24"/>
          <w:lang w:val="en-GB"/>
        </w:rPr>
        <w:t xml:space="preserve">For combating school absenteeism and early dropouts among Roma children, including by expanding and developing the long-term use of pedagogical assistants, adoption of the Rulebook on Pedagogical and </w:t>
      </w:r>
      <w:proofErr w:type="spellStart"/>
      <w:r w:rsidRPr="00DC2FFD">
        <w:rPr>
          <w:sz w:val="24"/>
          <w:lang w:val="en-GB"/>
        </w:rPr>
        <w:t>Andragogical</w:t>
      </w:r>
      <w:proofErr w:type="spellEnd"/>
      <w:r w:rsidRPr="00DC2FFD">
        <w:rPr>
          <w:sz w:val="24"/>
          <w:lang w:val="en-GB"/>
        </w:rPr>
        <w:t xml:space="preserve"> Assistants is of particular importance.</w:t>
      </w:r>
      <w:r w:rsidRPr="00DC2FFD">
        <w:rPr>
          <w:rFonts w:eastAsia="Times New Roman"/>
          <w:sz w:val="24"/>
          <w:szCs w:val="24"/>
          <w:vertAlign w:val="superscript"/>
          <w:lang w:val="sr-Cyrl-RS" w:eastAsia="sr-Cyrl-RS" w:bidi="sr-Cyrl-RS"/>
        </w:rPr>
        <w:footnoteReference w:id="18"/>
      </w:r>
      <w:r w:rsidRPr="00DC2FFD">
        <w:rPr>
          <w:sz w:val="24"/>
          <w:lang w:val="en-GB"/>
        </w:rPr>
        <w:t xml:space="preserve"> This Rulebook defines hiring pedagogical assistants for providing assistance and additional support to Roma children and students in preschool institutions and schools. Pedagogical assistants also </w:t>
      </w:r>
      <w:r w:rsidRPr="00DC2FFD">
        <w:rPr>
          <w:sz w:val="24"/>
          <w:lang w:val="en-GB"/>
        </w:rPr>
        <w:lastRenderedPageBreak/>
        <w:t>provide support to teachers, pedagogues and expert associates and parents. A school may hire a pedagogical assistant when it has at least 20 students in need of additional support in education. The full working hours are implemented with 35 students belonging to the Roma national minority. In the school year 2020/21, a total of 260 pedagogical assistants were hired, of which 219 were financed from the budget of the Republic of Serbia, while 41 assistants were financed by the local self-government.</w:t>
      </w:r>
      <w:r w:rsidRPr="00DC2FFD">
        <w:rPr>
          <w:b/>
          <w:sz w:val="24"/>
          <w:lang w:val="en-GB"/>
        </w:rPr>
        <w:t xml:space="preserve"> </w:t>
      </w:r>
      <w:r w:rsidRPr="00DC2FFD">
        <w:rPr>
          <w:sz w:val="24"/>
          <w:lang w:val="en-GB"/>
        </w:rPr>
        <w:t xml:space="preserve">In the school year 2021/22, the network of pedagogical assistants kept expanding. </w:t>
      </w:r>
      <w:bookmarkStart w:id="5" w:name="_Hlk67041698"/>
      <w:r w:rsidRPr="00DC2FFD">
        <w:rPr>
          <w:sz w:val="24"/>
          <w:lang w:val="en-GB"/>
        </w:rPr>
        <w:t>From the state budget, 232 pedagogical assistants are financed, while an additional number of assistants are hired by the local self-government.</w:t>
      </w:r>
    </w:p>
    <w:bookmarkEnd w:id="5"/>
    <w:p w14:paraId="2CBF6E61" w14:textId="77777777" w:rsidR="00DC2FFD" w:rsidRPr="00DC2FFD" w:rsidRDefault="00DC2FFD" w:rsidP="00DC2FFD">
      <w:pPr>
        <w:spacing w:after="0"/>
        <w:ind w:firstLine="720"/>
        <w:jc w:val="both"/>
        <w:rPr>
          <w:sz w:val="24"/>
          <w:szCs w:val="24"/>
          <w:lang w:val="en-GB"/>
        </w:rPr>
      </w:pPr>
      <w:r w:rsidRPr="00DC2FFD">
        <w:rPr>
          <w:sz w:val="24"/>
          <w:lang w:val="en-GB"/>
        </w:rPr>
        <w:t>Measures for preventing education dispersal are provided for in laws and by-laws and are an integral part of the practice of educational institutions. Each elementary and secondary school is obliged to adopt and execute a plan for the prevention of student dispersal. A methodology was developed for early identification of students under risk of dispersal, while students under risk of dispersal were recognised as a vulnerable group which may exercise its right to an individual education plan (IEP). An integral part of an IEP is an individualised plan for early dropout prevention. Priority enrolment of children from vulnerable social groups into pre-school educational institutions has been prescribed, as well as subsidies of expenses of staying in kindergarten for certain categories of children, and mandatory and free preparatory pre-school programme. Free transport was ensured for students of pre-school institutions and elementary schools, free textbooks were provided for students from vulnerable social groups (from families which are recipients of social assistance, students who are educated according to the IEP and the third child in a family who is in the education system). In the last three years, 43 programmes were accredited and 309 trainings implemented for enhancing of capacities for approximately 8,000 education system employees and activities for inclusion and participation of all children and students through education. Also, 123 trainings from the list of trainings of public interest were implemented, and were attended by 3,030 participants.</w:t>
      </w:r>
    </w:p>
    <w:p w14:paraId="46FA56C1" w14:textId="77777777" w:rsidR="00DC2FFD" w:rsidRPr="00DC2FFD" w:rsidRDefault="00DC2FFD" w:rsidP="00DC2FFD">
      <w:pPr>
        <w:spacing w:after="0"/>
        <w:ind w:firstLine="720"/>
        <w:jc w:val="both"/>
        <w:rPr>
          <w:sz w:val="24"/>
          <w:szCs w:val="24"/>
          <w:lang w:val="en-GB"/>
        </w:rPr>
      </w:pPr>
      <w:r w:rsidRPr="00DC2FFD">
        <w:rPr>
          <w:sz w:val="24"/>
          <w:lang w:val="en-GB"/>
        </w:rPr>
        <w:t>The result of these measures is an improvement of the coverage of children and students by the education system, increase of the number of students from vulnerable groups at higher levels of education, increase of students who are educated according to the IEP in regular schools for students with disabilities and developmental disabilities. In 2019, over 7,500 applications with an assessment of needs for additional support were sent to inter-sectoral commissions (there were 1,300 applications in 2011). By the end of 2021, 260 pedagogical assistants were hired, as well as 1,000 personal assistants, while over 2,000 students were educated according to the IEP and receiving support from employees of schools for students with developmental disabilities.</w:t>
      </w:r>
    </w:p>
    <w:p w14:paraId="0CDF09F3" w14:textId="77777777" w:rsidR="00DC2FFD" w:rsidRPr="00DC2FFD" w:rsidRDefault="00DC2FFD" w:rsidP="00DC2FFD">
      <w:pPr>
        <w:spacing w:after="0"/>
        <w:ind w:firstLine="720"/>
        <w:jc w:val="both"/>
        <w:rPr>
          <w:sz w:val="24"/>
          <w:szCs w:val="24"/>
          <w:lang w:val="en-GB"/>
        </w:rPr>
      </w:pPr>
      <w:r w:rsidRPr="00DC2FFD">
        <w:rPr>
          <w:sz w:val="24"/>
          <w:lang w:val="en-GB"/>
        </w:rPr>
        <w:t>In 2021, 37 external advisors were hired to work on the inclusion in education. They cooperate with school administrations and provide direct support to pre-school institutions and schools for improving the quality of education of children and students from vulnerable social groups and sustainable inclusion of Roma children/students in the education system, as well as children/students with disabilities and developmental disabilities.</w:t>
      </w:r>
    </w:p>
    <w:p w14:paraId="638D6EF7" w14:textId="77777777" w:rsidR="00DC2FFD" w:rsidRPr="00DC2FFD" w:rsidRDefault="00DC2FFD" w:rsidP="00DC2FFD">
      <w:pPr>
        <w:spacing w:after="0"/>
        <w:ind w:firstLine="720"/>
        <w:jc w:val="both"/>
        <w:rPr>
          <w:rFonts w:eastAsia="Times New Roman"/>
          <w:sz w:val="24"/>
          <w:szCs w:val="24"/>
          <w:lang w:val="en-GB"/>
        </w:rPr>
      </w:pPr>
      <w:r w:rsidRPr="00DC2FFD">
        <w:rPr>
          <w:sz w:val="24"/>
          <w:lang w:val="en-GB"/>
        </w:rPr>
        <w:t>The New Strategy for the Development of Education in Serbia by 2030</w:t>
      </w:r>
      <w:r w:rsidRPr="00DC2FFD">
        <w:rPr>
          <w:rFonts w:eastAsia="Times New Roman"/>
          <w:sz w:val="24"/>
          <w:szCs w:val="24"/>
          <w:vertAlign w:val="superscript"/>
          <w:lang w:val="sr-Cyrl-RS" w:eastAsia="en-GB"/>
        </w:rPr>
        <w:footnoteReference w:id="19"/>
      </w:r>
      <w:r w:rsidRPr="00DC2FFD">
        <w:rPr>
          <w:sz w:val="24"/>
          <w:lang w:val="en-GB"/>
        </w:rPr>
        <w:t xml:space="preserve"> and its Action Plan provide for a continuation of activities for the improvement of support measures relating to the prevention of student dispersal. One of the specific objectives of the Action Plan 2021-</w:t>
      </w:r>
      <w:r w:rsidRPr="00DC2FFD">
        <w:rPr>
          <w:sz w:val="24"/>
          <w:lang w:val="en-GB"/>
        </w:rPr>
        <w:lastRenderedPageBreak/>
        <w:t xml:space="preserve">23 concerns the improvement of availability, fairness and responsibility of the pre-university education. </w:t>
      </w:r>
    </w:p>
    <w:p w14:paraId="43E6E2B5" w14:textId="77777777" w:rsidR="00DC2FFD" w:rsidRPr="00DC2FFD" w:rsidRDefault="00DC2FFD" w:rsidP="00DC2FFD">
      <w:pPr>
        <w:spacing w:after="0"/>
        <w:ind w:firstLine="720"/>
        <w:jc w:val="both"/>
        <w:rPr>
          <w:rFonts w:eastAsia="Times New Roman"/>
          <w:sz w:val="24"/>
          <w:szCs w:val="24"/>
          <w:lang w:val="en-GB"/>
        </w:rPr>
      </w:pPr>
      <w:r w:rsidRPr="00DC2FFD">
        <w:rPr>
          <w:sz w:val="24"/>
          <w:lang w:val="en-GB"/>
        </w:rPr>
        <w:t xml:space="preserve">A particularly important role in the prevention of early dropping out is the establishment of the Unified Information System of Education (JISP), which unifies education data. JISP introduces the new Unique Learner Number (ULN), which accompanies its holder through all levels of formal and informal education and is the key for connecting all data on a child, student, university student, as well as an adult, trainee or candidate. </w:t>
      </w:r>
    </w:p>
    <w:p w14:paraId="0B93FF97" w14:textId="77777777" w:rsidR="00DC2FFD" w:rsidRPr="00DC2FFD" w:rsidRDefault="00DC2FFD" w:rsidP="00DC2FFD">
      <w:pPr>
        <w:spacing w:after="0"/>
        <w:ind w:firstLine="720"/>
        <w:jc w:val="both"/>
        <w:rPr>
          <w:rFonts w:eastAsia="Book Antiqua"/>
          <w:position w:val="-1"/>
          <w:sz w:val="24"/>
          <w:szCs w:val="24"/>
          <w:lang w:val="en-GB"/>
        </w:rPr>
      </w:pPr>
      <w:r w:rsidRPr="00DC2FFD">
        <w:rPr>
          <w:sz w:val="24"/>
          <w:lang w:val="en-GB"/>
        </w:rPr>
        <w:t>Effects of support measures for improvement of education of Roma students may be discussed on the basis of data obtained through the new 2019 MICS 6 survey. According to these data, 7.4% of the total number of children aged up to 5 who attend pre-school institutions belong to the Roma national minority (51% boys, 49% girls). Of the total number of Roma children aged 5.5 to 6.5, 80% attend a preparatory pre-school programme (52% boys, 48% girls), which is an increase by 20% compared to the previous survey. According to the same survey, 85.4% of the total number of Roma children are enrolled in the elementary school (49% boys, 51%  girls), which is an increase by 15%. The gross rate of finishing elementary school is 64%, which means that the dropout rate has been reduced by 7%. The rate of transition to secondary school is 52.6% for Roma students, while the rate of finishing the secondary school is 61%, which is an increase of 20%. It is particularly important to highlight the data from the same survey that the number of Roma girls in secondary school has increased by 12%.</w:t>
      </w:r>
    </w:p>
    <w:p w14:paraId="47C1026C" w14:textId="77777777" w:rsidR="00DC2FFD" w:rsidRPr="00DC2FFD" w:rsidRDefault="00DC2FFD" w:rsidP="00DC2FFD">
      <w:pPr>
        <w:autoSpaceDE w:val="0"/>
        <w:autoSpaceDN w:val="0"/>
        <w:adjustRightInd w:val="0"/>
        <w:spacing w:after="0"/>
        <w:ind w:firstLine="720"/>
        <w:jc w:val="both"/>
        <w:rPr>
          <w:rFonts w:eastAsia="Times New Roman"/>
          <w:sz w:val="24"/>
          <w:szCs w:val="24"/>
          <w:lang w:val="en-GB"/>
        </w:rPr>
      </w:pPr>
      <w:r w:rsidRPr="00DC2FFD">
        <w:rPr>
          <w:sz w:val="24"/>
          <w:lang w:val="en-GB"/>
        </w:rPr>
        <w:t>A considerable contribution to the described improvement was due to the project of the Ministry of Education, Science and Technological Development “EU support to Roma students for continuation of secondary education”, which is oriented towards enhancement of capacities of the education system for the purpose of development and implementation of an efficient provision of scholarship and mentor support to Roma secondary school students. The provisions of scholarship to students is one of the motivating factors for regular attendance of classes and making efforts to maintain or improve school performance. Within the framework of this project, the Instruction for early dropout prevention was created, with recommendations and proposals of measures for preventing dispersal, prepared by the Institute for Education Quality and Evaluation. The instruction was preceded by a qualitative analysis of effects of measures undertaken so far for support to Roma students as regards dropout prevention and a higher percentage of finishing elementary and secondary school. An overview of the number of students with scholarships and the percentage of secondary school dropout by school year in the reporting period is given in the table below.</w:t>
      </w:r>
    </w:p>
    <w:p w14:paraId="5286B669" w14:textId="77777777" w:rsidR="00DC2FFD" w:rsidRPr="00DC2FFD" w:rsidRDefault="00DC2FFD" w:rsidP="00DC2FFD">
      <w:pPr>
        <w:autoSpaceDE w:val="0"/>
        <w:autoSpaceDN w:val="0"/>
        <w:adjustRightInd w:val="0"/>
        <w:spacing w:after="0"/>
        <w:ind w:firstLine="720"/>
        <w:jc w:val="both"/>
        <w:rPr>
          <w:rFonts w:eastAsia="Times New Roman"/>
          <w:sz w:val="24"/>
          <w:szCs w:val="24"/>
          <w:lang w:val="sr-Cyrl-RS"/>
        </w:rPr>
      </w:pPr>
    </w:p>
    <w:tbl>
      <w:tblPr>
        <w:tblStyle w:val="TableGrid"/>
        <w:tblW w:w="0" w:type="auto"/>
        <w:tblLook w:val="04A0" w:firstRow="1" w:lastRow="0" w:firstColumn="1" w:lastColumn="0" w:noHBand="0" w:noVBand="1"/>
      </w:tblPr>
      <w:tblGrid>
        <w:gridCol w:w="2254"/>
        <w:gridCol w:w="2254"/>
        <w:gridCol w:w="2254"/>
        <w:gridCol w:w="2254"/>
      </w:tblGrid>
      <w:tr w:rsidR="00DC2FFD" w:rsidRPr="00DC2FFD" w14:paraId="59C85668" w14:textId="77777777" w:rsidTr="00296435">
        <w:tc>
          <w:tcPr>
            <w:tcW w:w="2254" w:type="dxa"/>
          </w:tcPr>
          <w:p w14:paraId="1510B76F" w14:textId="77777777" w:rsidR="00DC2FFD" w:rsidRPr="00DC2FFD" w:rsidRDefault="00DC2FFD" w:rsidP="00DC2FFD">
            <w:pPr>
              <w:spacing w:after="0"/>
              <w:jc w:val="center"/>
              <w:rPr>
                <w:rFonts w:eastAsia="Times New Roman"/>
                <w:b/>
                <w:bCs/>
                <w:iCs/>
                <w:sz w:val="20"/>
                <w:szCs w:val="20"/>
                <w:lang w:val="en-GB"/>
              </w:rPr>
            </w:pPr>
            <w:r w:rsidRPr="00DC2FFD">
              <w:rPr>
                <w:b/>
                <w:sz w:val="20"/>
                <w:lang w:val="en-GB"/>
              </w:rPr>
              <w:t>School year</w:t>
            </w:r>
          </w:p>
        </w:tc>
        <w:tc>
          <w:tcPr>
            <w:tcW w:w="2254" w:type="dxa"/>
          </w:tcPr>
          <w:p w14:paraId="3D59D645" w14:textId="77777777" w:rsidR="00DC2FFD" w:rsidRPr="00DC2FFD" w:rsidRDefault="00DC2FFD" w:rsidP="00DC2FFD">
            <w:pPr>
              <w:spacing w:after="0"/>
              <w:jc w:val="center"/>
              <w:rPr>
                <w:rFonts w:eastAsia="Times New Roman"/>
                <w:b/>
                <w:bCs/>
                <w:iCs/>
                <w:sz w:val="20"/>
                <w:szCs w:val="20"/>
                <w:lang w:val="en-GB"/>
              </w:rPr>
            </w:pPr>
            <w:r w:rsidRPr="00DC2FFD">
              <w:rPr>
                <w:b/>
                <w:sz w:val="20"/>
                <w:lang w:val="en-GB"/>
              </w:rPr>
              <w:t>2017/18</w:t>
            </w:r>
          </w:p>
        </w:tc>
        <w:tc>
          <w:tcPr>
            <w:tcW w:w="2254" w:type="dxa"/>
          </w:tcPr>
          <w:p w14:paraId="3A7DF0B4" w14:textId="77777777" w:rsidR="00DC2FFD" w:rsidRPr="00DC2FFD" w:rsidRDefault="00DC2FFD" w:rsidP="00DC2FFD">
            <w:pPr>
              <w:spacing w:after="0"/>
              <w:jc w:val="center"/>
              <w:rPr>
                <w:rFonts w:eastAsia="Times New Roman"/>
                <w:b/>
                <w:bCs/>
                <w:iCs/>
                <w:sz w:val="20"/>
                <w:szCs w:val="20"/>
                <w:lang w:val="en-GB"/>
              </w:rPr>
            </w:pPr>
            <w:r w:rsidRPr="00DC2FFD">
              <w:rPr>
                <w:b/>
                <w:sz w:val="20"/>
                <w:lang w:val="en-GB"/>
              </w:rPr>
              <w:t>2018/19</w:t>
            </w:r>
          </w:p>
        </w:tc>
        <w:tc>
          <w:tcPr>
            <w:tcW w:w="2254" w:type="dxa"/>
          </w:tcPr>
          <w:p w14:paraId="0C8808DA" w14:textId="77777777" w:rsidR="00DC2FFD" w:rsidRPr="00DC2FFD" w:rsidRDefault="00DC2FFD" w:rsidP="00DC2FFD">
            <w:pPr>
              <w:spacing w:after="0"/>
              <w:jc w:val="center"/>
              <w:rPr>
                <w:rFonts w:eastAsia="Times New Roman"/>
                <w:b/>
                <w:bCs/>
                <w:iCs/>
                <w:sz w:val="20"/>
                <w:szCs w:val="20"/>
                <w:lang w:val="en-GB"/>
              </w:rPr>
            </w:pPr>
            <w:r w:rsidRPr="00DC2FFD">
              <w:rPr>
                <w:b/>
                <w:sz w:val="20"/>
                <w:lang w:val="en-GB"/>
              </w:rPr>
              <w:t>2019/20</w:t>
            </w:r>
          </w:p>
        </w:tc>
      </w:tr>
      <w:tr w:rsidR="00DC2FFD" w:rsidRPr="00DC2FFD" w14:paraId="16BCFE7C" w14:textId="77777777" w:rsidTr="00296435">
        <w:tc>
          <w:tcPr>
            <w:tcW w:w="2254" w:type="dxa"/>
          </w:tcPr>
          <w:p w14:paraId="75A7AAFF" w14:textId="77777777" w:rsidR="00DC2FFD" w:rsidRPr="00DC2FFD" w:rsidRDefault="00DC2FFD" w:rsidP="00DC2FFD">
            <w:pPr>
              <w:spacing w:after="0"/>
              <w:rPr>
                <w:rFonts w:eastAsia="Times New Roman"/>
                <w:bCs/>
                <w:iCs/>
                <w:sz w:val="20"/>
                <w:szCs w:val="20"/>
                <w:lang w:val="en-GB"/>
              </w:rPr>
            </w:pPr>
            <w:r w:rsidRPr="00DC2FFD">
              <w:rPr>
                <w:sz w:val="20"/>
                <w:lang w:val="en-GB"/>
              </w:rPr>
              <w:t>Percentage of secondary school dropouts</w:t>
            </w:r>
          </w:p>
        </w:tc>
        <w:tc>
          <w:tcPr>
            <w:tcW w:w="2254" w:type="dxa"/>
          </w:tcPr>
          <w:p w14:paraId="3C57E2F6" w14:textId="77777777" w:rsidR="00DC2FFD" w:rsidRPr="00DC2FFD" w:rsidRDefault="00DC2FFD" w:rsidP="00DC2FFD">
            <w:pPr>
              <w:spacing w:after="0"/>
              <w:jc w:val="center"/>
              <w:rPr>
                <w:rFonts w:eastAsia="Times New Roman"/>
                <w:iCs/>
                <w:sz w:val="20"/>
                <w:szCs w:val="20"/>
                <w:lang w:val="en-GB"/>
              </w:rPr>
            </w:pPr>
            <w:r w:rsidRPr="00DC2FFD">
              <w:rPr>
                <w:sz w:val="20"/>
                <w:lang w:val="en-GB"/>
              </w:rPr>
              <w:t>2.4%</w:t>
            </w:r>
          </w:p>
        </w:tc>
        <w:tc>
          <w:tcPr>
            <w:tcW w:w="2254" w:type="dxa"/>
          </w:tcPr>
          <w:p w14:paraId="12AAC79E" w14:textId="77777777" w:rsidR="00DC2FFD" w:rsidRPr="00DC2FFD" w:rsidRDefault="00DC2FFD" w:rsidP="00DC2FFD">
            <w:pPr>
              <w:spacing w:after="0"/>
              <w:jc w:val="center"/>
              <w:rPr>
                <w:rFonts w:eastAsia="Times New Roman"/>
                <w:iCs/>
                <w:sz w:val="20"/>
                <w:szCs w:val="20"/>
                <w:lang w:val="en-GB"/>
              </w:rPr>
            </w:pPr>
            <w:r w:rsidRPr="00DC2FFD">
              <w:rPr>
                <w:sz w:val="20"/>
                <w:lang w:val="en-GB"/>
              </w:rPr>
              <w:t>3.5</w:t>
            </w:r>
          </w:p>
        </w:tc>
        <w:tc>
          <w:tcPr>
            <w:tcW w:w="2254" w:type="dxa"/>
          </w:tcPr>
          <w:p w14:paraId="3CB8C07B" w14:textId="77777777" w:rsidR="00DC2FFD" w:rsidRPr="00DC2FFD" w:rsidRDefault="00DC2FFD" w:rsidP="00DC2FFD">
            <w:pPr>
              <w:spacing w:after="0"/>
              <w:jc w:val="center"/>
              <w:rPr>
                <w:rFonts w:eastAsia="Times New Roman"/>
                <w:iCs/>
                <w:sz w:val="20"/>
                <w:szCs w:val="20"/>
                <w:lang w:val="en-GB"/>
              </w:rPr>
            </w:pPr>
            <w:r w:rsidRPr="00DC2FFD">
              <w:rPr>
                <w:sz w:val="20"/>
                <w:lang w:val="en-GB"/>
              </w:rPr>
              <w:t>2.3%</w:t>
            </w:r>
          </w:p>
        </w:tc>
      </w:tr>
      <w:tr w:rsidR="00DC2FFD" w:rsidRPr="00DC2FFD" w14:paraId="1672B0FE" w14:textId="77777777" w:rsidTr="00296435">
        <w:tc>
          <w:tcPr>
            <w:tcW w:w="2254" w:type="dxa"/>
          </w:tcPr>
          <w:p w14:paraId="6B7B9FAE" w14:textId="77777777" w:rsidR="00DC2FFD" w:rsidRPr="00DC2FFD" w:rsidRDefault="00DC2FFD" w:rsidP="00DC2FFD">
            <w:pPr>
              <w:spacing w:after="0"/>
              <w:rPr>
                <w:rFonts w:eastAsia="Times New Roman"/>
                <w:bCs/>
                <w:iCs/>
                <w:sz w:val="20"/>
                <w:szCs w:val="20"/>
                <w:lang w:val="en-GB"/>
              </w:rPr>
            </w:pPr>
            <w:r w:rsidRPr="00DC2FFD">
              <w:rPr>
                <w:sz w:val="20"/>
                <w:lang w:val="en-GB"/>
              </w:rPr>
              <w:t>Number of students with scholarships</w:t>
            </w:r>
          </w:p>
        </w:tc>
        <w:tc>
          <w:tcPr>
            <w:tcW w:w="2254" w:type="dxa"/>
          </w:tcPr>
          <w:p w14:paraId="00A9BEBD" w14:textId="77777777" w:rsidR="00DC2FFD" w:rsidRPr="00DC2FFD" w:rsidRDefault="00DC2FFD" w:rsidP="00DC2FFD">
            <w:pPr>
              <w:spacing w:after="0"/>
              <w:jc w:val="center"/>
              <w:rPr>
                <w:rFonts w:eastAsia="Times New Roman"/>
                <w:iCs/>
                <w:sz w:val="20"/>
                <w:szCs w:val="20"/>
                <w:lang w:val="en-GB"/>
              </w:rPr>
            </w:pPr>
            <w:r w:rsidRPr="00DC2FFD">
              <w:rPr>
                <w:sz w:val="20"/>
                <w:lang w:val="en-GB"/>
              </w:rPr>
              <w:t>500</w:t>
            </w:r>
          </w:p>
        </w:tc>
        <w:tc>
          <w:tcPr>
            <w:tcW w:w="2254" w:type="dxa"/>
          </w:tcPr>
          <w:p w14:paraId="0B071B20" w14:textId="77777777" w:rsidR="00DC2FFD" w:rsidRPr="00DC2FFD" w:rsidRDefault="00DC2FFD" w:rsidP="00DC2FFD">
            <w:pPr>
              <w:spacing w:after="0"/>
              <w:jc w:val="center"/>
              <w:rPr>
                <w:rFonts w:eastAsia="Times New Roman"/>
                <w:iCs/>
                <w:sz w:val="20"/>
                <w:szCs w:val="20"/>
                <w:lang w:val="en-GB"/>
              </w:rPr>
            </w:pPr>
            <w:r w:rsidRPr="00DC2FFD">
              <w:rPr>
                <w:sz w:val="20"/>
                <w:lang w:val="en-GB"/>
              </w:rPr>
              <w:t>312</w:t>
            </w:r>
          </w:p>
        </w:tc>
        <w:tc>
          <w:tcPr>
            <w:tcW w:w="2254" w:type="dxa"/>
          </w:tcPr>
          <w:p w14:paraId="2AA85286" w14:textId="77777777" w:rsidR="00DC2FFD" w:rsidRPr="00DC2FFD" w:rsidRDefault="00DC2FFD" w:rsidP="00DC2FFD">
            <w:pPr>
              <w:spacing w:after="0"/>
              <w:jc w:val="center"/>
              <w:rPr>
                <w:rFonts w:eastAsia="Times New Roman"/>
                <w:iCs/>
                <w:sz w:val="20"/>
                <w:szCs w:val="20"/>
                <w:lang w:val="en-GB"/>
              </w:rPr>
            </w:pPr>
            <w:r w:rsidRPr="00DC2FFD">
              <w:rPr>
                <w:sz w:val="20"/>
                <w:lang w:val="en-GB"/>
              </w:rPr>
              <w:t>503</w:t>
            </w:r>
          </w:p>
        </w:tc>
      </w:tr>
    </w:tbl>
    <w:p w14:paraId="48FCB4FC" w14:textId="77777777" w:rsidR="00DC2FFD" w:rsidRPr="00DC2FFD" w:rsidRDefault="00DC2FFD" w:rsidP="00DC2FFD">
      <w:pPr>
        <w:spacing w:after="0"/>
        <w:ind w:firstLine="720"/>
        <w:jc w:val="both"/>
        <w:rPr>
          <w:bCs/>
          <w:sz w:val="24"/>
          <w:szCs w:val="24"/>
          <w:lang w:val="sr-Cyrl-RS"/>
        </w:rPr>
      </w:pPr>
    </w:p>
    <w:p w14:paraId="21B80C4A" w14:textId="77777777" w:rsidR="00DC2FFD" w:rsidRPr="00DC2FFD" w:rsidRDefault="00DC2FFD" w:rsidP="00DC2FFD">
      <w:pPr>
        <w:spacing w:after="0"/>
        <w:ind w:firstLine="720"/>
        <w:jc w:val="both"/>
        <w:rPr>
          <w:bCs/>
          <w:sz w:val="24"/>
          <w:szCs w:val="24"/>
          <w:lang w:val="en-GB"/>
        </w:rPr>
      </w:pPr>
      <w:r w:rsidRPr="00DC2FFD">
        <w:rPr>
          <w:sz w:val="24"/>
          <w:lang w:val="en-GB"/>
        </w:rPr>
        <w:t xml:space="preserve">The data above indicate that the percentage of secondary school dropout is declining, and that systemic measures of support in education have yielded results due to the fact that students with scholarships are more motivated to work, learn and go to school, and have a stronger desire to continue their education. In view of that, the number of granted/approved </w:t>
      </w:r>
      <w:r w:rsidRPr="00DC2FFD">
        <w:rPr>
          <w:sz w:val="24"/>
          <w:lang w:val="en-GB"/>
        </w:rPr>
        <w:lastRenderedPageBreak/>
        <w:t>scholarships in the school years 2020/21 and 2021/22 was considerably increased (1,213 in 2020/</w:t>
      </w:r>
      <w:proofErr w:type="gramStart"/>
      <w:r w:rsidRPr="00DC2FFD">
        <w:rPr>
          <w:sz w:val="24"/>
          <w:lang w:val="en-GB"/>
        </w:rPr>
        <w:t>21,  and</w:t>
      </w:r>
      <w:proofErr w:type="gramEnd"/>
      <w:r w:rsidRPr="00DC2FFD">
        <w:rPr>
          <w:sz w:val="24"/>
          <w:lang w:val="en-GB"/>
        </w:rPr>
        <w:t xml:space="preserve"> 1,114 in 2021/22).</w:t>
      </w:r>
      <w:r w:rsidRPr="00DC2FFD">
        <w:rPr>
          <w:lang w:val="en-GB"/>
        </w:rPr>
        <w:t xml:space="preserve"> </w:t>
      </w:r>
      <w:r w:rsidRPr="00DC2FFD">
        <w:rPr>
          <w:sz w:val="24"/>
          <w:lang w:val="en-GB"/>
        </w:rPr>
        <w:t>The monthly scholarship amount is 5,400,00 RSD (46 EUR), which is paid in 10 equal monthly instalments.</w:t>
      </w:r>
    </w:p>
    <w:p w14:paraId="2CBC41DC" w14:textId="77777777" w:rsidR="00DC2FFD" w:rsidRPr="00DC2FFD" w:rsidRDefault="00DC2FFD" w:rsidP="00DC2FFD">
      <w:pPr>
        <w:spacing w:after="0"/>
        <w:ind w:firstLine="720"/>
        <w:jc w:val="both"/>
        <w:rPr>
          <w:sz w:val="24"/>
          <w:szCs w:val="24"/>
          <w:lang w:val="en-GB"/>
        </w:rPr>
      </w:pPr>
      <w:r w:rsidRPr="00DC2FFD">
        <w:rPr>
          <w:sz w:val="24"/>
          <w:lang w:val="en-GB"/>
        </w:rPr>
        <w:t xml:space="preserve">Other than providing scholarships, other support measures were continued in the reporting period, such as affirmative enrolment in pre-school institutions, possibility of enrolment in elementary schools without documents, as well as affirmation action measures of enrolment in secondary schools. The table below contains data on the number and gender structure of Roma students enrolled in secondary schools through affirmative measures. </w:t>
      </w:r>
    </w:p>
    <w:p w14:paraId="4D3759A1" w14:textId="77777777" w:rsidR="00DC2FFD" w:rsidRPr="00DC2FFD" w:rsidRDefault="00DC2FFD" w:rsidP="00DC2FFD">
      <w:pPr>
        <w:spacing w:after="0"/>
        <w:rPr>
          <w:highlight w:val="yellow"/>
          <w:lang w:val="sr-Cyrl-RS"/>
        </w:rPr>
      </w:pPr>
    </w:p>
    <w:tbl>
      <w:tblPr>
        <w:tblW w:w="89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46"/>
        <w:gridCol w:w="2925"/>
        <w:gridCol w:w="3026"/>
      </w:tblGrid>
      <w:tr w:rsidR="00DC2FFD" w:rsidRPr="00DC2FFD" w14:paraId="2CD8F2D7" w14:textId="77777777" w:rsidTr="00296435">
        <w:trPr>
          <w:trHeight w:val="292"/>
        </w:trPr>
        <w:tc>
          <w:tcPr>
            <w:tcW w:w="3046" w:type="dxa"/>
            <w:shd w:val="clear" w:color="auto" w:fill="auto"/>
          </w:tcPr>
          <w:p w14:paraId="5F7664FB" w14:textId="77777777" w:rsidR="00DC2FFD" w:rsidRPr="00DC2FFD" w:rsidRDefault="00DC2FFD" w:rsidP="00DC2FFD">
            <w:pPr>
              <w:spacing w:after="0"/>
              <w:jc w:val="center"/>
              <w:rPr>
                <w:rFonts w:eastAsia="Book Antiqua"/>
                <w:position w:val="-1"/>
                <w:sz w:val="20"/>
                <w:szCs w:val="20"/>
                <w:lang w:val="en-GB"/>
              </w:rPr>
            </w:pPr>
            <w:r w:rsidRPr="00DC2FFD">
              <w:rPr>
                <w:b/>
                <w:sz w:val="20"/>
                <w:lang w:val="en-GB"/>
              </w:rPr>
              <w:t>School year</w:t>
            </w:r>
          </w:p>
        </w:tc>
        <w:tc>
          <w:tcPr>
            <w:tcW w:w="2925" w:type="dxa"/>
            <w:shd w:val="clear" w:color="auto" w:fill="auto"/>
          </w:tcPr>
          <w:p w14:paraId="5C0CD5D0" w14:textId="77777777" w:rsidR="00DC2FFD" w:rsidRPr="00DC2FFD" w:rsidRDefault="00DC2FFD" w:rsidP="00DC2FFD">
            <w:pPr>
              <w:spacing w:after="0"/>
              <w:jc w:val="center"/>
              <w:rPr>
                <w:rFonts w:eastAsia="Book Antiqua"/>
                <w:position w:val="-1"/>
                <w:sz w:val="20"/>
                <w:szCs w:val="20"/>
                <w:lang w:val="en-GB"/>
              </w:rPr>
            </w:pPr>
            <w:r w:rsidRPr="00DC2FFD">
              <w:rPr>
                <w:b/>
                <w:sz w:val="20"/>
                <w:lang w:val="en-GB"/>
              </w:rPr>
              <w:t>Number of enrolled students</w:t>
            </w:r>
          </w:p>
        </w:tc>
        <w:tc>
          <w:tcPr>
            <w:tcW w:w="3026" w:type="dxa"/>
            <w:shd w:val="clear" w:color="auto" w:fill="auto"/>
          </w:tcPr>
          <w:p w14:paraId="7373643A" w14:textId="77777777" w:rsidR="00DC2FFD" w:rsidRPr="00DC2FFD" w:rsidRDefault="00DC2FFD" w:rsidP="00DC2FFD">
            <w:pPr>
              <w:spacing w:after="0"/>
              <w:jc w:val="center"/>
              <w:rPr>
                <w:rFonts w:eastAsia="Book Antiqua"/>
                <w:position w:val="-1"/>
                <w:sz w:val="20"/>
                <w:szCs w:val="20"/>
                <w:lang w:val="en-GB"/>
              </w:rPr>
            </w:pPr>
            <w:r w:rsidRPr="00DC2FFD">
              <w:rPr>
                <w:b/>
                <w:sz w:val="20"/>
                <w:lang w:val="en-GB"/>
              </w:rPr>
              <w:t>% of girls</w:t>
            </w:r>
          </w:p>
        </w:tc>
      </w:tr>
      <w:tr w:rsidR="00DC2FFD" w:rsidRPr="00DC2FFD" w14:paraId="0F1E2248" w14:textId="77777777" w:rsidTr="00296435">
        <w:trPr>
          <w:trHeight w:val="292"/>
        </w:trPr>
        <w:tc>
          <w:tcPr>
            <w:tcW w:w="3046" w:type="dxa"/>
            <w:shd w:val="clear" w:color="auto" w:fill="auto"/>
          </w:tcPr>
          <w:p w14:paraId="19E8FFFE" w14:textId="77777777" w:rsidR="00DC2FFD" w:rsidRPr="00DC2FFD" w:rsidRDefault="00DC2FFD" w:rsidP="00DC2FFD">
            <w:pPr>
              <w:spacing w:after="0"/>
              <w:jc w:val="center"/>
              <w:rPr>
                <w:rFonts w:eastAsia="Book Antiqua"/>
                <w:position w:val="-1"/>
                <w:sz w:val="20"/>
                <w:szCs w:val="20"/>
                <w:lang w:val="en-GB"/>
              </w:rPr>
            </w:pPr>
            <w:r w:rsidRPr="00DC2FFD">
              <w:rPr>
                <w:sz w:val="20"/>
                <w:lang w:val="en-GB"/>
              </w:rPr>
              <w:t>2016/17</w:t>
            </w:r>
          </w:p>
        </w:tc>
        <w:tc>
          <w:tcPr>
            <w:tcW w:w="2925" w:type="dxa"/>
            <w:shd w:val="clear" w:color="auto" w:fill="auto"/>
          </w:tcPr>
          <w:p w14:paraId="1AB17D9B" w14:textId="77777777" w:rsidR="00DC2FFD" w:rsidRPr="00DC2FFD" w:rsidRDefault="00DC2FFD" w:rsidP="00DC2FFD">
            <w:pPr>
              <w:spacing w:after="0"/>
              <w:jc w:val="center"/>
              <w:rPr>
                <w:rFonts w:eastAsia="Book Antiqua"/>
                <w:position w:val="-1"/>
                <w:sz w:val="20"/>
                <w:szCs w:val="20"/>
                <w:lang w:val="en-GB"/>
              </w:rPr>
            </w:pPr>
            <w:r w:rsidRPr="00DC2FFD">
              <w:rPr>
                <w:sz w:val="20"/>
                <w:lang w:val="en-GB"/>
              </w:rPr>
              <w:t>1,713</w:t>
            </w:r>
          </w:p>
        </w:tc>
        <w:tc>
          <w:tcPr>
            <w:tcW w:w="3026" w:type="dxa"/>
            <w:shd w:val="clear" w:color="auto" w:fill="auto"/>
          </w:tcPr>
          <w:p w14:paraId="262C5DFB" w14:textId="77777777" w:rsidR="00DC2FFD" w:rsidRPr="00DC2FFD" w:rsidRDefault="00DC2FFD" w:rsidP="00DC2FFD">
            <w:pPr>
              <w:spacing w:after="0"/>
              <w:jc w:val="center"/>
              <w:rPr>
                <w:rFonts w:eastAsia="Book Antiqua"/>
                <w:position w:val="-1"/>
                <w:sz w:val="20"/>
                <w:szCs w:val="20"/>
                <w:lang w:val="en-GB"/>
              </w:rPr>
            </w:pPr>
            <w:r w:rsidRPr="00DC2FFD">
              <w:rPr>
                <w:sz w:val="20"/>
                <w:lang w:val="en-GB"/>
              </w:rPr>
              <w:t>52%</w:t>
            </w:r>
          </w:p>
        </w:tc>
      </w:tr>
      <w:tr w:rsidR="00DC2FFD" w:rsidRPr="00DC2FFD" w14:paraId="701B001A" w14:textId="77777777" w:rsidTr="00296435">
        <w:trPr>
          <w:trHeight w:val="292"/>
        </w:trPr>
        <w:tc>
          <w:tcPr>
            <w:tcW w:w="3046" w:type="dxa"/>
            <w:shd w:val="clear" w:color="auto" w:fill="auto"/>
          </w:tcPr>
          <w:p w14:paraId="1215CB32" w14:textId="77777777" w:rsidR="00DC2FFD" w:rsidRPr="00DC2FFD" w:rsidRDefault="00DC2FFD" w:rsidP="00DC2FFD">
            <w:pPr>
              <w:spacing w:after="0"/>
              <w:jc w:val="center"/>
              <w:rPr>
                <w:rFonts w:eastAsia="Book Antiqua"/>
                <w:position w:val="-1"/>
                <w:sz w:val="20"/>
                <w:szCs w:val="20"/>
                <w:lang w:val="en-GB"/>
              </w:rPr>
            </w:pPr>
            <w:r w:rsidRPr="00DC2FFD">
              <w:rPr>
                <w:sz w:val="20"/>
                <w:lang w:val="en-GB"/>
              </w:rPr>
              <w:t>2017/18</w:t>
            </w:r>
          </w:p>
        </w:tc>
        <w:tc>
          <w:tcPr>
            <w:tcW w:w="2925" w:type="dxa"/>
            <w:shd w:val="clear" w:color="auto" w:fill="auto"/>
          </w:tcPr>
          <w:p w14:paraId="692108FD" w14:textId="77777777" w:rsidR="00DC2FFD" w:rsidRPr="00DC2FFD" w:rsidRDefault="00DC2FFD" w:rsidP="00DC2FFD">
            <w:pPr>
              <w:spacing w:after="0"/>
              <w:jc w:val="center"/>
              <w:rPr>
                <w:rFonts w:eastAsia="Book Antiqua"/>
                <w:position w:val="-1"/>
                <w:sz w:val="20"/>
                <w:szCs w:val="20"/>
                <w:lang w:val="en-GB"/>
              </w:rPr>
            </w:pPr>
            <w:r w:rsidRPr="00DC2FFD">
              <w:rPr>
                <w:sz w:val="20"/>
                <w:lang w:val="en-GB"/>
              </w:rPr>
              <w:t>1,696</w:t>
            </w:r>
          </w:p>
        </w:tc>
        <w:tc>
          <w:tcPr>
            <w:tcW w:w="3026" w:type="dxa"/>
            <w:shd w:val="clear" w:color="auto" w:fill="auto"/>
          </w:tcPr>
          <w:p w14:paraId="3362CB38" w14:textId="77777777" w:rsidR="00DC2FFD" w:rsidRPr="00DC2FFD" w:rsidRDefault="00DC2FFD" w:rsidP="00DC2FFD">
            <w:pPr>
              <w:spacing w:after="0"/>
              <w:jc w:val="center"/>
              <w:rPr>
                <w:rFonts w:eastAsia="Book Antiqua"/>
                <w:position w:val="-1"/>
                <w:sz w:val="20"/>
                <w:szCs w:val="20"/>
                <w:lang w:val="en-GB"/>
              </w:rPr>
            </w:pPr>
            <w:r w:rsidRPr="00DC2FFD">
              <w:rPr>
                <w:sz w:val="20"/>
                <w:lang w:val="en-GB"/>
              </w:rPr>
              <w:t>52%</w:t>
            </w:r>
          </w:p>
        </w:tc>
      </w:tr>
      <w:tr w:rsidR="00DC2FFD" w:rsidRPr="00DC2FFD" w14:paraId="1862245A" w14:textId="77777777" w:rsidTr="00296435">
        <w:trPr>
          <w:trHeight w:val="292"/>
        </w:trPr>
        <w:tc>
          <w:tcPr>
            <w:tcW w:w="3046" w:type="dxa"/>
            <w:shd w:val="clear" w:color="auto" w:fill="auto"/>
          </w:tcPr>
          <w:p w14:paraId="56DFE0B4" w14:textId="77777777" w:rsidR="00DC2FFD" w:rsidRPr="00DC2FFD" w:rsidRDefault="00DC2FFD" w:rsidP="00DC2FFD">
            <w:pPr>
              <w:spacing w:after="0"/>
              <w:jc w:val="center"/>
              <w:rPr>
                <w:rFonts w:eastAsia="Book Antiqua"/>
                <w:position w:val="-1"/>
                <w:sz w:val="20"/>
                <w:szCs w:val="20"/>
                <w:lang w:val="en-GB"/>
              </w:rPr>
            </w:pPr>
            <w:r w:rsidRPr="00DC2FFD">
              <w:rPr>
                <w:sz w:val="20"/>
                <w:lang w:val="en-GB"/>
              </w:rPr>
              <w:t>2018/19</w:t>
            </w:r>
          </w:p>
        </w:tc>
        <w:tc>
          <w:tcPr>
            <w:tcW w:w="2925" w:type="dxa"/>
            <w:shd w:val="clear" w:color="auto" w:fill="auto"/>
          </w:tcPr>
          <w:p w14:paraId="65BC2B96" w14:textId="77777777" w:rsidR="00DC2FFD" w:rsidRPr="00DC2FFD" w:rsidRDefault="00DC2FFD" w:rsidP="00DC2FFD">
            <w:pPr>
              <w:spacing w:after="0"/>
              <w:jc w:val="center"/>
              <w:rPr>
                <w:rFonts w:eastAsia="Book Antiqua"/>
                <w:position w:val="-1"/>
                <w:sz w:val="20"/>
                <w:szCs w:val="20"/>
                <w:lang w:val="en-GB"/>
              </w:rPr>
            </w:pPr>
            <w:r w:rsidRPr="00DC2FFD">
              <w:rPr>
                <w:sz w:val="20"/>
                <w:lang w:val="en-GB"/>
              </w:rPr>
              <w:t>2,220</w:t>
            </w:r>
          </w:p>
        </w:tc>
        <w:tc>
          <w:tcPr>
            <w:tcW w:w="3026" w:type="dxa"/>
            <w:shd w:val="clear" w:color="auto" w:fill="auto"/>
          </w:tcPr>
          <w:p w14:paraId="7EE0FD4B" w14:textId="77777777" w:rsidR="00DC2FFD" w:rsidRPr="00DC2FFD" w:rsidRDefault="00DC2FFD" w:rsidP="00DC2FFD">
            <w:pPr>
              <w:spacing w:after="0"/>
              <w:jc w:val="center"/>
              <w:rPr>
                <w:rFonts w:eastAsia="Book Antiqua"/>
                <w:position w:val="-1"/>
                <w:sz w:val="20"/>
                <w:szCs w:val="20"/>
                <w:lang w:val="en-GB"/>
              </w:rPr>
            </w:pPr>
            <w:r w:rsidRPr="00DC2FFD">
              <w:rPr>
                <w:sz w:val="20"/>
                <w:lang w:val="en-GB"/>
              </w:rPr>
              <w:t>56%</w:t>
            </w:r>
          </w:p>
        </w:tc>
      </w:tr>
      <w:tr w:rsidR="00DC2FFD" w:rsidRPr="00DC2FFD" w14:paraId="1F82B975" w14:textId="77777777" w:rsidTr="00296435">
        <w:trPr>
          <w:trHeight w:val="292"/>
        </w:trPr>
        <w:tc>
          <w:tcPr>
            <w:tcW w:w="3046" w:type="dxa"/>
            <w:shd w:val="clear" w:color="auto" w:fill="auto"/>
          </w:tcPr>
          <w:p w14:paraId="08195F26" w14:textId="77777777" w:rsidR="00DC2FFD" w:rsidRPr="00DC2FFD" w:rsidRDefault="00DC2FFD" w:rsidP="00DC2FFD">
            <w:pPr>
              <w:spacing w:after="0"/>
              <w:jc w:val="center"/>
              <w:rPr>
                <w:rFonts w:eastAsia="Book Antiqua"/>
                <w:position w:val="-1"/>
                <w:sz w:val="20"/>
                <w:szCs w:val="20"/>
                <w:lang w:val="en-GB"/>
              </w:rPr>
            </w:pPr>
            <w:r w:rsidRPr="00DC2FFD">
              <w:rPr>
                <w:sz w:val="20"/>
                <w:lang w:val="en-GB"/>
              </w:rPr>
              <w:t>2019/20</w:t>
            </w:r>
          </w:p>
        </w:tc>
        <w:tc>
          <w:tcPr>
            <w:tcW w:w="2925" w:type="dxa"/>
            <w:shd w:val="clear" w:color="auto" w:fill="auto"/>
          </w:tcPr>
          <w:p w14:paraId="5063EF19" w14:textId="77777777" w:rsidR="00DC2FFD" w:rsidRPr="00DC2FFD" w:rsidRDefault="00DC2FFD" w:rsidP="00DC2FFD">
            <w:pPr>
              <w:spacing w:after="0"/>
              <w:jc w:val="center"/>
              <w:rPr>
                <w:rFonts w:eastAsia="Book Antiqua"/>
                <w:position w:val="-1"/>
                <w:sz w:val="20"/>
                <w:szCs w:val="20"/>
                <w:lang w:val="en-GB"/>
              </w:rPr>
            </w:pPr>
            <w:r w:rsidRPr="00DC2FFD">
              <w:rPr>
                <w:sz w:val="20"/>
                <w:lang w:val="en-GB"/>
              </w:rPr>
              <w:t>2,209</w:t>
            </w:r>
          </w:p>
        </w:tc>
        <w:tc>
          <w:tcPr>
            <w:tcW w:w="3026" w:type="dxa"/>
            <w:shd w:val="clear" w:color="auto" w:fill="auto"/>
          </w:tcPr>
          <w:p w14:paraId="24D87810" w14:textId="77777777" w:rsidR="00DC2FFD" w:rsidRPr="00DC2FFD" w:rsidRDefault="00DC2FFD" w:rsidP="00DC2FFD">
            <w:pPr>
              <w:spacing w:after="0"/>
              <w:jc w:val="center"/>
              <w:rPr>
                <w:rFonts w:eastAsia="Book Antiqua"/>
                <w:position w:val="-1"/>
                <w:sz w:val="20"/>
                <w:szCs w:val="20"/>
                <w:lang w:val="en-GB"/>
              </w:rPr>
            </w:pPr>
            <w:r w:rsidRPr="00DC2FFD">
              <w:rPr>
                <w:sz w:val="20"/>
                <w:lang w:val="en-GB"/>
              </w:rPr>
              <w:t>57%</w:t>
            </w:r>
          </w:p>
        </w:tc>
      </w:tr>
      <w:tr w:rsidR="00DC2FFD" w:rsidRPr="00DC2FFD" w14:paraId="001D4514" w14:textId="77777777" w:rsidTr="00296435">
        <w:trPr>
          <w:trHeight w:val="302"/>
        </w:trPr>
        <w:tc>
          <w:tcPr>
            <w:tcW w:w="3046" w:type="dxa"/>
            <w:shd w:val="clear" w:color="auto" w:fill="auto"/>
          </w:tcPr>
          <w:p w14:paraId="75118775" w14:textId="77777777" w:rsidR="00DC2FFD" w:rsidRPr="00DC2FFD" w:rsidRDefault="00DC2FFD" w:rsidP="00DC2FFD">
            <w:pPr>
              <w:spacing w:after="0"/>
              <w:jc w:val="center"/>
              <w:rPr>
                <w:rFonts w:eastAsia="Book Antiqua"/>
                <w:position w:val="-1"/>
                <w:sz w:val="20"/>
                <w:szCs w:val="20"/>
                <w:lang w:val="en-GB"/>
              </w:rPr>
            </w:pPr>
            <w:r w:rsidRPr="00DC2FFD">
              <w:rPr>
                <w:sz w:val="20"/>
                <w:lang w:val="en-GB"/>
              </w:rPr>
              <w:t>2020/21</w:t>
            </w:r>
          </w:p>
        </w:tc>
        <w:tc>
          <w:tcPr>
            <w:tcW w:w="2925" w:type="dxa"/>
            <w:shd w:val="clear" w:color="auto" w:fill="auto"/>
          </w:tcPr>
          <w:p w14:paraId="3C86780F" w14:textId="77777777" w:rsidR="00DC2FFD" w:rsidRPr="00DC2FFD" w:rsidRDefault="00DC2FFD" w:rsidP="00DC2FFD">
            <w:pPr>
              <w:spacing w:after="0"/>
              <w:jc w:val="center"/>
              <w:rPr>
                <w:rFonts w:eastAsia="Book Antiqua"/>
                <w:position w:val="-1"/>
                <w:sz w:val="20"/>
                <w:szCs w:val="20"/>
                <w:lang w:val="en-GB"/>
              </w:rPr>
            </w:pPr>
            <w:r w:rsidRPr="00DC2FFD">
              <w:rPr>
                <w:sz w:val="20"/>
                <w:lang w:val="en-GB"/>
              </w:rPr>
              <w:t>1,894</w:t>
            </w:r>
          </w:p>
        </w:tc>
        <w:tc>
          <w:tcPr>
            <w:tcW w:w="3026" w:type="dxa"/>
            <w:shd w:val="clear" w:color="auto" w:fill="auto"/>
          </w:tcPr>
          <w:p w14:paraId="0DB8A84D" w14:textId="77777777" w:rsidR="00DC2FFD" w:rsidRPr="00DC2FFD" w:rsidRDefault="00DC2FFD" w:rsidP="00DC2FFD">
            <w:pPr>
              <w:spacing w:after="0"/>
              <w:jc w:val="center"/>
              <w:rPr>
                <w:rFonts w:eastAsia="Book Antiqua"/>
                <w:position w:val="-1"/>
                <w:sz w:val="20"/>
                <w:szCs w:val="20"/>
                <w:lang w:val="en-GB"/>
              </w:rPr>
            </w:pPr>
            <w:r w:rsidRPr="00DC2FFD">
              <w:rPr>
                <w:sz w:val="20"/>
                <w:lang w:val="en-GB"/>
              </w:rPr>
              <w:t>56%</w:t>
            </w:r>
          </w:p>
        </w:tc>
      </w:tr>
    </w:tbl>
    <w:p w14:paraId="7DEFBF18" w14:textId="77777777" w:rsidR="00DC2FFD" w:rsidRPr="00DC2FFD" w:rsidRDefault="00DC2FFD" w:rsidP="00DC2FFD">
      <w:pPr>
        <w:spacing w:after="0"/>
        <w:ind w:firstLine="720"/>
        <w:jc w:val="both"/>
        <w:rPr>
          <w:sz w:val="24"/>
          <w:szCs w:val="24"/>
          <w:highlight w:val="yellow"/>
          <w:lang w:val="sr-Cyrl-RS"/>
        </w:rPr>
      </w:pPr>
    </w:p>
    <w:p w14:paraId="7182E9B6" w14:textId="77777777" w:rsidR="00DC2FFD" w:rsidRPr="00DC2FFD" w:rsidRDefault="00DC2FFD" w:rsidP="00DC2FFD">
      <w:pPr>
        <w:spacing w:after="0"/>
        <w:ind w:firstLine="720"/>
        <w:jc w:val="both"/>
        <w:rPr>
          <w:sz w:val="24"/>
          <w:szCs w:val="24"/>
          <w:lang w:val="en-GB"/>
        </w:rPr>
      </w:pPr>
      <w:r w:rsidRPr="00DC2FFD">
        <w:rPr>
          <w:sz w:val="24"/>
          <w:lang w:val="en-GB"/>
        </w:rPr>
        <w:t>Special measures for the benefit of Roma students were undertaken during the COVID-19 pandemic, when distance learning was practiced. Through the project “Bridging the digital gap for the most vulnerable children”, executed by the Ministry of Education, Science and Technological Development and UNICEF with financial support of the EU, over 2,000 IT devices were provided for 30 most vulnerable schools attended by Roma students, 250 laptops were donated for all Roma pedagogical assistants in Serbia, and grants were provided for schools to establish learning clubs where conditions were created for online learning for students who lacked such conditions at home. The total number of students covered by such activities is 3,111, i.e., 15% of the total number of students for 30 schools covered by the project. Of the total number of students identified as students in most severe need of additional learning support through a learning club, over half are Roma students.  A total of 490 students received tablet computers for home use. In this context, note also a survey implemented during the state of emergency titled “Monitoring of the method of participation and learning process of students from vulnerable groups during the implementation of educational and pedagogical activities through distance learning”.</w:t>
      </w:r>
      <w:r w:rsidRPr="00DC2FFD">
        <w:rPr>
          <w:sz w:val="24"/>
          <w:szCs w:val="24"/>
          <w:vertAlign w:val="superscript"/>
          <w:lang w:val="sr-Cyrl-RS"/>
        </w:rPr>
        <w:footnoteReference w:id="20"/>
      </w:r>
      <w:r w:rsidRPr="00DC2FFD">
        <w:rPr>
          <w:sz w:val="24"/>
          <w:lang w:val="en-GB"/>
        </w:rPr>
        <w:t xml:space="preserve"> </w:t>
      </w:r>
    </w:p>
    <w:p w14:paraId="464CEC38" w14:textId="77777777" w:rsidR="00DC2FFD" w:rsidRPr="00DC2FFD" w:rsidRDefault="00DC2FFD" w:rsidP="00DC2FFD">
      <w:pPr>
        <w:spacing w:after="0"/>
        <w:ind w:firstLine="720"/>
        <w:jc w:val="both"/>
        <w:rPr>
          <w:sz w:val="24"/>
          <w:szCs w:val="24"/>
          <w:lang w:val="en-GB"/>
        </w:rPr>
      </w:pPr>
      <w:r w:rsidRPr="00DC2FFD">
        <w:rPr>
          <w:sz w:val="24"/>
          <w:lang w:val="en-GB"/>
        </w:rPr>
        <w:t>A number of projects were implemented in the reporting period, with the aim,</w:t>
      </w:r>
      <w:r w:rsidRPr="00DC2FFD">
        <w:rPr>
          <w:i/>
          <w:iCs/>
          <w:sz w:val="24"/>
          <w:lang w:val="en-GB"/>
        </w:rPr>
        <w:t xml:space="preserve"> inter alia</w:t>
      </w:r>
      <w:r w:rsidRPr="00DC2FFD">
        <w:rPr>
          <w:sz w:val="24"/>
          <w:lang w:val="en-GB"/>
        </w:rPr>
        <w:t>, of reducing the dropout rate of Roma children. From June 2017 to June 2019, the Ministry of Labour, Employment and Social Affairs was a beneficiary institution of the IPA 2013 grant scheme “Development of Effective Community Services in the Area of Education and Social Welfare at the Local Level”, under which 30 grant beneficiaries were implementing projects in certain municipalities. One of the lots of this grant scheme concerned the prevention of early dropout and education system dispersal, which would include four projects, of which two had Roma as the target group.</w:t>
      </w:r>
    </w:p>
    <w:p w14:paraId="100EF8FD" w14:textId="77777777" w:rsidR="00DC2FFD" w:rsidRPr="00DC2FFD" w:rsidRDefault="00DC2FFD" w:rsidP="00DC2FFD">
      <w:pPr>
        <w:spacing w:after="0"/>
        <w:ind w:firstLine="720"/>
        <w:jc w:val="both"/>
        <w:rPr>
          <w:sz w:val="24"/>
          <w:szCs w:val="24"/>
          <w:lang w:val="en-GB"/>
        </w:rPr>
      </w:pPr>
      <w:r w:rsidRPr="00DC2FFD">
        <w:rPr>
          <w:sz w:val="24"/>
          <w:lang w:val="en-GB"/>
        </w:rPr>
        <w:t xml:space="preserve">The project “Inter-sectoral mechanism for prevention and reduction of early dropout in the Municipality of </w:t>
      </w:r>
      <w:proofErr w:type="spellStart"/>
      <w:r w:rsidRPr="00DC2FFD">
        <w:rPr>
          <w:sz w:val="24"/>
          <w:lang w:val="en-GB"/>
        </w:rPr>
        <w:t>Zvezdara</w:t>
      </w:r>
      <w:proofErr w:type="spellEnd"/>
      <w:r w:rsidRPr="00DC2FFD">
        <w:rPr>
          <w:sz w:val="24"/>
          <w:lang w:val="en-GB"/>
        </w:rPr>
        <w:t xml:space="preserve">” was implemented by the City Municipality of </w:t>
      </w:r>
      <w:proofErr w:type="spellStart"/>
      <w:r w:rsidRPr="00DC2FFD">
        <w:rPr>
          <w:sz w:val="24"/>
          <w:lang w:val="en-GB"/>
        </w:rPr>
        <w:t>Zvezdara</w:t>
      </w:r>
      <w:proofErr w:type="spellEnd"/>
      <w:r w:rsidRPr="00DC2FFD">
        <w:rPr>
          <w:sz w:val="24"/>
          <w:lang w:val="en-GB"/>
        </w:rPr>
        <w:t xml:space="preserve">, with the help of the National Council of the Roma National Minority. Realised project activities </w:t>
      </w:r>
      <w:r w:rsidRPr="00DC2FFD">
        <w:rPr>
          <w:sz w:val="24"/>
          <w:lang w:val="en-GB"/>
        </w:rPr>
        <w:lastRenderedPageBreak/>
        <w:t xml:space="preserve">which affected the improvement of the quality of life of the Roma population, in particular school age children in the municipality in question, concerned the establishment of the Inter-sectoral Team for development and monitoring of support measures for Roma school age children, parents and the Roma community, organising individual supplementary classes for Roma children who had dropped out of school and those who were under risk of early dropout (an individual support plan was developed for 62 Roma children), organising economic support measures for parents of Roma children who had dropped out of school and those who are under risk of early dropout and organising trainings on responsible parenthood, organising trainings for raising awareness on the importance of education for parents in Roma settlements in the Municipality of </w:t>
      </w:r>
      <w:proofErr w:type="spellStart"/>
      <w:r w:rsidRPr="00DC2FFD">
        <w:rPr>
          <w:sz w:val="24"/>
          <w:lang w:val="en-GB"/>
        </w:rPr>
        <w:t>Zvezdara</w:t>
      </w:r>
      <w:proofErr w:type="spellEnd"/>
      <w:r w:rsidRPr="00DC2FFD">
        <w:rPr>
          <w:sz w:val="24"/>
          <w:lang w:val="en-GB"/>
        </w:rPr>
        <w:t xml:space="preserve"> (34 parents received school materials for children, 15 parents attended handicraft trainings, 41 parents attended trainings on responsible parenthood), development and application of software for an early recognition and prevention system for students under risk of early dropout, and training for employees in elementary schools in the Municipality of </w:t>
      </w:r>
      <w:proofErr w:type="spellStart"/>
      <w:r w:rsidRPr="00DC2FFD">
        <w:rPr>
          <w:sz w:val="24"/>
          <w:lang w:val="en-GB"/>
        </w:rPr>
        <w:t>Zvezdara</w:t>
      </w:r>
      <w:proofErr w:type="spellEnd"/>
      <w:r w:rsidRPr="00DC2FFD">
        <w:rPr>
          <w:sz w:val="24"/>
          <w:lang w:val="en-GB"/>
        </w:rPr>
        <w:t xml:space="preserve">, equipping the school for adult education in the </w:t>
      </w:r>
      <w:proofErr w:type="spellStart"/>
      <w:r w:rsidRPr="00DC2FFD">
        <w:rPr>
          <w:sz w:val="24"/>
          <w:lang w:val="en-GB"/>
        </w:rPr>
        <w:t>Orlovsko</w:t>
      </w:r>
      <w:proofErr w:type="spellEnd"/>
      <w:r w:rsidRPr="00DC2FFD">
        <w:rPr>
          <w:sz w:val="24"/>
          <w:lang w:val="en-GB"/>
        </w:rPr>
        <w:t xml:space="preserve"> settlement. The total value of the project was 137,620.00 EUR, of which 10% was from the budget of the Republic of Serbia on the basis of national co-financing. </w:t>
      </w:r>
    </w:p>
    <w:p w14:paraId="2972B0D1" w14:textId="77777777" w:rsidR="00DC2FFD" w:rsidRPr="00DC2FFD" w:rsidRDefault="00DC2FFD" w:rsidP="00DC2FFD">
      <w:pPr>
        <w:spacing w:after="0"/>
        <w:ind w:firstLine="720"/>
        <w:jc w:val="both"/>
        <w:rPr>
          <w:sz w:val="24"/>
          <w:szCs w:val="24"/>
          <w:lang w:val="en-GB"/>
        </w:rPr>
      </w:pPr>
      <w:r w:rsidRPr="00DC2FFD">
        <w:rPr>
          <w:sz w:val="24"/>
          <w:lang w:val="en-GB"/>
        </w:rPr>
        <w:t>The project “Early Childhood Education and Care (ECEC) in Function of Preventing Dropout and Increase of Education Attainment of Roma Children in Novi Sad” was implemented in partnership with the Centre for Production of Knowledge and Skills, the Centre for Social Work of the City of Novi Sad and the pre-school institution "</w:t>
      </w:r>
      <w:proofErr w:type="spellStart"/>
      <w:r w:rsidRPr="00DC2FFD">
        <w:rPr>
          <w:sz w:val="24"/>
          <w:lang w:val="en-GB"/>
        </w:rPr>
        <w:t>Radosno</w:t>
      </w:r>
      <w:proofErr w:type="spellEnd"/>
      <w:r w:rsidRPr="00DC2FFD">
        <w:rPr>
          <w:sz w:val="24"/>
          <w:lang w:val="en-GB"/>
        </w:rPr>
        <w:t xml:space="preserve"> </w:t>
      </w:r>
      <w:proofErr w:type="spellStart"/>
      <w:r w:rsidRPr="00DC2FFD">
        <w:rPr>
          <w:sz w:val="24"/>
          <w:lang w:val="en-GB"/>
        </w:rPr>
        <w:t>detinjstvo</w:t>
      </w:r>
      <w:proofErr w:type="spellEnd"/>
      <w:r w:rsidRPr="00DC2FFD">
        <w:rPr>
          <w:sz w:val="24"/>
          <w:lang w:val="en-GB"/>
        </w:rPr>
        <w:t>” from Novi Sad. Implemented project activities which contributed to the reduction of inequalities and reinforced the educational and social inclusion of Roma, primarily in Novi Sad, were: field work which included 988 visits to families and 269 workshops with children, financial and other support to children and families (118 parents were included in workshops for reinforcing parent skills and competences), enrolment of children in pre-school institutions (15 children were enrolled within the framework of this project - 7 girls and 8 boys), creation of school teams for dropout prevention, development of school action plans, implementation of support measures in schools, financial support to student families, inclusion of inter-sectoral measures in local policies, for the purpose of raising the quality of life of persons belonging to the Roma national minority. The total value of the project was 167,818.80 EUR, of which 10% was from the budget of the Republic of Serbia on the basis of national co-financing.</w:t>
      </w:r>
    </w:p>
    <w:p w14:paraId="2FF61087" w14:textId="77777777" w:rsidR="00DC2FFD" w:rsidRPr="00DC2FFD" w:rsidRDefault="00DC2FFD" w:rsidP="00DC2FFD">
      <w:pPr>
        <w:spacing w:after="0"/>
        <w:jc w:val="both"/>
        <w:rPr>
          <w:sz w:val="24"/>
          <w:szCs w:val="24"/>
          <w:lang w:val="sr-Cyrl-RS"/>
        </w:rPr>
      </w:pPr>
    </w:p>
    <w:p w14:paraId="0DE4D347" w14:textId="77777777" w:rsidR="00DC2FFD" w:rsidRPr="00DC2FFD" w:rsidRDefault="00DC2FFD" w:rsidP="00DC2FFD">
      <w:pPr>
        <w:spacing w:after="0"/>
        <w:jc w:val="both"/>
        <w:rPr>
          <w:i/>
          <w:sz w:val="24"/>
          <w:szCs w:val="24"/>
          <w:lang w:val="en-GB"/>
        </w:rPr>
      </w:pPr>
      <w:r w:rsidRPr="00DC2FFD">
        <w:rPr>
          <w:i/>
          <w:sz w:val="24"/>
          <w:lang w:val="en-GB"/>
        </w:rPr>
        <w:t>Activities relating to employment</w:t>
      </w:r>
    </w:p>
    <w:p w14:paraId="1E8A022B" w14:textId="77777777" w:rsidR="00DC2FFD" w:rsidRPr="00DC2FFD" w:rsidRDefault="00DC2FFD" w:rsidP="00DC2FFD">
      <w:pPr>
        <w:spacing w:after="0"/>
        <w:jc w:val="both"/>
        <w:rPr>
          <w:sz w:val="24"/>
          <w:szCs w:val="24"/>
          <w:lang w:val="sr-Cyrl-RS"/>
        </w:rPr>
      </w:pPr>
    </w:p>
    <w:p w14:paraId="2F81E804" w14:textId="77777777" w:rsidR="00DC2FFD" w:rsidRPr="00DC2FFD" w:rsidRDefault="00DC2FFD" w:rsidP="00DC2FFD">
      <w:pPr>
        <w:spacing w:after="0"/>
        <w:ind w:firstLine="720"/>
        <w:jc w:val="both"/>
        <w:rPr>
          <w:sz w:val="24"/>
          <w:szCs w:val="24"/>
          <w:lang w:val="en-GB"/>
        </w:rPr>
      </w:pPr>
      <w:r w:rsidRPr="00DC2FFD">
        <w:rPr>
          <w:sz w:val="24"/>
          <w:lang w:val="en-GB"/>
        </w:rPr>
        <w:t>In accordance with the Labour Law</w:t>
      </w:r>
      <w:r w:rsidRPr="00DC2FFD">
        <w:rPr>
          <w:sz w:val="24"/>
          <w:szCs w:val="24"/>
          <w:vertAlign w:val="superscript"/>
          <w:lang w:val="sr-Cyrl-RS"/>
        </w:rPr>
        <w:footnoteReference w:id="21"/>
      </w:r>
      <w:r w:rsidRPr="00DC2FFD">
        <w:rPr>
          <w:sz w:val="24"/>
          <w:lang w:val="en-GB"/>
        </w:rPr>
        <w:t xml:space="preserve">, putting a person in a less favourable position compared to someone else as regards a personal characteristic (sex, birth, language, race, skin colour, age, pregnancy etc.), or a characteristic which is not relevant for performing a certain task, shall be considered labour discrimination. </w:t>
      </w:r>
    </w:p>
    <w:p w14:paraId="25AEA45E" w14:textId="77777777" w:rsidR="00DC2FFD" w:rsidRPr="00DC2FFD" w:rsidRDefault="00DC2FFD" w:rsidP="00DC2FFD">
      <w:pPr>
        <w:spacing w:after="0"/>
        <w:ind w:firstLine="720"/>
        <w:jc w:val="both"/>
        <w:rPr>
          <w:sz w:val="24"/>
          <w:szCs w:val="24"/>
          <w:lang w:val="en-GB"/>
        </w:rPr>
      </w:pPr>
      <w:r w:rsidRPr="00DC2FFD">
        <w:rPr>
          <w:sz w:val="24"/>
          <w:lang w:val="en-GB"/>
        </w:rPr>
        <w:t xml:space="preserve">On 1 April 2021, the Government of the Republic of Serbia adopted the Roma Entrepreneurship Development Promotion Programme. The objective of the Programme is promotion of the development of the entrepreneurship of Roma men and women with a view </w:t>
      </w:r>
      <w:r w:rsidRPr="00DC2FFD">
        <w:rPr>
          <w:sz w:val="24"/>
          <w:lang w:val="en-GB"/>
        </w:rPr>
        <w:lastRenderedPageBreak/>
        <w:t>to improving conditions for creating employment and improving the economic status of Roma men and women. Financial means for the execution of the Programme are provided in the budget of the Republic of Serbia in the amount of 120,000,000.00 RSD and are intended for providing guarantees for loans approved by the partner bank, which will, for the purpose of loan collection, use certain security instruments for collection of receivables. The Programme is being implemented by the Serbian Export Credit and Insurance Agency. Development of Roma population entrepreneurship, by establishing new economic operators, supporting already existing businesses and stores, as well as encouraging individuals to legalise an already existing economic activity they are performing as a part of the so-called grey economy, are a way to improve the socio-economic status of persons belonging to the Roma national minority. Potential beneficiaries of the programme will, in addition to all other available modes of information, have an opportunity to get to know the content of the programme through their chosen bank, which will use its experience in working with beginners in business and social entrepreneurship, as well as through the Association of Roma Entrepreneurs, which will present them with available possibilities of the programme and enable an easier inclusion in its implementation.</w:t>
      </w:r>
    </w:p>
    <w:p w14:paraId="37E4657E" w14:textId="77777777" w:rsidR="00DC2FFD" w:rsidRPr="00DC2FFD" w:rsidRDefault="00DC2FFD" w:rsidP="00DC2FFD">
      <w:pPr>
        <w:spacing w:after="0"/>
        <w:ind w:firstLine="720"/>
        <w:jc w:val="both"/>
        <w:rPr>
          <w:sz w:val="24"/>
          <w:szCs w:val="24"/>
          <w:lang w:val="en-GB"/>
        </w:rPr>
      </w:pPr>
      <w:r w:rsidRPr="00DC2FFD">
        <w:rPr>
          <w:sz w:val="24"/>
          <w:lang w:val="en-GB"/>
        </w:rPr>
        <w:t>The National Employment Service, as the principal body of employment activity, implements its activities in accordance with the Law on Employment and Unemployment Insurance,</w:t>
      </w:r>
      <w:r w:rsidRPr="00DC2FFD">
        <w:rPr>
          <w:sz w:val="24"/>
          <w:szCs w:val="24"/>
          <w:vertAlign w:val="superscript"/>
          <w:lang w:val="sr-Cyrl-RS"/>
        </w:rPr>
        <w:footnoteReference w:id="22"/>
      </w:r>
      <w:r w:rsidRPr="00DC2FFD">
        <w:rPr>
          <w:sz w:val="24"/>
          <w:lang w:val="en-GB"/>
        </w:rPr>
        <w:t xml:space="preserve"> which is based on the principles of anti-discrimination and affirmative action targeting unemployed persons who are difficult to employ. One of the tasks of the employment policy is planning systemic preconditions for the policy of equal opportunities for labour market access. The Employment Strategy of the Republic of Serbia 2021–2026</w:t>
      </w:r>
      <w:r w:rsidRPr="00DC2FFD">
        <w:rPr>
          <w:sz w:val="24"/>
          <w:szCs w:val="24"/>
          <w:vertAlign w:val="superscript"/>
          <w:lang w:val="sr-Cyrl-RS"/>
        </w:rPr>
        <w:footnoteReference w:id="23"/>
      </w:r>
      <w:r w:rsidRPr="00DC2FFD">
        <w:rPr>
          <w:sz w:val="24"/>
          <w:lang w:val="en-GB"/>
        </w:rPr>
        <w:t xml:space="preserve"> defines general and specific objectives, as well as measures for the achievement of objectives and established directions of the development of the employment policy in the upcoming six year period. The Action Plan 2021-2023 for the implementation of this strategy is a public policy document which was adopted for the purpose of operationalisation and achievement of general and specific objectives of the Strategy. </w:t>
      </w:r>
    </w:p>
    <w:p w14:paraId="50166738" w14:textId="58DE384C" w:rsidR="00DC2FFD" w:rsidRPr="00DC2FFD" w:rsidRDefault="00DC2FFD" w:rsidP="00DC2FFD">
      <w:pPr>
        <w:spacing w:after="0"/>
        <w:ind w:firstLine="720"/>
        <w:jc w:val="both"/>
        <w:rPr>
          <w:sz w:val="24"/>
          <w:szCs w:val="24"/>
          <w:lang w:val="en-GB"/>
        </w:rPr>
      </w:pPr>
      <w:r w:rsidRPr="00DC2FFD">
        <w:rPr>
          <w:sz w:val="24"/>
          <w:lang w:val="en-GB"/>
        </w:rPr>
        <w:t xml:space="preserve">Measures of active employment policy implemented by the National Employment Service are created on the basis of envisioned needs and labour market developments, as well as the situation as regards </w:t>
      </w:r>
      <w:r w:rsidR="008D1F04">
        <w:rPr>
          <w:sz w:val="24"/>
          <w:lang w:val="en-GB"/>
        </w:rPr>
        <w:t xml:space="preserve">the records about job seekers, </w:t>
      </w:r>
      <w:r w:rsidRPr="00DC2FFD">
        <w:rPr>
          <w:sz w:val="24"/>
          <w:lang w:val="en-GB"/>
        </w:rPr>
        <w:t xml:space="preserve">The measures are aimed at promoting employment of persons from the category </w:t>
      </w:r>
      <w:proofErr w:type="gramStart"/>
      <w:r w:rsidRPr="00DC2FFD">
        <w:rPr>
          <w:sz w:val="24"/>
          <w:lang w:val="en-GB"/>
        </w:rPr>
        <w:t>of  less</w:t>
      </w:r>
      <w:proofErr w:type="gramEnd"/>
      <w:r w:rsidRPr="00DC2FFD">
        <w:rPr>
          <w:sz w:val="24"/>
          <w:lang w:val="en-GB"/>
        </w:rPr>
        <w:t xml:space="preserve"> employable persons who are prioritised in terms of being covered by the measures. Individual approach is used in the process of working with job seekers. Measures or programmes that the persons will be included in primarily depend on their needs for providing assistance by the National Employment Service in job seeking and labour market needs, and will be established in the Individual Employment Plan.</w:t>
      </w:r>
    </w:p>
    <w:p w14:paraId="06829E06" w14:textId="77777777" w:rsidR="00DC2FFD" w:rsidRPr="00DC2FFD" w:rsidRDefault="00DC2FFD" w:rsidP="00DC2FFD">
      <w:pPr>
        <w:spacing w:after="0"/>
        <w:ind w:firstLine="720"/>
        <w:jc w:val="both"/>
        <w:rPr>
          <w:sz w:val="24"/>
          <w:szCs w:val="24"/>
          <w:lang w:val="en-GB"/>
        </w:rPr>
      </w:pPr>
      <w:r w:rsidRPr="00DC2FFD">
        <w:rPr>
          <w:sz w:val="24"/>
          <w:lang w:val="en-GB"/>
        </w:rPr>
        <w:t>In cooperation with employers, activities are undertaken relating to expert assistance in the selection of persons in accordance with the requested personnel needs of employers, as well as financial support measures aimed at promoting the employment of persons primarily from the category of less employable persons.</w:t>
      </w:r>
    </w:p>
    <w:p w14:paraId="5BF4F504" w14:textId="77777777" w:rsidR="00DC2FFD" w:rsidRPr="00DC2FFD" w:rsidRDefault="00DC2FFD" w:rsidP="00DC2FFD">
      <w:pPr>
        <w:spacing w:after="0"/>
        <w:ind w:firstLine="720"/>
        <w:jc w:val="both"/>
        <w:rPr>
          <w:sz w:val="24"/>
          <w:szCs w:val="24"/>
          <w:lang w:val="en-GB"/>
        </w:rPr>
      </w:pPr>
      <w:r w:rsidRPr="00DC2FFD">
        <w:rPr>
          <w:sz w:val="24"/>
          <w:lang w:val="en-GB"/>
        </w:rPr>
        <w:t xml:space="preserve">Persons belonging to the Roma national minority are recognised as a category of less employable persons, in view of the fact they are facing lower employability and labour market </w:t>
      </w:r>
      <w:r w:rsidRPr="00DC2FFD">
        <w:rPr>
          <w:sz w:val="24"/>
          <w:lang w:val="en-GB"/>
        </w:rPr>
        <w:lastRenderedPageBreak/>
        <w:t xml:space="preserve">access for multiple reasons, of which the key ones are: unfavourable educational structure, lack of work experience, knowledge and skills, frequently low motivation for inclusion in the formal labour market, discrimination and stereotypes as regards their employment. Strategic documents concerning employment establish activities and measures for improving the status of unemployed Roma men and women on the labour market through coordinated activity in order to ultimately improve their unfavourable socio-economic position, as well as implementation of appropriate activities relating to the lower employability due to various factors. </w:t>
      </w:r>
    </w:p>
    <w:p w14:paraId="5F687411" w14:textId="77777777" w:rsidR="00DC2FFD" w:rsidRPr="00DC2FFD" w:rsidRDefault="00DC2FFD" w:rsidP="00DC2FFD">
      <w:pPr>
        <w:spacing w:after="0"/>
        <w:ind w:firstLine="720"/>
        <w:jc w:val="both"/>
        <w:rPr>
          <w:sz w:val="24"/>
          <w:szCs w:val="24"/>
          <w:lang w:val="en-GB"/>
        </w:rPr>
      </w:pPr>
      <w:r w:rsidRPr="00DC2FFD">
        <w:rPr>
          <w:sz w:val="24"/>
          <w:lang w:val="en-GB"/>
        </w:rPr>
        <w:t>The unfavourable educational structure of Roma men and women directly reflects on the reduced accessibility on the labour market and on employment opportunities. The National Employment Service has recognised this problem, as one of obstacles that Roma men and women face in terms of employment, and is acting, by active employment measures, for the purpose of mitigating the current situation. Inclusion into functional elementary programmes and training programmes for gaining practical knowledge for performing concrete tasks considerably contributed to the improvement of their employability. In view of the fact that job seeking requires readiness and motivation to undertake job seeking activities, one of the directions to take entails inclusion into trainings for active job seeking and workshops for strengthening of motivation and confidence in that respect. Activities of the National Employment Service are also oriented towards this segment of the support in working with Roma men and women by including them in various trainings and workshops, in order to mitigate obstacles on the road of their integration on the labour market and in terms of employment. The National Employment Service, through financial incentives to employers in the form of subsidies, promotes the employment of persons belonging to the Roma national minority. In order to promote self-employment of Roma men and women, the National Employment Service provides funds in the form of subsidies, as well as a training for the development of entrepreneurship, where persons are informed and gain knowledge they need to conduct their own business.</w:t>
      </w:r>
    </w:p>
    <w:p w14:paraId="4539934E" w14:textId="77777777" w:rsidR="00DC2FFD" w:rsidRPr="00DC2FFD" w:rsidRDefault="00DC2FFD" w:rsidP="00DC2FFD">
      <w:pPr>
        <w:shd w:val="clear" w:color="auto" w:fill="FFFFFF"/>
        <w:spacing w:after="0"/>
        <w:ind w:firstLine="720"/>
        <w:jc w:val="both"/>
        <w:rPr>
          <w:sz w:val="24"/>
          <w:szCs w:val="24"/>
          <w:lang w:val="en-GB"/>
        </w:rPr>
      </w:pPr>
      <w:r w:rsidRPr="00DC2FFD">
        <w:rPr>
          <w:sz w:val="24"/>
          <w:lang w:val="en-GB"/>
        </w:rPr>
        <w:t xml:space="preserve">The National Employment Service also keeps records about unemployed persons - persons from the age of 15 to the age of meeting retirement eligibility requirements, or no more than 65 years of age, who are capable and immediately ready to work, who have not established an employment relationship or exercised their right to work in some other way, and who are entered in the unemployment records and are actively looking for employment. </w:t>
      </w:r>
    </w:p>
    <w:p w14:paraId="4CD4FD17" w14:textId="77777777" w:rsidR="00DC2FFD" w:rsidRPr="00DC2FFD" w:rsidRDefault="00DC2FFD" w:rsidP="00DC2FFD">
      <w:pPr>
        <w:spacing w:after="0"/>
        <w:jc w:val="both"/>
        <w:rPr>
          <w:bCs/>
          <w:sz w:val="24"/>
          <w:szCs w:val="24"/>
          <w:lang w:val="en-GB"/>
        </w:rPr>
      </w:pPr>
      <w:r w:rsidRPr="00DC2FFD">
        <w:rPr>
          <w:sz w:val="24"/>
          <w:lang w:val="en-GB"/>
        </w:rPr>
        <w:tab/>
        <w:t>Registration with the National Employment Service, i.e. the manner of keeping records and data content on persons are defined by the Law on Employment and Unemployment Insurance and the Rulebook on the Content of Data and Methodology of Keeping Registries in the Field of Education..</w:t>
      </w:r>
      <w:r w:rsidRPr="00DC2FFD">
        <w:rPr>
          <w:bCs/>
          <w:sz w:val="24"/>
          <w:szCs w:val="24"/>
          <w:vertAlign w:val="superscript"/>
          <w:lang w:val="sr-Cyrl-CS"/>
        </w:rPr>
        <w:footnoteReference w:id="24"/>
      </w:r>
      <w:r w:rsidRPr="00DC2FFD">
        <w:rPr>
          <w:sz w:val="24"/>
          <w:lang w:val="en-GB"/>
        </w:rPr>
        <w:t xml:space="preserve"> Nationality or ethnicity is just one of the personal data provided for in Article 5 of the Rulebook. Data is recorded based on the statement of a person, i.e. the statement is not required, bearing in mind the statutory provision relating to the prohibition of discrimination of persons in seeking the employment.</w:t>
      </w:r>
    </w:p>
    <w:p w14:paraId="21FE2875" w14:textId="77777777" w:rsidR="00DC2FFD" w:rsidRPr="00DC2FFD" w:rsidRDefault="00DC2FFD" w:rsidP="00DC2FFD">
      <w:pPr>
        <w:spacing w:after="0"/>
        <w:ind w:firstLine="720"/>
        <w:jc w:val="both"/>
        <w:rPr>
          <w:sz w:val="24"/>
          <w:szCs w:val="24"/>
          <w:lang w:val="en-GB"/>
        </w:rPr>
      </w:pPr>
      <w:r w:rsidRPr="00DC2FFD">
        <w:rPr>
          <w:sz w:val="24"/>
          <w:lang w:val="en-GB"/>
        </w:rPr>
        <w:t xml:space="preserve">As of 31 December 2021, the unemployment records of the National Employment Service included 28,041 persons (14,258 women) who stated they belonged to the Roma national minority, which makes up 5.87% of the total registered unemployment. </w:t>
      </w:r>
    </w:p>
    <w:p w14:paraId="2E62E6D3" w14:textId="77777777" w:rsidR="00DC2FFD" w:rsidRPr="00DC2FFD" w:rsidRDefault="00DC2FFD" w:rsidP="00DC2FFD">
      <w:pPr>
        <w:spacing w:after="0"/>
        <w:ind w:firstLine="720"/>
        <w:jc w:val="both"/>
        <w:rPr>
          <w:sz w:val="24"/>
          <w:szCs w:val="24"/>
          <w:lang w:val="en-GB"/>
        </w:rPr>
      </w:pPr>
      <w:r w:rsidRPr="00DC2FFD">
        <w:rPr>
          <w:sz w:val="24"/>
          <w:lang w:val="en-GB"/>
        </w:rPr>
        <w:lastRenderedPageBreak/>
        <w:t>In terms of age, young people up to the age of 30 make up 27.38% of the total registered unemployment of Roma men/women, while people aged over 50 make up 24.89%, which is a better number in terms of the characteristics of the total registered unemployment.</w:t>
      </w:r>
    </w:p>
    <w:p w14:paraId="233DE9B9" w14:textId="77777777" w:rsidR="00DC2FFD" w:rsidRPr="00DC2FFD" w:rsidRDefault="00DC2FFD" w:rsidP="00DC2FFD">
      <w:pPr>
        <w:spacing w:after="0"/>
        <w:ind w:firstLine="720"/>
        <w:jc w:val="both"/>
        <w:rPr>
          <w:sz w:val="24"/>
          <w:szCs w:val="24"/>
          <w:lang w:val="en-GB"/>
        </w:rPr>
      </w:pPr>
      <w:r w:rsidRPr="00DC2FFD">
        <w:rPr>
          <w:sz w:val="24"/>
          <w:lang w:val="en-GB"/>
        </w:rPr>
        <w:t xml:space="preserve">In view of the level of education, unqualified persons or persons with a low level of education make up 89.33% of the total registered unemployment of Roma men/women, persons with secondary education make up 9.99%, while Roma men/women with tertiary education constitute 0.68%. A very unfavourable educational structure of unemployed Roma men/women affects their access to the active employment policy measures from the system of additional education and training through which additional knowledge, skills and competences are acquired (particularly as regards measures which have completed elementary education as the starting point), as well as the interest of employers in employing persons from this category and the type of tasks for which they are hired. For the above reasons, unemployed Roma men/women have the priority or more favourable conditions for inclusion into the measures of the system of additional education and training, as well as measures relating to the support to employment or self-employment. </w:t>
      </w:r>
    </w:p>
    <w:p w14:paraId="193C131C" w14:textId="77777777" w:rsidR="00DC2FFD" w:rsidRPr="00DC2FFD" w:rsidRDefault="00DC2FFD" w:rsidP="00DC2FFD">
      <w:pPr>
        <w:spacing w:after="0"/>
        <w:jc w:val="both"/>
        <w:rPr>
          <w:sz w:val="24"/>
          <w:szCs w:val="24"/>
          <w:lang w:val="sr-Cyrl-RS"/>
        </w:rPr>
      </w:pPr>
    </w:p>
    <w:p w14:paraId="30B5D5CA" w14:textId="77777777" w:rsidR="00DC2FFD" w:rsidRPr="00DC2FFD" w:rsidRDefault="00DC2FFD" w:rsidP="00DC2FFD">
      <w:pPr>
        <w:shd w:val="clear" w:color="auto" w:fill="FFFFFF"/>
        <w:spacing w:after="0"/>
        <w:jc w:val="center"/>
        <w:rPr>
          <w:i/>
          <w:sz w:val="18"/>
          <w:szCs w:val="18"/>
          <w:lang w:val="en-GB"/>
        </w:rPr>
      </w:pPr>
      <w:r w:rsidRPr="00DC2FFD">
        <w:rPr>
          <w:i/>
          <w:sz w:val="18"/>
          <w:lang w:val="en-GB"/>
        </w:rPr>
        <w:t>Educational structure of the registered unemployment of Roma men and women</w:t>
      </w:r>
    </w:p>
    <w:p w14:paraId="4AD77E33" w14:textId="77777777" w:rsidR="00DC2FFD" w:rsidRPr="00DC2FFD" w:rsidRDefault="00DC2FFD" w:rsidP="00DC2FFD">
      <w:pPr>
        <w:shd w:val="clear" w:color="auto" w:fill="FFFFFF"/>
        <w:spacing w:after="0"/>
        <w:ind w:firstLine="720"/>
        <w:jc w:val="center"/>
        <w:rPr>
          <w:i/>
          <w:sz w:val="18"/>
          <w:szCs w:val="18"/>
          <w:lang w:val="en-GB"/>
        </w:rPr>
      </w:pPr>
      <w:r w:rsidRPr="00DC2FFD">
        <w:rPr>
          <w:i/>
          <w:sz w:val="18"/>
          <w:lang w:val="en-GB"/>
        </w:rPr>
        <w:t>December 2921 (absolute number)</w:t>
      </w:r>
    </w:p>
    <w:p w14:paraId="48113FDF" w14:textId="77777777" w:rsidR="00DC2FFD" w:rsidRPr="00DC2FFD" w:rsidRDefault="00DC2FFD" w:rsidP="00DC2FFD">
      <w:pPr>
        <w:jc w:val="center"/>
        <w:rPr>
          <w:lang w:val="en-GB"/>
        </w:rPr>
      </w:pPr>
      <w:r w:rsidRPr="00DC2FFD">
        <w:rPr>
          <w:noProof/>
          <w:lang w:val="en-US"/>
        </w:rPr>
        <w:drawing>
          <wp:inline distT="0" distB="0" distL="0" distR="0" wp14:anchorId="7A62128E" wp14:editId="04868810">
            <wp:extent cx="4508500" cy="2228850"/>
            <wp:effectExtent l="0" t="0" r="63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8CC2394" w14:textId="0F13BE25" w:rsidR="00DC2FFD" w:rsidRPr="00DC2FFD" w:rsidRDefault="00DC2FFD" w:rsidP="00DC2FFD">
      <w:pPr>
        <w:spacing w:after="0"/>
        <w:ind w:firstLine="720"/>
        <w:rPr>
          <w:i/>
          <w:sz w:val="18"/>
          <w:szCs w:val="18"/>
          <w:lang w:val="en-GB"/>
        </w:rPr>
      </w:pPr>
      <w:r w:rsidRPr="00DC2FFD">
        <w:rPr>
          <w:sz w:val="18"/>
          <w:lang w:val="en-GB"/>
        </w:rPr>
        <w:tab/>
      </w:r>
      <w:r w:rsidR="008D1F04">
        <w:rPr>
          <w:sz w:val="18"/>
          <w:lang w:val="en-GB"/>
        </w:rPr>
        <w:tab/>
      </w:r>
      <w:r w:rsidR="008D1F04">
        <w:rPr>
          <w:sz w:val="18"/>
          <w:lang w:val="en-GB"/>
        </w:rPr>
        <w:tab/>
      </w:r>
      <w:r w:rsidRPr="00DC2FFD">
        <w:rPr>
          <w:i/>
          <w:sz w:val="18"/>
          <w:lang w:val="en-GB"/>
        </w:rPr>
        <w:t>Source: National Employment Service</w:t>
      </w:r>
    </w:p>
    <w:p w14:paraId="2A7DCF3E" w14:textId="77777777" w:rsidR="00DC2FFD" w:rsidRPr="00DC2FFD" w:rsidRDefault="00DC2FFD" w:rsidP="00DC2FFD">
      <w:pPr>
        <w:spacing w:after="0"/>
        <w:ind w:firstLine="720"/>
        <w:jc w:val="both"/>
        <w:rPr>
          <w:sz w:val="24"/>
          <w:szCs w:val="24"/>
          <w:lang w:val="sr-Cyrl-RS"/>
        </w:rPr>
      </w:pPr>
    </w:p>
    <w:p w14:paraId="37843545" w14:textId="77777777" w:rsidR="00DC2FFD" w:rsidRPr="00DC2FFD" w:rsidRDefault="00DC2FFD" w:rsidP="00DC2FFD">
      <w:pPr>
        <w:spacing w:after="0"/>
        <w:ind w:firstLine="720"/>
        <w:jc w:val="both"/>
        <w:rPr>
          <w:sz w:val="24"/>
          <w:szCs w:val="24"/>
          <w:lang w:val="en-GB"/>
        </w:rPr>
      </w:pPr>
      <w:r w:rsidRPr="00DC2FFD">
        <w:rPr>
          <w:sz w:val="24"/>
          <w:lang w:val="en-GB"/>
        </w:rPr>
        <w:t>In terms of the length of time of job seeking, long-term unemployed persons (persons seeking jobs for longer than 12 months) make up 68.01% of the total registered unemployment of Roma men and women.</w:t>
      </w:r>
    </w:p>
    <w:p w14:paraId="65FC774C" w14:textId="77777777" w:rsidR="00DC2FFD" w:rsidRPr="00DC2FFD" w:rsidRDefault="00DC2FFD" w:rsidP="00DC2FFD">
      <w:pPr>
        <w:spacing w:after="0"/>
        <w:ind w:firstLine="720"/>
        <w:jc w:val="both"/>
        <w:rPr>
          <w:sz w:val="24"/>
          <w:szCs w:val="24"/>
          <w:lang w:val="en-GB"/>
        </w:rPr>
      </w:pPr>
      <w:r w:rsidRPr="00DC2FFD">
        <w:rPr>
          <w:sz w:val="24"/>
          <w:lang w:val="en-GB"/>
        </w:rPr>
        <w:t xml:space="preserve">In accordance with the Action Plan 2021-2023 for the implementation of the Employment Strategy, the services/measures from the active job seeking system (job fairs, job seeking clubs, active job seeking training, self-efficiency training, workshop for overcoming the stress of a job loss, and educational services in the Business Centre) were used by 3.436 unemployed Roma men (1,597 Roma women) between January and December 2021. </w:t>
      </w:r>
    </w:p>
    <w:p w14:paraId="217999A5" w14:textId="77777777" w:rsidR="00DC2FFD" w:rsidRPr="00DC2FFD" w:rsidRDefault="00DC2FFD" w:rsidP="00DC2FFD">
      <w:pPr>
        <w:spacing w:after="0"/>
        <w:ind w:firstLine="720"/>
        <w:jc w:val="both"/>
        <w:rPr>
          <w:sz w:val="24"/>
          <w:szCs w:val="24"/>
          <w:lang w:val="en-GB"/>
        </w:rPr>
      </w:pPr>
      <w:r w:rsidRPr="00DC2FFD">
        <w:rPr>
          <w:sz w:val="24"/>
          <w:lang w:val="en-GB"/>
        </w:rPr>
        <w:t>Also, information and advisory services in the Business Centre were used by 823 Roma men (328 Roma women), while information and advice on the opportunities for the development of career and selection included 399 Roma (238 Roma women).</w:t>
      </w:r>
    </w:p>
    <w:p w14:paraId="51080C28" w14:textId="77777777" w:rsidR="00DC2FFD" w:rsidRPr="00DC2FFD" w:rsidRDefault="00DC2FFD" w:rsidP="00DC2FFD">
      <w:pPr>
        <w:spacing w:after="0"/>
        <w:ind w:firstLine="720"/>
        <w:contextualSpacing/>
        <w:jc w:val="both"/>
        <w:rPr>
          <w:lang w:val="sr-Cyrl-RS"/>
        </w:rPr>
      </w:pPr>
    </w:p>
    <w:tbl>
      <w:tblPr>
        <w:tblStyle w:val="TableGrid"/>
        <w:tblW w:w="0" w:type="auto"/>
        <w:tblLook w:val="04A0" w:firstRow="1" w:lastRow="0" w:firstColumn="1" w:lastColumn="0" w:noHBand="0" w:noVBand="1"/>
      </w:tblPr>
      <w:tblGrid>
        <w:gridCol w:w="5792"/>
        <w:gridCol w:w="1633"/>
        <w:gridCol w:w="1591"/>
      </w:tblGrid>
      <w:tr w:rsidR="00DC2FFD" w:rsidRPr="00DC2FFD" w14:paraId="5C2A9A0C" w14:textId="77777777" w:rsidTr="00296435">
        <w:tc>
          <w:tcPr>
            <w:tcW w:w="5824" w:type="dxa"/>
            <w:vMerge w:val="restart"/>
            <w:shd w:val="clear" w:color="auto" w:fill="auto"/>
            <w:vAlign w:val="center"/>
          </w:tcPr>
          <w:p w14:paraId="3CC743BB" w14:textId="77777777" w:rsidR="00DC2FFD" w:rsidRPr="00DC2FFD" w:rsidRDefault="00DC2FFD" w:rsidP="00DC2FFD">
            <w:pPr>
              <w:spacing w:after="0"/>
              <w:jc w:val="center"/>
              <w:rPr>
                <w:b/>
                <w:sz w:val="20"/>
                <w:lang w:val="en-GB"/>
              </w:rPr>
            </w:pPr>
            <w:r w:rsidRPr="00DC2FFD">
              <w:rPr>
                <w:b/>
                <w:sz w:val="20"/>
                <w:lang w:val="en-GB"/>
              </w:rPr>
              <w:lastRenderedPageBreak/>
              <w:t>ACTIVE EMPLOYMENT POLICY MEASURES</w:t>
            </w:r>
          </w:p>
        </w:tc>
        <w:tc>
          <w:tcPr>
            <w:tcW w:w="3238" w:type="dxa"/>
            <w:gridSpan w:val="2"/>
            <w:shd w:val="clear" w:color="auto" w:fill="auto"/>
            <w:vAlign w:val="center"/>
          </w:tcPr>
          <w:p w14:paraId="437E37AC" w14:textId="77777777" w:rsidR="00DC2FFD" w:rsidRPr="00DC2FFD" w:rsidRDefault="00DC2FFD" w:rsidP="00DC2FFD">
            <w:pPr>
              <w:spacing w:after="0"/>
              <w:jc w:val="center"/>
              <w:rPr>
                <w:b/>
                <w:sz w:val="20"/>
                <w:lang w:val="en-GB"/>
              </w:rPr>
            </w:pPr>
            <w:r w:rsidRPr="00DC2FFD">
              <w:rPr>
                <w:b/>
                <w:sz w:val="20"/>
                <w:lang w:val="en-GB"/>
              </w:rPr>
              <w:t>Number of unemployed Roma men and women included in the measures of the Temporary Employment Agency in 2021</w:t>
            </w:r>
          </w:p>
        </w:tc>
      </w:tr>
      <w:tr w:rsidR="00DC2FFD" w:rsidRPr="00DC2FFD" w14:paraId="6ECD352F" w14:textId="77777777" w:rsidTr="00296435">
        <w:tc>
          <w:tcPr>
            <w:tcW w:w="5824" w:type="dxa"/>
            <w:vMerge/>
            <w:shd w:val="clear" w:color="auto" w:fill="auto"/>
            <w:vAlign w:val="center"/>
          </w:tcPr>
          <w:p w14:paraId="6964B305" w14:textId="77777777" w:rsidR="00DC2FFD" w:rsidRPr="00DC2FFD" w:rsidRDefault="00DC2FFD" w:rsidP="00DC2FFD">
            <w:pPr>
              <w:spacing w:after="0"/>
              <w:jc w:val="center"/>
              <w:rPr>
                <w:b/>
                <w:sz w:val="20"/>
                <w:lang w:val="sr-Cyrl-RS"/>
              </w:rPr>
            </w:pPr>
          </w:p>
        </w:tc>
        <w:tc>
          <w:tcPr>
            <w:tcW w:w="1641" w:type="dxa"/>
            <w:shd w:val="clear" w:color="auto" w:fill="auto"/>
            <w:vAlign w:val="center"/>
          </w:tcPr>
          <w:p w14:paraId="5734BFE6" w14:textId="77777777" w:rsidR="00DC2FFD" w:rsidRPr="00DC2FFD" w:rsidRDefault="00DC2FFD" w:rsidP="00DC2FFD">
            <w:pPr>
              <w:spacing w:after="0"/>
              <w:jc w:val="center"/>
              <w:rPr>
                <w:b/>
                <w:i/>
                <w:sz w:val="20"/>
                <w:lang w:val="en-GB"/>
              </w:rPr>
            </w:pPr>
            <w:r w:rsidRPr="00DC2FFD">
              <w:rPr>
                <w:b/>
                <w:i/>
                <w:sz w:val="20"/>
                <w:lang w:val="en-GB"/>
              </w:rPr>
              <w:t>Total</w:t>
            </w:r>
          </w:p>
        </w:tc>
        <w:tc>
          <w:tcPr>
            <w:tcW w:w="1597" w:type="dxa"/>
            <w:shd w:val="clear" w:color="auto" w:fill="auto"/>
            <w:vAlign w:val="center"/>
          </w:tcPr>
          <w:p w14:paraId="1DB2C8C7" w14:textId="77777777" w:rsidR="00DC2FFD" w:rsidRPr="00DC2FFD" w:rsidRDefault="00DC2FFD" w:rsidP="00DC2FFD">
            <w:pPr>
              <w:spacing w:after="0"/>
              <w:jc w:val="center"/>
              <w:rPr>
                <w:b/>
                <w:i/>
                <w:sz w:val="20"/>
                <w:lang w:val="en-GB"/>
              </w:rPr>
            </w:pPr>
            <w:r w:rsidRPr="00DC2FFD">
              <w:rPr>
                <w:b/>
                <w:i/>
                <w:sz w:val="20"/>
                <w:lang w:val="en-GB"/>
              </w:rPr>
              <w:t>Women</w:t>
            </w:r>
          </w:p>
        </w:tc>
      </w:tr>
      <w:tr w:rsidR="00DC2FFD" w:rsidRPr="00DC2FFD" w14:paraId="34DAA2F4" w14:textId="77777777" w:rsidTr="00296435">
        <w:tc>
          <w:tcPr>
            <w:tcW w:w="5824" w:type="dxa"/>
            <w:shd w:val="clear" w:color="auto" w:fill="auto"/>
            <w:vAlign w:val="center"/>
          </w:tcPr>
          <w:p w14:paraId="517E436F" w14:textId="77777777" w:rsidR="00DC2FFD" w:rsidRPr="00DC2FFD" w:rsidRDefault="00DC2FFD" w:rsidP="00DC2FFD">
            <w:pPr>
              <w:spacing w:after="0"/>
              <w:jc w:val="center"/>
              <w:rPr>
                <w:b/>
                <w:i/>
                <w:sz w:val="20"/>
                <w:lang w:val="en-GB"/>
              </w:rPr>
            </w:pPr>
            <w:r w:rsidRPr="00DC2FFD">
              <w:rPr>
                <w:b/>
                <w:i/>
                <w:sz w:val="20"/>
                <w:lang w:val="en-GB"/>
              </w:rPr>
              <w:t>Active job search measures</w:t>
            </w:r>
          </w:p>
        </w:tc>
        <w:tc>
          <w:tcPr>
            <w:tcW w:w="1641" w:type="dxa"/>
            <w:shd w:val="clear" w:color="auto" w:fill="auto"/>
            <w:vAlign w:val="center"/>
          </w:tcPr>
          <w:p w14:paraId="73EDE0CC" w14:textId="77777777" w:rsidR="00DC2FFD" w:rsidRPr="00DC2FFD" w:rsidRDefault="00DC2FFD" w:rsidP="00DC2FFD">
            <w:pPr>
              <w:spacing w:after="0"/>
              <w:jc w:val="center"/>
              <w:rPr>
                <w:b/>
                <w:i/>
                <w:sz w:val="20"/>
                <w:lang w:val="en-GB"/>
              </w:rPr>
            </w:pPr>
            <w:r w:rsidRPr="00DC2FFD">
              <w:rPr>
                <w:b/>
                <w:i/>
                <w:sz w:val="20"/>
                <w:lang w:val="en-GB"/>
              </w:rPr>
              <w:t>3,436</w:t>
            </w:r>
          </w:p>
        </w:tc>
        <w:tc>
          <w:tcPr>
            <w:tcW w:w="1597" w:type="dxa"/>
            <w:shd w:val="clear" w:color="auto" w:fill="auto"/>
            <w:vAlign w:val="center"/>
          </w:tcPr>
          <w:p w14:paraId="07D5EC65" w14:textId="77777777" w:rsidR="00DC2FFD" w:rsidRPr="00DC2FFD" w:rsidRDefault="00DC2FFD" w:rsidP="00DC2FFD">
            <w:pPr>
              <w:spacing w:after="0"/>
              <w:jc w:val="center"/>
              <w:rPr>
                <w:b/>
                <w:i/>
                <w:sz w:val="20"/>
                <w:lang w:val="en-GB"/>
              </w:rPr>
            </w:pPr>
            <w:r w:rsidRPr="00DC2FFD">
              <w:rPr>
                <w:b/>
                <w:i/>
                <w:sz w:val="20"/>
                <w:lang w:val="en-GB"/>
              </w:rPr>
              <w:t>1,597</w:t>
            </w:r>
          </w:p>
        </w:tc>
      </w:tr>
      <w:tr w:rsidR="00DC2FFD" w:rsidRPr="00DC2FFD" w14:paraId="67316375" w14:textId="77777777" w:rsidTr="00296435">
        <w:tc>
          <w:tcPr>
            <w:tcW w:w="5824" w:type="dxa"/>
            <w:shd w:val="clear" w:color="auto" w:fill="auto"/>
            <w:vAlign w:val="center"/>
          </w:tcPr>
          <w:p w14:paraId="42AA3053" w14:textId="77777777" w:rsidR="00DC2FFD" w:rsidRPr="00DC2FFD" w:rsidRDefault="00DC2FFD" w:rsidP="00DC2FFD">
            <w:pPr>
              <w:spacing w:after="0"/>
              <w:jc w:val="center"/>
              <w:rPr>
                <w:i/>
                <w:sz w:val="20"/>
                <w:lang w:val="en-GB"/>
              </w:rPr>
            </w:pPr>
            <w:r w:rsidRPr="00DC2FFD">
              <w:rPr>
                <w:i/>
                <w:sz w:val="20"/>
                <w:lang w:val="en-GB"/>
              </w:rPr>
              <w:t>Training for active job search</w:t>
            </w:r>
          </w:p>
        </w:tc>
        <w:tc>
          <w:tcPr>
            <w:tcW w:w="1641" w:type="dxa"/>
            <w:shd w:val="clear" w:color="auto" w:fill="auto"/>
            <w:vAlign w:val="center"/>
          </w:tcPr>
          <w:p w14:paraId="160CB726" w14:textId="77777777" w:rsidR="00DC2FFD" w:rsidRPr="00DC2FFD" w:rsidRDefault="00DC2FFD" w:rsidP="00DC2FFD">
            <w:pPr>
              <w:spacing w:after="0"/>
              <w:jc w:val="center"/>
              <w:rPr>
                <w:i/>
                <w:sz w:val="20"/>
                <w:lang w:val="en-GB"/>
              </w:rPr>
            </w:pPr>
            <w:r w:rsidRPr="00DC2FFD">
              <w:rPr>
                <w:i/>
                <w:sz w:val="20"/>
                <w:lang w:val="en-GB"/>
              </w:rPr>
              <w:t>2,291</w:t>
            </w:r>
          </w:p>
        </w:tc>
        <w:tc>
          <w:tcPr>
            <w:tcW w:w="1597" w:type="dxa"/>
            <w:shd w:val="clear" w:color="auto" w:fill="auto"/>
            <w:vAlign w:val="center"/>
          </w:tcPr>
          <w:p w14:paraId="00DADBDD" w14:textId="77777777" w:rsidR="00DC2FFD" w:rsidRPr="00DC2FFD" w:rsidRDefault="00DC2FFD" w:rsidP="00DC2FFD">
            <w:pPr>
              <w:spacing w:after="0"/>
              <w:jc w:val="center"/>
              <w:rPr>
                <w:i/>
                <w:sz w:val="20"/>
                <w:lang w:val="en-GB"/>
              </w:rPr>
            </w:pPr>
            <w:r w:rsidRPr="00DC2FFD">
              <w:rPr>
                <w:i/>
                <w:sz w:val="20"/>
                <w:lang w:val="en-GB"/>
              </w:rPr>
              <w:t>1,114</w:t>
            </w:r>
          </w:p>
        </w:tc>
      </w:tr>
      <w:tr w:rsidR="00DC2FFD" w:rsidRPr="00DC2FFD" w14:paraId="562C1531" w14:textId="77777777" w:rsidTr="00296435">
        <w:tc>
          <w:tcPr>
            <w:tcW w:w="5824" w:type="dxa"/>
            <w:shd w:val="clear" w:color="auto" w:fill="auto"/>
            <w:vAlign w:val="center"/>
          </w:tcPr>
          <w:p w14:paraId="6CC165DB" w14:textId="77777777" w:rsidR="00DC2FFD" w:rsidRPr="00DC2FFD" w:rsidRDefault="00DC2FFD" w:rsidP="00DC2FFD">
            <w:pPr>
              <w:spacing w:after="0"/>
              <w:jc w:val="center"/>
              <w:rPr>
                <w:i/>
                <w:sz w:val="20"/>
                <w:lang w:val="en-GB"/>
              </w:rPr>
            </w:pPr>
            <w:r w:rsidRPr="00DC2FFD">
              <w:rPr>
                <w:i/>
                <w:sz w:val="20"/>
                <w:lang w:val="en-GB"/>
              </w:rPr>
              <w:t>Self-efficiency training</w:t>
            </w:r>
          </w:p>
        </w:tc>
        <w:tc>
          <w:tcPr>
            <w:tcW w:w="1641" w:type="dxa"/>
            <w:shd w:val="clear" w:color="auto" w:fill="auto"/>
            <w:vAlign w:val="center"/>
          </w:tcPr>
          <w:p w14:paraId="526D6C82" w14:textId="77777777" w:rsidR="00DC2FFD" w:rsidRPr="00DC2FFD" w:rsidRDefault="00DC2FFD" w:rsidP="00DC2FFD">
            <w:pPr>
              <w:spacing w:after="0"/>
              <w:jc w:val="center"/>
              <w:rPr>
                <w:i/>
                <w:sz w:val="20"/>
                <w:lang w:val="en-GB"/>
              </w:rPr>
            </w:pPr>
            <w:r w:rsidRPr="00DC2FFD">
              <w:rPr>
                <w:i/>
                <w:sz w:val="20"/>
                <w:lang w:val="en-GB"/>
              </w:rPr>
              <w:t>58</w:t>
            </w:r>
          </w:p>
        </w:tc>
        <w:tc>
          <w:tcPr>
            <w:tcW w:w="1597" w:type="dxa"/>
            <w:shd w:val="clear" w:color="auto" w:fill="auto"/>
            <w:vAlign w:val="center"/>
          </w:tcPr>
          <w:p w14:paraId="4AE88B12" w14:textId="77777777" w:rsidR="00DC2FFD" w:rsidRPr="00DC2FFD" w:rsidRDefault="00DC2FFD" w:rsidP="00DC2FFD">
            <w:pPr>
              <w:spacing w:after="0"/>
              <w:jc w:val="center"/>
              <w:rPr>
                <w:i/>
                <w:sz w:val="20"/>
                <w:lang w:val="en-GB"/>
              </w:rPr>
            </w:pPr>
            <w:r w:rsidRPr="00DC2FFD">
              <w:rPr>
                <w:i/>
                <w:sz w:val="20"/>
                <w:lang w:val="en-GB"/>
              </w:rPr>
              <w:t>33</w:t>
            </w:r>
          </w:p>
        </w:tc>
      </w:tr>
      <w:tr w:rsidR="00DC2FFD" w:rsidRPr="00DC2FFD" w14:paraId="4BCBD53A" w14:textId="77777777" w:rsidTr="00296435">
        <w:tc>
          <w:tcPr>
            <w:tcW w:w="5824" w:type="dxa"/>
            <w:shd w:val="clear" w:color="auto" w:fill="auto"/>
            <w:vAlign w:val="center"/>
          </w:tcPr>
          <w:p w14:paraId="7435E8F7" w14:textId="77777777" w:rsidR="00DC2FFD" w:rsidRPr="00DC2FFD" w:rsidRDefault="00DC2FFD" w:rsidP="00DC2FFD">
            <w:pPr>
              <w:spacing w:after="0"/>
              <w:jc w:val="center"/>
              <w:rPr>
                <w:i/>
                <w:sz w:val="20"/>
                <w:lang w:val="en-GB"/>
              </w:rPr>
            </w:pPr>
            <w:r w:rsidRPr="00DC2FFD">
              <w:rPr>
                <w:i/>
                <w:sz w:val="20"/>
                <w:lang w:val="en-GB"/>
              </w:rPr>
              <w:t>Job search club</w:t>
            </w:r>
          </w:p>
        </w:tc>
        <w:tc>
          <w:tcPr>
            <w:tcW w:w="1641" w:type="dxa"/>
            <w:shd w:val="clear" w:color="auto" w:fill="auto"/>
            <w:vAlign w:val="center"/>
          </w:tcPr>
          <w:p w14:paraId="533748B6" w14:textId="77777777" w:rsidR="00DC2FFD" w:rsidRPr="00DC2FFD" w:rsidRDefault="00DC2FFD" w:rsidP="00DC2FFD">
            <w:pPr>
              <w:spacing w:after="0"/>
              <w:jc w:val="center"/>
              <w:rPr>
                <w:i/>
                <w:sz w:val="20"/>
                <w:lang w:val="en-GB"/>
              </w:rPr>
            </w:pPr>
            <w:r w:rsidRPr="00DC2FFD">
              <w:rPr>
                <w:i/>
                <w:sz w:val="20"/>
                <w:lang w:val="en-GB"/>
              </w:rPr>
              <w:t>75</w:t>
            </w:r>
          </w:p>
        </w:tc>
        <w:tc>
          <w:tcPr>
            <w:tcW w:w="1597" w:type="dxa"/>
            <w:shd w:val="clear" w:color="auto" w:fill="auto"/>
            <w:vAlign w:val="center"/>
          </w:tcPr>
          <w:p w14:paraId="0AED4710" w14:textId="77777777" w:rsidR="00DC2FFD" w:rsidRPr="00DC2FFD" w:rsidRDefault="00DC2FFD" w:rsidP="00DC2FFD">
            <w:pPr>
              <w:spacing w:after="0"/>
              <w:jc w:val="center"/>
              <w:rPr>
                <w:i/>
                <w:sz w:val="20"/>
                <w:lang w:val="en-GB"/>
              </w:rPr>
            </w:pPr>
            <w:r w:rsidRPr="00DC2FFD">
              <w:rPr>
                <w:i/>
                <w:sz w:val="20"/>
                <w:lang w:val="en-GB"/>
              </w:rPr>
              <w:t>36</w:t>
            </w:r>
          </w:p>
        </w:tc>
      </w:tr>
      <w:tr w:rsidR="00DC2FFD" w:rsidRPr="00DC2FFD" w14:paraId="749A5BF1" w14:textId="77777777" w:rsidTr="00296435">
        <w:tc>
          <w:tcPr>
            <w:tcW w:w="5824" w:type="dxa"/>
            <w:shd w:val="clear" w:color="auto" w:fill="auto"/>
            <w:vAlign w:val="center"/>
          </w:tcPr>
          <w:p w14:paraId="65BFF68C" w14:textId="77777777" w:rsidR="00DC2FFD" w:rsidRPr="00DC2FFD" w:rsidRDefault="00DC2FFD" w:rsidP="00DC2FFD">
            <w:pPr>
              <w:spacing w:after="0"/>
              <w:jc w:val="center"/>
              <w:rPr>
                <w:i/>
                <w:sz w:val="20"/>
                <w:lang w:val="en-GB"/>
              </w:rPr>
            </w:pPr>
            <w:r w:rsidRPr="00DC2FFD">
              <w:rPr>
                <w:i/>
                <w:sz w:val="20"/>
                <w:lang w:val="en-GB"/>
              </w:rPr>
              <w:t>Employment fair</w:t>
            </w:r>
          </w:p>
        </w:tc>
        <w:tc>
          <w:tcPr>
            <w:tcW w:w="1641" w:type="dxa"/>
            <w:shd w:val="clear" w:color="auto" w:fill="auto"/>
            <w:vAlign w:val="center"/>
          </w:tcPr>
          <w:p w14:paraId="106248F5" w14:textId="77777777" w:rsidR="00DC2FFD" w:rsidRPr="00DC2FFD" w:rsidRDefault="00DC2FFD" w:rsidP="00DC2FFD">
            <w:pPr>
              <w:spacing w:after="0"/>
              <w:jc w:val="center"/>
              <w:rPr>
                <w:i/>
                <w:sz w:val="20"/>
                <w:lang w:val="en-GB"/>
              </w:rPr>
            </w:pPr>
            <w:r w:rsidRPr="00DC2FFD">
              <w:rPr>
                <w:i/>
                <w:sz w:val="20"/>
                <w:lang w:val="en-GB"/>
              </w:rPr>
              <w:t>333</w:t>
            </w:r>
          </w:p>
        </w:tc>
        <w:tc>
          <w:tcPr>
            <w:tcW w:w="1597" w:type="dxa"/>
            <w:shd w:val="clear" w:color="auto" w:fill="auto"/>
            <w:vAlign w:val="center"/>
          </w:tcPr>
          <w:p w14:paraId="2595884B" w14:textId="77777777" w:rsidR="00DC2FFD" w:rsidRPr="00DC2FFD" w:rsidRDefault="00DC2FFD" w:rsidP="00DC2FFD">
            <w:pPr>
              <w:spacing w:after="0"/>
              <w:jc w:val="center"/>
              <w:rPr>
                <w:i/>
                <w:sz w:val="20"/>
                <w:lang w:val="en-GB"/>
              </w:rPr>
            </w:pPr>
            <w:r w:rsidRPr="00DC2FFD">
              <w:rPr>
                <w:i/>
                <w:sz w:val="20"/>
                <w:lang w:val="en-GB"/>
              </w:rPr>
              <w:t>152</w:t>
            </w:r>
          </w:p>
        </w:tc>
      </w:tr>
      <w:tr w:rsidR="00DC2FFD" w:rsidRPr="00DC2FFD" w14:paraId="42F3C37E" w14:textId="77777777" w:rsidTr="00296435">
        <w:tc>
          <w:tcPr>
            <w:tcW w:w="5824" w:type="dxa"/>
            <w:shd w:val="clear" w:color="auto" w:fill="auto"/>
            <w:vAlign w:val="center"/>
          </w:tcPr>
          <w:p w14:paraId="60C61D51" w14:textId="77777777" w:rsidR="00DC2FFD" w:rsidRPr="00DC2FFD" w:rsidRDefault="00DC2FFD" w:rsidP="00DC2FFD">
            <w:pPr>
              <w:spacing w:after="0"/>
              <w:jc w:val="center"/>
              <w:rPr>
                <w:i/>
                <w:sz w:val="20"/>
                <w:lang w:val="en-GB"/>
              </w:rPr>
            </w:pPr>
            <w:r w:rsidRPr="00DC2FFD">
              <w:rPr>
                <w:i/>
                <w:sz w:val="20"/>
                <w:lang w:val="en-GB"/>
              </w:rPr>
              <w:t>Workshop for overcoming the stress of a job loss</w:t>
            </w:r>
          </w:p>
        </w:tc>
        <w:tc>
          <w:tcPr>
            <w:tcW w:w="1641" w:type="dxa"/>
            <w:shd w:val="clear" w:color="auto" w:fill="auto"/>
            <w:vAlign w:val="center"/>
          </w:tcPr>
          <w:p w14:paraId="2B5F9481" w14:textId="77777777" w:rsidR="00DC2FFD" w:rsidRPr="00DC2FFD" w:rsidRDefault="00DC2FFD" w:rsidP="00DC2FFD">
            <w:pPr>
              <w:spacing w:after="0"/>
              <w:jc w:val="center"/>
              <w:rPr>
                <w:i/>
                <w:sz w:val="20"/>
                <w:lang w:val="en-GB"/>
              </w:rPr>
            </w:pPr>
            <w:r w:rsidRPr="00DC2FFD">
              <w:rPr>
                <w:i/>
                <w:sz w:val="20"/>
                <w:lang w:val="en-GB"/>
              </w:rPr>
              <w:t>6</w:t>
            </w:r>
          </w:p>
        </w:tc>
        <w:tc>
          <w:tcPr>
            <w:tcW w:w="1597" w:type="dxa"/>
            <w:shd w:val="clear" w:color="auto" w:fill="auto"/>
            <w:vAlign w:val="center"/>
          </w:tcPr>
          <w:p w14:paraId="0CD0D7CE" w14:textId="77777777" w:rsidR="00DC2FFD" w:rsidRPr="00DC2FFD" w:rsidRDefault="00DC2FFD" w:rsidP="00DC2FFD">
            <w:pPr>
              <w:spacing w:after="0"/>
              <w:jc w:val="center"/>
              <w:rPr>
                <w:i/>
                <w:sz w:val="20"/>
                <w:lang w:val="en-GB"/>
              </w:rPr>
            </w:pPr>
            <w:r w:rsidRPr="00DC2FFD">
              <w:rPr>
                <w:i/>
                <w:sz w:val="20"/>
                <w:lang w:val="en-GB"/>
              </w:rPr>
              <w:t>3</w:t>
            </w:r>
          </w:p>
        </w:tc>
      </w:tr>
      <w:tr w:rsidR="00DC2FFD" w:rsidRPr="00DC2FFD" w14:paraId="4FF9023B" w14:textId="77777777" w:rsidTr="00296435">
        <w:tc>
          <w:tcPr>
            <w:tcW w:w="5824" w:type="dxa"/>
            <w:shd w:val="clear" w:color="auto" w:fill="auto"/>
            <w:vAlign w:val="center"/>
          </w:tcPr>
          <w:p w14:paraId="1C9F8175" w14:textId="77777777" w:rsidR="00DC2FFD" w:rsidRPr="00DC2FFD" w:rsidRDefault="00DC2FFD" w:rsidP="00DC2FFD">
            <w:pPr>
              <w:spacing w:after="0"/>
              <w:jc w:val="center"/>
              <w:rPr>
                <w:i/>
                <w:sz w:val="20"/>
                <w:lang w:val="en-GB"/>
              </w:rPr>
            </w:pPr>
            <w:r w:rsidRPr="00DC2FFD">
              <w:rPr>
                <w:i/>
                <w:sz w:val="20"/>
                <w:lang w:val="en-GB"/>
              </w:rPr>
              <w:t>Training for development of entrepreneurship</w:t>
            </w:r>
          </w:p>
        </w:tc>
        <w:tc>
          <w:tcPr>
            <w:tcW w:w="1641" w:type="dxa"/>
            <w:shd w:val="clear" w:color="auto" w:fill="auto"/>
            <w:vAlign w:val="center"/>
          </w:tcPr>
          <w:p w14:paraId="2E362053" w14:textId="77777777" w:rsidR="00DC2FFD" w:rsidRPr="00DC2FFD" w:rsidRDefault="00DC2FFD" w:rsidP="00DC2FFD">
            <w:pPr>
              <w:spacing w:after="0"/>
              <w:jc w:val="center"/>
              <w:rPr>
                <w:i/>
                <w:sz w:val="20"/>
                <w:lang w:val="en-GB"/>
              </w:rPr>
            </w:pPr>
            <w:r w:rsidRPr="00DC2FFD">
              <w:rPr>
                <w:i/>
                <w:sz w:val="20"/>
                <w:lang w:val="en-GB"/>
              </w:rPr>
              <w:t>673</w:t>
            </w:r>
          </w:p>
        </w:tc>
        <w:tc>
          <w:tcPr>
            <w:tcW w:w="1597" w:type="dxa"/>
            <w:shd w:val="clear" w:color="auto" w:fill="auto"/>
            <w:vAlign w:val="center"/>
          </w:tcPr>
          <w:p w14:paraId="6D82DA2E" w14:textId="77777777" w:rsidR="00DC2FFD" w:rsidRPr="00DC2FFD" w:rsidRDefault="00DC2FFD" w:rsidP="00DC2FFD">
            <w:pPr>
              <w:spacing w:after="0"/>
              <w:jc w:val="center"/>
              <w:rPr>
                <w:i/>
                <w:sz w:val="20"/>
                <w:lang w:val="en-GB"/>
              </w:rPr>
            </w:pPr>
            <w:r w:rsidRPr="00DC2FFD">
              <w:rPr>
                <w:i/>
                <w:sz w:val="20"/>
                <w:lang w:val="en-GB"/>
              </w:rPr>
              <w:t>259</w:t>
            </w:r>
          </w:p>
        </w:tc>
      </w:tr>
      <w:tr w:rsidR="00DC2FFD" w:rsidRPr="00DC2FFD" w14:paraId="430C4819" w14:textId="77777777" w:rsidTr="00296435">
        <w:tc>
          <w:tcPr>
            <w:tcW w:w="5824" w:type="dxa"/>
            <w:shd w:val="clear" w:color="auto" w:fill="auto"/>
            <w:vAlign w:val="center"/>
          </w:tcPr>
          <w:p w14:paraId="1ED78473" w14:textId="77777777" w:rsidR="00DC2FFD" w:rsidRPr="00DC2FFD" w:rsidRDefault="00DC2FFD" w:rsidP="00DC2FFD">
            <w:pPr>
              <w:spacing w:after="0"/>
              <w:jc w:val="center"/>
              <w:rPr>
                <w:b/>
                <w:sz w:val="20"/>
                <w:lang w:val="en-GB"/>
              </w:rPr>
            </w:pPr>
            <w:r w:rsidRPr="00DC2FFD">
              <w:rPr>
                <w:b/>
                <w:sz w:val="20"/>
                <w:lang w:val="en-GB"/>
              </w:rPr>
              <w:t>Additional education and training</w:t>
            </w:r>
          </w:p>
        </w:tc>
        <w:tc>
          <w:tcPr>
            <w:tcW w:w="1641" w:type="dxa"/>
            <w:shd w:val="clear" w:color="auto" w:fill="auto"/>
            <w:vAlign w:val="center"/>
          </w:tcPr>
          <w:p w14:paraId="4D0102A6" w14:textId="77777777" w:rsidR="00DC2FFD" w:rsidRPr="00DC2FFD" w:rsidRDefault="00DC2FFD" w:rsidP="00DC2FFD">
            <w:pPr>
              <w:spacing w:after="0"/>
              <w:jc w:val="center"/>
              <w:rPr>
                <w:b/>
                <w:sz w:val="20"/>
                <w:lang w:val="en-GB"/>
              </w:rPr>
            </w:pPr>
            <w:r w:rsidRPr="00DC2FFD">
              <w:rPr>
                <w:b/>
                <w:sz w:val="20"/>
                <w:lang w:val="en-GB"/>
              </w:rPr>
              <w:t>812</w:t>
            </w:r>
          </w:p>
        </w:tc>
        <w:tc>
          <w:tcPr>
            <w:tcW w:w="1597" w:type="dxa"/>
            <w:shd w:val="clear" w:color="auto" w:fill="auto"/>
            <w:vAlign w:val="center"/>
          </w:tcPr>
          <w:p w14:paraId="3ACF7019" w14:textId="77777777" w:rsidR="00DC2FFD" w:rsidRPr="00DC2FFD" w:rsidRDefault="00DC2FFD" w:rsidP="00DC2FFD">
            <w:pPr>
              <w:spacing w:after="0"/>
              <w:jc w:val="center"/>
              <w:rPr>
                <w:b/>
                <w:sz w:val="20"/>
                <w:lang w:val="en-GB"/>
              </w:rPr>
            </w:pPr>
            <w:r w:rsidRPr="00DC2FFD">
              <w:rPr>
                <w:b/>
                <w:sz w:val="20"/>
                <w:lang w:val="en-GB"/>
              </w:rPr>
              <w:t>491</w:t>
            </w:r>
          </w:p>
        </w:tc>
      </w:tr>
      <w:tr w:rsidR="00DC2FFD" w:rsidRPr="00DC2FFD" w14:paraId="39498A50" w14:textId="77777777" w:rsidTr="00296435">
        <w:tc>
          <w:tcPr>
            <w:tcW w:w="5824" w:type="dxa"/>
            <w:shd w:val="clear" w:color="auto" w:fill="auto"/>
            <w:vAlign w:val="center"/>
          </w:tcPr>
          <w:p w14:paraId="4936B8D4" w14:textId="77777777" w:rsidR="00DC2FFD" w:rsidRPr="00DC2FFD" w:rsidRDefault="00DC2FFD" w:rsidP="00DC2FFD">
            <w:pPr>
              <w:spacing w:after="0"/>
              <w:jc w:val="center"/>
              <w:rPr>
                <w:sz w:val="20"/>
                <w:lang w:val="en-GB"/>
              </w:rPr>
            </w:pPr>
            <w:r w:rsidRPr="00DC2FFD">
              <w:rPr>
                <w:sz w:val="20"/>
                <w:lang w:val="en-GB"/>
              </w:rPr>
              <w:t>Internship</w:t>
            </w:r>
          </w:p>
        </w:tc>
        <w:tc>
          <w:tcPr>
            <w:tcW w:w="1641" w:type="dxa"/>
            <w:shd w:val="clear" w:color="auto" w:fill="auto"/>
            <w:vAlign w:val="center"/>
          </w:tcPr>
          <w:p w14:paraId="535D7D5F" w14:textId="77777777" w:rsidR="00DC2FFD" w:rsidRPr="00DC2FFD" w:rsidRDefault="00DC2FFD" w:rsidP="00DC2FFD">
            <w:pPr>
              <w:spacing w:after="0"/>
              <w:jc w:val="center"/>
              <w:rPr>
                <w:sz w:val="20"/>
                <w:lang w:val="en-GB"/>
              </w:rPr>
            </w:pPr>
            <w:r w:rsidRPr="00DC2FFD">
              <w:rPr>
                <w:sz w:val="20"/>
                <w:lang w:val="en-GB"/>
              </w:rPr>
              <w:t>8</w:t>
            </w:r>
          </w:p>
        </w:tc>
        <w:tc>
          <w:tcPr>
            <w:tcW w:w="1597" w:type="dxa"/>
            <w:shd w:val="clear" w:color="auto" w:fill="auto"/>
            <w:vAlign w:val="center"/>
          </w:tcPr>
          <w:p w14:paraId="449F95FB" w14:textId="77777777" w:rsidR="00DC2FFD" w:rsidRPr="00DC2FFD" w:rsidRDefault="00DC2FFD" w:rsidP="00DC2FFD">
            <w:pPr>
              <w:spacing w:after="0"/>
              <w:jc w:val="center"/>
              <w:rPr>
                <w:sz w:val="20"/>
                <w:lang w:val="en-GB"/>
              </w:rPr>
            </w:pPr>
            <w:r w:rsidRPr="00DC2FFD">
              <w:rPr>
                <w:sz w:val="20"/>
                <w:lang w:val="en-GB"/>
              </w:rPr>
              <w:t>5</w:t>
            </w:r>
          </w:p>
        </w:tc>
      </w:tr>
      <w:tr w:rsidR="00DC2FFD" w:rsidRPr="00DC2FFD" w14:paraId="5859E112" w14:textId="77777777" w:rsidTr="00296435">
        <w:tc>
          <w:tcPr>
            <w:tcW w:w="5824" w:type="dxa"/>
            <w:shd w:val="clear" w:color="auto" w:fill="auto"/>
            <w:vAlign w:val="center"/>
          </w:tcPr>
          <w:p w14:paraId="554BE784" w14:textId="77777777" w:rsidR="00DC2FFD" w:rsidRPr="00DC2FFD" w:rsidRDefault="00DC2FFD" w:rsidP="00DC2FFD">
            <w:pPr>
              <w:spacing w:after="0"/>
              <w:jc w:val="center"/>
              <w:rPr>
                <w:sz w:val="20"/>
                <w:lang w:val="en-GB"/>
              </w:rPr>
            </w:pPr>
            <w:r w:rsidRPr="00DC2FFD">
              <w:rPr>
                <w:sz w:val="20"/>
                <w:lang w:val="en-GB"/>
              </w:rPr>
              <w:t>Internship for young people with tertiary education</w:t>
            </w:r>
          </w:p>
        </w:tc>
        <w:tc>
          <w:tcPr>
            <w:tcW w:w="1641" w:type="dxa"/>
            <w:shd w:val="clear" w:color="auto" w:fill="auto"/>
            <w:vAlign w:val="center"/>
          </w:tcPr>
          <w:p w14:paraId="5BFDA598" w14:textId="77777777" w:rsidR="00DC2FFD" w:rsidRPr="00DC2FFD" w:rsidRDefault="00DC2FFD" w:rsidP="00DC2FFD">
            <w:pPr>
              <w:spacing w:after="0"/>
              <w:jc w:val="center"/>
              <w:rPr>
                <w:sz w:val="20"/>
                <w:lang w:val="en-GB"/>
              </w:rPr>
            </w:pPr>
            <w:r w:rsidRPr="00DC2FFD">
              <w:rPr>
                <w:sz w:val="20"/>
                <w:lang w:val="en-GB"/>
              </w:rPr>
              <w:t>39</w:t>
            </w:r>
          </w:p>
        </w:tc>
        <w:tc>
          <w:tcPr>
            <w:tcW w:w="1597" w:type="dxa"/>
            <w:shd w:val="clear" w:color="auto" w:fill="auto"/>
            <w:vAlign w:val="center"/>
          </w:tcPr>
          <w:p w14:paraId="2CC68E9D" w14:textId="77777777" w:rsidR="00DC2FFD" w:rsidRPr="00DC2FFD" w:rsidRDefault="00DC2FFD" w:rsidP="00DC2FFD">
            <w:pPr>
              <w:spacing w:after="0"/>
              <w:jc w:val="center"/>
              <w:rPr>
                <w:sz w:val="20"/>
                <w:lang w:val="en-GB"/>
              </w:rPr>
            </w:pPr>
            <w:r w:rsidRPr="00DC2FFD">
              <w:rPr>
                <w:sz w:val="20"/>
                <w:lang w:val="en-GB"/>
              </w:rPr>
              <w:t>21</w:t>
            </w:r>
          </w:p>
        </w:tc>
      </w:tr>
      <w:tr w:rsidR="00DC2FFD" w:rsidRPr="00DC2FFD" w14:paraId="37462B32" w14:textId="77777777" w:rsidTr="00296435">
        <w:tc>
          <w:tcPr>
            <w:tcW w:w="5824" w:type="dxa"/>
            <w:shd w:val="clear" w:color="auto" w:fill="auto"/>
            <w:vAlign w:val="center"/>
          </w:tcPr>
          <w:p w14:paraId="0B1C46AF" w14:textId="77777777" w:rsidR="00DC2FFD" w:rsidRPr="00DC2FFD" w:rsidRDefault="00DC2FFD" w:rsidP="00DC2FFD">
            <w:pPr>
              <w:spacing w:after="0"/>
              <w:jc w:val="center"/>
              <w:rPr>
                <w:sz w:val="20"/>
                <w:lang w:val="en-GB"/>
              </w:rPr>
            </w:pPr>
            <w:r w:rsidRPr="00DC2FFD">
              <w:rPr>
                <w:sz w:val="20"/>
                <w:lang w:val="en-GB"/>
              </w:rPr>
              <w:t>Internship for unemployed people with secondary education</w:t>
            </w:r>
          </w:p>
        </w:tc>
        <w:tc>
          <w:tcPr>
            <w:tcW w:w="1641" w:type="dxa"/>
            <w:shd w:val="clear" w:color="auto" w:fill="auto"/>
            <w:vAlign w:val="center"/>
          </w:tcPr>
          <w:p w14:paraId="56D06491" w14:textId="77777777" w:rsidR="00DC2FFD" w:rsidRPr="00DC2FFD" w:rsidRDefault="00DC2FFD" w:rsidP="00DC2FFD">
            <w:pPr>
              <w:spacing w:after="0"/>
              <w:jc w:val="center"/>
              <w:rPr>
                <w:sz w:val="20"/>
                <w:lang w:val="en-GB"/>
              </w:rPr>
            </w:pPr>
            <w:r w:rsidRPr="00DC2FFD">
              <w:rPr>
                <w:sz w:val="20"/>
                <w:lang w:val="en-GB"/>
              </w:rPr>
              <w:t>47</w:t>
            </w:r>
          </w:p>
        </w:tc>
        <w:tc>
          <w:tcPr>
            <w:tcW w:w="1597" w:type="dxa"/>
            <w:shd w:val="clear" w:color="auto" w:fill="auto"/>
            <w:vAlign w:val="center"/>
          </w:tcPr>
          <w:p w14:paraId="13AEE2F9" w14:textId="77777777" w:rsidR="00DC2FFD" w:rsidRPr="00DC2FFD" w:rsidRDefault="00DC2FFD" w:rsidP="00DC2FFD">
            <w:pPr>
              <w:spacing w:after="0"/>
              <w:jc w:val="center"/>
              <w:rPr>
                <w:sz w:val="20"/>
                <w:lang w:val="en-GB"/>
              </w:rPr>
            </w:pPr>
            <w:r w:rsidRPr="00DC2FFD">
              <w:rPr>
                <w:sz w:val="20"/>
                <w:lang w:val="en-GB"/>
              </w:rPr>
              <w:t>26</w:t>
            </w:r>
          </w:p>
        </w:tc>
      </w:tr>
      <w:tr w:rsidR="00DC2FFD" w:rsidRPr="00DC2FFD" w14:paraId="2932D022" w14:textId="77777777" w:rsidTr="00296435">
        <w:tc>
          <w:tcPr>
            <w:tcW w:w="5824" w:type="dxa"/>
            <w:shd w:val="clear" w:color="auto" w:fill="auto"/>
            <w:vAlign w:val="center"/>
          </w:tcPr>
          <w:p w14:paraId="19F3F49C" w14:textId="77777777" w:rsidR="00DC2FFD" w:rsidRPr="00DC2FFD" w:rsidRDefault="00DC2FFD" w:rsidP="00DC2FFD">
            <w:pPr>
              <w:spacing w:after="0"/>
              <w:jc w:val="center"/>
              <w:rPr>
                <w:sz w:val="20"/>
                <w:lang w:val="en-GB"/>
              </w:rPr>
            </w:pPr>
            <w:r w:rsidRPr="00DC2FFD">
              <w:rPr>
                <w:sz w:val="20"/>
                <w:lang w:val="en-GB"/>
              </w:rPr>
              <w:t>Acquiring practical knowledge</w:t>
            </w:r>
          </w:p>
        </w:tc>
        <w:tc>
          <w:tcPr>
            <w:tcW w:w="1641" w:type="dxa"/>
            <w:shd w:val="clear" w:color="auto" w:fill="auto"/>
            <w:vAlign w:val="center"/>
          </w:tcPr>
          <w:p w14:paraId="3EFBB72D" w14:textId="77777777" w:rsidR="00DC2FFD" w:rsidRPr="00DC2FFD" w:rsidRDefault="00DC2FFD" w:rsidP="00DC2FFD">
            <w:pPr>
              <w:spacing w:after="0"/>
              <w:jc w:val="center"/>
              <w:rPr>
                <w:sz w:val="20"/>
                <w:lang w:val="en-GB"/>
              </w:rPr>
            </w:pPr>
            <w:r w:rsidRPr="00DC2FFD">
              <w:rPr>
                <w:sz w:val="20"/>
                <w:lang w:val="en-GB"/>
              </w:rPr>
              <w:t>20</w:t>
            </w:r>
          </w:p>
        </w:tc>
        <w:tc>
          <w:tcPr>
            <w:tcW w:w="1597" w:type="dxa"/>
            <w:shd w:val="clear" w:color="auto" w:fill="auto"/>
            <w:vAlign w:val="center"/>
          </w:tcPr>
          <w:p w14:paraId="59AEFD28" w14:textId="77777777" w:rsidR="00DC2FFD" w:rsidRPr="00DC2FFD" w:rsidRDefault="00DC2FFD" w:rsidP="00DC2FFD">
            <w:pPr>
              <w:spacing w:after="0"/>
              <w:jc w:val="center"/>
              <w:rPr>
                <w:sz w:val="20"/>
                <w:lang w:val="en-GB"/>
              </w:rPr>
            </w:pPr>
            <w:r w:rsidRPr="00DC2FFD">
              <w:rPr>
                <w:sz w:val="20"/>
                <w:lang w:val="en-GB"/>
              </w:rPr>
              <w:t>9</w:t>
            </w:r>
          </w:p>
        </w:tc>
      </w:tr>
      <w:tr w:rsidR="00DC2FFD" w:rsidRPr="00DC2FFD" w14:paraId="0BB721F4" w14:textId="77777777" w:rsidTr="00296435">
        <w:tc>
          <w:tcPr>
            <w:tcW w:w="5824" w:type="dxa"/>
            <w:shd w:val="clear" w:color="auto" w:fill="auto"/>
            <w:vAlign w:val="center"/>
          </w:tcPr>
          <w:p w14:paraId="1D6771B5" w14:textId="77777777" w:rsidR="00DC2FFD" w:rsidRPr="00DC2FFD" w:rsidRDefault="00DC2FFD" w:rsidP="00DC2FFD">
            <w:pPr>
              <w:spacing w:after="0"/>
              <w:jc w:val="center"/>
              <w:rPr>
                <w:sz w:val="20"/>
                <w:lang w:val="en-GB"/>
              </w:rPr>
            </w:pPr>
            <w:r w:rsidRPr="00DC2FFD">
              <w:rPr>
                <w:sz w:val="20"/>
                <w:lang w:val="en-GB"/>
              </w:rPr>
              <w:t>Labour market training</w:t>
            </w:r>
          </w:p>
        </w:tc>
        <w:tc>
          <w:tcPr>
            <w:tcW w:w="1641" w:type="dxa"/>
            <w:shd w:val="clear" w:color="auto" w:fill="auto"/>
            <w:vAlign w:val="center"/>
          </w:tcPr>
          <w:p w14:paraId="2481FFED" w14:textId="77777777" w:rsidR="00DC2FFD" w:rsidRPr="00DC2FFD" w:rsidRDefault="00DC2FFD" w:rsidP="00DC2FFD">
            <w:pPr>
              <w:spacing w:after="0"/>
              <w:jc w:val="center"/>
              <w:rPr>
                <w:sz w:val="20"/>
                <w:lang w:val="en-GB"/>
              </w:rPr>
            </w:pPr>
            <w:r w:rsidRPr="00DC2FFD">
              <w:rPr>
                <w:sz w:val="20"/>
                <w:lang w:val="en-GB"/>
              </w:rPr>
              <w:t>14</w:t>
            </w:r>
          </w:p>
        </w:tc>
        <w:tc>
          <w:tcPr>
            <w:tcW w:w="1597" w:type="dxa"/>
            <w:shd w:val="clear" w:color="auto" w:fill="auto"/>
            <w:vAlign w:val="center"/>
          </w:tcPr>
          <w:p w14:paraId="2A43F267" w14:textId="77777777" w:rsidR="00DC2FFD" w:rsidRPr="00DC2FFD" w:rsidRDefault="00DC2FFD" w:rsidP="00DC2FFD">
            <w:pPr>
              <w:spacing w:after="0"/>
              <w:jc w:val="center"/>
              <w:rPr>
                <w:sz w:val="20"/>
                <w:lang w:val="en-GB"/>
              </w:rPr>
            </w:pPr>
            <w:r w:rsidRPr="00DC2FFD">
              <w:rPr>
                <w:sz w:val="20"/>
                <w:lang w:val="en-GB"/>
              </w:rPr>
              <w:t>5</w:t>
            </w:r>
          </w:p>
        </w:tc>
      </w:tr>
      <w:tr w:rsidR="00DC2FFD" w:rsidRPr="00DC2FFD" w14:paraId="24A25F58" w14:textId="77777777" w:rsidTr="00296435">
        <w:tc>
          <w:tcPr>
            <w:tcW w:w="5824" w:type="dxa"/>
            <w:shd w:val="clear" w:color="auto" w:fill="auto"/>
            <w:vAlign w:val="center"/>
          </w:tcPr>
          <w:p w14:paraId="0B9E3A87" w14:textId="77777777" w:rsidR="00DC2FFD" w:rsidRPr="00DC2FFD" w:rsidRDefault="00DC2FFD" w:rsidP="00DC2FFD">
            <w:pPr>
              <w:spacing w:after="0"/>
              <w:jc w:val="center"/>
              <w:rPr>
                <w:sz w:val="20"/>
                <w:lang w:val="en-GB"/>
              </w:rPr>
            </w:pPr>
            <w:r w:rsidRPr="00DC2FFD">
              <w:rPr>
                <w:sz w:val="20"/>
                <w:lang w:val="en-GB"/>
              </w:rPr>
              <w:t>Trainings at the request of the employer – for unemployed persons</w:t>
            </w:r>
          </w:p>
        </w:tc>
        <w:tc>
          <w:tcPr>
            <w:tcW w:w="1641" w:type="dxa"/>
            <w:shd w:val="clear" w:color="auto" w:fill="auto"/>
            <w:vAlign w:val="center"/>
          </w:tcPr>
          <w:p w14:paraId="5037F8F3" w14:textId="77777777" w:rsidR="00DC2FFD" w:rsidRPr="00DC2FFD" w:rsidRDefault="00DC2FFD" w:rsidP="00DC2FFD">
            <w:pPr>
              <w:spacing w:after="0"/>
              <w:jc w:val="center"/>
              <w:rPr>
                <w:sz w:val="20"/>
                <w:lang w:val="en-GB"/>
              </w:rPr>
            </w:pPr>
            <w:r w:rsidRPr="00DC2FFD">
              <w:rPr>
                <w:sz w:val="20"/>
                <w:lang w:val="en-GB"/>
              </w:rPr>
              <w:t>13</w:t>
            </w:r>
          </w:p>
        </w:tc>
        <w:tc>
          <w:tcPr>
            <w:tcW w:w="1597" w:type="dxa"/>
            <w:shd w:val="clear" w:color="auto" w:fill="auto"/>
            <w:vAlign w:val="center"/>
          </w:tcPr>
          <w:p w14:paraId="0E566D0E" w14:textId="77777777" w:rsidR="00DC2FFD" w:rsidRPr="00DC2FFD" w:rsidRDefault="00DC2FFD" w:rsidP="00DC2FFD">
            <w:pPr>
              <w:spacing w:after="0"/>
              <w:jc w:val="center"/>
              <w:rPr>
                <w:sz w:val="20"/>
                <w:lang w:val="en-GB"/>
              </w:rPr>
            </w:pPr>
            <w:r w:rsidRPr="00DC2FFD">
              <w:rPr>
                <w:sz w:val="20"/>
                <w:lang w:val="en-GB"/>
              </w:rPr>
              <w:t>8</w:t>
            </w:r>
          </w:p>
        </w:tc>
      </w:tr>
      <w:tr w:rsidR="00DC2FFD" w:rsidRPr="00DC2FFD" w14:paraId="33A055A2" w14:textId="77777777" w:rsidTr="00296435">
        <w:tc>
          <w:tcPr>
            <w:tcW w:w="5824" w:type="dxa"/>
            <w:shd w:val="clear" w:color="auto" w:fill="auto"/>
            <w:vAlign w:val="center"/>
          </w:tcPr>
          <w:p w14:paraId="043081B9" w14:textId="77777777" w:rsidR="00DC2FFD" w:rsidRPr="00DC2FFD" w:rsidRDefault="00DC2FFD" w:rsidP="00DC2FFD">
            <w:pPr>
              <w:spacing w:after="0"/>
              <w:jc w:val="center"/>
              <w:rPr>
                <w:sz w:val="20"/>
                <w:lang w:val="en-GB"/>
              </w:rPr>
            </w:pPr>
            <w:r w:rsidRPr="00DC2FFD">
              <w:rPr>
                <w:sz w:val="20"/>
                <w:lang w:val="en-GB"/>
              </w:rPr>
              <w:t>Functional Basic Education of Adults</w:t>
            </w:r>
          </w:p>
        </w:tc>
        <w:tc>
          <w:tcPr>
            <w:tcW w:w="1641" w:type="dxa"/>
            <w:shd w:val="clear" w:color="auto" w:fill="auto"/>
            <w:vAlign w:val="center"/>
          </w:tcPr>
          <w:p w14:paraId="53ED4603" w14:textId="77777777" w:rsidR="00DC2FFD" w:rsidRPr="00DC2FFD" w:rsidRDefault="00DC2FFD" w:rsidP="00DC2FFD">
            <w:pPr>
              <w:spacing w:after="0"/>
              <w:jc w:val="center"/>
              <w:rPr>
                <w:sz w:val="20"/>
                <w:lang w:val="en-GB"/>
              </w:rPr>
            </w:pPr>
            <w:r w:rsidRPr="00DC2FFD">
              <w:rPr>
                <w:sz w:val="20"/>
                <w:lang w:val="en-GB"/>
              </w:rPr>
              <w:t>635</w:t>
            </w:r>
          </w:p>
        </w:tc>
        <w:tc>
          <w:tcPr>
            <w:tcW w:w="1597" w:type="dxa"/>
            <w:shd w:val="clear" w:color="auto" w:fill="auto"/>
            <w:vAlign w:val="center"/>
          </w:tcPr>
          <w:p w14:paraId="50A3B695" w14:textId="77777777" w:rsidR="00DC2FFD" w:rsidRPr="00DC2FFD" w:rsidRDefault="00DC2FFD" w:rsidP="00DC2FFD">
            <w:pPr>
              <w:spacing w:after="0"/>
              <w:jc w:val="center"/>
              <w:rPr>
                <w:sz w:val="20"/>
                <w:lang w:val="en-GB"/>
              </w:rPr>
            </w:pPr>
            <w:r w:rsidRPr="00DC2FFD">
              <w:rPr>
                <w:sz w:val="20"/>
                <w:lang w:val="en-GB"/>
              </w:rPr>
              <w:t>395</w:t>
            </w:r>
          </w:p>
        </w:tc>
      </w:tr>
      <w:tr w:rsidR="00DC2FFD" w:rsidRPr="00DC2FFD" w14:paraId="56CFA2C4" w14:textId="77777777" w:rsidTr="00296435">
        <w:tc>
          <w:tcPr>
            <w:tcW w:w="5824" w:type="dxa"/>
            <w:shd w:val="clear" w:color="auto" w:fill="auto"/>
            <w:vAlign w:val="center"/>
          </w:tcPr>
          <w:p w14:paraId="29020A16" w14:textId="77777777" w:rsidR="00DC2FFD" w:rsidRPr="00DC2FFD" w:rsidRDefault="00DC2FFD" w:rsidP="00DC2FFD">
            <w:pPr>
              <w:spacing w:after="0"/>
              <w:jc w:val="center"/>
              <w:rPr>
                <w:b/>
                <w:i/>
                <w:sz w:val="20"/>
                <w:lang w:val="en-GB"/>
              </w:rPr>
            </w:pPr>
            <w:r w:rsidRPr="00DC2FFD">
              <w:rPr>
                <w:b/>
                <w:i/>
                <w:sz w:val="20"/>
                <w:lang w:val="en-GB"/>
              </w:rPr>
              <w:t>“My first salary”</w:t>
            </w:r>
          </w:p>
        </w:tc>
        <w:tc>
          <w:tcPr>
            <w:tcW w:w="1641" w:type="dxa"/>
            <w:shd w:val="clear" w:color="auto" w:fill="auto"/>
            <w:vAlign w:val="center"/>
          </w:tcPr>
          <w:p w14:paraId="4E49A67D" w14:textId="77777777" w:rsidR="00DC2FFD" w:rsidRPr="00DC2FFD" w:rsidRDefault="00DC2FFD" w:rsidP="00DC2FFD">
            <w:pPr>
              <w:spacing w:after="0"/>
              <w:jc w:val="center"/>
              <w:rPr>
                <w:b/>
                <w:i/>
                <w:sz w:val="20"/>
                <w:lang w:val="en-GB"/>
              </w:rPr>
            </w:pPr>
            <w:r w:rsidRPr="00DC2FFD">
              <w:rPr>
                <w:b/>
                <w:i/>
                <w:sz w:val="20"/>
                <w:lang w:val="en-GB"/>
              </w:rPr>
              <w:t>36</w:t>
            </w:r>
          </w:p>
        </w:tc>
        <w:tc>
          <w:tcPr>
            <w:tcW w:w="1597" w:type="dxa"/>
            <w:shd w:val="clear" w:color="auto" w:fill="auto"/>
            <w:vAlign w:val="center"/>
          </w:tcPr>
          <w:p w14:paraId="7A84E199" w14:textId="77777777" w:rsidR="00DC2FFD" w:rsidRPr="00DC2FFD" w:rsidRDefault="00DC2FFD" w:rsidP="00DC2FFD">
            <w:pPr>
              <w:spacing w:after="0"/>
              <w:jc w:val="center"/>
              <w:rPr>
                <w:b/>
                <w:i/>
                <w:sz w:val="20"/>
                <w:lang w:val="en-GB"/>
              </w:rPr>
            </w:pPr>
            <w:r w:rsidRPr="00DC2FFD">
              <w:rPr>
                <w:b/>
                <w:i/>
                <w:sz w:val="20"/>
                <w:lang w:val="en-GB"/>
              </w:rPr>
              <w:t>22</w:t>
            </w:r>
          </w:p>
        </w:tc>
      </w:tr>
      <w:tr w:rsidR="00DC2FFD" w:rsidRPr="00DC2FFD" w14:paraId="5E01570E" w14:textId="77777777" w:rsidTr="00296435">
        <w:tc>
          <w:tcPr>
            <w:tcW w:w="5824" w:type="dxa"/>
            <w:shd w:val="clear" w:color="auto" w:fill="auto"/>
            <w:vAlign w:val="center"/>
          </w:tcPr>
          <w:p w14:paraId="76A42087" w14:textId="77777777" w:rsidR="00DC2FFD" w:rsidRPr="00DC2FFD" w:rsidRDefault="00DC2FFD" w:rsidP="00DC2FFD">
            <w:pPr>
              <w:spacing w:after="0"/>
              <w:jc w:val="center"/>
              <w:rPr>
                <w:b/>
                <w:sz w:val="20"/>
                <w:lang w:val="en-GB"/>
              </w:rPr>
            </w:pPr>
            <w:r w:rsidRPr="00DC2FFD">
              <w:rPr>
                <w:b/>
                <w:sz w:val="20"/>
                <w:lang w:val="en-GB"/>
              </w:rPr>
              <w:t>Incentives to employees for employment</w:t>
            </w:r>
          </w:p>
        </w:tc>
        <w:tc>
          <w:tcPr>
            <w:tcW w:w="1641" w:type="dxa"/>
            <w:shd w:val="clear" w:color="auto" w:fill="auto"/>
            <w:vAlign w:val="center"/>
          </w:tcPr>
          <w:p w14:paraId="1180C764" w14:textId="77777777" w:rsidR="00DC2FFD" w:rsidRPr="00DC2FFD" w:rsidRDefault="00DC2FFD" w:rsidP="00DC2FFD">
            <w:pPr>
              <w:spacing w:after="0"/>
              <w:jc w:val="center"/>
              <w:rPr>
                <w:b/>
                <w:sz w:val="20"/>
                <w:lang w:val="en-GB"/>
              </w:rPr>
            </w:pPr>
            <w:r w:rsidRPr="00DC2FFD">
              <w:rPr>
                <w:b/>
                <w:sz w:val="20"/>
                <w:lang w:val="en-GB"/>
              </w:rPr>
              <w:t>880</w:t>
            </w:r>
          </w:p>
        </w:tc>
        <w:tc>
          <w:tcPr>
            <w:tcW w:w="1597" w:type="dxa"/>
            <w:shd w:val="clear" w:color="auto" w:fill="auto"/>
            <w:vAlign w:val="center"/>
          </w:tcPr>
          <w:p w14:paraId="146E13FC" w14:textId="77777777" w:rsidR="00DC2FFD" w:rsidRPr="00DC2FFD" w:rsidRDefault="00DC2FFD" w:rsidP="00DC2FFD">
            <w:pPr>
              <w:spacing w:after="0"/>
              <w:jc w:val="center"/>
              <w:rPr>
                <w:b/>
                <w:sz w:val="20"/>
                <w:lang w:val="en-GB"/>
              </w:rPr>
            </w:pPr>
            <w:r w:rsidRPr="00DC2FFD">
              <w:rPr>
                <w:b/>
                <w:sz w:val="20"/>
                <w:lang w:val="en-GB"/>
              </w:rPr>
              <w:t>360</w:t>
            </w:r>
          </w:p>
        </w:tc>
      </w:tr>
      <w:tr w:rsidR="00DC2FFD" w:rsidRPr="00DC2FFD" w14:paraId="57983E47" w14:textId="77777777" w:rsidTr="00296435">
        <w:tc>
          <w:tcPr>
            <w:tcW w:w="5824" w:type="dxa"/>
            <w:shd w:val="clear" w:color="auto" w:fill="auto"/>
            <w:vAlign w:val="center"/>
          </w:tcPr>
          <w:p w14:paraId="747589E0" w14:textId="77777777" w:rsidR="00DC2FFD" w:rsidRPr="00DC2FFD" w:rsidRDefault="00DC2FFD" w:rsidP="00DC2FFD">
            <w:pPr>
              <w:spacing w:after="0"/>
              <w:jc w:val="center"/>
              <w:rPr>
                <w:sz w:val="20"/>
                <w:lang w:val="en-GB"/>
              </w:rPr>
            </w:pPr>
            <w:r w:rsidRPr="00DC2FFD">
              <w:rPr>
                <w:sz w:val="20"/>
                <w:lang w:val="en-GB"/>
              </w:rPr>
              <w:t>Self-employment subsidies</w:t>
            </w:r>
          </w:p>
        </w:tc>
        <w:tc>
          <w:tcPr>
            <w:tcW w:w="1641" w:type="dxa"/>
            <w:shd w:val="clear" w:color="auto" w:fill="auto"/>
            <w:vAlign w:val="center"/>
          </w:tcPr>
          <w:p w14:paraId="5C3755C0" w14:textId="77777777" w:rsidR="00DC2FFD" w:rsidRPr="00DC2FFD" w:rsidRDefault="00DC2FFD" w:rsidP="00DC2FFD">
            <w:pPr>
              <w:spacing w:after="0"/>
              <w:jc w:val="center"/>
              <w:rPr>
                <w:sz w:val="20"/>
                <w:lang w:val="en-GB"/>
              </w:rPr>
            </w:pPr>
            <w:r w:rsidRPr="00DC2FFD">
              <w:rPr>
                <w:sz w:val="20"/>
                <w:lang w:val="en-GB"/>
              </w:rPr>
              <w:t>435</w:t>
            </w:r>
          </w:p>
        </w:tc>
        <w:tc>
          <w:tcPr>
            <w:tcW w:w="1597" w:type="dxa"/>
            <w:shd w:val="clear" w:color="auto" w:fill="auto"/>
            <w:vAlign w:val="center"/>
          </w:tcPr>
          <w:p w14:paraId="51E19EDC" w14:textId="77777777" w:rsidR="00DC2FFD" w:rsidRPr="00DC2FFD" w:rsidRDefault="00DC2FFD" w:rsidP="00DC2FFD">
            <w:pPr>
              <w:spacing w:after="0"/>
              <w:jc w:val="center"/>
              <w:rPr>
                <w:sz w:val="20"/>
                <w:lang w:val="en-GB"/>
              </w:rPr>
            </w:pPr>
            <w:r w:rsidRPr="00DC2FFD">
              <w:rPr>
                <w:sz w:val="20"/>
                <w:lang w:val="en-GB"/>
              </w:rPr>
              <w:t>178</w:t>
            </w:r>
          </w:p>
        </w:tc>
      </w:tr>
      <w:tr w:rsidR="00DC2FFD" w:rsidRPr="00DC2FFD" w14:paraId="44927B00" w14:textId="77777777" w:rsidTr="00296435">
        <w:tc>
          <w:tcPr>
            <w:tcW w:w="5824" w:type="dxa"/>
            <w:shd w:val="clear" w:color="auto" w:fill="auto"/>
            <w:vAlign w:val="center"/>
          </w:tcPr>
          <w:p w14:paraId="069A1A44" w14:textId="77777777" w:rsidR="00DC2FFD" w:rsidRPr="00DC2FFD" w:rsidRDefault="00DC2FFD" w:rsidP="00DC2FFD">
            <w:pPr>
              <w:spacing w:after="0"/>
              <w:jc w:val="center"/>
              <w:rPr>
                <w:sz w:val="20"/>
                <w:lang w:val="en-GB"/>
              </w:rPr>
            </w:pPr>
            <w:r w:rsidRPr="00DC2FFD">
              <w:rPr>
                <w:sz w:val="20"/>
                <w:lang w:val="en-GB"/>
              </w:rPr>
              <w:t>Subsidy for employment of unemployed persons from the category of less employable persons</w:t>
            </w:r>
          </w:p>
        </w:tc>
        <w:tc>
          <w:tcPr>
            <w:tcW w:w="1641" w:type="dxa"/>
            <w:shd w:val="clear" w:color="auto" w:fill="auto"/>
            <w:vAlign w:val="center"/>
          </w:tcPr>
          <w:p w14:paraId="60EE4877" w14:textId="77777777" w:rsidR="00DC2FFD" w:rsidRPr="00DC2FFD" w:rsidRDefault="00DC2FFD" w:rsidP="00DC2FFD">
            <w:pPr>
              <w:spacing w:after="0"/>
              <w:jc w:val="center"/>
              <w:rPr>
                <w:sz w:val="20"/>
                <w:lang w:val="en-GB"/>
              </w:rPr>
            </w:pPr>
            <w:r w:rsidRPr="00DC2FFD">
              <w:rPr>
                <w:sz w:val="20"/>
                <w:lang w:val="en-GB"/>
              </w:rPr>
              <w:t>440</w:t>
            </w:r>
          </w:p>
        </w:tc>
        <w:tc>
          <w:tcPr>
            <w:tcW w:w="1597" w:type="dxa"/>
            <w:shd w:val="clear" w:color="auto" w:fill="auto"/>
            <w:vAlign w:val="center"/>
          </w:tcPr>
          <w:p w14:paraId="305EEC0D" w14:textId="77777777" w:rsidR="00DC2FFD" w:rsidRPr="00DC2FFD" w:rsidRDefault="00DC2FFD" w:rsidP="00DC2FFD">
            <w:pPr>
              <w:spacing w:after="0"/>
              <w:jc w:val="center"/>
              <w:rPr>
                <w:sz w:val="20"/>
                <w:lang w:val="en-GB"/>
              </w:rPr>
            </w:pPr>
            <w:r w:rsidRPr="00DC2FFD">
              <w:rPr>
                <w:sz w:val="20"/>
                <w:lang w:val="en-GB"/>
              </w:rPr>
              <w:t>179</w:t>
            </w:r>
          </w:p>
        </w:tc>
      </w:tr>
      <w:tr w:rsidR="00DC2FFD" w:rsidRPr="00DC2FFD" w14:paraId="3B2F7679" w14:textId="77777777" w:rsidTr="00296435">
        <w:tc>
          <w:tcPr>
            <w:tcW w:w="5824" w:type="dxa"/>
            <w:shd w:val="clear" w:color="auto" w:fill="auto"/>
            <w:vAlign w:val="center"/>
          </w:tcPr>
          <w:p w14:paraId="42858564" w14:textId="77777777" w:rsidR="00DC2FFD" w:rsidRPr="00DC2FFD" w:rsidRDefault="00DC2FFD" w:rsidP="00DC2FFD">
            <w:pPr>
              <w:spacing w:after="0"/>
              <w:jc w:val="center"/>
              <w:rPr>
                <w:sz w:val="20"/>
                <w:lang w:val="en-GB"/>
              </w:rPr>
            </w:pPr>
            <w:r w:rsidRPr="00DC2FFD">
              <w:rPr>
                <w:sz w:val="20"/>
                <w:lang w:val="en-GB"/>
              </w:rPr>
              <w:t>Subsidy for wages of persons with disabilities with no work experience</w:t>
            </w:r>
          </w:p>
        </w:tc>
        <w:tc>
          <w:tcPr>
            <w:tcW w:w="1641" w:type="dxa"/>
            <w:shd w:val="clear" w:color="auto" w:fill="auto"/>
            <w:vAlign w:val="center"/>
          </w:tcPr>
          <w:p w14:paraId="175B37BB" w14:textId="77777777" w:rsidR="00DC2FFD" w:rsidRPr="00DC2FFD" w:rsidRDefault="00DC2FFD" w:rsidP="00DC2FFD">
            <w:pPr>
              <w:spacing w:after="0"/>
              <w:jc w:val="center"/>
              <w:rPr>
                <w:sz w:val="20"/>
                <w:lang w:val="en-GB"/>
              </w:rPr>
            </w:pPr>
            <w:r w:rsidRPr="00DC2FFD">
              <w:rPr>
                <w:sz w:val="20"/>
                <w:lang w:val="en-GB"/>
              </w:rPr>
              <w:t>5</w:t>
            </w:r>
          </w:p>
        </w:tc>
        <w:tc>
          <w:tcPr>
            <w:tcW w:w="1597" w:type="dxa"/>
            <w:shd w:val="clear" w:color="auto" w:fill="auto"/>
            <w:vAlign w:val="center"/>
          </w:tcPr>
          <w:p w14:paraId="2175B1B7" w14:textId="77777777" w:rsidR="00DC2FFD" w:rsidRPr="00DC2FFD" w:rsidRDefault="00DC2FFD" w:rsidP="00DC2FFD">
            <w:pPr>
              <w:spacing w:after="0"/>
              <w:jc w:val="center"/>
              <w:rPr>
                <w:sz w:val="20"/>
                <w:lang w:val="en-GB"/>
              </w:rPr>
            </w:pPr>
            <w:r w:rsidRPr="00DC2FFD">
              <w:rPr>
                <w:sz w:val="20"/>
                <w:lang w:val="en-GB"/>
              </w:rPr>
              <w:t>3</w:t>
            </w:r>
          </w:p>
        </w:tc>
      </w:tr>
      <w:tr w:rsidR="00DC2FFD" w:rsidRPr="00DC2FFD" w14:paraId="61CDAD94" w14:textId="77777777" w:rsidTr="00296435">
        <w:tc>
          <w:tcPr>
            <w:tcW w:w="5824" w:type="dxa"/>
            <w:shd w:val="clear" w:color="auto" w:fill="auto"/>
            <w:vAlign w:val="center"/>
          </w:tcPr>
          <w:p w14:paraId="26E0D441" w14:textId="77777777" w:rsidR="00DC2FFD" w:rsidRPr="00DC2FFD" w:rsidRDefault="00DC2FFD" w:rsidP="00DC2FFD">
            <w:pPr>
              <w:spacing w:after="0"/>
              <w:jc w:val="center"/>
              <w:rPr>
                <w:b/>
                <w:sz w:val="20"/>
                <w:lang w:val="en-GB"/>
              </w:rPr>
            </w:pPr>
            <w:r w:rsidRPr="00DC2FFD">
              <w:rPr>
                <w:b/>
                <w:sz w:val="20"/>
                <w:lang w:val="en-GB"/>
              </w:rPr>
              <w:t>Public works</w:t>
            </w:r>
          </w:p>
        </w:tc>
        <w:tc>
          <w:tcPr>
            <w:tcW w:w="1641" w:type="dxa"/>
            <w:shd w:val="clear" w:color="auto" w:fill="auto"/>
            <w:vAlign w:val="center"/>
          </w:tcPr>
          <w:p w14:paraId="1A3B825B" w14:textId="77777777" w:rsidR="00DC2FFD" w:rsidRPr="00DC2FFD" w:rsidRDefault="00DC2FFD" w:rsidP="00DC2FFD">
            <w:pPr>
              <w:spacing w:after="0"/>
              <w:jc w:val="center"/>
              <w:rPr>
                <w:b/>
                <w:sz w:val="20"/>
                <w:lang w:val="en-GB"/>
              </w:rPr>
            </w:pPr>
            <w:r w:rsidRPr="00DC2FFD">
              <w:rPr>
                <w:b/>
                <w:sz w:val="20"/>
                <w:lang w:val="en-GB"/>
              </w:rPr>
              <w:t>446</w:t>
            </w:r>
          </w:p>
        </w:tc>
        <w:tc>
          <w:tcPr>
            <w:tcW w:w="1597" w:type="dxa"/>
            <w:shd w:val="clear" w:color="auto" w:fill="auto"/>
            <w:vAlign w:val="center"/>
          </w:tcPr>
          <w:p w14:paraId="78048E22" w14:textId="77777777" w:rsidR="00DC2FFD" w:rsidRPr="00DC2FFD" w:rsidRDefault="00DC2FFD" w:rsidP="00DC2FFD">
            <w:pPr>
              <w:spacing w:after="0"/>
              <w:jc w:val="center"/>
              <w:rPr>
                <w:b/>
                <w:sz w:val="20"/>
                <w:lang w:val="en-GB"/>
              </w:rPr>
            </w:pPr>
            <w:r w:rsidRPr="00DC2FFD">
              <w:rPr>
                <w:b/>
                <w:sz w:val="20"/>
                <w:lang w:val="en-GB"/>
              </w:rPr>
              <w:t>193</w:t>
            </w:r>
          </w:p>
        </w:tc>
      </w:tr>
      <w:tr w:rsidR="00DC2FFD" w:rsidRPr="00DC2FFD" w14:paraId="53A8A33C" w14:textId="77777777" w:rsidTr="00296435">
        <w:tc>
          <w:tcPr>
            <w:tcW w:w="5824" w:type="dxa"/>
            <w:shd w:val="clear" w:color="auto" w:fill="auto"/>
            <w:vAlign w:val="center"/>
          </w:tcPr>
          <w:p w14:paraId="2A88F117" w14:textId="77777777" w:rsidR="00DC2FFD" w:rsidRPr="00DC2FFD" w:rsidRDefault="00DC2FFD" w:rsidP="00DC2FFD">
            <w:pPr>
              <w:spacing w:after="0"/>
              <w:jc w:val="center"/>
              <w:rPr>
                <w:b/>
                <w:sz w:val="20"/>
                <w:lang w:val="en-GB"/>
              </w:rPr>
            </w:pPr>
            <w:r w:rsidRPr="00DC2FFD">
              <w:rPr>
                <w:b/>
                <w:sz w:val="20"/>
                <w:lang w:val="en-GB"/>
              </w:rPr>
              <w:t>TOTAL</w:t>
            </w:r>
          </w:p>
        </w:tc>
        <w:tc>
          <w:tcPr>
            <w:tcW w:w="1641" w:type="dxa"/>
            <w:shd w:val="clear" w:color="auto" w:fill="auto"/>
            <w:vAlign w:val="center"/>
          </w:tcPr>
          <w:p w14:paraId="6295CF87" w14:textId="77777777" w:rsidR="00DC2FFD" w:rsidRPr="00DC2FFD" w:rsidRDefault="00DC2FFD" w:rsidP="00DC2FFD">
            <w:pPr>
              <w:spacing w:after="0"/>
              <w:jc w:val="center"/>
              <w:rPr>
                <w:b/>
                <w:sz w:val="20"/>
                <w:lang w:val="en-GB"/>
              </w:rPr>
            </w:pPr>
            <w:r w:rsidRPr="00DC2FFD">
              <w:rPr>
                <w:b/>
                <w:sz w:val="20"/>
                <w:lang w:val="en-GB"/>
              </w:rPr>
              <w:t>5,574</w:t>
            </w:r>
          </w:p>
        </w:tc>
        <w:tc>
          <w:tcPr>
            <w:tcW w:w="1597" w:type="dxa"/>
            <w:shd w:val="clear" w:color="auto" w:fill="auto"/>
            <w:vAlign w:val="center"/>
          </w:tcPr>
          <w:p w14:paraId="28475585" w14:textId="77777777" w:rsidR="00DC2FFD" w:rsidRPr="00DC2FFD" w:rsidRDefault="00DC2FFD" w:rsidP="00DC2FFD">
            <w:pPr>
              <w:spacing w:after="0"/>
              <w:jc w:val="center"/>
              <w:rPr>
                <w:b/>
                <w:sz w:val="20"/>
                <w:lang w:val="en-GB"/>
              </w:rPr>
            </w:pPr>
            <w:r w:rsidRPr="00DC2FFD">
              <w:rPr>
                <w:b/>
                <w:sz w:val="20"/>
                <w:lang w:val="en-GB"/>
              </w:rPr>
              <w:t>2,641</w:t>
            </w:r>
          </w:p>
        </w:tc>
      </w:tr>
    </w:tbl>
    <w:p w14:paraId="078B1F6C" w14:textId="77777777" w:rsidR="00DC2FFD" w:rsidRPr="00DC2FFD" w:rsidRDefault="00DC2FFD" w:rsidP="00DC2FFD">
      <w:pPr>
        <w:ind w:firstLine="720"/>
        <w:contextualSpacing/>
        <w:jc w:val="both"/>
        <w:rPr>
          <w:sz w:val="24"/>
          <w:szCs w:val="24"/>
          <w:lang w:val="sr-Cyrl-RS"/>
        </w:rPr>
      </w:pPr>
    </w:p>
    <w:p w14:paraId="7F4137EA" w14:textId="77777777" w:rsidR="00DC2FFD" w:rsidRPr="00DC2FFD" w:rsidRDefault="00DC2FFD" w:rsidP="00DC2FFD">
      <w:pPr>
        <w:contextualSpacing/>
        <w:jc w:val="both"/>
        <w:rPr>
          <w:sz w:val="24"/>
          <w:szCs w:val="24"/>
          <w:lang w:val="en-GB"/>
        </w:rPr>
      </w:pPr>
      <w:r w:rsidRPr="00DC2FFD">
        <w:rPr>
          <w:sz w:val="24"/>
          <w:lang w:val="en-GB"/>
        </w:rPr>
        <w:tab/>
        <w:t>Financial measures of active employment policy included 2,138 Roma men (1,044 Roma women), making the total coverage of unemployed Roma men/women by the measures from the active employment policy system in 2021 5,574 Roma men (2,641 Roma women).</w:t>
      </w:r>
      <w:r w:rsidRPr="00DC2FFD">
        <w:rPr>
          <w:sz w:val="24"/>
          <w:lang w:val="en-GB"/>
        </w:rPr>
        <w:tab/>
        <w:t>Through the execution of local planning documents relating to employment, which were executed in 2021 according to the technical support modality, measures of active employment policy included 136 Roma men (57 Roma women).</w:t>
      </w:r>
    </w:p>
    <w:p w14:paraId="765E294B" w14:textId="77777777" w:rsidR="00DC2FFD" w:rsidRPr="00DC2FFD" w:rsidRDefault="00DC2FFD" w:rsidP="00DC2FFD">
      <w:pPr>
        <w:spacing w:after="0"/>
        <w:jc w:val="both"/>
        <w:rPr>
          <w:i/>
          <w:sz w:val="24"/>
          <w:szCs w:val="24"/>
          <w:lang w:val="sr-Cyrl-RS"/>
        </w:rPr>
      </w:pPr>
    </w:p>
    <w:p w14:paraId="15632AD8" w14:textId="77777777" w:rsidR="00DC2FFD" w:rsidRPr="00DC2FFD" w:rsidRDefault="00DC2FFD" w:rsidP="00DC2FFD">
      <w:pPr>
        <w:spacing w:after="0"/>
        <w:jc w:val="both"/>
        <w:rPr>
          <w:i/>
          <w:sz w:val="24"/>
          <w:szCs w:val="24"/>
          <w:lang w:val="en-GB"/>
        </w:rPr>
      </w:pPr>
      <w:r w:rsidRPr="00DC2FFD">
        <w:rPr>
          <w:i/>
          <w:sz w:val="24"/>
          <w:lang w:val="en-GB"/>
        </w:rPr>
        <w:t>Activities in the field of social protection</w:t>
      </w:r>
    </w:p>
    <w:p w14:paraId="186F590B" w14:textId="77777777" w:rsidR="00DC2FFD" w:rsidRPr="00DC2FFD" w:rsidRDefault="00DC2FFD" w:rsidP="00DC2FFD">
      <w:pPr>
        <w:spacing w:after="0"/>
        <w:jc w:val="both"/>
        <w:rPr>
          <w:sz w:val="24"/>
          <w:szCs w:val="24"/>
          <w:lang w:val="sr-Cyrl-RS"/>
        </w:rPr>
      </w:pPr>
    </w:p>
    <w:p w14:paraId="02B7B3CC" w14:textId="77777777" w:rsidR="00DC2FFD" w:rsidRPr="00DC2FFD" w:rsidRDefault="00DC2FFD" w:rsidP="00DC2FFD">
      <w:pPr>
        <w:spacing w:after="0"/>
        <w:ind w:firstLine="720"/>
        <w:jc w:val="both"/>
        <w:rPr>
          <w:sz w:val="24"/>
          <w:szCs w:val="24"/>
          <w:lang w:val="en-GB"/>
        </w:rPr>
      </w:pPr>
      <w:r w:rsidRPr="00DC2FFD">
        <w:rPr>
          <w:sz w:val="24"/>
          <w:lang w:val="en-GB"/>
        </w:rPr>
        <w:t xml:space="preserve">In the field of social protection, legal acts also ensure the prohibition of discrimination, and thus the Law on Social Protection </w:t>
      </w:r>
      <w:r w:rsidRPr="00DC2FFD">
        <w:rPr>
          <w:sz w:val="24"/>
          <w:szCs w:val="24"/>
          <w:vertAlign w:val="superscript"/>
          <w:lang w:val="sr-Cyrl-RS"/>
        </w:rPr>
        <w:footnoteReference w:id="25"/>
      </w:r>
      <w:r w:rsidRPr="00DC2FFD">
        <w:rPr>
          <w:sz w:val="24"/>
          <w:lang w:val="en-GB"/>
        </w:rPr>
        <w:t xml:space="preserve"> ensures the prohibition of discrimination of social protection beneficiaries on the basis of national affiliation and language, while social protection services are organised in a manner which ensure their physical, geographical and economic availability, together with respect for cultural and other diversity. </w:t>
      </w:r>
    </w:p>
    <w:p w14:paraId="5C794072" w14:textId="77777777" w:rsidR="00DC2FFD" w:rsidRPr="00DC2FFD" w:rsidRDefault="00DC2FFD" w:rsidP="00DC2FFD">
      <w:pPr>
        <w:spacing w:after="0"/>
        <w:ind w:firstLine="720"/>
        <w:jc w:val="both"/>
        <w:rPr>
          <w:sz w:val="24"/>
          <w:szCs w:val="24"/>
          <w:lang w:val="en-GB"/>
        </w:rPr>
      </w:pPr>
      <w:r w:rsidRPr="00DC2FFD">
        <w:rPr>
          <w:sz w:val="24"/>
          <w:lang w:val="en-GB"/>
        </w:rPr>
        <w:lastRenderedPageBreak/>
        <w:t>The Rulebook on the organisation, norms and operational standards of a social welfare centre</w:t>
      </w:r>
      <w:r w:rsidRPr="00DC2FFD">
        <w:rPr>
          <w:sz w:val="24"/>
          <w:szCs w:val="24"/>
          <w:vertAlign w:val="superscript"/>
          <w:lang w:val="sr-Cyrl-RS"/>
        </w:rPr>
        <w:footnoteReference w:id="26"/>
      </w:r>
      <w:r w:rsidRPr="00DC2FFD">
        <w:rPr>
          <w:sz w:val="24"/>
          <w:lang w:val="en-GB"/>
        </w:rPr>
        <w:t xml:space="preserve"> prescribes the observance of human rights and dignity of the beneficiary and protection from discrimination. Namely, the social welfare centre is obliged to represent the interests and rights of beneficiaries and ensure equal access to services for which it is competent, to all citizens, regardless of ethnic, cultural, religious, gender or socio-economic differences.  </w:t>
      </w:r>
    </w:p>
    <w:p w14:paraId="32AA3D1E" w14:textId="77777777" w:rsidR="00DC2FFD" w:rsidRPr="00DC2FFD" w:rsidRDefault="00DC2FFD" w:rsidP="00DC2FFD">
      <w:pPr>
        <w:spacing w:after="0"/>
        <w:ind w:firstLine="720"/>
        <w:jc w:val="both"/>
        <w:rPr>
          <w:sz w:val="24"/>
          <w:szCs w:val="24"/>
          <w:lang w:val="en-GB"/>
        </w:rPr>
      </w:pPr>
      <w:r w:rsidRPr="00DC2FFD">
        <w:rPr>
          <w:sz w:val="24"/>
          <w:lang w:val="en-GB"/>
        </w:rPr>
        <w:t xml:space="preserve">Persons employed in social protection are obliged to consistently enforce the above regulations, thus ensuring protection from discrimination in this field. Conduct in contravention of the above regulations would result in losing the operating licence. In accordance with the Law on Social Welfare, a beneficiary who is not satisfied with a provided service, act or conduct by the provider of a service may submit an appeal to the competent authority, and a complaint against discrimination may be submitted to the Commissioner for the Protection of Equality. </w:t>
      </w:r>
    </w:p>
    <w:p w14:paraId="47F7815D" w14:textId="77777777" w:rsidR="00DC2FFD" w:rsidRPr="00DC2FFD" w:rsidRDefault="00DC2FFD" w:rsidP="00DC2FFD">
      <w:pPr>
        <w:spacing w:after="0"/>
        <w:ind w:firstLine="720"/>
        <w:jc w:val="both"/>
        <w:rPr>
          <w:sz w:val="24"/>
          <w:szCs w:val="24"/>
          <w:lang w:val="en-GB"/>
        </w:rPr>
      </w:pPr>
      <w:r w:rsidRPr="00DC2FFD">
        <w:rPr>
          <w:sz w:val="24"/>
          <w:lang w:val="en-GB"/>
        </w:rPr>
        <w:t>In accordance with the above regulations, centres are obliged to inform the public in the territory of the local self-government unit about their legal obligations and mandate, as well as available services and programmes, through media, public lectures, presentations and other appropriate channels. The same Rulebook specifies that availability of services of the centres shall be ensured through: a) coordination of activities with other public authorities, humanitarian organisations, civil associations and other organisations in the local community, b) provision of information to the public on programmes and services provided by the centre, as well as other rights and obligations in accordance with the law through the media, public lectures, presentations, brochures and in other ways, c) placing the contact address and telephone number of the centre at the appropriate public places and institutions in the community, d) establishing area offices in distant places, e) other appropriate ways.</w:t>
      </w:r>
    </w:p>
    <w:p w14:paraId="7D2AA1FA" w14:textId="77777777" w:rsidR="00DC2FFD" w:rsidRPr="00DC2FFD" w:rsidRDefault="00DC2FFD" w:rsidP="00DC2FFD">
      <w:pPr>
        <w:spacing w:after="0"/>
        <w:ind w:firstLine="720"/>
        <w:jc w:val="both"/>
        <w:rPr>
          <w:sz w:val="24"/>
          <w:szCs w:val="24"/>
          <w:lang w:val="en-GB"/>
        </w:rPr>
      </w:pPr>
      <w:r w:rsidRPr="00DC2FFD">
        <w:rPr>
          <w:sz w:val="24"/>
          <w:lang w:val="en-GB"/>
        </w:rPr>
        <w:t xml:space="preserve">Social welfare centres, within their regular activities, promote social welfare services and rights in the local community. Promotion of the access to social rights and services is also executed through trainings of experts of social welfare centres, in such a manner to raise the awareness of the experts and improve their competences. </w:t>
      </w:r>
    </w:p>
    <w:p w14:paraId="6794E1D0" w14:textId="77777777" w:rsidR="00DC2FFD" w:rsidRPr="00DC2FFD" w:rsidRDefault="00DC2FFD" w:rsidP="00DC2FFD">
      <w:pPr>
        <w:spacing w:after="0"/>
        <w:ind w:firstLine="720"/>
        <w:jc w:val="both"/>
        <w:rPr>
          <w:sz w:val="24"/>
          <w:szCs w:val="24"/>
          <w:lang w:val="en-GB"/>
        </w:rPr>
      </w:pPr>
      <w:r w:rsidRPr="00DC2FFD">
        <w:rPr>
          <w:sz w:val="24"/>
          <w:lang w:val="en-GB"/>
        </w:rPr>
        <w:t xml:space="preserve">Trainings of experts employed in social welfare institutions are implemented continuously through accredited training programmes. A certain number of training programmes has content oriented towards working with the Roma population. The Republic Institute for Social Protection accredited the training programme titled “Support to the Improvement of the status of Roma women”, which, </w:t>
      </w:r>
      <w:r w:rsidRPr="00DC2FFD">
        <w:rPr>
          <w:i/>
          <w:iCs/>
          <w:sz w:val="24"/>
          <w:lang w:val="en-GB"/>
        </w:rPr>
        <w:t>inter alia</w:t>
      </w:r>
      <w:r w:rsidRPr="00DC2FFD">
        <w:rPr>
          <w:sz w:val="24"/>
          <w:lang w:val="en-GB"/>
        </w:rPr>
        <w:t xml:space="preserve">, deals with specificities in the access to services, problems of beneficiaries in the access to services, problems of experts in the contact with beneficiaries and ways to overcome them. The programme was intended for experts and associates in social welfare institutions, judiciary, prosecutor’s office, educational and health institutions, local self-government and civil society organisations which provide social services to women and multiply marginalised groups. Ultimate beneficiaries of the training programme are Roma women who are beneficiaries of social welfare. </w:t>
      </w:r>
    </w:p>
    <w:p w14:paraId="55A7DB47" w14:textId="77777777" w:rsidR="00DC2FFD" w:rsidRPr="00DC2FFD" w:rsidRDefault="00DC2FFD" w:rsidP="00DC2FFD">
      <w:pPr>
        <w:spacing w:after="0"/>
        <w:ind w:firstLine="720"/>
        <w:jc w:val="both"/>
        <w:rPr>
          <w:sz w:val="24"/>
          <w:szCs w:val="24"/>
          <w:lang w:val="en-GB"/>
        </w:rPr>
      </w:pPr>
      <w:r w:rsidRPr="00DC2FFD">
        <w:rPr>
          <w:sz w:val="24"/>
          <w:lang w:val="en-GB"/>
        </w:rPr>
        <w:t xml:space="preserve">Social welfare system is dedicated to an active training of its personnel in terms of gaining knowledge on the recognition of discrimination and measures that experts in social welfare institutions may undertake in cases of discrimination of beneficiaries on various </w:t>
      </w:r>
      <w:r w:rsidRPr="00DC2FFD">
        <w:rPr>
          <w:sz w:val="24"/>
          <w:lang w:val="en-GB"/>
        </w:rPr>
        <w:lastRenderedPageBreak/>
        <w:t>grounds. So far, multiple training programmes have been accredited which are focused on the observance of human rights, anti-discrimination as well as abuse and neglect, and which educates experts to recognise and respond in such situations. This is a way to raise awareness of experts on the occurrence of discrimination and violence in society and improve their competences for implementation of activities and measures which are available to them for protection of beneficiaries.</w:t>
      </w:r>
    </w:p>
    <w:p w14:paraId="23941028" w14:textId="77777777" w:rsidR="00DC2FFD" w:rsidRPr="00DC2FFD" w:rsidRDefault="00DC2FFD" w:rsidP="00DC2FFD">
      <w:pPr>
        <w:tabs>
          <w:tab w:val="left" w:pos="720"/>
        </w:tabs>
        <w:spacing w:after="0"/>
        <w:jc w:val="both"/>
        <w:rPr>
          <w:rFonts w:eastAsia="Times New Roman"/>
          <w:sz w:val="24"/>
          <w:szCs w:val="24"/>
          <w:lang w:val="en-GB"/>
        </w:rPr>
      </w:pPr>
      <w:r w:rsidRPr="00DC2FFD">
        <w:rPr>
          <w:sz w:val="24"/>
          <w:lang w:val="en-GB"/>
        </w:rPr>
        <w:tab/>
        <w:t>It is important to note that, in late 2021, the Law on the rights of recipients of services of temporary accommodation in social welfare,</w:t>
      </w:r>
      <w:r w:rsidRPr="00DC2FFD">
        <w:rPr>
          <w:sz w:val="24"/>
          <w:szCs w:val="24"/>
          <w:vertAlign w:val="superscript"/>
          <w:lang w:val="sr-Cyrl-RS"/>
        </w:rPr>
        <w:footnoteReference w:id="27"/>
      </w:r>
      <w:r w:rsidRPr="00DC2FFD">
        <w:rPr>
          <w:sz w:val="24"/>
          <w:lang w:val="en-GB"/>
        </w:rPr>
        <w:t xml:space="preserve"> which prescribes that exercise of the rights of beneficiaries is enabled without any discrimination, </w:t>
      </w:r>
      <w:r w:rsidRPr="00DC2FFD">
        <w:rPr>
          <w:i/>
          <w:iCs/>
          <w:sz w:val="24"/>
          <w:lang w:val="en-GB"/>
        </w:rPr>
        <w:t>inter alia</w:t>
      </w:r>
      <w:r w:rsidRPr="00DC2FFD">
        <w:rPr>
          <w:sz w:val="24"/>
          <w:lang w:val="en-GB"/>
        </w:rPr>
        <w:t>, on the basis of race, skin colour, ancestry, national affiliation or ethnic origin. The Law ensures that accommodation services are provided in accordance with the will and desire of the beneficiary, while observing their life cycle, ethnic and cultural origin, living habits, developmental and other needs.</w:t>
      </w:r>
    </w:p>
    <w:p w14:paraId="023C8E73" w14:textId="77777777" w:rsidR="00DC2FFD" w:rsidRPr="00DC2FFD" w:rsidRDefault="00DC2FFD" w:rsidP="00DC2FFD">
      <w:pPr>
        <w:spacing w:after="0"/>
        <w:ind w:firstLine="720"/>
        <w:jc w:val="both"/>
        <w:rPr>
          <w:sz w:val="24"/>
          <w:szCs w:val="24"/>
          <w:lang w:val="en-GB"/>
        </w:rPr>
      </w:pPr>
      <w:r w:rsidRPr="00DC2FFD">
        <w:rPr>
          <w:sz w:val="24"/>
          <w:lang w:val="en-GB"/>
        </w:rPr>
        <w:t>In early 2022, the Strategy for deinstitutionalization and development of social welfare services in the community between 2022 and 2026.</w:t>
      </w:r>
      <w:r w:rsidRPr="00DC2FFD">
        <w:rPr>
          <w:sz w:val="24"/>
          <w:szCs w:val="24"/>
          <w:vertAlign w:val="superscript"/>
          <w:lang w:val="sr-Cyrl-RS"/>
        </w:rPr>
        <w:footnoteReference w:id="28"/>
      </w:r>
      <w:r w:rsidRPr="00DC2FFD">
        <w:rPr>
          <w:sz w:val="24"/>
          <w:lang w:val="en-GB"/>
        </w:rPr>
        <w:t xml:space="preserve"> The Strategy defines further development directions in this area, objectives, measures and activities which will be undertaken in order to improve the entire process and prevent further pressure on the accommodation into social welfare institutions. </w:t>
      </w:r>
    </w:p>
    <w:p w14:paraId="683182EE" w14:textId="77777777" w:rsidR="00DC2FFD" w:rsidRPr="00DC2FFD" w:rsidRDefault="00DC2FFD" w:rsidP="00DC2FFD">
      <w:pPr>
        <w:spacing w:after="0"/>
        <w:ind w:firstLine="720"/>
        <w:jc w:val="both"/>
        <w:rPr>
          <w:sz w:val="24"/>
          <w:szCs w:val="24"/>
          <w:lang w:val="en-GB"/>
        </w:rPr>
      </w:pPr>
      <w:r w:rsidRPr="00DC2FFD">
        <w:rPr>
          <w:sz w:val="24"/>
          <w:lang w:val="en-GB"/>
        </w:rPr>
        <w:t>In exercising a higher level of inclusion of the Roma population, an important role belongs to case managers in social welfare centres. The mechanism for handling a case, and in particular the practice of case conference, ensures a proactive approach of the most important actors in the community in their support to an excluded family or individual. This role of social welfare centres is particularly important and is a good way to improve cooperation with the National Employment Service and other actors who may improve the status of Roma men and women on the labour market. The obligation of experts to provide support to parents in order for their children to regularly attend school and exercise the recognised rights (child benefit, transportation to the school, etc.) is of particular importance.</w:t>
      </w:r>
    </w:p>
    <w:p w14:paraId="4E78C44C" w14:textId="77777777" w:rsidR="00DC2FFD" w:rsidRPr="00DC2FFD" w:rsidRDefault="00DC2FFD" w:rsidP="00DC2FFD">
      <w:pPr>
        <w:spacing w:after="0"/>
        <w:ind w:firstLine="720"/>
        <w:jc w:val="both"/>
        <w:rPr>
          <w:sz w:val="24"/>
          <w:szCs w:val="24"/>
          <w:lang w:val="en-GB"/>
        </w:rPr>
      </w:pPr>
      <w:r w:rsidRPr="00DC2FFD">
        <w:rPr>
          <w:sz w:val="24"/>
          <w:lang w:val="en-GB"/>
        </w:rPr>
        <w:t>In the newly adopted revised Strategy for the Inclusion of Roma Men and Women in the Republic of Serbia 2022-2030,</w:t>
      </w:r>
      <w:r w:rsidRPr="00DC2FFD">
        <w:rPr>
          <w:sz w:val="24"/>
          <w:szCs w:val="24"/>
          <w:vertAlign w:val="superscript"/>
          <w:lang w:val="sr-Cyrl-RS"/>
        </w:rPr>
        <w:footnoteReference w:id="29"/>
      </w:r>
      <w:r w:rsidRPr="00DC2FFD">
        <w:rPr>
          <w:sz w:val="24"/>
          <w:lang w:val="en-GB"/>
        </w:rPr>
        <w:t xml:space="preserve"> one of the defined specific objectives is improvement of the access to social protection services, availability and effectiveness of financial allowances for poverty reduction and increase of social inclusion of Roma men and women in the local community. Three measures are provided for the exercise of this specific objective: </w:t>
      </w:r>
    </w:p>
    <w:p w14:paraId="0A0F6E4E" w14:textId="77777777" w:rsidR="00DC2FFD" w:rsidRPr="00DC2FFD" w:rsidRDefault="00DC2FFD" w:rsidP="00DC2FFD">
      <w:pPr>
        <w:spacing w:after="0"/>
        <w:ind w:firstLine="720"/>
        <w:jc w:val="both"/>
        <w:rPr>
          <w:sz w:val="24"/>
          <w:szCs w:val="24"/>
          <w:lang w:val="en-GB"/>
        </w:rPr>
      </w:pPr>
      <w:r w:rsidRPr="00DC2FFD">
        <w:rPr>
          <w:sz w:val="24"/>
          <w:lang w:val="en-GB"/>
        </w:rPr>
        <w:t>- Strengthening of the role and capacities of the public sector for the development and application of social policies, rights and services which meet the needs of individuals and families;</w:t>
      </w:r>
    </w:p>
    <w:p w14:paraId="0D075FE2" w14:textId="77777777" w:rsidR="00DC2FFD" w:rsidRPr="00DC2FFD" w:rsidRDefault="00DC2FFD" w:rsidP="00DC2FFD">
      <w:pPr>
        <w:spacing w:after="0"/>
        <w:ind w:firstLine="720"/>
        <w:jc w:val="both"/>
        <w:rPr>
          <w:sz w:val="24"/>
          <w:szCs w:val="24"/>
          <w:lang w:val="en-GB"/>
        </w:rPr>
      </w:pPr>
      <w:r w:rsidRPr="00DC2FFD">
        <w:rPr>
          <w:sz w:val="24"/>
          <w:lang w:val="en-GB"/>
        </w:rPr>
        <w:t>- Increasing the level of information of Roma men and women on the possibilities of exercising social welfare rights and services, and exercising rights and services;</w:t>
      </w:r>
    </w:p>
    <w:p w14:paraId="6EF627C2" w14:textId="77777777" w:rsidR="00DC2FFD" w:rsidRPr="00DC2FFD" w:rsidRDefault="00DC2FFD" w:rsidP="00DC2FFD">
      <w:pPr>
        <w:spacing w:after="0"/>
        <w:ind w:firstLine="720"/>
        <w:jc w:val="both"/>
        <w:rPr>
          <w:sz w:val="24"/>
          <w:szCs w:val="24"/>
          <w:lang w:val="en-GB"/>
        </w:rPr>
      </w:pPr>
      <w:r w:rsidRPr="00DC2FFD">
        <w:rPr>
          <w:sz w:val="24"/>
          <w:lang w:val="en-GB"/>
        </w:rPr>
        <w:t>- Improving the system of reintegration and social inclusions of returnees, including a large number of Roma men and women, in accordance with the Readmission Agreement.</w:t>
      </w:r>
    </w:p>
    <w:p w14:paraId="74602254" w14:textId="77777777" w:rsidR="00DC2FFD" w:rsidRPr="00DC2FFD" w:rsidRDefault="00DC2FFD" w:rsidP="00DC2FFD">
      <w:pPr>
        <w:spacing w:after="0"/>
        <w:ind w:firstLine="720"/>
        <w:jc w:val="both"/>
        <w:rPr>
          <w:sz w:val="24"/>
          <w:szCs w:val="24"/>
          <w:lang w:val="en-GB"/>
        </w:rPr>
      </w:pPr>
      <w:r w:rsidRPr="00DC2FFD">
        <w:rPr>
          <w:sz w:val="24"/>
          <w:lang w:val="en-GB"/>
        </w:rPr>
        <w:t xml:space="preserve">As regards the access to social protection measures, according to the data from the 2009 Multiple Indicator Survey on the status of women and children in the Republic of Serbia (MICS 6), all households in Roma settlements had heard of at least one financial allowance, and 84% </w:t>
      </w:r>
      <w:r w:rsidRPr="00DC2FFD">
        <w:rPr>
          <w:sz w:val="24"/>
          <w:lang w:val="en-GB"/>
        </w:rPr>
        <w:lastRenderedPageBreak/>
        <w:t>of them had used some of them. This coverage of endangered Roma populations by financial social assistance is considerable. In 2019, in Roma settlements, every second household was receiving financial social assistance, 61% were receiving child benefits, and 6% had received one-off financial assistance. Over half of household members aged 5–24 who attend elementary school or higher levels of education received a subsidy for kindergarten, scholarship, student loan or another form of financial assistance for education during the school year 2019/2020.</w:t>
      </w:r>
    </w:p>
    <w:p w14:paraId="2711DD3D" w14:textId="77777777" w:rsidR="00DC2FFD" w:rsidRPr="00DC2FFD" w:rsidRDefault="00DC2FFD" w:rsidP="00DC2FFD">
      <w:pPr>
        <w:spacing w:after="0"/>
        <w:jc w:val="both"/>
        <w:rPr>
          <w:sz w:val="24"/>
          <w:szCs w:val="24"/>
          <w:lang w:val="sr-Cyrl-RS"/>
        </w:rPr>
      </w:pPr>
    </w:p>
    <w:p w14:paraId="73613636" w14:textId="77777777" w:rsidR="00DC2FFD" w:rsidRPr="00DC2FFD" w:rsidRDefault="00DC2FFD" w:rsidP="00DC2FFD">
      <w:pPr>
        <w:spacing w:after="0"/>
        <w:jc w:val="both"/>
        <w:rPr>
          <w:i/>
          <w:sz w:val="24"/>
          <w:szCs w:val="24"/>
          <w:lang w:val="en-GB"/>
        </w:rPr>
      </w:pPr>
      <w:r w:rsidRPr="00DC2FFD">
        <w:rPr>
          <w:i/>
          <w:sz w:val="24"/>
          <w:lang w:val="en-GB"/>
        </w:rPr>
        <w:t>Other activities for the inclusion of Roma</w:t>
      </w:r>
    </w:p>
    <w:p w14:paraId="7369B9A3" w14:textId="77777777" w:rsidR="00DC2FFD" w:rsidRPr="00DC2FFD" w:rsidRDefault="00DC2FFD" w:rsidP="00DC2FFD">
      <w:pPr>
        <w:spacing w:after="0"/>
        <w:jc w:val="both"/>
        <w:rPr>
          <w:sz w:val="24"/>
          <w:szCs w:val="24"/>
          <w:highlight w:val="yellow"/>
          <w:lang w:val="sr-Cyrl-RS"/>
        </w:rPr>
      </w:pPr>
    </w:p>
    <w:p w14:paraId="3A03A484" w14:textId="77777777" w:rsidR="00DC2FFD" w:rsidRPr="00DC2FFD" w:rsidRDefault="00DC2FFD" w:rsidP="00DC2FFD">
      <w:pPr>
        <w:tabs>
          <w:tab w:val="left" w:pos="707"/>
        </w:tabs>
        <w:spacing w:after="0"/>
        <w:ind w:right="-46"/>
        <w:jc w:val="both"/>
        <w:rPr>
          <w:sz w:val="24"/>
          <w:szCs w:val="24"/>
          <w:lang w:val="en-GB"/>
        </w:rPr>
      </w:pPr>
      <w:r w:rsidRPr="00DC2FFD">
        <w:rPr>
          <w:sz w:val="24"/>
          <w:lang w:val="en-GB"/>
        </w:rPr>
        <w:tab/>
        <w:t>The new Strategy for the Inclusion of Roma Men and Women in the Republic of Serbia 2022-2030, was adopted on 3 February 2022. Public debate on the Draft Action Plan 2022–2024 was held between 20 May and 15 June 2022.</w:t>
      </w:r>
    </w:p>
    <w:p w14:paraId="38CB30FF" w14:textId="77777777" w:rsidR="00DC2FFD" w:rsidRPr="00DC2FFD" w:rsidRDefault="00DC2FFD" w:rsidP="00DC2FFD">
      <w:pPr>
        <w:tabs>
          <w:tab w:val="left" w:pos="707"/>
        </w:tabs>
        <w:spacing w:after="0"/>
        <w:ind w:right="-46"/>
        <w:jc w:val="both"/>
        <w:rPr>
          <w:sz w:val="24"/>
          <w:szCs w:val="24"/>
          <w:lang w:val="en-GB"/>
        </w:rPr>
      </w:pPr>
      <w:r w:rsidRPr="00DC2FFD">
        <w:rPr>
          <w:sz w:val="24"/>
          <w:lang w:val="en-GB"/>
        </w:rPr>
        <w:tab/>
        <w:t>As one of the contributions to the monitoring of implementation of the previous Strategy for the Inclusion of Roma Men and Women, the Team for Social Inclusion and Poverty Reduction, in collaboration with the Children's Rights Council of the Government of the Republic of Serbia created the Analysis of the accessibility of support services and measures for Roma children at the local level.</w:t>
      </w:r>
      <w:r w:rsidRPr="00DC2FFD">
        <w:rPr>
          <w:sz w:val="24"/>
          <w:szCs w:val="24"/>
          <w:vertAlign w:val="superscript"/>
          <w:lang w:val="sr-Cyrl-RS"/>
        </w:rPr>
        <w:footnoteReference w:id="30"/>
      </w:r>
    </w:p>
    <w:p w14:paraId="662386B1" w14:textId="77777777" w:rsidR="00DC2FFD" w:rsidRPr="00DC2FFD" w:rsidRDefault="00DC2FFD" w:rsidP="00DC2FFD">
      <w:pPr>
        <w:spacing w:after="0"/>
        <w:ind w:firstLine="720"/>
        <w:jc w:val="both"/>
        <w:rPr>
          <w:sz w:val="24"/>
          <w:szCs w:val="24"/>
          <w:lang w:val="en-GB"/>
        </w:rPr>
      </w:pPr>
      <w:r w:rsidRPr="00DC2FFD">
        <w:rPr>
          <w:sz w:val="24"/>
          <w:lang w:val="en-GB"/>
        </w:rPr>
        <w:t xml:space="preserve">The National Academy of Public Administration developed the Programme for the Professional Development of Roma for 2021, with the overall objective of improving the status of persons belonging to the Roma community in the Republic of Serbia. Specific objectives of this Programme are development and improvement of professional competences of highly educated persons belonging to the Roma community, as a precondition for their higher employability in the public administration. The Programme has been developed in collaboration with the civic movement </w:t>
      </w:r>
      <w:proofErr w:type="spellStart"/>
      <w:r w:rsidRPr="00DC2FFD">
        <w:rPr>
          <w:sz w:val="24"/>
          <w:lang w:val="en-GB"/>
        </w:rPr>
        <w:t>Opre</w:t>
      </w:r>
      <w:proofErr w:type="spellEnd"/>
      <w:r w:rsidRPr="00DC2FFD">
        <w:rPr>
          <w:sz w:val="24"/>
          <w:lang w:val="en-GB"/>
        </w:rPr>
        <w:t xml:space="preserve"> Roma Serbia and the Roma Initiatives Office of the Open Society Foundation Serbia. The National Academy implemented the Programme for the Professional Development of Roma for the first generation of trainees, and the second generation of trainees of the Programme is being selected.</w:t>
      </w:r>
    </w:p>
    <w:p w14:paraId="7BF32F41" w14:textId="77777777" w:rsidR="00DC2FFD" w:rsidRPr="00DC2FFD" w:rsidRDefault="00DC2FFD" w:rsidP="00DC2FFD">
      <w:pPr>
        <w:spacing w:after="0"/>
        <w:ind w:firstLine="720"/>
        <w:jc w:val="both"/>
        <w:rPr>
          <w:sz w:val="24"/>
          <w:szCs w:val="24"/>
          <w:lang w:val="en-GB"/>
        </w:rPr>
      </w:pPr>
      <w:r w:rsidRPr="00DC2FFD">
        <w:rPr>
          <w:sz w:val="24"/>
          <w:lang w:val="en-GB"/>
        </w:rPr>
        <w:t xml:space="preserve">In addition to the </w:t>
      </w:r>
      <w:proofErr w:type="gramStart"/>
      <w:r w:rsidRPr="00DC2FFD">
        <w:rPr>
          <w:sz w:val="24"/>
          <w:lang w:val="en-GB"/>
        </w:rPr>
        <w:t>above  Programme</w:t>
      </w:r>
      <w:proofErr w:type="gramEnd"/>
      <w:r w:rsidRPr="00DC2FFD">
        <w:rPr>
          <w:sz w:val="24"/>
          <w:lang w:val="en-GB"/>
        </w:rPr>
        <w:t xml:space="preserve"> for the Professional Development of Roma, which is intended for highly educated persons belonging to the Roma national minority, the Sectoral Agreement on continuing professional development of employees in local self-government units provides for two trainings intended for employees in local self-government units who should contribute to the social inclusion of Roma:</w:t>
      </w:r>
    </w:p>
    <w:p w14:paraId="3B68D397" w14:textId="77777777" w:rsidR="00DC2FFD" w:rsidRPr="00DC2FFD" w:rsidRDefault="00DC2FFD" w:rsidP="00DC2FFD">
      <w:pPr>
        <w:spacing w:after="0"/>
        <w:ind w:firstLine="720"/>
        <w:jc w:val="both"/>
        <w:rPr>
          <w:sz w:val="24"/>
          <w:szCs w:val="24"/>
          <w:lang w:val="en-GB"/>
        </w:rPr>
      </w:pPr>
      <w:r w:rsidRPr="00DC2FFD">
        <w:rPr>
          <w:sz w:val="24"/>
          <w:lang w:val="en-GB"/>
        </w:rPr>
        <w:t>- Development, implementation and monitoring of measures for social inclusion of Roma at the local level, and</w:t>
      </w:r>
    </w:p>
    <w:p w14:paraId="3F8A0ED0" w14:textId="77777777" w:rsidR="00DC2FFD" w:rsidRPr="00DC2FFD" w:rsidRDefault="00DC2FFD" w:rsidP="00DC2FFD">
      <w:pPr>
        <w:spacing w:after="0"/>
        <w:ind w:firstLine="720"/>
        <w:jc w:val="both"/>
        <w:rPr>
          <w:sz w:val="24"/>
          <w:szCs w:val="24"/>
          <w:lang w:val="en-GB"/>
        </w:rPr>
      </w:pPr>
      <w:r w:rsidRPr="00DC2FFD">
        <w:rPr>
          <w:sz w:val="24"/>
          <w:lang w:val="en-GB"/>
        </w:rPr>
        <w:t>- Social inclusion of Roma at the local level – online training.</w:t>
      </w:r>
    </w:p>
    <w:p w14:paraId="2E671BED" w14:textId="77777777" w:rsidR="00DC2FFD" w:rsidRPr="00DC2FFD" w:rsidRDefault="00DC2FFD" w:rsidP="00DC2FFD">
      <w:pPr>
        <w:spacing w:after="0"/>
        <w:ind w:firstLine="720"/>
        <w:jc w:val="both"/>
        <w:rPr>
          <w:sz w:val="24"/>
          <w:szCs w:val="24"/>
          <w:lang w:val="sr-Cyrl-RS"/>
        </w:rPr>
      </w:pPr>
    </w:p>
    <w:p w14:paraId="44A72F2F" w14:textId="77777777" w:rsidR="00DC2FFD" w:rsidRPr="00DC2FFD" w:rsidRDefault="00DC2FFD" w:rsidP="00DC2FFD">
      <w:pPr>
        <w:spacing w:after="0"/>
        <w:ind w:firstLine="720"/>
        <w:jc w:val="both"/>
        <w:rPr>
          <w:sz w:val="24"/>
          <w:szCs w:val="24"/>
          <w:lang w:val="en-GB"/>
        </w:rPr>
      </w:pPr>
      <w:r w:rsidRPr="00DC2FFD">
        <w:rPr>
          <w:sz w:val="24"/>
          <w:lang w:val="en-GB"/>
        </w:rPr>
        <w:t xml:space="preserve">The IPA 2020 Programme finances the allocation of grants (direct grant) to the Standing Conference of Towns and Municipalities, in the amount of 6,500,000 EUR. One of the key results in this project entails support to the implementation and improvement of local measures and mechanisms for Roma inclusion, which includes the planning of following activities: providing support to the existing local coordination bodies (new mechanism - body comprised </w:t>
      </w:r>
      <w:r w:rsidRPr="00DC2FFD">
        <w:rPr>
          <w:sz w:val="24"/>
          <w:lang w:val="en-GB"/>
        </w:rPr>
        <w:lastRenderedPageBreak/>
        <w:t xml:space="preserve">of the representatives of key local institutions), mobile team created within IPA 2016 and co-financing of operational plans of mobile teams: development of local action plans for social inclusion of Roma men and women; exchange of best practices through the operations of the Network of Standing Conferences for Roma matters and advisory support to local self-governments. The intervention will also be intended towards building and piloting </w:t>
      </w:r>
      <w:proofErr w:type="spellStart"/>
      <w:r w:rsidRPr="00DC2FFD">
        <w:rPr>
          <w:sz w:val="24"/>
          <w:lang w:val="en-GB"/>
        </w:rPr>
        <w:t>intermunicipal</w:t>
      </w:r>
      <w:proofErr w:type="spellEnd"/>
      <w:r w:rsidRPr="00DC2FFD">
        <w:rPr>
          <w:sz w:val="24"/>
          <w:lang w:val="en-GB"/>
        </w:rPr>
        <w:t xml:space="preserve"> cooperation, developing an opportunity to establish a mobile team for Roma inclusion, which has so far functioned as a result of project support, without being fully integrated into the institutional system, as an innovative and integrated social service at the local level (with possible expansion of the scope). This intervention will also include building capacities of the existing joint mobile units for Roma social inclusion. The project execution starts in 2022.</w:t>
      </w:r>
    </w:p>
    <w:p w14:paraId="5CCA00FA" w14:textId="77777777" w:rsidR="00DC2FFD" w:rsidRPr="00DC2FFD" w:rsidRDefault="00DC2FFD" w:rsidP="00DC2FFD">
      <w:pPr>
        <w:spacing w:after="0"/>
        <w:ind w:firstLine="720"/>
        <w:jc w:val="both"/>
        <w:rPr>
          <w:sz w:val="24"/>
          <w:szCs w:val="24"/>
          <w:lang w:val="en-GB"/>
        </w:rPr>
      </w:pPr>
      <w:r w:rsidRPr="00DC2FFD">
        <w:rPr>
          <w:sz w:val="24"/>
          <w:lang w:val="en-GB"/>
        </w:rPr>
        <w:t>The inclusion of Roma is continuously monitored through an online database for monitoring of measures for the inclusion of Roma men and women. Reports in the database for monitoring of the measures for the inclusion of Roma men and women for 2020 were submitted by 116 local self-government units in total. On the basis of obtained data, the Team for Social Inclusion and Poverty Reduction created the “Overview of data about towns and municipalities on measures for the social inclusion of Roma men and women in 2020”.</w:t>
      </w:r>
      <w:r w:rsidRPr="00DC2FFD">
        <w:rPr>
          <w:sz w:val="24"/>
          <w:szCs w:val="24"/>
          <w:vertAlign w:val="superscript"/>
          <w:lang w:val="sr-Cyrl-RS"/>
        </w:rPr>
        <w:footnoteReference w:id="31"/>
      </w:r>
      <w:r w:rsidRPr="00DC2FFD">
        <w:rPr>
          <w:sz w:val="24"/>
          <w:lang w:val="en-GB"/>
        </w:rPr>
        <w:t xml:space="preserve"> According to the data from the survey above, of 116 local self-government units which filled out the questionnaire, 49 towns and municipalities adopted a local action plan for the social inclusion of Roma men and women, while 45 local self-government units allocated funds for the improvement of the status of Roma. </w:t>
      </w:r>
    </w:p>
    <w:p w14:paraId="4C946E08" w14:textId="77777777" w:rsidR="00DC2FFD" w:rsidRPr="00DC2FFD" w:rsidRDefault="00DC2FFD" w:rsidP="00DC2FFD">
      <w:pPr>
        <w:spacing w:after="0"/>
        <w:ind w:firstLine="720"/>
        <w:jc w:val="both"/>
        <w:rPr>
          <w:sz w:val="24"/>
          <w:szCs w:val="24"/>
          <w:lang w:val="en-GB"/>
        </w:rPr>
      </w:pPr>
      <w:r w:rsidRPr="00DC2FFD">
        <w:rPr>
          <w:sz w:val="24"/>
          <w:lang w:val="en-GB"/>
        </w:rPr>
        <w:t xml:space="preserve">Certain measures of the National Assembly of the Republic of Serbia also contribute to the monitoring of the inclusion and improvement of the status of Roma: Namely, at its session held on 4 March 2021, the Committee on Human and Minority Rights and Gender Equality of the National Assembly adopted the Decision establishing the Subcommittee for Roma Affairs. The Subcommittee has the task to monitor and implement the law or another general act and discuss other matters concerning the improvement of the status of Roma in the Republic of Serbia, and in particular to analyse the adequacy of the application of international documents concerning Roma affairs, to discuss and promote measures and activities for the development and improvement of the status of Roma, discuss and propose how to handle initiatives, petitions, complaints and proposals submitted to the Committee which concern the status of Roma.  </w:t>
      </w:r>
    </w:p>
    <w:p w14:paraId="754E025E" w14:textId="69A81790" w:rsidR="00DC2FFD" w:rsidRPr="00DC2FFD" w:rsidRDefault="00DC2FFD" w:rsidP="00DC2FFD">
      <w:pPr>
        <w:spacing w:after="0"/>
        <w:ind w:firstLine="720"/>
        <w:jc w:val="both"/>
        <w:rPr>
          <w:sz w:val="24"/>
          <w:szCs w:val="24"/>
          <w:lang w:val="en-GB"/>
        </w:rPr>
      </w:pPr>
      <w:r w:rsidRPr="00DC2FFD">
        <w:rPr>
          <w:sz w:val="24"/>
          <w:lang w:val="en-GB"/>
        </w:rPr>
        <w:t>Within the framework of the programme of the German Cooperation Office “Inclusion of Roma and other marginalized groups in Serbia”, whose objective was to improve the institutional structure for inter-sectoral cooperation and implementation of the Strategy for the Inclusion of Roma Men and Women at the local level, one of the main objectives is creating opportunities for the employment of Roma men and women and returnees in accordance with the Readmission Agreement and other persons belonging to marginalised and less employable groups in Serbia. Within the framework of the programme,  which is implemented in the partnership with the Ministry of Human and Minority and Social Dialogue, the publication Promotion of Employment</w:t>
      </w:r>
      <w:r w:rsidRPr="00DC2FFD">
        <w:rPr>
          <w:sz w:val="24"/>
          <w:szCs w:val="24"/>
          <w:vertAlign w:val="superscript"/>
          <w:lang w:val="sr-Cyrl-RS"/>
        </w:rPr>
        <w:footnoteReference w:id="32"/>
      </w:r>
      <w:r w:rsidRPr="00DC2FFD">
        <w:rPr>
          <w:sz w:val="24"/>
          <w:lang w:val="en-GB"/>
        </w:rPr>
        <w:t xml:space="preserve">, which presented employment models which had yielded good </w:t>
      </w:r>
      <w:r w:rsidRPr="00DC2FFD">
        <w:rPr>
          <w:sz w:val="24"/>
          <w:lang w:val="en-GB"/>
        </w:rPr>
        <w:lastRenderedPageBreak/>
        <w:t>results in the employment of Roma men and women and other marginalised groups, was published in 2021. According to the data from the publication above, expert trainings for employment with known employers were organised in over 20 companies for 300 trainees in 12 operational areas. Expert trainings for 15 profiles sought after on the labour market included over 450 trainees. Over 300 entrepreneurs received support for launching their own or development of an existing business. Career guidance and counselling, as well as mentor support in employment, were provided for over 800 beneficiaries, of which over 500 women.</w:t>
      </w:r>
    </w:p>
    <w:p w14:paraId="4CBDCBB4" w14:textId="77777777" w:rsidR="00DC2FFD" w:rsidRPr="00DC2FFD" w:rsidRDefault="00DC2FFD" w:rsidP="00DC2FFD">
      <w:pPr>
        <w:spacing w:after="0"/>
        <w:ind w:firstLine="720"/>
        <w:jc w:val="both"/>
        <w:rPr>
          <w:sz w:val="24"/>
          <w:szCs w:val="24"/>
          <w:lang w:val="en-GB"/>
        </w:rPr>
      </w:pPr>
      <w:r w:rsidRPr="00DC2FFD">
        <w:rPr>
          <w:sz w:val="24"/>
          <w:lang w:val="en-GB"/>
        </w:rPr>
        <w:t>Similarly, open competitions are continuously implemented at various levels of government, with the objective to promote positive treatment of persons belonging to the Roma population by the society, for the purpose of preventing discrimination, particularly of multiply discriminated Roma men and women; improvement of the status of Roma men and women by ensuring the exercise of the right to education, employment, health care; improvement of the access to the social welfare for the purpose of poverty reduction and increase of the social inclusion of Roma men and women into the local community, creating and promoting integral local services/programmes etc.</w:t>
      </w:r>
    </w:p>
    <w:p w14:paraId="283CA676" w14:textId="77777777" w:rsidR="00DC2FFD" w:rsidRPr="00DC2FFD" w:rsidRDefault="00DC2FFD" w:rsidP="00DC2FFD">
      <w:pPr>
        <w:spacing w:after="0"/>
        <w:ind w:firstLine="720"/>
        <w:jc w:val="both"/>
        <w:rPr>
          <w:sz w:val="24"/>
          <w:szCs w:val="24"/>
          <w:lang w:val="en-GB"/>
        </w:rPr>
      </w:pPr>
      <w:r w:rsidRPr="00DC2FFD">
        <w:rPr>
          <w:sz w:val="24"/>
          <w:lang w:val="en-GB"/>
        </w:rPr>
        <w:t>The following tables provide an overview of available data on the announced competitions and allocated grants.</w:t>
      </w:r>
    </w:p>
    <w:p w14:paraId="39CAD030" w14:textId="77777777" w:rsidR="00DC2FFD" w:rsidRPr="00DC2FFD" w:rsidRDefault="00DC2FFD" w:rsidP="00DC2FFD">
      <w:pPr>
        <w:spacing w:after="0"/>
        <w:jc w:val="both"/>
        <w:rPr>
          <w:sz w:val="24"/>
          <w:szCs w:val="24"/>
          <w:lang w:val="sr-Cyrl-RS"/>
        </w:rPr>
      </w:pPr>
    </w:p>
    <w:tbl>
      <w:tblPr>
        <w:tblStyle w:val="TableGrid"/>
        <w:tblW w:w="0" w:type="auto"/>
        <w:tblLook w:val="04A0" w:firstRow="1" w:lastRow="0" w:firstColumn="1" w:lastColumn="0" w:noHBand="0" w:noVBand="1"/>
      </w:tblPr>
      <w:tblGrid>
        <w:gridCol w:w="7225"/>
        <w:gridCol w:w="1791"/>
      </w:tblGrid>
      <w:tr w:rsidR="00DC2FFD" w:rsidRPr="00DC2FFD" w14:paraId="4320937F" w14:textId="77777777" w:rsidTr="00296435">
        <w:tc>
          <w:tcPr>
            <w:tcW w:w="9016" w:type="dxa"/>
            <w:gridSpan w:val="2"/>
          </w:tcPr>
          <w:p w14:paraId="34A19AAE" w14:textId="77777777" w:rsidR="00DC2FFD" w:rsidRPr="00DC2FFD" w:rsidRDefault="00DC2FFD" w:rsidP="00DC2FFD">
            <w:pPr>
              <w:spacing w:after="0"/>
              <w:jc w:val="center"/>
              <w:rPr>
                <w:sz w:val="20"/>
                <w:szCs w:val="20"/>
                <w:lang w:val="en-GB"/>
              </w:rPr>
            </w:pPr>
            <w:r w:rsidRPr="00DC2FFD">
              <w:rPr>
                <w:sz w:val="20"/>
                <w:lang w:val="en-GB"/>
              </w:rPr>
              <w:t>Office for Human and Minority Rights</w:t>
            </w:r>
          </w:p>
          <w:p w14:paraId="36B7C580" w14:textId="77777777" w:rsidR="00DC2FFD" w:rsidRPr="00DC2FFD" w:rsidRDefault="00DC2FFD" w:rsidP="00DC2FFD">
            <w:pPr>
              <w:spacing w:after="0"/>
              <w:jc w:val="center"/>
              <w:rPr>
                <w:sz w:val="20"/>
                <w:szCs w:val="20"/>
                <w:lang w:val="sr-Cyrl-RS"/>
              </w:rPr>
            </w:pPr>
          </w:p>
        </w:tc>
      </w:tr>
      <w:tr w:rsidR="00DC2FFD" w:rsidRPr="00DC2FFD" w14:paraId="1310C27D" w14:textId="77777777" w:rsidTr="008D1F04">
        <w:tc>
          <w:tcPr>
            <w:tcW w:w="7225" w:type="dxa"/>
          </w:tcPr>
          <w:p w14:paraId="53C73A5D" w14:textId="77777777" w:rsidR="00DC2FFD" w:rsidRPr="00DC2FFD" w:rsidRDefault="00DC2FFD" w:rsidP="00DC2FFD">
            <w:pPr>
              <w:spacing w:after="0"/>
              <w:jc w:val="center"/>
              <w:rPr>
                <w:sz w:val="20"/>
                <w:szCs w:val="20"/>
                <w:lang w:val="en-GB"/>
              </w:rPr>
            </w:pPr>
            <w:r w:rsidRPr="00DC2FFD">
              <w:rPr>
                <w:sz w:val="20"/>
                <w:lang w:val="en-GB"/>
              </w:rPr>
              <w:t>Public competition</w:t>
            </w:r>
          </w:p>
        </w:tc>
        <w:tc>
          <w:tcPr>
            <w:tcW w:w="1791" w:type="dxa"/>
          </w:tcPr>
          <w:p w14:paraId="1D16E9B7" w14:textId="77777777" w:rsidR="00DC2FFD" w:rsidRPr="00DC2FFD" w:rsidRDefault="00DC2FFD" w:rsidP="00DC2FFD">
            <w:pPr>
              <w:spacing w:after="0"/>
              <w:jc w:val="center"/>
              <w:rPr>
                <w:sz w:val="20"/>
                <w:szCs w:val="20"/>
                <w:lang w:val="en-GB"/>
              </w:rPr>
            </w:pPr>
            <w:r w:rsidRPr="00DC2FFD">
              <w:rPr>
                <w:sz w:val="20"/>
                <w:lang w:val="en-GB"/>
              </w:rPr>
              <w:t>Amount</w:t>
            </w:r>
          </w:p>
        </w:tc>
      </w:tr>
      <w:tr w:rsidR="00DC2FFD" w:rsidRPr="00DC2FFD" w14:paraId="347925B2" w14:textId="77777777" w:rsidTr="008D1F04">
        <w:tc>
          <w:tcPr>
            <w:tcW w:w="7225" w:type="dxa"/>
          </w:tcPr>
          <w:p w14:paraId="0501E0F3" w14:textId="77777777" w:rsidR="00DC2FFD" w:rsidRPr="00DC2FFD" w:rsidRDefault="00DC2FFD" w:rsidP="00DC2FFD">
            <w:pPr>
              <w:spacing w:after="0"/>
              <w:rPr>
                <w:sz w:val="20"/>
                <w:szCs w:val="20"/>
                <w:lang w:val="en-GB"/>
              </w:rPr>
            </w:pPr>
            <w:r w:rsidRPr="00DC2FFD">
              <w:rPr>
                <w:sz w:val="20"/>
                <w:lang w:val="en-GB"/>
              </w:rPr>
              <w:t>Improvement of the status of Roma men and women in the Republic of Serbia for 2017</w:t>
            </w:r>
          </w:p>
        </w:tc>
        <w:tc>
          <w:tcPr>
            <w:tcW w:w="1791" w:type="dxa"/>
          </w:tcPr>
          <w:p w14:paraId="341F6BD9" w14:textId="77777777" w:rsidR="00DC2FFD" w:rsidRPr="00DC2FFD" w:rsidRDefault="00DC2FFD" w:rsidP="00DC2FFD">
            <w:pPr>
              <w:spacing w:after="0"/>
              <w:jc w:val="right"/>
              <w:rPr>
                <w:sz w:val="20"/>
                <w:szCs w:val="20"/>
                <w:lang w:val="en-GB"/>
              </w:rPr>
            </w:pPr>
            <w:r w:rsidRPr="00DC2FFD">
              <w:rPr>
                <w:sz w:val="20"/>
                <w:lang w:val="en-GB"/>
              </w:rPr>
              <w:t>15,388,125.00</w:t>
            </w:r>
          </w:p>
        </w:tc>
      </w:tr>
      <w:tr w:rsidR="00DC2FFD" w:rsidRPr="00DC2FFD" w14:paraId="5A198F13" w14:textId="77777777" w:rsidTr="008D1F04">
        <w:tc>
          <w:tcPr>
            <w:tcW w:w="7225" w:type="dxa"/>
          </w:tcPr>
          <w:p w14:paraId="26A7EA8B" w14:textId="77777777" w:rsidR="00DC2FFD" w:rsidRPr="00DC2FFD" w:rsidRDefault="00DC2FFD" w:rsidP="00DC2FFD">
            <w:pPr>
              <w:spacing w:after="0"/>
              <w:rPr>
                <w:sz w:val="20"/>
                <w:szCs w:val="20"/>
                <w:lang w:val="en-GB"/>
              </w:rPr>
            </w:pPr>
            <w:r w:rsidRPr="00DC2FFD">
              <w:rPr>
                <w:sz w:val="20"/>
                <w:lang w:val="en-GB"/>
              </w:rPr>
              <w:t>Improvement of the status of Roma men and women in the Republic of Serbia for 2018</w:t>
            </w:r>
          </w:p>
        </w:tc>
        <w:tc>
          <w:tcPr>
            <w:tcW w:w="1791" w:type="dxa"/>
          </w:tcPr>
          <w:p w14:paraId="12DD97E9" w14:textId="77777777" w:rsidR="00DC2FFD" w:rsidRPr="00DC2FFD" w:rsidRDefault="00DC2FFD" w:rsidP="00DC2FFD">
            <w:pPr>
              <w:spacing w:after="0"/>
              <w:jc w:val="right"/>
              <w:rPr>
                <w:sz w:val="20"/>
                <w:szCs w:val="20"/>
                <w:lang w:val="en-GB"/>
              </w:rPr>
            </w:pPr>
            <w:r w:rsidRPr="00DC2FFD">
              <w:rPr>
                <w:sz w:val="20"/>
                <w:lang w:val="en-GB"/>
              </w:rPr>
              <w:t>13,948,028.00</w:t>
            </w:r>
          </w:p>
        </w:tc>
      </w:tr>
      <w:tr w:rsidR="00DC2FFD" w:rsidRPr="00DC2FFD" w14:paraId="0E319C9F" w14:textId="77777777" w:rsidTr="008D1F04">
        <w:tc>
          <w:tcPr>
            <w:tcW w:w="7225" w:type="dxa"/>
          </w:tcPr>
          <w:p w14:paraId="2192A60B" w14:textId="77777777" w:rsidR="00DC2FFD" w:rsidRPr="00DC2FFD" w:rsidRDefault="00DC2FFD" w:rsidP="00DC2FFD">
            <w:pPr>
              <w:spacing w:after="0"/>
              <w:rPr>
                <w:sz w:val="20"/>
                <w:szCs w:val="20"/>
                <w:lang w:val="en-GB"/>
              </w:rPr>
            </w:pPr>
            <w:r w:rsidRPr="00DC2FFD">
              <w:rPr>
                <w:sz w:val="20"/>
                <w:lang w:val="en-GB"/>
              </w:rPr>
              <w:t>Improvement of the status of Roma men and women in the Republic of Serbia for 2019</w:t>
            </w:r>
          </w:p>
        </w:tc>
        <w:tc>
          <w:tcPr>
            <w:tcW w:w="1791" w:type="dxa"/>
          </w:tcPr>
          <w:p w14:paraId="11F8BB2E" w14:textId="77777777" w:rsidR="00DC2FFD" w:rsidRPr="00DC2FFD" w:rsidRDefault="00DC2FFD" w:rsidP="00DC2FFD">
            <w:pPr>
              <w:spacing w:after="0"/>
              <w:jc w:val="right"/>
              <w:rPr>
                <w:sz w:val="20"/>
                <w:szCs w:val="20"/>
                <w:lang w:val="en-GB"/>
              </w:rPr>
            </w:pPr>
            <w:r w:rsidRPr="00DC2FFD">
              <w:rPr>
                <w:sz w:val="20"/>
                <w:lang w:val="en-GB"/>
              </w:rPr>
              <w:t>15,994,792.00</w:t>
            </w:r>
          </w:p>
        </w:tc>
      </w:tr>
      <w:tr w:rsidR="00DC2FFD" w:rsidRPr="00DC2FFD" w14:paraId="2A93F988" w14:textId="77777777" w:rsidTr="008D1F04">
        <w:tc>
          <w:tcPr>
            <w:tcW w:w="7225" w:type="dxa"/>
          </w:tcPr>
          <w:p w14:paraId="20522920" w14:textId="77777777" w:rsidR="00DC2FFD" w:rsidRPr="00DC2FFD" w:rsidRDefault="00DC2FFD" w:rsidP="00DC2FFD">
            <w:pPr>
              <w:spacing w:after="0"/>
              <w:rPr>
                <w:sz w:val="20"/>
                <w:szCs w:val="20"/>
                <w:lang w:val="en-GB"/>
              </w:rPr>
            </w:pPr>
            <w:r w:rsidRPr="00DC2FFD">
              <w:rPr>
                <w:sz w:val="20"/>
                <w:lang w:val="en-GB"/>
              </w:rPr>
              <w:t>Improvement of the status of Roma men and women in the Republic of Serbia for 2020</w:t>
            </w:r>
          </w:p>
        </w:tc>
        <w:tc>
          <w:tcPr>
            <w:tcW w:w="1791" w:type="dxa"/>
          </w:tcPr>
          <w:p w14:paraId="0B006E4B" w14:textId="77777777" w:rsidR="00DC2FFD" w:rsidRPr="00DC2FFD" w:rsidRDefault="00DC2FFD" w:rsidP="00DC2FFD">
            <w:pPr>
              <w:spacing w:after="0"/>
              <w:jc w:val="right"/>
              <w:rPr>
                <w:sz w:val="20"/>
                <w:szCs w:val="20"/>
                <w:lang w:val="en-GB"/>
              </w:rPr>
            </w:pPr>
            <w:r w:rsidRPr="00DC2FFD">
              <w:rPr>
                <w:sz w:val="20"/>
                <w:lang w:val="en-GB"/>
              </w:rPr>
              <w:t>6,988,947.00</w:t>
            </w:r>
          </w:p>
        </w:tc>
      </w:tr>
    </w:tbl>
    <w:p w14:paraId="09D8986C" w14:textId="77777777" w:rsidR="00DC2FFD" w:rsidRPr="00DC2FFD" w:rsidRDefault="00DC2FFD" w:rsidP="00DC2FFD">
      <w:pPr>
        <w:spacing w:after="0"/>
        <w:jc w:val="both"/>
        <w:rPr>
          <w:sz w:val="24"/>
          <w:szCs w:val="24"/>
          <w:lang w:val="sr-Cyrl-RS"/>
        </w:rPr>
      </w:pPr>
    </w:p>
    <w:p w14:paraId="555C1BAF" w14:textId="77777777" w:rsidR="00DC2FFD" w:rsidRPr="00DC2FFD" w:rsidRDefault="00DC2FFD" w:rsidP="00DC2FFD">
      <w:pPr>
        <w:spacing w:after="0"/>
        <w:jc w:val="both"/>
        <w:rPr>
          <w:sz w:val="24"/>
          <w:szCs w:val="24"/>
          <w:lang w:val="sr-Cyrl-RS"/>
        </w:rPr>
      </w:pPr>
    </w:p>
    <w:tbl>
      <w:tblPr>
        <w:tblStyle w:val="TableGrid"/>
        <w:tblW w:w="0" w:type="auto"/>
        <w:tblLook w:val="04A0" w:firstRow="1" w:lastRow="0" w:firstColumn="1" w:lastColumn="0" w:noHBand="0" w:noVBand="1"/>
      </w:tblPr>
      <w:tblGrid>
        <w:gridCol w:w="7083"/>
        <w:gridCol w:w="1933"/>
      </w:tblGrid>
      <w:tr w:rsidR="00DC2FFD" w:rsidRPr="00DC2FFD" w14:paraId="2CBA03CB" w14:textId="77777777" w:rsidTr="00296435">
        <w:tc>
          <w:tcPr>
            <w:tcW w:w="9016" w:type="dxa"/>
            <w:gridSpan w:val="2"/>
          </w:tcPr>
          <w:p w14:paraId="499EE81C" w14:textId="77777777" w:rsidR="00DC2FFD" w:rsidRPr="00DC2FFD" w:rsidRDefault="00DC2FFD" w:rsidP="00DC2FFD">
            <w:pPr>
              <w:spacing w:after="0"/>
              <w:jc w:val="center"/>
              <w:rPr>
                <w:sz w:val="20"/>
                <w:szCs w:val="20"/>
                <w:lang w:val="en-GB"/>
              </w:rPr>
            </w:pPr>
            <w:r w:rsidRPr="00DC2FFD">
              <w:rPr>
                <w:sz w:val="20"/>
                <w:lang w:val="en-GB"/>
              </w:rPr>
              <w:t>Ministry of Human and Minority Rights and Social Dialogue</w:t>
            </w:r>
          </w:p>
          <w:p w14:paraId="703B4459" w14:textId="77777777" w:rsidR="00DC2FFD" w:rsidRPr="00DC2FFD" w:rsidRDefault="00DC2FFD" w:rsidP="00DC2FFD">
            <w:pPr>
              <w:spacing w:after="0"/>
              <w:jc w:val="center"/>
              <w:rPr>
                <w:sz w:val="20"/>
                <w:szCs w:val="20"/>
                <w:lang w:val="sr-Cyrl-RS"/>
              </w:rPr>
            </w:pPr>
          </w:p>
        </w:tc>
      </w:tr>
      <w:tr w:rsidR="00DC2FFD" w:rsidRPr="00DC2FFD" w14:paraId="6E67AFEA" w14:textId="77777777" w:rsidTr="00296435">
        <w:tc>
          <w:tcPr>
            <w:tcW w:w="7083" w:type="dxa"/>
          </w:tcPr>
          <w:p w14:paraId="77304727" w14:textId="77777777" w:rsidR="00DC2FFD" w:rsidRPr="00DC2FFD" w:rsidRDefault="00DC2FFD" w:rsidP="00DC2FFD">
            <w:pPr>
              <w:spacing w:after="0"/>
              <w:jc w:val="center"/>
              <w:rPr>
                <w:sz w:val="20"/>
                <w:szCs w:val="20"/>
                <w:lang w:val="en-GB"/>
              </w:rPr>
            </w:pPr>
            <w:r w:rsidRPr="00DC2FFD">
              <w:rPr>
                <w:sz w:val="20"/>
                <w:lang w:val="en-GB"/>
              </w:rPr>
              <w:t>Public competition</w:t>
            </w:r>
          </w:p>
        </w:tc>
        <w:tc>
          <w:tcPr>
            <w:tcW w:w="1933" w:type="dxa"/>
          </w:tcPr>
          <w:p w14:paraId="12269D28" w14:textId="77777777" w:rsidR="00DC2FFD" w:rsidRPr="00DC2FFD" w:rsidRDefault="00DC2FFD" w:rsidP="00DC2FFD">
            <w:pPr>
              <w:spacing w:after="0"/>
              <w:jc w:val="center"/>
              <w:rPr>
                <w:sz w:val="20"/>
                <w:szCs w:val="20"/>
                <w:lang w:val="en-GB"/>
              </w:rPr>
            </w:pPr>
            <w:r w:rsidRPr="00DC2FFD">
              <w:rPr>
                <w:sz w:val="20"/>
                <w:lang w:val="en-GB"/>
              </w:rPr>
              <w:t>Amount</w:t>
            </w:r>
          </w:p>
        </w:tc>
      </w:tr>
      <w:tr w:rsidR="00DC2FFD" w:rsidRPr="00DC2FFD" w14:paraId="5ADAD45F" w14:textId="77777777" w:rsidTr="00296435">
        <w:tc>
          <w:tcPr>
            <w:tcW w:w="7083" w:type="dxa"/>
          </w:tcPr>
          <w:p w14:paraId="1AD4A08B" w14:textId="77777777" w:rsidR="00DC2FFD" w:rsidRPr="00DC2FFD" w:rsidRDefault="00DC2FFD" w:rsidP="00DC2FFD">
            <w:pPr>
              <w:spacing w:after="0"/>
              <w:rPr>
                <w:sz w:val="20"/>
                <w:szCs w:val="20"/>
                <w:lang w:val="en-GB"/>
              </w:rPr>
            </w:pPr>
            <w:r w:rsidRPr="00DC2FFD">
              <w:rPr>
                <w:sz w:val="20"/>
                <w:lang w:val="en-GB"/>
              </w:rPr>
              <w:t>Implementation of the policies of social inclusion of Roma men and women in the Republic of Serbia for 2021</w:t>
            </w:r>
          </w:p>
        </w:tc>
        <w:tc>
          <w:tcPr>
            <w:tcW w:w="1933" w:type="dxa"/>
          </w:tcPr>
          <w:p w14:paraId="6A1FA3C6" w14:textId="77777777" w:rsidR="00DC2FFD" w:rsidRPr="00DC2FFD" w:rsidRDefault="00DC2FFD" w:rsidP="00DC2FFD">
            <w:pPr>
              <w:spacing w:after="0"/>
              <w:jc w:val="right"/>
              <w:rPr>
                <w:sz w:val="20"/>
                <w:szCs w:val="20"/>
                <w:lang w:val="en-GB"/>
              </w:rPr>
            </w:pPr>
            <w:r w:rsidRPr="00DC2FFD">
              <w:rPr>
                <w:sz w:val="20"/>
                <w:lang w:val="en-GB"/>
              </w:rPr>
              <w:t>12,000,000.00</w:t>
            </w:r>
          </w:p>
        </w:tc>
      </w:tr>
    </w:tbl>
    <w:p w14:paraId="18121A81" w14:textId="77777777" w:rsidR="00DC2FFD" w:rsidRPr="00DC2FFD" w:rsidRDefault="00DC2FFD" w:rsidP="00DC2FFD">
      <w:pPr>
        <w:spacing w:after="0"/>
        <w:jc w:val="both"/>
        <w:rPr>
          <w:sz w:val="24"/>
          <w:szCs w:val="24"/>
          <w:lang w:val="sr-Cyrl-RS"/>
        </w:rPr>
      </w:pPr>
    </w:p>
    <w:p w14:paraId="098F801D" w14:textId="77777777" w:rsidR="00DC2FFD" w:rsidRPr="00DC2FFD" w:rsidRDefault="00DC2FFD" w:rsidP="00DC2FFD">
      <w:pPr>
        <w:spacing w:after="0"/>
        <w:jc w:val="both"/>
        <w:rPr>
          <w:sz w:val="24"/>
          <w:szCs w:val="24"/>
          <w:lang w:val="sr-Cyrl-RS"/>
        </w:rPr>
      </w:pPr>
    </w:p>
    <w:tbl>
      <w:tblPr>
        <w:tblStyle w:val="TableGrid"/>
        <w:tblW w:w="0" w:type="auto"/>
        <w:tblLook w:val="04A0" w:firstRow="1" w:lastRow="0" w:firstColumn="1" w:lastColumn="0" w:noHBand="0" w:noVBand="1"/>
      </w:tblPr>
      <w:tblGrid>
        <w:gridCol w:w="1413"/>
        <w:gridCol w:w="5953"/>
        <w:gridCol w:w="1650"/>
      </w:tblGrid>
      <w:tr w:rsidR="00DC2FFD" w:rsidRPr="00DC2FFD" w14:paraId="0537B6EB" w14:textId="77777777" w:rsidTr="00296435">
        <w:tc>
          <w:tcPr>
            <w:tcW w:w="9016" w:type="dxa"/>
            <w:gridSpan w:val="3"/>
          </w:tcPr>
          <w:p w14:paraId="61328351" w14:textId="77777777" w:rsidR="00DC2FFD" w:rsidRPr="00DC2FFD" w:rsidRDefault="00DC2FFD" w:rsidP="00DC2FFD">
            <w:pPr>
              <w:spacing w:after="0"/>
              <w:jc w:val="center"/>
              <w:rPr>
                <w:sz w:val="20"/>
                <w:szCs w:val="20"/>
                <w:lang w:val="en-GB"/>
              </w:rPr>
            </w:pPr>
            <w:r w:rsidRPr="00DC2FFD">
              <w:rPr>
                <w:sz w:val="20"/>
                <w:lang w:val="en-GB"/>
              </w:rPr>
              <w:t>Provincial Secretariat for Social Policy, Demography and Gender Equality</w:t>
            </w:r>
          </w:p>
          <w:p w14:paraId="69E4AFC3" w14:textId="77777777" w:rsidR="00DC2FFD" w:rsidRPr="00DC2FFD" w:rsidRDefault="00DC2FFD" w:rsidP="00DC2FFD">
            <w:pPr>
              <w:spacing w:after="0"/>
              <w:jc w:val="center"/>
              <w:rPr>
                <w:sz w:val="20"/>
                <w:szCs w:val="20"/>
                <w:lang w:val="sr-Cyrl-RS"/>
              </w:rPr>
            </w:pPr>
          </w:p>
        </w:tc>
      </w:tr>
      <w:tr w:rsidR="00DC2FFD" w:rsidRPr="00DC2FFD" w14:paraId="17AD12A0" w14:textId="77777777" w:rsidTr="00296435">
        <w:tc>
          <w:tcPr>
            <w:tcW w:w="1413" w:type="dxa"/>
          </w:tcPr>
          <w:p w14:paraId="4570F823" w14:textId="77777777" w:rsidR="00DC2FFD" w:rsidRPr="00DC2FFD" w:rsidRDefault="00DC2FFD" w:rsidP="00DC2FFD">
            <w:pPr>
              <w:spacing w:after="0"/>
              <w:jc w:val="center"/>
              <w:rPr>
                <w:sz w:val="20"/>
                <w:szCs w:val="20"/>
                <w:lang w:val="en-GB"/>
              </w:rPr>
            </w:pPr>
            <w:r w:rsidRPr="00DC2FFD">
              <w:rPr>
                <w:sz w:val="20"/>
                <w:lang w:val="en-GB"/>
              </w:rPr>
              <w:t>Year</w:t>
            </w:r>
          </w:p>
        </w:tc>
        <w:tc>
          <w:tcPr>
            <w:tcW w:w="5953" w:type="dxa"/>
          </w:tcPr>
          <w:p w14:paraId="19EC3B59" w14:textId="77777777" w:rsidR="00DC2FFD" w:rsidRPr="00DC2FFD" w:rsidRDefault="00DC2FFD" w:rsidP="00DC2FFD">
            <w:pPr>
              <w:spacing w:after="0"/>
              <w:jc w:val="center"/>
              <w:rPr>
                <w:sz w:val="20"/>
                <w:szCs w:val="20"/>
                <w:lang w:val="en-GB"/>
              </w:rPr>
            </w:pPr>
            <w:r w:rsidRPr="00DC2FFD">
              <w:rPr>
                <w:sz w:val="20"/>
                <w:lang w:val="en-GB"/>
              </w:rPr>
              <w:t>Public competition</w:t>
            </w:r>
          </w:p>
        </w:tc>
        <w:tc>
          <w:tcPr>
            <w:tcW w:w="1650" w:type="dxa"/>
          </w:tcPr>
          <w:p w14:paraId="16AD76A3" w14:textId="77777777" w:rsidR="00DC2FFD" w:rsidRPr="00DC2FFD" w:rsidRDefault="00DC2FFD" w:rsidP="00DC2FFD">
            <w:pPr>
              <w:spacing w:after="0"/>
              <w:jc w:val="center"/>
              <w:rPr>
                <w:sz w:val="20"/>
                <w:szCs w:val="20"/>
                <w:lang w:val="en-GB"/>
              </w:rPr>
            </w:pPr>
            <w:r w:rsidRPr="00DC2FFD">
              <w:rPr>
                <w:sz w:val="20"/>
                <w:lang w:val="en-GB"/>
              </w:rPr>
              <w:t>Amount</w:t>
            </w:r>
          </w:p>
        </w:tc>
      </w:tr>
      <w:tr w:rsidR="00DC2FFD" w:rsidRPr="00DC2FFD" w14:paraId="38C93C5B" w14:textId="77777777" w:rsidTr="00296435">
        <w:tc>
          <w:tcPr>
            <w:tcW w:w="1413" w:type="dxa"/>
          </w:tcPr>
          <w:p w14:paraId="65B03B92" w14:textId="77777777" w:rsidR="00DC2FFD" w:rsidRPr="00DC2FFD" w:rsidRDefault="00DC2FFD" w:rsidP="00DC2FFD">
            <w:pPr>
              <w:spacing w:after="0"/>
              <w:jc w:val="both"/>
              <w:rPr>
                <w:sz w:val="20"/>
                <w:szCs w:val="20"/>
                <w:lang w:val="en-GB"/>
              </w:rPr>
            </w:pPr>
            <w:r w:rsidRPr="00DC2FFD">
              <w:rPr>
                <w:sz w:val="20"/>
                <w:lang w:val="en-GB"/>
              </w:rPr>
              <w:t>2017</w:t>
            </w:r>
          </w:p>
        </w:tc>
        <w:tc>
          <w:tcPr>
            <w:tcW w:w="5953" w:type="dxa"/>
          </w:tcPr>
          <w:p w14:paraId="34EA39C4" w14:textId="77777777" w:rsidR="00DC2FFD" w:rsidRPr="00DC2FFD" w:rsidRDefault="00DC2FFD" w:rsidP="00DC2FFD">
            <w:pPr>
              <w:spacing w:after="0"/>
              <w:rPr>
                <w:sz w:val="20"/>
                <w:szCs w:val="20"/>
                <w:lang w:val="en-GB"/>
              </w:rPr>
            </w:pPr>
            <w:r w:rsidRPr="00DC2FFD">
              <w:rPr>
                <w:sz w:val="20"/>
                <w:lang w:val="en-GB"/>
              </w:rPr>
              <w:t xml:space="preserve">Public competition for allocation of grants to towns and municipalities from the territory of the Autonomous Province of </w:t>
            </w:r>
            <w:proofErr w:type="spellStart"/>
            <w:r w:rsidRPr="00DC2FFD">
              <w:rPr>
                <w:sz w:val="20"/>
                <w:lang w:val="en-GB"/>
              </w:rPr>
              <w:t>Vojvodina</w:t>
            </w:r>
            <w:proofErr w:type="spellEnd"/>
            <w:r w:rsidRPr="00DC2FFD">
              <w:rPr>
                <w:sz w:val="20"/>
                <w:lang w:val="en-GB"/>
              </w:rPr>
              <w:t xml:space="preserve"> for financing the hiring of coordinators for Roma matters</w:t>
            </w:r>
          </w:p>
        </w:tc>
        <w:tc>
          <w:tcPr>
            <w:tcW w:w="1650" w:type="dxa"/>
          </w:tcPr>
          <w:p w14:paraId="18B6D2FF" w14:textId="77777777" w:rsidR="00DC2FFD" w:rsidRPr="00DC2FFD" w:rsidRDefault="00DC2FFD" w:rsidP="00DC2FFD">
            <w:pPr>
              <w:spacing w:after="0"/>
              <w:jc w:val="right"/>
              <w:rPr>
                <w:sz w:val="20"/>
                <w:szCs w:val="20"/>
                <w:lang w:val="en-GB"/>
              </w:rPr>
            </w:pPr>
            <w:r w:rsidRPr="00DC2FFD">
              <w:rPr>
                <w:sz w:val="20"/>
                <w:lang w:val="en-GB"/>
              </w:rPr>
              <w:t xml:space="preserve">1,200,000.00 </w:t>
            </w:r>
          </w:p>
        </w:tc>
      </w:tr>
      <w:tr w:rsidR="00DC2FFD" w:rsidRPr="00DC2FFD" w14:paraId="13CC0FF7" w14:textId="77777777" w:rsidTr="00296435">
        <w:tc>
          <w:tcPr>
            <w:tcW w:w="1413" w:type="dxa"/>
          </w:tcPr>
          <w:p w14:paraId="1B1D3FFC" w14:textId="77777777" w:rsidR="00DC2FFD" w:rsidRPr="00DC2FFD" w:rsidRDefault="00DC2FFD" w:rsidP="00DC2FFD">
            <w:pPr>
              <w:spacing w:after="0"/>
              <w:jc w:val="both"/>
              <w:rPr>
                <w:sz w:val="20"/>
                <w:szCs w:val="20"/>
                <w:lang w:val="sr-Cyrl-RS"/>
              </w:rPr>
            </w:pPr>
          </w:p>
        </w:tc>
        <w:tc>
          <w:tcPr>
            <w:tcW w:w="5953" w:type="dxa"/>
          </w:tcPr>
          <w:p w14:paraId="4C2C609E" w14:textId="77777777" w:rsidR="00DC2FFD" w:rsidRPr="00DC2FFD" w:rsidRDefault="00DC2FFD" w:rsidP="00DC2FFD">
            <w:pPr>
              <w:spacing w:after="0"/>
              <w:rPr>
                <w:sz w:val="20"/>
                <w:szCs w:val="20"/>
                <w:lang w:val="en-GB"/>
              </w:rPr>
            </w:pPr>
            <w:r w:rsidRPr="00DC2FFD">
              <w:rPr>
                <w:sz w:val="20"/>
                <w:lang w:val="en-GB"/>
              </w:rPr>
              <w:t xml:space="preserve">Public competition for allocation of grants to towns and municipalities from the territory of the Autonomous Province of </w:t>
            </w:r>
            <w:proofErr w:type="spellStart"/>
            <w:r w:rsidRPr="00DC2FFD">
              <w:rPr>
                <w:sz w:val="20"/>
                <w:lang w:val="en-GB"/>
              </w:rPr>
              <w:t>Vojvodina</w:t>
            </w:r>
            <w:proofErr w:type="spellEnd"/>
            <w:r w:rsidRPr="00DC2FFD">
              <w:rPr>
                <w:sz w:val="20"/>
                <w:lang w:val="en-GB"/>
              </w:rPr>
              <w:t xml:space="preserve"> for co-financing the execution of local action plans for the improvement of the status of Roma in terms of housing</w:t>
            </w:r>
          </w:p>
        </w:tc>
        <w:tc>
          <w:tcPr>
            <w:tcW w:w="1650" w:type="dxa"/>
          </w:tcPr>
          <w:p w14:paraId="5D835E78" w14:textId="77777777" w:rsidR="00DC2FFD" w:rsidRPr="00DC2FFD" w:rsidRDefault="00DC2FFD" w:rsidP="00DC2FFD">
            <w:pPr>
              <w:spacing w:after="0"/>
              <w:jc w:val="right"/>
              <w:rPr>
                <w:sz w:val="20"/>
                <w:szCs w:val="20"/>
                <w:lang w:val="en-GB"/>
              </w:rPr>
            </w:pPr>
            <w:r w:rsidRPr="00DC2FFD">
              <w:rPr>
                <w:sz w:val="20"/>
                <w:lang w:val="en-GB"/>
              </w:rPr>
              <w:t xml:space="preserve">3,000,000.00 </w:t>
            </w:r>
          </w:p>
        </w:tc>
      </w:tr>
      <w:tr w:rsidR="00DC2FFD" w:rsidRPr="00DC2FFD" w14:paraId="018CC06E" w14:textId="77777777" w:rsidTr="00296435">
        <w:tc>
          <w:tcPr>
            <w:tcW w:w="1413" w:type="dxa"/>
          </w:tcPr>
          <w:p w14:paraId="168D3F90" w14:textId="77777777" w:rsidR="00DC2FFD" w:rsidRPr="00DC2FFD" w:rsidRDefault="00DC2FFD" w:rsidP="00DC2FFD">
            <w:pPr>
              <w:spacing w:after="0"/>
              <w:jc w:val="both"/>
              <w:rPr>
                <w:sz w:val="20"/>
                <w:szCs w:val="20"/>
                <w:lang w:val="sr-Cyrl-RS"/>
              </w:rPr>
            </w:pPr>
          </w:p>
        </w:tc>
        <w:tc>
          <w:tcPr>
            <w:tcW w:w="5953" w:type="dxa"/>
          </w:tcPr>
          <w:p w14:paraId="43CC4011" w14:textId="77777777" w:rsidR="00DC2FFD" w:rsidRPr="00DC2FFD" w:rsidRDefault="00DC2FFD" w:rsidP="00DC2FFD">
            <w:pPr>
              <w:spacing w:after="0"/>
              <w:rPr>
                <w:sz w:val="20"/>
                <w:szCs w:val="20"/>
                <w:lang w:val="en-GB"/>
              </w:rPr>
            </w:pPr>
            <w:r w:rsidRPr="00DC2FFD">
              <w:rPr>
                <w:sz w:val="20"/>
                <w:lang w:val="en-GB"/>
              </w:rPr>
              <w:t>Public competition for allocation of grants to associations of citizens for financing of projects concerning the improvement of the status of Roma men and women</w:t>
            </w:r>
          </w:p>
        </w:tc>
        <w:tc>
          <w:tcPr>
            <w:tcW w:w="1650" w:type="dxa"/>
          </w:tcPr>
          <w:p w14:paraId="0DC2B454" w14:textId="77777777" w:rsidR="00DC2FFD" w:rsidRPr="00DC2FFD" w:rsidRDefault="00DC2FFD" w:rsidP="00DC2FFD">
            <w:pPr>
              <w:spacing w:after="0"/>
              <w:jc w:val="right"/>
              <w:rPr>
                <w:sz w:val="20"/>
                <w:szCs w:val="20"/>
                <w:lang w:val="en-GB"/>
              </w:rPr>
            </w:pPr>
            <w:r w:rsidRPr="00DC2FFD">
              <w:rPr>
                <w:sz w:val="20"/>
                <w:lang w:val="en-GB"/>
              </w:rPr>
              <w:t xml:space="preserve">4,000,000.00 </w:t>
            </w:r>
          </w:p>
        </w:tc>
      </w:tr>
      <w:tr w:rsidR="00DC2FFD" w:rsidRPr="00DC2FFD" w14:paraId="6D37BDFC" w14:textId="77777777" w:rsidTr="00296435">
        <w:tc>
          <w:tcPr>
            <w:tcW w:w="1413" w:type="dxa"/>
          </w:tcPr>
          <w:p w14:paraId="0FBEDB22" w14:textId="77777777" w:rsidR="00DC2FFD" w:rsidRPr="00DC2FFD" w:rsidRDefault="00DC2FFD" w:rsidP="00DC2FFD">
            <w:pPr>
              <w:spacing w:after="0"/>
              <w:jc w:val="both"/>
              <w:rPr>
                <w:sz w:val="20"/>
                <w:szCs w:val="20"/>
                <w:lang w:val="en-GB"/>
              </w:rPr>
            </w:pPr>
            <w:r w:rsidRPr="00DC2FFD">
              <w:rPr>
                <w:sz w:val="20"/>
                <w:lang w:val="en-GB"/>
              </w:rPr>
              <w:lastRenderedPageBreak/>
              <w:t>2018</w:t>
            </w:r>
          </w:p>
        </w:tc>
        <w:tc>
          <w:tcPr>
            <w:tcW w:w="5953" w:type="dxa"/>
          </w:tcPr>
          <w:p w14:paraId="27E97069" w14:textId="77777777" w:rsidR="00DC2FFD" w:rsidRPr="00DC2FFD" w:rsidRDefault="00DC2FFD" w:rsidP="00DC2FFD">
            <w:pPr>
              <w:spacing w:after="0"/>
              <w:rPr>
                <w:sz w:val="20"/>
                <w:szCs w:val="20"/>
                <w:lang w:val="en-GB"/>
              </w:rPr>
            </w:pPr>
            <w:r w:rsidRPr="00DC2FFD">
              <w:rPr>
                <w:sz w:val="20"/>
                <w:lang w:val="en-GB"/>
              </w:rPr>
              <w:t xml:space="preserve">Public competition for allocation of grants to towns and municipalities from the territory of the Autonomous Province of </w:t>
            </w:r>
            <w:proofErr w:type="spellStart"/>
            <w:r w:rsidRPr="00DC2FFD">
              <w:rPr>
                <w:sz w:val="20"/>
                <w:lang w:val="en-GB"/>
              </w:rPr>
              <w:t>Vojvodina</w:t>
            </w:r>
            <w:proofErr w:type="spellEnd"/>
            <w:r w:rsidRPr="00DC2FFD">
              <w:rPr>
                <w:sz w:val="20"/>
                <w:lang w:val="en-GB"/>
              </w:rPr>
              <w:t xml:space="preserve"> for financing the recruitment of coordinators for Roma matters</w:t>
            </w:r>
          </w:p>
        </w:tc>
        <w:tc>
          <w:tcPr>
            <w:tcW w:w="1650" w:type="dxa"/>
          </w:tcPr>
          <w:p w14:paraId="418A2EF1" w14:textId="77777777" w:rsidR="00DC2FFD" w:rsidRPr="00DC2FFD" w:rsidRDefault="00DC2FFD" w:rsidP="00DC2FFD">
            <w:pPr>
              <w:spacing w:after="0"/>
              <w:jc w:val="right"/>
              <w:rPr>
                <w:sz w:val="20"/>
                <w:szCs w:val="20"/>
                <w:lang w:val="en-GB"/>
              </w:rPr>
            </w:pPr>
            <w:r w:rsidRPr="00DC2FFD">
              <w:rPr>
                <w:sz w:val="20"/>
                <w:lang w:val="en-GB"/>
              </w:rPr>
              <w:t xml:space="preserve">1,200,000.00 </w:t>
            </w:r>
          </w:p>
        </w:tc>
      </w:tr>
      <w:tr w:rsidR="00DC2FFD" w:rsidRPr="00DC2FFD" w14:paraId="4A696D9A" w14:textId="77777777" w:rsidTr="00296435">
        <w:tc>
          <w:tcPr>
            <w:tcW w:w="1413" w:type="dxa"/>
          </w:tcPr>
          <w:p w14:paraId="0E805A65" w14:textId="77777777" w:rsidR="00DC2FFD" w:rsidRPr="00DC2FFD" w:rsidRDefault="00DC2FFD" w:rsidP="00DC2FFD">
            <w:pPr>
              <w:spacing w:after="0"/>
              <w:jc w:val="both"/>
              <w:rPr>
                <w:sz w:val="20"/>
                <w:szCs w:val="20"/>
                <w:lang w:val="sr-Cyrl-RS"/>
              </w:rPr>
            </w:pPr>
          </w:p>
        </w:tc>
        <w:tc>
          <w:tcPr>
            <w:tcW w:w="5953" w:type="dxa"/>
          </w:tcPr>
          <w:p w14:paraId="6D189341" w14:textId="77777777" w:rsidR="00DC2FFD" w:rsidRPr="00DC2FFD" w:rsidRDefault="00DC2FFD" w:rsidP="00DC2FFD">
            <w:pPr>
              <w:spacing w:after="0"/>
              <w:rPr>
                <w:sz w:val="20"/>
                <w:szCs w:val="20"/>
                <w:lang w:val="en-GB"/>
              </w:rPr>
            </w:pPr>
            <w:r w:rsidRPr="00DC2FFD">
              <w:rPr>
                <w:sz w:val="20"/>
                <w:lang w:val="en-GB"/>
              </w:rPr>
              <w:t xml:space="preserve">Public competition for allocation of grants to towns and municipalities from the territory of the Autonomous Province of </w:t>
            </w:r>
            <w:proofErr w:type="spellStart"/>
            <w:r w:rsidRPr="00DC2FFD">
              <w:rPr>
                <w:sz w:val="20"/>
                <w:lang w:val="en-GB"/>
              </w:rPr>
              <w:t>Vojvodina</w:t>
            </w:r>
            <w:proofErr w:type="spellEnd"/>
            <w:r w:rsidRPr="00DC2FFD">
              <w:rPr>
                <w:sz w:val="20"/>
                <w:lang w:val="en-GB"/>
              </w:rPr>
              <w:t xml:space="preserve"> for financing the development of local action plans for the improvement of the housing status of Roma</w:t>
            </w:r>
          </w:p>
        </w:tc>
        <w:tc>
          <w:tcPr>
            <w:tcW w:w="1650" w:type="dxa"/>
          </w:tcPr>
          <w:p w14:paraId="62D61827" w14:textId="77777777" w:rsidR="00DC2FFD" w:rsidRPr="00DC2FFD" w:rsidRDefault="00DC2FFD" w:rsidP="00DC2FFD">
            <w:pPr>
              <w:spacing w:after="0"/>
              <w:jc w:val="right"/>
              <w:rPr>
                <w:sz w:val="20"/>
                <w:szCs w:val="20"/>
                <w:lang w:val="en-GB"/>
              </w:rPr>
            </w:pPr>
            <w:r w:rsidRPr="00DC2FFD">
              <w:rPr>
                <w:sz w:val="20"/>
                <w:lang w:val="en-GB"/>
              </w:rPr>
              <w:t xml:space="preserve">3,000,000.00 </w:t>
            </w:r>
          </w:p>
        </w:tc>
      </w:tr>
      <w:tr w:rsidR="00DC2FFD" w:rsidRPr="00DC2FFD" w14:paraId="79730A0A" w14:textId="77777777" w:rsidTr="00296435">
        <w:tc>
          <w:tcPr>
            <w:tcW w:w="1413" w:type="dxa"/>
          </w:tcPr>
          <w:p w14:paraId="499E9A31" w14:textId="77777777" w:rsidR="00DC2FFD" w:rsidRPr="00DC2FFD" w:rsidRDefault="00DC2FFD" w:rsidP="00DC2FFD">
            <w:pPr>
              <w:spacing w:after="0"/>
              <w:jc w:val="both"/>
              <w:rPr>
                <w:sz w:val="20"/>
                <w:szCs w:val="20"/>
                <w:lang w:val="sr-Cyrl-RS"/>
              </w:rPr>
            </w:pPr>
          </w:p>
        </w:tc>
        <w:tc>
          <w:tcPr>
            <w:tcW w:w="5953" w:type="dxa"/>
          </w:tcPr>
          <w:p w14:paraId="648E1D32" w14:textId="77777777" w:rsidR="00DC2FFD" w:rsidRPr="00DC2FFD" w:rsidRDefault="00DC2FFD" w:rsidP="00DC2FFD">
            <w:pPr>
              <w:spacing w:after="0"/>
              <w:rPr>
                <w:sz w:val="20"/>
                <w:szCs w:val="20"/>
                <w:lang w:val="en-GB"/>
              </w:rPr>
            </w:pPr>
            <w:r w:rsidRPr="00DC2FFD">
              <w:rPr>
                <w:sz w:val="20"/>
                <w:lang w:val="en-GB"/>
              </w:rPr>
              <w:t>Public competition for allocation of grants to associations of citizens for financing of projects concerning the improvement of the status of Roma men and women</w:t>
            </w:r>
          </w:p>
        </w:tc>
        <w:tc>
          <w:tcPr>
            <w:tcW w:w="1650" w:type="dxa"/>
          </w:tcPr>
          <w:p w14:paraId="3B02E75F" w14:textId="77777777" w:rsidR="00DC2FFD" w:rsidRPr="00DC2FFD" w:rsidRDefault="00DC2FFD" w:rsidP="00DC2FFD">
            <w:pPr>
              <w:spacing w:after="0"/>
              <w:jc w:val="right"/>
              <w:rPr>
                <w:sz w:val="20"/>
                <w:szCs w:val="20"/>
                <w:lang w:val="en-GB"/>
              </w:rPr>
            </w:pPr>
            <w:r w:rsidRPr="00DC2FFD">
              <w:rPr>
                <w:sz w:val="20"/>
                <w:lang w:val="en-GB"/>
              </w:rPr>
              <w:t xml:space="preserve">4,000,000.00 </w:t>
            </w:r>
          </w:p>
        </w:tc>
      </w:tr>
      <w:tr w:rsidR="00DC2FFD" w:rsidRPr="00DC2FFD" w14:paraId="327209C3" w14:textId="77777777" w:rsidTr="00296435">
        <w:tc>
          <w:tcPr>
            <w:tcW w:w="1413" w:type="dxa"/>
          </w:tcPr>
          <w:p w14:paraId="4D551C5D" w14:textId="77777777" w:rsidR="00DC2FFD" w:rsidRPr="00DC2FFD" w:rsidRDefault="00DC2FFD" w:rsidP="00DC2FFD">
            <w:pPr>
              <w:spacing w:after="0"/>
              <w:jc w:val="both"/>
              <w:rPr>
                <w:sz w:val="20"/>
                <w:szCs w:val="20"/>
                <w:lang w:val="en-GB"/>
              </w:rPr>
            </w:pPr>
            <w:r w:rsidRPr="00DC2FFD">
              <w:rPr>
                <w:sz w:val="20"/>
                <w:lang w:val="en-GB"/>
              </w:rPr>
              <w:t>2019</w:t>
            </w:r>
          </w:p>
        </w:tc>
        <w:tc>
          <w:tcPr>
            <w:tcW w:w="5953" w:type="dxa"/>
          </w:tcPr>
          <w:p w14:paraId="552E0A01" w14:textId="77777777" w:rsidR="00DC2FFD" w:rsidRPr="00DC2FFD" w:rsidRDefault="00DC2FFD" w:rsidP="00DC2FFD">
            <w:pPr>
              <w:spacing w:after="0"/>
              <w:rPr>
                <w:sz w:val="20"/>
                <w:szCs w:val="20"/>
                <w:lang w:val="en-GB"/>
              </w:rPr>
            </w:pPr>
            <w:r w:rsidRPr="00DC2FFD">
              <w:rPr>
                <w:sz w:val="20"/>
                <w:lang w:val="en-GB"/>
              </w:rPr>
              <w:t xml:space="preserve">Public competition for allocation of grants to towns and municipalities from the territory of the Autonomous Province of </w:t>
            </w:r>
            <w:proofErr w:type="spellStart"/>
            <w:r w:rsidRPr="00DC2FFD">
              <w:rPr>
                <w:sz w:val="20"/>
                <w:lang w:val="en-GB"/>
              </w:rPr>
              <w:t>Vojvodina</w:t>
            </w:r>
            <w:proofErr w:type="spellEnd"/>
            <w:r w:rsidRPr="00DC2FFD">
              <w:rPr>
                <w:sz w:val="20"/>
                <w:lang w:val="en-GB"/>
              </w:rPr>
              <w:t xml:space="preserve"> for co-financing the development of local action plans for the improvement of the housing status of Roma and execution of local action plan for the improvement of the housing status of Roma</w:t>
            </w:r>
          </w:p>
        </w:tc>
        <w:tc>
          <w:tcPr>
            <w:tcW w:w="1650" w:type="dxa"/>
          </w:tcPr>
          <w:p w14:paraId="6242A99E" w14:textId="77777777" w:rsidR="00DC2FFD" w:rsidRPr="00DC2FFD" w:rsidRDefault="00DC2FFD" w:rsidP="00DC2FFD">
            <w:pPr>
              <w:spacing w:after="0"/>
              <w:jc w:val="right"/>
              <w:rPr>
                <w:sz w:val="20"/>
                <w:szCs w:val="20"/>
                <w:lang w:val="en-GB"/>
              </w:rPr>
            </w:pPr>
            <w:r w:rsidRPr="00DC2FFD">
              <w:rPr>
                <w:sz w:val="20"/>
                <w:lang w:val="en-GB"/>
              </w:rPr>
              <w:t xml:space="preserve">2,200,000.00 </w:t>
            </w:r>
          </w:p>
        </w:tc>
      </w:tr>
      <w:tr w:rsidR="00DC2FFD" w:rsidRPr="00DC2FFD" w14:paraId="370E2EE2" w14:textId="77777777" w:rsidTr="00296435">
        <w:tc>
          <w:tcPr>
            <w:tcW w:w="1413" w:type="dxa"/>
          </w:tcPr>
          <w:p w14:paraId="5BED3EE0" w14:textId="77777777" w:rsidR="00DC2FFD" w:rsidRPr="00DC2FFD" w:rsidRDefault="00DC2FFD" w:rsidP="00DC2FFD">
            <w:pPr>
              <w:spacing w:after="0"/>
              <w:jc w:val="both"/>
              <w:rPr>
                <w:sz w:val="20"/>
                <w:szCs w:val="20"/>
                <w:lang w:val="sr-Cyrl-RS"/>
              </w:rPr>
            </w:pPr>
          </w:p>
        </w:tc>
        <w:tc>
          <w:tcPr>
            <w:tcW w:w="5953" w:type="dxa"/>
          </w:tcPr>
          <w:p w14:paraId="37920AB1" w14:textId="77777777" w:rsidR="00DC2FFD" w:rsidRPr="00DC2FFD" w:rsidRDefault="00DC2FFD" w:rsidP="00DC2FFD">
            <w:pPr>
              <w:spacing w:after="0"/>
              <w:rPr>
                <w:sz w:val="20"/>
                <w:szCs w:val="20"/>
                <w:lang w:val="en-GB"/>
              </w:rPr>
            </w:pPr>
            <w:r w:rsidRPr="00DC2FFD">
              <w:rPr>
                <w:sz w:val="20"/>
                <w:lang w:val="en-GB"/>
              </w:rPr>
              <w:t xml:space="preserve">Competition for allocation of grants to social welfare centres from the territory of the Autonomous Province of </w:t>
            </w:r>
            <w:proofErr w:type="spellStart"/>
            <w:r w:rsidRPr="00DC2FFD">
              <w:rPr>
                <w:sz w:val="20"/>
                <w:lang w:val="en-GB"/>
              </w:rPr>
              <w:t>Vojvodina</w:t>
            </w:r>
            <w:proofErr w:type="spellEnd"/>
            <w:r w:rsidRPr="00DC2FFD">
              <w:rPr>
                <w:sz w:val="20"/>
                <w:lang w:val="en-GB"/>
              </w:rPr>
              <w:t xml:space="preserve"> for financing the hiring of coordinators for Roma matters</w:t>
            </w:r>
          </w:p>
        </w:tc>
        <w:tc>
          <w:tcPr>
            <w:tcW w:w="1650" w:type="dxa"/>
          </w:tcPr>
          <w:p w14:paraId="78B0F0AE" w14:textId="77777777" w:rsidR="00DC2FFD" w:rsidRPr="00DC2FFD" w:rsidRDefault="00DC2FFD" w:rsidP="00DC2FFD">
            <w:pPr>
              <w:spacing w:after="0"/>
              <w:jc w:val="right"/>
              <w:rPr>
                <w:sz w:val="20"/>
                <w:szCs w:val="20"/>
                <w:lang w:val="en-GB"/>
              </w:rPr>
            </w:pPr>
            <w:r w:rsidRPr="00DC2FFD">
              <w:rPr>
                <w:sz w:val="20"/>
                <w:lang w:val="en-GB"/>
              </w:rPr>
              <w:t xml:space="preserve">2,000,000.00 </w:t>
            </w:r>
          </w:p>
        </w:tc>
      </w:tr>
      <w:tr w:rsidR="00DC2FFD" w:rsidRPr="00DC2FFD" w14:paraId="4D7ECB69" w14:textId="77777777" w:rsidTr="00296435">
        <w:tc>
          <w:tcPr>
            <w:tcW w:w="1413" w:type="dxa"/>
          </w:tcPr>
          <w:p w14:paraId="36296EB1" w14:textId="77777777" w:rsidR="00DC2FFD" w:rsidRPr="00DC2FFD" w:rsidRDefault="00DC2FFD" w:rsidP="00DC2FFD">
            <w:pPr>
              <w:spacing w:after="0"/>
              <w:jc w:val="both"/>
              <w:rPr>
                <w:sz w:val="20"/>
                <w:szCs w:val="20"/>
                <w:lang w:val="sr-Cyrl-RS"/>
              </w:rPr>
            </w:pPr>
          </w:p>
        </w:tc>
        <w:tc>
          <w:tcPr>
            <w:tcW w:w="5953" w:type="dxa"/>
          </w:tcPr>
          <w:p w14:paraId="6E8846ED" w14:textId="77777777" w:rsidR="00DC2FFD" w:rsidRPr="00DC2FFD" w:rsidRDefault="00DC2FFD" w:rsidP="00DC2FFD">
            <w:pPr>
              <w:spacing w:after="0"/>
              <w:rPr>
                <w:sz w:val="20"/>
                <w:szCs w:val="20"/>
                <w:lang w:val="en-GB"/>
              </w:rPr>
            </w:pPr>
            <w:r w:rsidRPr="00DC2FFD">
              <w:rPr>
                <w:sz w:val="20"/>
                <w:lang w:val="en-GB"/>
              </w:rPr>
              <w:t>Public competition for allocation of grants to associations of citizens for financing of projects concerning the improvement of the status of Roma men and women</w:t>
            </w:r>
          </w:p>
        </w:tc>
        <w:tc>
          <w:tcPr>
            <w:tcW w:w="1650" w:type="dxa"/>
          </w:tcPr>
          <w:p w14:paraId="7D15EF00" w14:textId="77777777" w:rsidR="00DC2FFD" w:rsidRPr="00DC2FFD" w:rsidRDefault="00DC2FFD" w:rsidP="00DC2FFD">
            <w:pPr>
              <w:spacing w:after="0"/>
              <w:jc w:val="right"/>
              <w:rPr>
                <w:sz w:val="20"/>
                <w:szCs w:val="20"/>
                <w:lang w:val="en-GB"/>
              </w:rPr>
            </w:pPr>
            <w:r w:rsidRPr="00DC2FFD">
              <w:rPr>
                <w:sz w:val="20"/>
                <w:lang w:val="en-GB"/>
              </w:rPr>
              <w:t xml:space="preserve">4,000,000.00 </w:t>
            </w:r>
          </w:p>
        </w:tc>
      </w:tr>
      <w:tr w:rsidR="00DC2FFD" w:rsidRPr="00DC2FFD" w14:paraId="1E4D79FB" w14:textId="77777777" w:rsidTr="00296435">
        <w:tc>
          <w:tcPr>
            <w:tcW w:w="1413" w:type="dxa"/>
          </w:tcPr>
          <w:p w14:paraId="144E5117" w14:textId="77777777" w:rsidR="00DC2FFD" w:rsidRPr="00DC2FFD" w:rsidRDefault="00DC2FFD" w:rsidP="00DC2FFD">
            <w:pPr>
              <w:spacing w:after="0"/>
              <w:jc w:val="both"/>
              <w:rPr>
                <w:sz w:val="20"/>
                <w:szCs w:val="20"/>
                <w:lang w:val="en-GB"/>
              </w:rPr>
            </w:pPr>
            <w:r w:rsidRPr="00DC2FFD">
              <w:rPr>
                <w:sz w:val="20"/>
                <w:lang w:val="en-GB"/>
              </w:rPr>
              <w:t>2020</w:t>
            </w:r>
          </w:p>
        </w:tc>
        <w:tc>
          <w:tcPr>
            <w:tcW w:w="5953" w:type="dxa"/>
          </w:tcPr>
          <w:p w14:paraId="1B899FF2" w14:textId="77777777" w:rsidR="00DC2FFD" w:rsidRPr="00DC2FFD" w:rsidRDefault="00DC2FFD" w:rsidP="00DC2FFD">
            <w:pPr>
              <w:spacing w:after="0"/>
              <w:rPr>
                <w:sz w:val="20"/>
                <w:szCs w:val="20"/>
                <w:lang w:val="en-GB"/>
              </w:rPr>
            </w:pPr>
            <w:r w:rsidRPr="00DC2FFD">
              <w:rPr>
                <w:sz w:val="20"/>
                <w:lang w:val="en-GB"/>
              </w:rPr>
              <w:t xml:space="preserve">Public competition for allocation of grants to towns and municipalities from the territory of the Autonomous Province of </w:t>
            </w:r>
            <w:proofErr w:type="spellStart"/>
            <w:r w:rsidRPr="00DC2FFD">
              <w:rPr>
                <w:sz w:val="20"/>
                <w:lang w:val="en-GB"/>
              </w:rPr>
              <w:t>Vojvodina</w:t>
            </w:r>
            <w:proofErr w:type="spellEnd"/>
            <w:r w:rsidRPr="00DC2FFD">
              <w:rPr>
                <w:sz w:val="20"/>
                <w:lang w:val="en-GB"/>
              </w:rPr>
              <w:t xml:space="preserve"> for co-financing the development of local action plans for the improvement of the housing status of Roma and execution of local action plan for the improvement of the housing status of Roma</w:t>
            </w:r>
          </w:p>
        </w:tc>
        <w:tc>
          <w:tcPr>
            <w:tcW w:w="1650" w:type="dxa"/>
          </w:tcPr>
          <w:p w14:paraId="09C9D06C" w14:textId="77777777" w:rsidR="00DC2FFD" w:rsidRPr="00DC2FFD" w:rsidRDefault="00DC2FFD" w:rsidP="00DC2FFD">
            <w:pPr>
              <w:spacing w:after="0"/>
              <w:jc w:val="right"/>
              <w:rPr>
                <w:sz w:val="20"/>
                <w:szCs w:val="20"/>
                <w:lang w:val="en-GB"/>
              </w:rPr>
            </w:pPr>
            <w:r w:rsidRPr="00DC2FFD">
              <w:rPr>
                <w:sz w:val="20"/>
                <w:lang w:val="en-GB"/>
              </w:rPr>
              <w:t>2,200,000.00</w:t>
            </w:r>
          </w:p>
        </w:tc>
      </w:tr>
      <w:tr w:rsidR="00DC2FFD" w:rsidRPr="00DC2FFD" w14:paraId="4B67CA13" w14:textId="77777777" w:rsidTr="00296435">
        <w:tc>
          <w:tcPr>
            <w:tcW w:w="1413" w:type="dxa"/>
          </w:tcPr>
          <w:p w14:paraId="1D4D553F" w14:textId="77777777" w:rsidR="00DC2FFD" w:rsidRPr="00DC2FFD" w:rsidRDefault="00DC2FFD" w:rsidP="00DC2FFD">
            <w:pPr>
              <w:spacing w:after="0"/>
              <w:jc w:val="both"/>
              <w:rPr>
                <w:sz w:val="20"/>
                <w:szCs w:val="20"/>
                <w:lang w:val="sr-Cyrl-RS"/>
              </w:rPr>
            </w:pPr>
          </w:p>
        </w:tc>
        <w:tc>
          <w:tcPr>
            <w:tcW w:w="5953" w:type="dxa"/>
          </w:tcPr>
          <w:p w14:paraId="3ACC1B2B" w14:textId="77777777" w:rsidR="00DC2FFD" w:rsidRPr="00DC2FFD" w:rsidRDefault="00DC2FFD" w:rsidP="00DC2FFD">
            <w:pPr>
              <w:spacing w:after="0"/>
              <w:rPr>
                <w:sz w:val="20"/>
                <w:szCs w:val="20"/>
                <w:lang w:val="en-GB"/>
              </w:rPr>
            </w:pPr>
            <w:r w:rsidRPr="00DC2FFD">
              <w:rPr>
                <w:sz w:val="20"/>
                <w:lang w:val="en-GB"/>
              </w:rPr>
              <w:t xml:space="preserve">Competition for allocation of grants to social welfare centres from the territory of the Autonomous Province of </w:t>
            </w:r>
            <w:proofErr w:type="spellStart"/>
            <w:r w:rsidRPr="00DC2FFD">
              <w:rPr>
                <w:sz w:val="20"/>
                <w:lang w:val="en-GB"/>
              </w:rPr>
              <w:t>Vojvodina</w:t>
            </w:r>
            <w:proofErr w:type="spellEnd"/>
            <w:r w:rsidRPr="00DC2FFD">
              <w:rPr>
                <w:sz w:val="20"/>
                <w:lang w:val="en-GB"/>
              </w:rPr>
              <w:t xml:space="preserve"> for financing the recruitment of coordinators for Roma matters</w:t>
            </w:r>
          </w:p>
        </w:tc>
        <w:tc>
          <w:tcPr>
            <w:tcW w:w="1650" w:type="dxa"/>
          </w:tcPr>
          <w:p w14:paraId="433B0CD3" w14:textId="77777777" w:rsidR="00DC2FFD" w:rsidRPr="00DC2FFD" w:rsidRDefault="00DC2FFD" w:rsidP="00DC2FFD">
            <w:pPr>
              <w:spacing w:after="0"/>
              <w:jc w:val="right"/>
              <w:rPr>
                <w:sz w:val="20"/>
                <w:szCs w:val="20"/>
                <w:lang w:val="en-GB"/>
              </w:rPr>
            </w:pPr>
            <w:r w:rsidRPr="00DC2FFD">
              <w:rPr>
                <w:sz w:val="20"/>
                <w:lang w:val="en-GB"/>
              </w:rPr>
              <w:t>2,000,000.00</w:t>
            </w:r>
          </w:p>
        </w:tc>
      </w:tr>
      <w:tr w:rsidR="00DC2FFD" w:rsidRPr="00DC2FFD" w14:paraId="7C028B45" w14:textId="77777777" w:rsidTr="00296435">
        <w:tc>
          <w:tcPr>
            <w:tcW w:w="1413" w:type="dxa"/>
          </w:tcPr>
          <w:p w14:paraId="67C0296B" w14:textId="77777777" w:rsidR="00DC2FFD" w:rsidRPr="00DC2FFD" w:rsidRDefault="00DC2FFD" w:rsidP="00DC2FFD">
            <w:pPr>
              <w:spacing w:after="0"/>
              <w:jc w:val="both"/>
              <w:rPr>
                <w:sz w:val="20"/>
                <w:szCs w:val="20"/>
                <w:lang w:val="sr-Cyrl-RS"/>
              </w:rPr>
            </w:pPr>
          </w:p>
        </w:tc>
        <w:tc>
          <w:tcPr>
            <w:tcW w:w="5953" w:type="dxa"/>
          </w:tcPr>
          <w:p w14:paraId="5201EB00" w14:textId="77777777" w:rsidR="00DC2FFD" w:rsidRPr="00DC2FFD" w:rsidRDefault="00DC2FFD" w:rsidP="00DC2FFD">
            <w:pPr>
              <w:spacing w:after="0"/>
              <w:rPr>
                <w:sz w:val="20"/>
                <w:szCs w:val="20"/>
                <w:lang w:val="en-GB"/>
              </w:rPr>
            </w:pPr>
            <w:r w:rsidRPr="00DC2FFD">
              <w:rPr>
                <w:sz w:val="20"/>
                <w:lang w:val="en-GB"/>
              </w:rPr>
              <w:t>Public competition for allocation of grants to associations of citizens for financing of projects concerning the improvement of the status of Roma men and women</w:t>
            </w:r>
          </w:p>
        </w:tc>
        <w:tc>
          <w:tcPr>
            <w:tcW w:w="1650" w:type="dxa"/>
          </w:tcPr>
          <w:p w14:paraId="2EA145E1" w14:textId="77777777" w:rsidR="00DC2FFD" w:rsidRPr="00DC2FFD" w:rsidRDefault="00DC2FFD" w:rsidP="00DC2FFD">
            <w:pPr>
              <w:spacing w:after="0"/>
              <w:jc w:val="right"/>
              <w:rPr>
                <w:sz w:val="20"/>
                <w:szCs w:val="20"/>
                <w:lang w:val="en-GB"/>
              </w:rPr>
            </w:pPr>
            <w:r w:rsidRPr="00DC2FFD">
              <w:rPr>
                <w:sz w:val="20"/>
                <w:lang w:val="en-GB"/>
              </w:rPr>
              <w:t>4,000,000.00</w:t>
            </w:r>
          </w:p>
        </w:tc>
      </w:tr>
      <w:tr w:rsidR="00DC2FFD" w:rsidRPr="00DC2FFD" w14:paraId="4B455BA9" w14:textId="77777777" w:rsidTr="00296435">
        <w:tc>
          <w:tcPr>
            <w:tcW w:w="1413" w:type="dxa"/>
          </w:tcPr>
          <w:p w14:paraId="08A5E1A9" w14:textId="77777777" w:rsidR="00DC2FFD" w:rsidRPr="00DC2FFD" w:rsidRDefault="00DC2FFD" w:rsidP="00DC2FFD">
            <w:pPr>
              <w:spacing w:after="0"/>
              <w:jc w:val="both"/>
              <w:rPr>
                <w:sz w:val="20"/>
                <w:szCs w:val="20"/>
                <w:lang w:val="en-GB"/>
              </w:rPr>
            </w:pPr>
            <w:r w:rsidRPr="00DC2FFD">
              <w:rPr>
                <w:sz w:val="20"/>
                <w:lang w:val="en-GB"/>
              </w:rPr>
              <w:t>2021</w:t>
            </w:r>
            <w:r w:rsidRPr="00DC2FFD">
              <w:rPr>
                <w:lang w:val="en-GB"/>
              </w:rPr>
              <w:t xml:space="preserve"> </w:t>
            </w:r>
            <w:r w:rsidRPr="00DC2FFD">
              <w:rPr>
                <w:sz w:val="20"/>
                <w:lang w:val="en-GB"/>
              </w:rPr>
              <w:t>.</w:t>
            </w:r>
          </w:p>
        </w:tc>
        <w:tc>
          <w:tcPr>
            <w:tcW w:w="5953" w:type="dxa"/>
          </w:tcPr>
          <w:p w14:paraId="5ECED327" w14:textId="77777777" w:rsidR="00DC2FFD" w:rsidRPr="00DC2FFD" w:rsidRDefault="00DC2FFD" w:rsidP="00DC2FFD">
            <w:pPr>
              <w:spacing w:after="0"/>
              <w:rPr>
                <w:sz w:val="20"/>
                <w:szCs w:val="20"/>
                <w:lang w:val="en-GB"/>
              </w:rPr>
            </w:pPr>
            <w:r w:rsidRPr="00DC2FFD">
              <w:rPr>
                <w:sz w:val="20"/>
                <w:lang w:val="en-GB"/>
              </w:rPr>
              <w:t xml:space="preserve">Public competition for allocation of grants to towns and municipalities from the territory of the Autonomous Province of </w:t>
            </w:r>
            <w:proofErr w:type="spellStart"/>
            <w:r w:rsidRPr="00DC2FFD">
              <w:rPr>
                <w:sz w:val="20"/>
                <w:lang w:val="en-GB"/>
              </w:rPr>
              <w:t>Vojvodina</w:t>
            </w:r>
            <w:proofErr w:type="spellEnd"/>
            <w:r w:rsidRPr="00DC2FFD">
              <w:rPr>
                <w:sz w:val="20"/>
                <w:lang w:val="en-GB"/>
              </w:rPr>
              <w:t xml:space="preserve"> for co-financing the development of local action plans for the improvement of the housing status of Roma and execution of local action plan for the improvement of the housing status of Roma</w:t>
            </w:r>
          </w:p>
        </w:tc>
        <w:tc>
          <w:tcPr>
            <w:tcW w:w="1650" w:type="dxa"/>
          </w:tcPr>
          <w:p w14:paraId="3F87794D" w14:textId="77777777" w:rsidR="00DC2FFD" w:rsidRPr="00DC2FFD" w:rsidRDefault="00DC2FFD" w:rsidP="00DC2FFD">
            <w:pPr>
              <w:spacing w:after="0"/>
              <w:jc w:val="right"/>
              <w:rPr>
                <w:sz w:val="20"/>
                <w:szCs w:val="20"/>
                <w:lang w:val="en-GB"/>
              </w:rPr>
            </w:pPr>
            <w:r w:rsidRPr="00DC2FFD">
              <w:rPr>
                <w:sz w:val="20"/>
                <w:lang w:val="en-GB"/>
              </w:rPr>
              <w:t>2,200,000.00</w:t>
            </w:r>
          </w:p>
        </w:tc>
      </w:tr>
      <w:tr w:rsidR="00DC2FFD" w:rsidRPr="00DC2FFD" w14:paraId="788D7887" w14:textId="77777777" w:rsidTr="00296435">
        <w:tc>
          <w:tcPr>
            <w:tcW w:w="1413" w:type="dxa"/>
          </w:tcPr>
          <w:p w14:paraId="3EDA3052" w14:textId="77777777" w:rsidR="00DC2FFD" w:rsidRPr="00DC2FFD" w:rsidRDefault="00DC2FFD" w:rsidP="00DC2FFD">
            <w:pPr>
              <w:spacing w:after="0"/>
              <w:jc w:val="both"/>
              <w:rPr>
                <w:sz w:val="20"/>
                <w:szCs w:val="20"/>
                <w:lang w:val="sr-Cyrl-RS"/>
              </w:rPr>
            </w:pPr>
          </w:p>
        </w:tc>
        <w:tc>
          <w:tcPr>
            <w:tcW w:w="5953" w:type="dxa"/>
          </w:tcPr>
          <w:p w14:paraId="537C9008" w14:textId="77777777" w:rsidR="00DC2FFD" w:rsidRPr="00DC2FFD" w:rsidRDefault="00DC2FFD" w:rsidP="00DC2FFD">
            <w:pPr>
              <w:spacing w:after="0"/>
              <w:rPr>
                <w:sz w:val="20"/>
                <w:szCs w:val="20"/>
                <w:lang w:val="en-GB"/>
              </w:rPr>
            </w:pPr>
            <w:r w:rsidRPr="00DC2FFD">
              <w:rPr>
                <w:sz w:val="20"/>
                <w:lang w:val="en-GB"/>
              </w:rPr>
              <w:t xml:space="preserve">Competition for allocation of grants to social welfare centres from the territory of the Autonomous Province of </w:t>
            </w:r>
            <w:proofErr w:type="spellStart"/>
            <w:r w:rsidRPr="00DC2FFD">
              <w:rPr>
                <w:sz w:val="20"/>
                <w:lang w:val="en-GB"/>
              </w:rPr>
              <w:t>Vojvodina</w:t>
            </w:r>
            <w:proofErr w:type="spellEnd"/>
            <w:r w:rsidRPr="00DC2FFD">
              <w:rPr>
                <w:sz w:val="20"/>
                <w:lang w:val="en-GB"/>
              </w:rPr>
              <w:t xml:space="preserve"> for financing the recruitment of coordinators for Roma matters</w:t>
            </w:r>
          </w:p>
        </w:tc>
        <w:tc>
          <w:tcPr>
            <w:tcW w:w="1650" w:type="dxa"/>
          </w:tcPr>
          <w:p w14:paraId="6CAE5F5E" w14:textId="77777777" w:rsidR="00DC2FFD" w:rsidRPr="00DC2FFD" w:rsidRDefault="00DC2FFD" w:rsidP="00DC2FFD">
            <w:pPr>
              <w:spacing w:after="0"/>
              <w:jc w:val="right"/>
              <w:rPr>
                <w:sz w:val="20"/>
                <w:szCs w:val="20"/>
                <w:lang w:val="en-GB"/>
              </w:rPr>
            </w:pPr>
            <w:r w:rsidRPr="00DC2FFD">
              <w:rPr>
                <w:sz w:val="20"/>
                <w:lang w:val="en-GB"/>
              </w:rPr>
              <w:t>2,000,000.00</w:t>
            </w:r>
          </w:p>
        </w:tc>
      </w:tr>
      <w:tr w:rsidR="00DC2FFD" w:rsidRPr="00DC2FFD" w14:paraId="6743F5A5" w14:textId="77777777" w:rsidTr="00296435">
        <w:tc>
          <w:tcPr>
            <w:tcW w:w="1413" w:type="dxa"/>
          </w:tcPr>
          <w:p w14:paraId="6655DC16" w14:textId="77777777" w:rsidR="00DC2FFD" w:rsidRPr="00DC2FFD" w:rsidRDefault="00DC2FFD" w:rsidP="00DC2FFD">
            <w:pPr>
              <w:spacing w:after="0"/>
              <w:jc w:val="both"/>
              <w:rPr>
                <w:sz w:val="20"/>
                <w:szCs w:val="20"/>
                <w:lang w:val="sr-Cyrl-RS"/>
              </w:rPr>
            </w:pPr>
          </w:p>
        </w:tc>
        <w:tc>
          <w:tcPr>
            <w:tcW w:w="5953" w:type="dxa"/>
          </w:tcPr>
          <w:p w14:paraId="06E91A60" w14:textId="77777777" w:rsidR="00DC2FFD" w:rsidRPr="00DC2FFD" w:rsidRDefault="00DC2FFD" w:rsidP="00DC2FFD">
            <w:pPr>
              <w:spacing w:after="0"/>
              <w:rPr>
                <w:sz w:val="20"/>
                <w:szCs w:val="20"/>
                <w:lang w:val="en-GB"/>
              </w:rPr>
            </w:pPr>
            <w:r w:rsidRPr="00DC2FFD">
              <w:rPr>
                <w:sz w:val="20"/>
                <w:lang w:val="en-GB"/>
              </w:rPr>
              <w:t>Public competition for allocation of grants to associations of citizens for financing of projects concerning the improvement of the status of Roma men and women</w:t>
            </w:r>
          </w:p>
        </w:tc>
        <w:tc>
          <w:tcPr>
            <w:tcW w:w="1650" w:type="dxa"/>
          </w:tcPr>
          <w:p w14:paraId="37A59B4F" w14:textId="77777777" w:rsidR="00DC2FFD" w:rsidRPr="00DC2FFD" w:rsidRDefault="00DC2FFD" w:rsidP="00DC2FFD">
            <w:pPr>
              <w:spacing w:after="0"/>
              <w:jc w:val="right"/>
              <w:rPr>
                <w:sz w:val="20"/>
                <w:szCs w:val="20"/>
                <w:lang w:val="en-GB"/>
              </w:rPr>
            </w:pPr>
            <w:r w:rsidRPr="00DC2FFD">
              <w:rPr>
                <w:sz w:val="20"/>
                <w:lang w:val="en-GB"/>
              </w:rPr>
              <w:t>4,000,000.00</w:t>
            </w:r>
          </w:p>
        </w:tc>
      </w:tr>
    </w:tbl>
    <w:p w14:paraId="3533B3E0" w14:textId="77777777" w:rsidR="00DC2FFD" w:rsidRPr="00DC2FFD" w:rsidRDefault="00DC2FFD" w:rsidP="00DC2FFD">
      <w:pPr>
        <w:spacing w:after="0"/>
        <w:jc w:val="both"/>
        <w:rPr>
          <w:sz w:val="24"/>
          <w:szCs w:val="24"/>
          <w:lang w:val="sr-Cyrl-RS"/>
        </w:rPr>
      </w:pPr>
    </w:p>
    <w:p w14:paraId="1B8878A9" w14:textId="77777777" w:rsidR="00DC2FFD" w:rsidRPr="00DC2FFD" w:rsidRDefault="00DC2FFD" w:rsidP="00DC2FFD">
      <w:pPr>
        <w:spacing w:after="0"/>
        <w:jc w:val="both"/>
        <w:rPr>
          <w:sz w:val="24"/>
          <w:szCs w:val="24"/>
          <w:lang w:val="sr-Cyrl-RS"/>
        </w:rPr>
      </w:pPr>
    </w:p>
    <w:tbl>
      <w:tblPr>
        <w:tblStyle w:val="TableGrid"/>
        <w:tblW w:w="0" w:type="auto"/>
        <w:tblLook w:val="04A0" w:firstRow="1" w:lastRow="0" w:firstColumn="1" w:lastColumn="0" w:noHBand="0" w:noVBand="1"/>
      </w:tblPr>
      <w:tblGrid>
        <w:gridCol w:w="7225"/>
        <w:gridCol w:w="1791"/>
      </w:tblGrid>
      <w:tr w:rsidR="00DC2FFD" w:rsidRPr="00DC2FFD" w14:paraId="4C0A601D" w14:textId="77777777" w:rsidTr="00296435">
        <w:tc>
          <w:tcPr>
            <w:tcW w:w="9016" w:type="dxa"/>
            <w:gridSpan w:val="2"/>
          </w:tcPr>
          <w:p w14:paraId="5D89AE87" w14:textId="77777777" w:rsidR="00DC2FFD" w:rsidRPr="00DC2FFD" w:rsidRDefault="00DC2FFD" w:rsidP="00DC2FFD">
            <w:pPr>
              <w:spacing w:after="0"/>
              <w:jc w:val="center"/>
              <w:rPr>
                <w:sz w:val="20"/>
                <w:szCs w:val="20"/>
                <w:lang w:val="en-GB"/>
              </w:rPr>
            </w:pPr>
            <w:r w:rsidRPr="00DC2FFD">
              <w:rPr>
                <w:sz w:val="20"/>
                <w:lang w:val="en-GB"/>
              </w:rPr>
              <w:t>Provincial Secretariat for Education, Regulations</w:t>
            </w:r>
          </w:p>
          <w:p w14:paraId="05F967A9" w14:textId="77777777" w:rsidR="00DC2FFD" w:rsidRPr="00DC2FFD" w:rsidRDefault="00DC2FFD" w:rsidP="00DC2FFD">
            <w:pPr>
              <w:spacing w:after="0"/>
              <w:jc w:val="center"/>
              <w:rPr>
                <w:sz w:val="20"/>
                <w:szCs w:val="20"/>
                <w:lang w:val="en-GB"/>
              </w:rPr>
            </w:pPr>
            <w:r w:rsidRPr="00DC2FFD">
              <w:rPr>
                <w:sz w:val="20"/>
                <w:lang w:val="en-GB"/>
              </w:rPr>
              <w:t xml:space="preserve">Administration and National Minorities - National Communities </w:t>
            </w:r>
          </w:p>
        </w:tc>
      </w:tr>
      <w:tr w:rsidR="00DC2FFD" w:rsidRPr="00DC2FFD" w14:paraId="3C7E6CE7" w14:textId="77777777" w:rsidTr="00296435">
        <w:tc>
          <w:tcPr>
            <w:tcW w:w="7225" w:type="dxa"/>
          </w:tcPr>
          <w:p w14:paraId="45160855" w14:textId="77777777" w:rsidR="00DC2FFD" w:rsidRPr="00DC2FFD" w:rsidRDefault="00DC2FFD" w:rsidP="00DC2FFD">
            <w:pPr>
              <w:spacing w:after="0"/>
              <w:jc w:val="center"/>
              <w:rPr>
                <w:sz w:val="20"/>
                <w:szCs w:val="20"/>
                <w:lang w:val="en-GB"/>
              </w:rPr>
            </w:pPr>
            <w:r w:rsidRPr="00DC2FFD">
              <w:rPr>
                <w:sz w:val="20"/>
                <w:lang w:val="en-GB"/>
              </w:rPr>
              <w:t>Public competition</w:t>
            </w:r>
          </w:p>
        </w:tc>
        <w:tc>
          <w:tcPr>
            <w:tcW w:w="1791" w:type="dxa"/>
          </w:tcPr>
          <w:p w14:paraId="794A8FE0" w14:textId="77777777" w:rsidR="00DC2FFD" w:rsidRPr="00DC2FFD" w:rsidRDefault="00DC2FFD" w:rsidP="00DC2FFD">
            <w:pPr>
              <w:spacing w:after="0"/>
              <w:jc w:val="center"/>
              <w:rPr>
                <w:sz w:val="20"/>
                <w:szCs w:val="20"/>
                <w:lang w:val="en-GB"/>
              </w:rPr>
            </w:pPr>
            <w:r w:rsidRPr="00DC2FFD">
              <w:rPr>
                <w:sz w:val="20"/>
                <w:lang w:val="en-GB"/>
              </w:rPr>
              <w:t>Amount</w:t>
            </w:r>
          </w:p>
        </w:tc>
      </w:tr>
      <w:tr w:rsidR="00DC2FFD" w:rsidRPr="00DC2FFD" w14:paraId="6E48DC4E" w14:textId="77777777" w:rsidTr="00296435">
        <w:tc>
          <w:tcPr>
            <w:tcW w:w="7225" w:type="dxa"/>
          </w:tcPr>
          <w:p w14:paraId="59249C61" w14:textId="77777777" w:rsidR="00DC2FFD" w:rsidRPr="00DC2FFD" w:rsidRDefault="00DC2FFD" w:rsidP="00DC2FFD">
            <w:pPr>
              <w:spacing w:after="0"/>
              <w:rPr>
                <w:sz w:val="20"/>
                <w:szCs w:val="20"/>
                <w:lang w:val="en-GB"/>
              </w:rPr>
            </w:pPr>
            <w:r w:rsidRPr="00DC2FFD">
              <w:rPr>
                <w:sz w:val="20"/>
                <w:lang w:val="en-GB"/>
              </w:rPr>
              <w:t>Co-financing of projects aimed at undertaking affirmative measures and processes for the integration of Roma for the continuation of the “Decade of Roma Inclusion” in 2017</w:t>
            </w:r>
          </w:p>
        </w:tc>
        <w:tc>
          <w:tcPr>
            <w:tcW w:w="1791" w:type="dxa"/>
          </w:tcPr>
          <w:p w14:paraId="6C90137F" w14:textId="77777777" w:rsidR="00DC2FFD" w:rsidRPr="00DC2FFD" w:rsidRDefault="00DC2FFD" w:rsidP="00DC2FFD">
            <w:pPr>
              <w:spacing w:after="0"/>
              <w:jc w:val="right"/>
              <w:rPr>
                <w:sz w:val="20"/>
                <w:szCs w:val="20"/>
                <w:lang w:val="en-GB"/>
              </w:rPr>
            </w:pPr>
            <w:r w:rsidRPr="00DC2FFD">
              <w:rPr>
                <w:sz w:val="20"/>
                <w:lang w:val="en-GB"/>
              </w:rPr>
              <w:t>1,900,000.00</w:t>
            </w:r>
          </w:p>
        </w:tc>
      </w:tr>
      <w:tr w:rsidR="00DC2FFD" w:rsidRPr="00DC2FFD" w14:paraId="79DC96A1" w14:textId="77777777" w:rsidTr="00296435">
        <w:tc>
          <w:tcPr>
            <w:tcW w:w="7225" w:type="dxa"/>
          </w:tcPr>
          <w:p w14:paraId="7C388F33" w14:textId="77777777" w:rsidR="00DC2FFD" w:rsidRPr="00DC2FFD" w:rsidRDefault="00DC2FFD" w:rsidP="00DC2FFD">
            <w:pPr>
              <w:spacing w:after="0"/>
              <w:rPr>
                <w:sz w:val="20"/>
                <w:szCs w:val="20"/>
                <w:lang w:val="en-GB"/>
              </w:rPr>
            </w:pPr>
            <w:r w:rsidRPr="00DC2FFD">
              <w:rPr>
                <w:sz w:val="20"/>
                <w:lang w:val="en-GB"/>
              </w:rPr>
              <w:lastRenderedPageBreak/>
              <w:t>Co-financing of projects aimed at implementing affirmative measures and processes for the integration of Roma for the continuation of the “Decade of Roma Inclusion” in 2018</w:t>
            </w:r>
          </w:p>
        </w:tc>
        <w:tc>
          <w:tcPr>
            <w:tcW w:w="1791" w:type="dxa"/>
          </w:tcPr>
          <w:p w14:paraId="20DA82E7" w14:textId="77777777" w:rsidR="00DC2FFD" w:rsidRPr="00DC2FFD" w:rsidRDefault="00DC2FFD" w:rsidP="00DC2FFD">
            <w:pPr>
              <w:spacing w:after="0"/>
              <w:jc w:val="right"/>
              <w:rPr>
                <w:sz w:val="20"/>
                <w:szCs w:val="20"/>
                <w:lang w:val="en-GB"/>
              </w:rPr>
            </w:pPr>
            <w:r w:rsidRPr="00DC2FFD">
              <w:rPr>
                <w:sz w:val="20"/>
                <w:lang w:val="en-GB"/>
              </w:rPr>
              <w:t>1,900,000.00</w:t>
            </w:r>
          </w:p>
        </w:tc>
      </w:tr>
      <w:tr w:rsidR="00DC2FFD" w:rsidRPr="00DC2FFD" w14:paraId="1358DAFE" w14:textId="77777777" w:rsidTr="00296435">
        <w:tc>
          <w:tcPr>
            <w:tcW w:w="7225" w:type="dxa"/>
          </w:tcPr>
          <w:p w14:paraId="1E8B9FF7" w14:textId="77777777" w:rsidR="00DC2FFD" w:rsidRPr="00DC2FFD" w:rsidRDefault="00DC2FFD" w:rsidP="00DC2FFD">
            <w:pPr>
              <w:spacing w:after="0"/>
              <w:rPr>
                <w:sz w:val="20"/>
                <w:szCs w:val="20"/>
                <w:lang w:val="en-GB"/>
              </w:rPr>
            </w:pPr>
            <w:r w:rsidRPr="00DC2FFD">
              <w:rPr>
                <w:sz w:val="20"/>
                <w:lang w:val="en-GB"/>
              </w:rPr>
              <w:t>Co-financing of programmes and projects aimed at implementing affirmative measures for the improvement of the status of persons belonging to the Roma national minority in 2019</w:t>
            </w:r>
          </w:p>
        </w:tc>
        <w:tc>
          <w:tcPr>
            <w:tcW w:w="1791" w:type="dxa"/>
          </w:tcPr>
          <w:p w14:paraId="6D849BC6" w14:textId="77777777" w:rsidR="00DC2FFD" w:rsidRPr="00DC2FFD" w:rsidRDefault="00DC2FFD" w:rsidP="00DC2FFD">
            <w:pPr>
              <w:spacing w:after="0"/>
              <w:jc w:val="right"/>
              <w:rPr>
                <w:sz w:val="20"/>
                <w:szCs w:val="20"/>
                <w:lang w:val="en-GB"/>
              </w:rPr>
            </w:pPr>
            <w:r w:rsidRPr="00DC2FFD">
              <w:rPr>
                <w:sz w:val="20"/>
                <w:lang w:val="en-GB"/>
              </w:rPr>
              <w:t>2,000,000.00</w:t>
            </w:r>
          </w:p>
        </w:tc>
      </w:tr>
    </w:tbl>
    <w:p w14:paraId="52D5F0A7" w14:textId="77777777" w:rsidR="00DC2FFD" w:rsidRPr="00DC2FFD" w:rsidRDefault="00DC2FFD" w:rsidP="00DC2FFD">
      <w:pPr>
        <w:spacing w:after="0"/>
        <w:jc w:val="both"/>
        <w:rPr>
          <w:sz w:val="24"/>
          <w:szCs w:val="24"/>
          <w:lang w:val="sr-Cyrl-RS"/>
        </w:rPr>
      </w:pPr>
    </w:p>
    <w:p w14:paraId="747E2137" w14:textId="77777777" w:rsidR="00DC2FFD" w:rsidRPr="00DC2FFD" w:rsidRDefault="00DC2FFD" w:rsidP="00DC2FFD">
      <w:pPr>
        <w:spacing w:after="0"/>
        <w:ind w:firstLine="720"/>
        <w:jc w:val="both"/>
        <w:rPr>
          <w:sz w:val="24"/>
          <w:szCs w:val="24"/>
          <w:lang w:val="en-GB"/>
        </w:rPr>
      </w:pPr>
      <w:r w:rsidRPr="00DC2FFD">
        <w:rPr>
          <w:sz w:val="24"/>
          <w:lang w:val="en-GB"/>
        </w:rPr>
        <w:t>The competition for co-financing projects aimed at the execution of affirmative measures and processes for the integration of Roma for the continuation of the “Decade of Roma Inclusion” was announced in 2019 for the last time, and since 2020, funds were allocated to the Public Competition for co-financing of programmes and projects aimed at the improvement of the rights of national minorities with respect to the funds allocated for the Roma national minority.</w:t>
      </w:r>
    </w:p>
    <w:p w14:paraId="25CD2010" w14:textId="77777777" w:rsidR="00DC2FFD" w:rsidRPr="00DC2FFD" w:rsidRDefault="00DC2FFD" w:rsidP="00DC2FFD">
      <w:pPr>
        <w:spacing w:after="0"/>
        <w:jc w:val="both"/>
        <w:rPr>
          <w:sz w:val="24"/>
          <w:szCs w:val="24"/>
          <w:lang w:val="sr-Cyrl-RS"/>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60" w:type="dxa"/>
          <w:right w:w="60" w:type="dxa"/>
        </w:tblCellMar>
        <w:tblLook w:val="04A0" w:firstRow="1" w:lastRow="0" w:firstColumn="1" w:lastColumn="0" w:noHBand="0" w:noVBand="1"/>
      </w:tblPr>
      <w:tblGrid>
        <w:gridCol w:w="2254"/>
        <w:gridCol w:w="2254"/>
        <w:gridCol w:w="2254"/>
        <w:gridCol w:w="2255"/>
      </w:tblGrid>
      <w:tr w:rsidR="00DC2FFD" w:rsidRPr="00DC2FFD" w14:paraId="2C2BDB3A" w14:textId="77777777" w:rsidTr="00296435">
        <w:trPr>
          <w:trHeight w:val="278"/>
        </w:trPr>
        <w:tc>
          <w:tcPr>
            <w:tcW w:w="9017" w:type="dxa"/>
            <w:gridSpan w:val="4"/>
            <w:shd w:val="clear" w:color="auto" w:fill="auto"/>
          </w:tcPr>
          <w:p w14:paraId="4953BAA3" w14:textId="77777777" w:rsidR="00DC2FFD" w:rsidRPr="00DC2FFD" w:rsidRDefault="00DC2FFD" w:rsidP="00DC2FFD">
            <w:pPr>
              <w:widowControl w:val="0"/>
              <w:tabs>
                <w:tab w:val="left" w:pos="453"/>
                <w:tab w:val="left" w:pos="810"/>
              </w:tabs>
              <w:spacing w:after="0"/>
              <w:jc w:val="center"/>
              <w:rPr>
                <w:rFonts w:eastAsia="Times New Roman"/>
                <w:sz w:val="20"/>
                <w:szCs w:val="20"/>
                <w:lang w:val="en-GB"/>
              </w:rPr>
            </w:pPr>
            <w:r w:rsidRPr="00DC2FFD">
              <w:rPr>
                <w:sz w:val="20"/>
                <w:lang w:val="en-GB"/>
              </w:rPr>
              <w:t>Competitions in local self-government units and city municipalities in 2020</w:t>
            </w:r>
          </w:p>
        </w:tc>
      </w:tr>
      <w:tr w:rsidR="00DC2FFD" w:rsidRPr="00DC2FFD" w14:paraId="3E73C341" w14:textId="77777777" w:rsidTr="00296435">
        <w:tc>
          <w:tcPr>
            <w:tcW w:w="2254" w:type="dxa"/>
            <w:shd w:val="clear" w:color="auto" w:fill="auto"/>
          </w:tcPr>
          <w:p w14:paraId="29861C02" w14:textId="77777777" w:rsidR="00DC2FFD" w:rsidRPr="00DC2FFD" w:rsidRDefault="00DC2FFD" w:rsidP="00DC2FFD">
            <w:pPr>
              <w:widowControl w:val="0"/>
              <w:tabs>
                <w:tab w:val="left" w:pos="453"/>
                <w:tab w:val="left" w:pos="810"/>
              </w:tabs>
              <w:spacing w:after="0"/>
              <w:jc w:val="center"/>
              <w:rPr>
                <w:rFonts w:eastAsia="Times New Roman"/>
                <w:sz w:val="20"/>
                <w:szCs w:val="20"/>
                <w:lang w:val="en-GB"/>
              </w:rPr>
            </w:pPr>
            <w:r w:rsidRPr="00DC2FFD">
              <w:rPr>
                <w:sz w:val="20"/>
                <w:lang w:val="en-GB"/>
              </w:rPr>
              <w:t>Policy area</w:t>
            </w:r>
          </w:p>
        </w:tc>
        <w:tc>
          <w:tcPr>
            <w:tcW w:w="2254" w:type="dxa"/>
            <w:shd w:val="clear" w:color="auto" w:fill="auto"/>
          </w:tcPr>
          <w:p w14:paraId="18ED4DB3" w14:textId="77777777" w:rsidR="00DC2FFD" w:rsidRPr="00DC2FFD" w:rsidRDefault="00DC2FFD" w:rsidP="00DC2FFD">
            <w:pPr>
              <w:widowControl w:val="0"/>
              <w:tabs>
                <w:tab w:val="left" w:pos="453"/>
                <w:tab w:val="left" w:pos="810"/>
              </w:tabs>
              <w:spacing w:after="0"/>
              <w:jc w:val="center"/>
              <w:rPr>
                <w:rFonts w:eastAsia="Times New Roman"/>
                <w:sz w:val="20"/>
                <w:szCs w:val="20"/>
                <w:lang w:val="en-GB"/>
              </w:rPr>
            </w:pPr>
            <w:r w:rsidRPr="00DC2FFD">
              <w:rPr>
                <w:sz w:val="20"/>
                <w:lang w:val="en-GB"/>
              </w:rPr>
              <w:t>Number of self-government units</w:t>
            </w:r>
          </w:p>
        </w:tc>
        <w:tc>
          <w:tcPr>
            <w:tcW w:w="2254" w:type="dxa"/>
            <w:shd w:val="clear" w:color="auto" w:fill="auto"/>
          </w:tcPr>
          <w:p w14:paraId="62CA7EC1" w14:textId="77777777" w:rsidR="00DC2FFD" w:rsidRPr="00DC2FFD" w:rsidRDefault="00DC2FFD" w:rsidP="00DC2FFD">
            <w:pPr>
              <w:widowControl w:val="0"/>
              <w:tabs>
                <w:tab w:val="left" w:pos="453"/>
                <w:tab w:val="left" w:pos="810"/>
              </w:tabs>
              <w:spacing w:after="0"/>
              <w:jc w:val="center"/>
              <w:rPr>
                <w:rFonts w:eastAsia="Times New Roman"/>
                <w:sz w:val="20"/>
                <w:szCs w:val="20"/>
                <w:lang w:val="en-GB"/>
              </w:rPr>
            </w:pPr>
            <w:r w:rsidRPr="00DC2FFD">
              <w:rPr>
                <w:sz w:val="20"/>
                <w:lang w:val="en-GB"/>
              </w:rPr>
              <w:t>Number of supported projects</w:t>
            </w:r>
          </w:p>
        </w:tc>
        <w:tc>
          <w:tcPr>
            <w:tcW w:w="2255" w:type="dxa"/>
            <w:shd w:val="clear" w:color="auto" w:fill="auto"/>
          </w:tcPr>
          <w:p w14:paraId="0D6D8AD5" w14:textId="77777777" w:rsidR="00DC2FFD" w:rsidRPr="00DC2FFD" w:rsidRDefault="00DC2FFD" w:rsidP="00DC2FFD">
            <w:pPr>
              <w:widowControl w:val="0"/>
              <w:tabs>
                <w:tab w:val="left" w:pos="453"/>
                <w:tab w:val="left" w:pos="810"/>
              </w:tabs>
              <w:spacing w:after="0"/>
              <w:jc w:val="center"/>
              <w:rPr>
                <w:rFonts w:eastAsia="Times New Roman"/>
                <w:sz w:val="20"/>
                <w:szCs w:val="20"/>
                <w:lang w:val="en-GB"/>
              </w:rPr>
            </w:pPr>
            <w:r w:rsidRPr="00DC2FFD">
              <w:rPr>
                <w:sz w:val="20"/>
                <w:lang w:val="en-GB"/>
              </w:rPr>
              <w:t>Total amount of funds</w:t>
            </w:r>
          </w:p>
        </w:tc>
      </w:tr>
      <w:tr w:rsidR="00DC2FFD" w:rsidRPr="00DC2FFD" w14:paraId="5B0F1AA5" w14:textId="77777777" w:rsidTr="00296435">
        <w:tc>
          <w:tcPr>
            <w:tcW w:w="2254" w:type="dxa"/>
            <w:shd w:val="clear" w:color="auto" w:fill="auto"/>
          </w:tcPr>
          <w:p w14:paraId="7A165F17" w14:textId="77777777" w:rsidR="00DC2FFD" w:rsidRPr="00DC2FFD" w:rsidRDefault="00DC2FFD" w:rsidP="00DC2FFD">
            <w:pPr>
              <w:widowControl w:val="0"/>
              <w:tabs>
                <w:tab w:val="left" w:pos="453"/>
                <w:tab w:val="left" w:pos="810"/>
              </w:tabs>
              <w:spacing w:after="0"/>
              <w:rPr>
                <w:rFonts w:eastAsia="Times New Roman"/>
                <w:sz w:val="20"/>
                <w:szCs w:val="20"/>
                <w:lang w:val="en-GB"/>
              </w:rPr>
            </w:pPr>
            <w:r w:rsidRPr="00DC2FFD">
              <w:rPr>
                <w:sz w:val="20"/>
                <w:lang w:val="en-GB"/>
              </w:rPr>
              <w:t>Social inclusion</w:t>
            </w:r>
          </w:p>
        </w:tc>
        <w:tc>
          <w:tcPr>
            <w:tcW w:w="2254" w:type="dxa"/>
            <w:shd w:val="clear" w:color="auto" w:fill="auto"/>
          </w:tcPr>
          <w:p w14:paraId="474AE453" w14:textId="77777777" w:rsidR="00DC2FFD" w:rsidRPr="00DC2FFD" w:rsidRDefault="00DC2FFD" w:rsidP="00DC2FFD">
            <w:pPr>
              <w:widowControl w:val="0"/>
              <w:tabs>
                <w:tab w:val="left" w:pos="453"/>
                <w:tab w:val="left" w:pos="810"/>
              </w:tabs>
              <w:spacing w:after="0"/>
              <w:jc w:val="right"/>
              <w:rPr>
                <w:rFonts w:eastAsia="Times New Roman"/>
                <w:sz w:val="20"/>
                <w:szCs w:val="20"/>
                <w:lang w:val="en-GB"/>
              </w:rPr>
            </w:pPr>
            <w:r w:rsidRPr="00DC2FFD">
              <w:rPr>
                <w:sz w:val="20"/>
                <w:lang w:val="en-GB"/>
              </w:rPr>
              <w:t>22</w:t>
            </w:r>
          </w:p>
        </w:tc>
        <w:tc>
          <w:tcPr>
            <w:tcW w:w="2254" w:type="dxa"/>
            <w:shd w:val="clear" w:color="auto" w:fill="auto"/>
          </w:tcPr>
          <w:p w14:paraId="1F261E71" w14:textId="77777777" w:rsidR="00DC2FFD" w:rsidRPr="00DC2FFD" w:rsidRDefault="00DC2FFD" w:rsidP="00DC2FFD">
            <w:pPr>
              <w:widowControl w:val="0"/>
              <w:tabs>
                <w:tab w:val="left" w:pos="453"/>
                <w:tab w:val="left" w:pos="810"/>
              </w:tabs>
              <w:spacing w:after="0"/>
              <w:jc w:val="right"/>
              <w:rPr>
                <w:rFonts w:eastAsia="Times New Roman"/>
                <w:sz w:val="20"/>
                <w:szCs w:val="20"/>
                <w:lang w:val="en-GB"/>
              </w:rPr>
            </w:pPr>
            <w:r w:rsidRPr="00DC2FFD">
              <w:rPr>
                <w:sz w:val="20"/>
                <w:lang w:val="en-GB"/>
              </w:rPr>
              <w:t>45</w:t>
            </w:r>
          </w:p>
        </w:tc>
        <w:tc>
          <w:tcPr>
            <w:tcW w:w="2255" w:type="dxa"/>
            <w:shd w:val="clear" w:color="auto" w:fill="auto"/>
          </w:tcPr>
          <w:p w14:paraId="146AAA2C" w14:textId="77777777" w:rsidR="00DC2FFD" w:rsidRPr="00DC2FFD" w:rsidRDefault="00DC2FFD" w:rsidP="00DC2FFD">
            <w:pPr>
              <w:widowControl w:val="0"/>
              <w:tabs>
                <w:tab w:val="left" w:pos="453"/>
                <w:tab w:val="left" w:pos="810"/>
              </w:tabs>
              <w:spacing w:after="0"/>
              <w:jc w:val="right"/>
              <w:rPr>
                <w:rFonts w:eastAsia="Times New Roman"/>
                <w:sz w:val="20"/>
                <w:szCs w:val="20"/>
                <w:lang w:val="en-GB"/>
              </w:rPr>
            </w:pPr>
            <w:r w:rsidRPr="00DC2FFD">
              <w:rPr>
                <w:sz w:val="20"/>
                <w:lang w:val="en-GB"/>
              </w:rPr>
              <w:t>12,187,000.00</w:t>
            </w:r>
          </w:p>
        </w:tc>
      </w:tr>
      <w:tr w:rsidR="00DC2FFD" w:rsidRPr="00DC2FFD" w14:paraId="08F67CAD" w14:textId="77777777" w:rsidTr="00296435">
        <w:tc>
          <w:tcPr>
            <w:tcW w:w="2254" w:type="dxa"/>
            <w:shd w:val="clear" w:color="auto" w:fill="auto"/>
          </w:tcPr>
          <w:p w14:paraId="6D7E22C6" w14:textId="77777777" w:rsidR="00DC2FFD" w:rsidRPr="00DC2FFD" w:rsidRDefault="00DC2FFD" w:rsidP="00DC2FFD">
            <w:pPr>
              <w:widowControl w:val="0"/>
              <w:tabs>
                <w:tab w:val="left" w:pos="453"/>
                <w:tab w:val="left" w:pos="810"/>
              </w:tabs>
              <w:spacing w:after="0"/>
              <w:jc w:val="both"/>
              <w:rPr>
                <w:rFonts w:eastAsia="Times New Roman"/>
                <w:sz w:val="20"/>
                <w:szCs w:val="20"/>
                <w:lang w:val="en-GB"/>
              </w:rPr>
            </w:pPr>
            <w:r w:rsidRPr="00DC2FFD">
              <w:rPr>
                <w:sz w:val="20"/>
                <w:lang w:val="en-GB"/>
              </w:rPr>
              <w:t>Education</w:t>
            </w:r>
          </w:p>
        </w:tc>
        <w:tc>
          <w:tcPr>
            <w:tcW w:w="2254" w:type="dxa"/>
            <w:shd w:val="clear" w:color="auto" w:fill="auto"/>
          </w:tcPr>
          <w:p w14:paraId="1B090948" w14:textId="77777777" w:rsidR="00DC2FFD" w:rsidRPr="00DC2FFD" w:rsidRDefault="00DC2FFD" w:rsidP="00DC2FFD">
            <w:pPr>
              <w:widowControl w:val="0"/>
              <w:tabs>
                <w:tab w:val="left" w:pos="453"/>
                <w:tab w:val="left" w:pos="810"/>
              </w:tabs>
              <w:spacing w:after="0"/>
              <w:jc w:val="right"/>
              <w:rPr>
                <w:rFonts w:eastAsia="Times New Roman"/>
                <w:sz w:val="20"/>
                <w:szCs w:val="20"/>
                <w:lang w:val="en-GB"/>
              </w:rPr>
            </w:pPr>
            <w:r w:rsidRPr="00DC2FFD">
              <w:rPr>
                <w:sz w:val="20"/>
                <w:lang w:val="en-GB"/>
              </w:rPr>
              <w:t>8</w:t>
            </w:r>
          </w:p>
        </w:tc>
        <w:tc>
          <w:tcPr>
            <w:tcW w:w="2254" w:type="dxa"/>
            <w:shd w:val="clear" w:color="auto" w:fill="auto"/>
          </w:tcPr>
          <w:p w14:paraId="44B5D2AB" w14:textId="77777777" w:rsidR="00DC2FFD" w:rsidRPr="00DC2FFD" w:rsidRDefault="00DC2FFD" w:rsidP="00DC2FFD">
            <w:pPr>
              <w:widowControl w:val="0"/>
              <w:tabs>
                <w:tab w:val="left" w:pos="453"/>
                <w:tab w:val="left" w:pos="810"/>
              </w:tabs>
              <w:spacing w:after="0"/>
              <w:jc w:val="right"/>
              <w:rPr>
                <w:rFonts w:eastAsia="Times New Roman"/>
                <w:sz w:val="20"/>
                <w:szCs w:val="20"/>
                <w:lang w:val="en-GB"/>
              </w:rPr>
            </w:pPr>
            <w:r w:rsidRPr="00DC2FFD">
              <w:rPr>
                <w:sz w:val="20"/>
                <w:lang w:val="en-GB"/>
              </w:rPr>
              <w:t>11</w:t>
            </w:r>
          </w:p>
        </w:tc>
        <w:tc>
          <w:tcPr>
            <w:tcW w:w="2255" w:type="dxa"/>
            <w:shd w:val="clear" w:color="auto" w:fill="auto"/>
          </w:tcPr>
          <w:p w14:paraId="0E5FB6DA" w14:textId="77777777" w:rsidR="00DC2FFD" w:rsidRPr="00DC2FFD" w:rsidRDefault="00DC2FFD" w:rsidP="00DC2FFD">
            <w:pPr>
              <w:widowControl w:val="0"/>
              <w:tabs>
                <w:tab w:val="left" w:pos="453"/>
                <w:tab w:val="left" w:pos="810"/>
              </w:tabs>
              <w:spacing w:after="0"/>
              <w:jc w:val="right"/>
              <w:rPr>
                <w:rFonts w:eastAsia="Times New Roman"/>
                <w:sz w:val="20"/>
                <w:szCs w:val="20"/>
                <w:lang w:val="en-GB"/>
              </w:rPr>
            </w:pPr>
            <w:r w:rsidRPr="00DC2FFD">
              <w:rPr>
                <w:sz w:val="20"/>
                <w:lang w:val="en-GB"/>
              </w:rPr>
              <w:t>4,838,000.00</w:t>
            </w:r>
          </w:p>
        </w:tc>
      </w:tr>
      <w:tr w:rsidR="00DC2FFD" w:rsidRPr="00DC2FFD" w14:paraId="66280B08" w14:textId="77777777" w:rsidTr="00296435">
        <w:tc>
          <w:tcPr>
            <w:tcW w:w="6762" w:type="dxa"/>
            <w:gridSpan w:val="3"/>
            <w:shd w:val="clear" w:color="auto" w:fill="auto"/>
          </w:tcPr>
          <w:p w14:paraId="7319A427" w14:textId="77777777" w:rsidR="00DC2FFD" w:rsidRPr="00DC2FFD" w:rsidRDefault="00DC2FFD" w:rsidP="00DC2FFD">
            <w:pPr>
              <w:widowControl w:val="0"/>
              <w:tabs>
                <w:tab w:val="left" w:pos="453"/>
                <w:tab w:val="left" w:pos="810"/>
              </w:tabs>
              <w:spacing w:after="0"/>
              <w:rPr>
                <w:rFonts w:eastAsia="Times New Roman"/>
                <w:sz w:val="20"/>
                <w:szCs w:val="20"/>
                <w:lang w:val="en-GB"/>
              </w:rPr>
            </w:pPr>
            <w:r w:rsidRPr="00DC2FFD">
              <w:rPr>
                <w:sz w:val="20"/>
                <w:lang w:val="en-GB"/>
              </w:rPr>
              <w:t>TOTAL</w:t>
            </w:r>
          </w:p>
        </w:tc>
        <w:tc>
          <w:tcPr>
            <w:tcW w:w="2255" w:type="dxa"/>
            <w:shd w:val="clear" w:color="auto" w:fill="auto"/>
          </w:tcPr>
          <w:p w14:paraId="39BB6BEC" w14:textId="77777777" w:rsidR="00DC2FFD" w:rsidRPr="00DC2FFD" w:rsidRDefault="00DC2FFD" w:rsidP="00DC2FFD">
            <w:pPr>
              <w:widowControl w:val="0"/>
              <w:tabs>
                <w:tab w:val="left" w:pos="453"/>
                <w:tab w:val="left" w:pos="810"/>
              </w:tabs>
              <w:spacing w:after="0"/>
              <w:jc w:val="right"/>
              <w:rPr>
                <w:rFonts w:eastAsia="Times New Roman"/>
                <w:sz w:val="20"/>
                <w:szCs w:val="20"/>
                <w:lang w:val="en-GB"/>
              </w:rPr>
            </w:pPr>
            <w:r w:rsidRPr="00DC2FFD">
              <w:rPr>
                <w:sz w:val="20"/>
                <w:lang w:val="en-GB"/>
              </w:rPr>
              <w:t>17,025,000.00</w:t>
            </w:r>
          </w:p>
        </w:tc>
      </w:tr>
    </w:tbl>
    <w:p w14:paraId="293C2AFE" w14:textId="77777777" w:rsidR="00DC2FFD" w:rsidRPr="00DC2FFD" w:rsidRDefault="00DC2FFD" w:rsidP="00DC2FFD">
      <w:pPr>
        <w:spacing w:after="0"/>
        <w:jc w:val="both"/>
        <w:rPr>
          <w:sz w:val="24"/>
          <w:szCs w:val="24"/>
          <w:lang w:val="sr-Cyrl-RS"/>
        </w:rPr>
      </w:pPr>
    </w:p>
    <w:p w14:paraId="044A1A22" w14:textId="77777777" w:rsidR="00DC2FFD" w:rsidRPr="00DC2FFD" w:rsidRDefault="00DC2FFD" w:rsidP="00DC2FFD">
      <w:pPr>
        <w:spacing w:after="0"/>
        <w:ind w:firstLine="720"/>
        <w:jc w:val="both"/>
        <w:rPr>
          <w:sz w:val="24"/>
          <w:szCs w:val="24"/>
          <w:lang w:val="en-GB"/>
        </w:rPr>
      </w:pPr>
      <w:r w:rsidRPr="00DC2FFD">
        <w:rPr>
          <w:sz w:val="24"/>
          <w:lang w:val="en-GB"/>
        </w:rPr>
        <w:t xml:space="preserve">In a written contribution for the development of this report, the Citizens Association Roma Production Roma World states that, since 2018, it has executed a number of projects, including the projects “Roma Community is a part of the Serbian society”, “State and local measures for a better life of the Roma community”, “Roma Focus” and “Roma Community and its inclusion in Serbia”, which were also supported from the budget of the Republic of Serbia. All the projects were executed in </w:t>
      </w:r>
      <w:proofErr w:type="spellStart"/>
      <w:r w:rsidRPr="00DC2FFD">
        <w:rPr>
          <w:sz w:val="24"/>
          <w:lang w:val="en-GB"/>
        </w:rPr>
        <w:t>Niš</w:t>
      </w:r>
      <w:proofErr w:type="spellEnd"/>
      <w:r w:rsidRPr="00DC2FFD">
        <w:rPr>
          <w:sz w:val="24"/>
          <w:lang w:val="en-GB"/>
        </w:rPr>
        <w:t xml:space="preserve">, </w:t>
      </w:r>
      <w:proofErr w:type="spellStart"/>
      <w:r w:rsidRPr="00DC2FFD">
        <w:rPr>
          <w:sz w:val="24"/>
          <w:lang w:val="en-GB"/>
        </w:rPr>
        <w:t>Prokuplje</w:t>
      </w:r>
      <w:proofErr w:type="spellEnd"/>
      <w:r w:rsidRPr="00DC2FFD">
        <w:rPr>
          <w:sz w:val="24"/>
          <w:lang w:val="en-GB"/>
        </w:rPr>
        <w:t xml:space="preserve"> an </w:t>
      </w:r>
      <w:proofErr w:type="spellStart"/>
      <w:r w:rsidRPr="00DC2FFD">
        <w:rPr>
          <w:sz w:val="24"/>
          <w:lang w:val="en-GB"/>
        </w:rPr>
        <w:t>Leskovac</w:t>
      </w:r>
      <w:proofErr w:type="spellEnd"/>
      <w:r w:rsidRPr="00DC2FFD">
        <w:rPr>
          <w:sz w:val="24"/>
          <w:lang w:val="en-GB"/>
        </w:rPr>
        <w:t>, with the general objective to improve the existing action plans for Roma, identify any shortcomings, and adopt and provide the budget for new action plans, with the inclusion of persons belonging to the Roma community. During the execution of the projects, roundtables were held with representatives of the Roma community and decision makers from local self-governments. As stated in the written contribution for the report, a result of these project is a high placement of the priorities of the Roma community among the agendas in such local self-government units and resolution of the problems of the Roma community. Due to the existing local action plans, Roma secondary school students and university students receive scholarships at the local level, Roma settlements receive the necessary documentation for the planning of settlements, and infrastructure problems are resolved. During the execution of projects, a large number of video materials was prepared, and they are available on the society’s website.</w:t>
      </w:r>
      <w:r w:rsidRPr="00DC2FFD">
        <w:rPr>
          <w:sz w:val="24"/>
          <w:szCs w:val="24"/>
          <w:vertAlign w:val="superscript"/>
          <w:lang w:val="sr-Cyrl-RS"/>
        </w:rPr>
        <w:footnoteReference w:id="33"/>
      </w:r>
    </w:p>
    <w:p w14:paraId="29D9453F" w14:textId="77777777" w:rsidR="00DC2FFD" w:rsidRPr="00DC2FFD" w:rsidRDefault="00DC2FFD" w:rsidP="00DC2FFD">
      <w:pPr>
        <w:spacing w:after="0"/>
        <w:ind w:firstLine="720"/>
        <w:jc w:val="both"/>
        <w:rPr>
          <w:sz w:val="24"/>
          <w:szCs w:val="24"/>
          <w:lang w:val="en-GB"/>
        </w:rPr>
      </w:pPr>
      <w:r w:rsidRPr="00DC2FFD">
        <w:rPr>
          <w:sz w:val="24"/>
          <w:lang w:val="en-GB"/>
        </w:rPr>
        <w:t xml:space="preserve">In 2021, the Office for the Roma inclusion of the Autonomous Province of </w:t>
      </w:r>
      <w:proofErr w:type="spellStart"/>
      <w:r w:rsidRPr="00DC2FFD">
        <w:rPr>
          <w:sz w:val="24"/>
          <w:lang w:val="en-GB"/>
        </w:rPr>
        <w:t>Vojvodina</w:t>
      </w:r>
      <w:proofErr w:type="spellEnd"/>
      <w:r w:rsidRPr="00DC2FFD">
        <w:rPr>
          <w:sz w:val="24"/>
          <w:lang w:val="en-GB"/>
        </w:rPr>
        <w:t xml:space="preserve"> granted scholarships in the amount of 1,200,000.00 RSD to students belonging to the Roma national minority who were enrolled in the Study Programme of the School of Higher Specialized Studies for the education of pedagogues “</w:t>
      </w:r>
      <w:proofErr w:type="spellStart"/>
      <w:r w:rsidRPr="00DC2FFD">
        <w:rPr>
          <w:sz w:val="24"/>
          <w:lang w:val="en-GB"/>
        </w:rPr>
        <w:t>Mihailo</w:t>
      </w:r>
      <w:proofErr w:type="spellEnd"/>
      <w:r w:rsidRPr="00DC2FFD">
        <w:rPr>
          <w:sz w:val="24"/>
          <w:lang w:val="en-GB"/>
        </w:rPr>
        <w:t xml:space="preserve"> Palov” in </w:t>
      </w:r>
      <w:proofErr w:type="spellStart"/>
      <w:r w:rsidRPr="00DC2FFD">
        <w:rPr>
          <w:sz w:val="24"/>
          <w:lang w:val="en-GB"/>
        </w:rPr>
        <w:t>Vršac</w:t>
      </w:r>
      <w:proofErr w:type="spellEnd"/>
      <w:r w:rsidRPr="00DC2FFD">
        <w:rPr>
          <w:sz w:val="24"/>
          <w:lang w:val="en-GB"/>
        </w:rPr>
        <w:t xml:space="preserve">: pedagogue of pre-school age children who attend training in the Romani language, In addition, a large number of local self-government units grants scholarships to school and university students </w:t>
      </w:r>
      <w:r w:rsidRPr="00DC2FFD">
        <w:rPr>
          <w:sz w:val="24"/>
          <w:lang w:val="en-GB"/>
        </w:rPr>
        <w:lastRenderedPageBreak/>
        <w:t>from vulnerable social groups, and certain municipalities grant scholarships in particular to school and university students belonging to the Roma national minority. The table below provides, according to the available data, an overview of allocated scholarships at the competitions of local self-government units for school and university students belonging to the Roma national minority in 2021.</w:t>
      </w:r>
    </w:p>
    <w:p w14:paraId="0F4252E3" w14:textId="77777777" w:rsidR="00DC2FFD" w:rsidRPr="00DC2FFD" w:rsidRDefault="00DC2FFD" w:rsidP="00DC2FFD">
      <w:pPr>
        <w:spacing w:after="0"/>
        <w:jc w:val="both"/>
        <w:rPr>
          <w:sz w:val="24"/>
          <w:szCs w:val="24"/>
          <w:lang w:val="sr-Cyrl-RS"/>
        </w:rPr>
      </w:pPr>
    </w:p>
    <w:tbl>
      <w:tblPr>
        <w:tblStyle w:val="TableGrid"/>
        <w:tblW w:w="9018" w:type="dxa"/>
        <w:tblLook w:val="04A0" w:firstRow="1" w:lastRow="0" w:firstColumn="1" w:lastColumn="0" w:noHBand="0" w:noVBand="1"/>
      </w:tblPr>
      <w:tblGrid>
        <w:gridCol w:w="3006"/>
        <w:gridCol w:w="3006"/>
        <w:gridCol w:w="3006"/>
      </w:tblGrid>
      <w:tr w:rsidR="00DC2FFD" w:rsidRPr="00DC2FFD" w14:paraId="7E88A1E0" w14:textId="77777777" w:rsidTr="00296435">
        <w:trPr>
          <w:trHeight w:val="293"/>
        </w:trPr>
        <w:tc>
          <w:tcPr>
            <w:tcW w:w="3006" w:type="dxa"/>
          </w:tcPr>
          <w:p w14:paraId="7E728F80" w14:textId="77777777" w:rsidR="00DC2FFD" w:rsidRPr="00DC2FFD" w:rsidRDefault="00DC2FFD" w:rsidP="00DC2FFD">
            <w:pPr>
              <w:spacing w:after="0" w:line="240" w:lineRule="auto"/>
              <w:jc w:val="center"/>
              <w:rPr>
                <w:sz w:val="20"/>
                <w:szCs w:val="20"/>
                <w:lang w:val="en-GB"/>
              </w:rPr>
            </w:pPr>
            <w:r w:rsidRPr="00DC2FFD">
              <w:rPr>
                <w:sz w:val="20"/>
                <w:lang w:val="en-GB"/>
              </w:rPr>
              <w:t>Local self-government unit</w:t>
            </w:r>
          </w:p>
        </w:tc>
        <w:tc>
          <w:tcPr>
            <w:tcW w:w="3006" w:type="dxa"/>
          </w:tcPr>
          <w:p w14:paraId="0BF814D1" w14:textId="77777777" w:rsidR="00DC2FFD" w:rsidRPr="00DC2FFD" w:rsidRDefault="00DC2FFD" w:rsidP="00DC2FFD">
            <w:pPr>
              <w:spacing w:after="0" w:line="240" w:lineRule="auto"/>
              <w:jc w:val="center"/>
              <w:rPr>
                <w:sz w:val="20"/>
                <w:szCs w:val="20"/>
                <w:lang w:val="en-GB"/>
              </w:rPr>
            </w:pPr>
            <w:r w:rsidRPr="00DC2FFD">
              <w:rPr>
                <w:sz w:val="20"/>
                <w:lang w:val="en-GB"/>
              </w:rPr>
              <w:t>Number of students</w:t>
            </w:r>
          </w:p>
        </w:tc>
        <w:tc>
          <w:tcPr>
            <w:tcW w:w="3006" w:type="dxa"/>
          </w:tcPr>
          <w:p w14:paraId="47435E62" w14:textId="77777777" w:rsidR="00DC2FFD" w:rsidRPr="00DC2FFD" w:rsidRDefault="00DC2FFD" w:rsidP="00DC2FFD">
            <w:pPr>
              <w:spacing w:after="0" w:line="240" w:lineRule="auto"/>
              <w:jc w:val="center"/>
              <w:rPr>
                <w:sz w:val="20"/>
                <w:szCs w:val="20"/>
                <w:lang w:val="en-GB"/>
              </w:rPr>
            </w:pPr>
            <w:r w:rsidRPr="00DC2FFD">
              <w:rPr>
                <w:sz w:val="20"/>
                <w:lang w:val="en-GB"/>
              </w:rPr>
              <w:t>Amount of monthly allocated funds</w:t>
            </w:r>
          </w:p>
        </w:tc>
      </w:tr>
      <w:tr w:rsidR="00DC2FFD" w:rsidRPr="00DC2FFD" w14:paraId="69B0250D" w14:textId="77777777" w:rsidTr="00296435">
        <w:trPr>
          <w:trHeight w:val="299"/>
        </w:trPr>
        <w:tc>
          <w:tcPr>
            <w:tcW w:w="3006" w:type="dxa"/>
          </w:tcPr>
          <w:p w14:paraId="5AB70B21" w14:textId="77777777" w:rsidR="00DC2FFD" w:rsidRPr="00DC2FFD" w:rsidRDefault="00DC2FFD" w:rsidP="00DC2FFD">
            <w:pPr>
              <w:spacing w:after="0" w:line="240" w:lineRule="auto"/>
              <w:jc w:val="both"/>
              <w:rPr>
                <w:sz w:val="20"/>
                <w:szCs w:val="20"/>
                <w:lang w:val="en-GB"/>
              </w:rPr>
            </w:pPr>
            <w:proofErr w:type="spellStart"/>
            <w:r w:rsidRPr="00DC2FFD">
              <w:rPr>
                <w:sz w:val="20"/>
                <w:lang w:val="en-GB"/>
              </w:rPr>
              <w:t>Bačka</w:t>
            </w:r>
            <w:proofErr w:type="spellEnd"/>
            <w:r w:rsidRPr="00DC2FFD">
              <w:rPr>
                <w:sz w:val="20"/>
                <w:lang w:val="en-GB"/>
              </w:rPr>
              <w:t xml:space="preserve"> </w:t>
            </w:r>
            <w:proofErr w:type="spellStart"/>
            <w:r w:rsidRPr="00DC2FFD">
              <w:rPr>
                <w:sz w:val="20"/>
                <w:lang w:val="en-GB"/>
              </w:rPr>
              <w:t>Palanka</w:t>
            </w:r>
            <w:proofErr w:type="spellEnd"/>
          </w:p>
        </w:tc>
        <w:tc>
          <w:tcPr>
            <w:tcW w:w="3006" w:type="dxa"/>
          </w:tcPr>
          <w:p w14:paraId="3B32DB76" w14:textId="77777777" w:rsidR="00DC2FFD" w:rsidRPr="00DC2FFD" w:rsidRDefault="00DC2FFD" w:rsidP="00DC2FFD">
            <w:pPr>
              <w:spacing w:after="0" w:line="240" w:lineRule="auto"/>
              <w:jc w:val="right"/>
              <w:rPr>
                <w:sz w:val="20"/>
                <w:szCs w:val="20"/>
                <w:lang w:val="en-GB"/>
              </w:rPr>
            </w:pPr>
            <w:r w:rsidRPr="00DC2FFD">
              <w:rPr>
                <w:sz w:val="20"/>
                <w:lang w:val="en-GB"/>
              </w:rPr>
              <w:t>15</w:t>
            </w:r>
          </w:p>
        </w:tc>
        <w:tc>
          <w:tcPr>
            <w:tcW w:w="3006" w:type="dxa"/>
          </w:tcPr>
          <w:p w14:paraId="291A1BFB" w14:textId="77777777" w:rsidR="00DC2FFD" w:rsidRPr="00DC2FFD" w:rsidRDefault="00DC2FFD" w:rsidP="00DC2FFD">
            <w:pPr>
              <w:spacing w:after="0" w:line="240" w:lineRule="auto"/>
              <w:jc w:val="right"/>
              <w:rPr>
                <w:sz w:val="20"/>
                <w:szCs w:val="20"/>
                <w:lang w:val="en-GB"/>
              </w:rPr>
            </w:pPr>
            <w:r w:rsidRPr="00DC2FFD">
              <w:rPr>
                <w:sz w:val="20"/>
                <w:lang w:val="en-GB"/>
              </w:rPr>
              <w:t>57,000.00</w:t>
            </w:r>
          </w:p>
        </w:tc>
      </w:tr>
      <w:tr w:rsidR="00DC2FFD" w:rsidRPr="00DC2FFD" w14:paraId="44B7B93D" w14:textId="77777777" w:rsidTr="00296435">
        <w:trPr>
          <w:trHeight w:val="299"/>
        </w:trPr>
        <w:tc>
          <w:tcPr>
            <w:tcW w:w="3006" w:type="dxa"/>
          </w:tcPr>
          <w:p w14:paraId="258A5EC2" w14:textId="77777777" w:rsidR="00DC2FFD" w:rsidRPr="00DC2FFD" w:rsidRDefault="00DC2FFD" w:rsidP="00DC2FFD">
            <w:pPr>
              <w:spacing w:after="0" w:line="240" w:lineRule="auto"/>
              <w:jc w:val="both"/>
              <w:rPr>
                <w:sz w:val="20"/>
                <w:szCs w:val="20"/>
                <w:lang w:val="en-GB"/>
              </w:rPr>
            </w:pPr>
            <w:proofErr w:type="spellStart"/>
            <w:r w:rsidRPr="00DC2FFD">
              <w:rPr>
                <w:sz w:val="20"/>
                <w:lang w:val="en-GB"/>
              </w:rPr>
              <w:t>Valjevo</w:t>
            </w:r>
            <w:proofErr w:type="spellEnd"/>
          </w:p>
        </w:tc>
        <w:tc>
          <w:tcPr>
            <w:tcW w:w="3006" w:type="dxa"/>
          </w:tcPr>
          <w:p w14:paraId="4861F5B1" w14:textId="77777777" w:rsidR="00DC2FFD" w:rsidRPr="00DC2FFD" w:rsidRDefault="00DC2FFD" w:rsidP="00DC2FFD">
            <w:pPr>
              <w:spacing w:after="0" w:line="240" w:lineRule="auto"/>
              <w:jc w:val="right"/>
              <w:rPr>
                <w:sz w:val="20"/>
                <w:szCs w:val="20"/>
                <w:lang w:val="en-GB"/>
              </w:rPr>
            </w:pPr>
            <w:r w:rsidRPr="00DC2FFD">
              <w:rPr>
                <w:sz w:val="20"/>
                <w:lang w:val="en-GB"/>
              </w:rPr>
              <w:t>67</w:t>
            </w:r>
          </w:p>
        </w:tc>
        <w:tc>
          <w:tcPr>
            <w:tcW w:w="3006" w:type="dxa"/>
          </w:tcPr>
          <w:p w14:paraId="711B707F" w14:textId="77777777" w:rsidR="00DC2FFD" w:rsidRPr="00DC2FFD" w:rsidRDefault="00DC2FFD" w:rsidP="00DC2FFD">
            <w:pPr>
              <w:spacing w:after="0" w:line="240" w:lineRule="auto"/>
              <w:jc w:val="right"/>
              <w:rPr>
                <w:sz w:val="20"/>
                <w:szCs w:val="20"/>
                <w:lang w:val="en-GB"/>
              </w:rPr>
            </w:pPr>
            <w:r w:rsidRPr="00DC2FFD">
              <w:rPr>
                <w:sz w:val="20"/>
                <w:lang w:val="en-GB"/>
              </w:rPr>
              <w:t>294,500.00</w:t>
            </w:r>
          </w:p>
        </w:tc>
      </w:tr>
      <w:tr w:rsidR="00DC2FFD" w:rsidRPr="00DC2FFD" w14:paraId="56B3375B" w14:textId="77777777" w:rsidTr="00296435">
        <w:trPr>
          <w:trHeight w:val="293"/>
        </w:trPr>
        <w:tc>
          <w:tcPr>
            <w:tcW w:w="3006" w:type="dxa"/>
          </w:tcPr>
          <w:p w14:paraId="574A31CD" w14:textId="77777777" w:rsidR="00DC2FFD" w:rsidRPr="00DC2FFD" w:rsidRDefault="00DC2FFD" w:rsidP="00DC2FFD">
            <w:pPr>
              <w:spacing w:after="0" w:line="240" w:lineRule="auto"/>
              <w:jc w:val="both"/>
              <w:rPr>
                <w:sz w:val="20"/>
                <w:szCs w:val="20"/>
                <w:lang w:val="en-GB"/>
              </w:rPr>
            </w:pPr>
            <w:proofErr w:type="spellStart"/>
            <w:r w:rsidRPr="00DC2FFD">
              <w:rPr>
                <w:sz w:val="20"/>
                <w:lang w:val="en-GB"/>
              </w:rPr>
              <w:t>Niš</w:t>
            </w:r>
            <w:proofErr w:type="spellEnd"/>
          </w:p>
        </w:tc>
        <w:tc>
          <w:tcPr>
            <w:tcW w:w="3006" w:type="dxa"/>
          </w:tcPr>
          <w:p w14:paraId="54655ABD" w14:textId="77777777" w:rsidR="00DC2FFD" w:rsidRPr="00DC2FFD" w:rsidRDefault="00DC2FFD" w:rsidP="00DC2FFD">
            <w:pPr>
              <w:spacing w:after="0" w:line="240" w:lineRule="auto"/>
              <w:jc w:val="right"/>
              <w:rPr>
                <w:sz w:val="20"/>
                <w:szCs w:val="20"/>
                <w:lang w:val="en-GB"/>
              </w:rPr>
            </w:pPr>
            <w:r w:rsidRPr="00DC2FFD">
              <w:rPr>
                <w:sz w:val="20"/>
                <w:lang w:val="en-GB"/>
              </w:rPr>
              <w:t>60</w:t>
            </w:r>
          </w:p>
        </w:tc>
        <w:tc>
          <w:tcPr>
            <w:tcW w:w="3006" w:type="dxa"/>
          </w:tcPr>
          <w:p w14:paraId="4F56F99F" w14:textId="77777777" w:rsidR="00DC2FFD" w:rsidRPr="00DC2FFD" w:rsidRDefault="00DC2FFD" w:rsidP="00DC2FFD">
            <w:pPr>
              <w:spacing w:after="0" w:line="240" w:lineRule="auto"/>
              <w:jc w:val="right"/>
              <w:rPr>
                <w:sz w:val="20"/>
                <w:szCs w:val="20"/>
                <w:lang w:val="en-GB"/>
              </w:rPr>
            </w:pPr>
            <w:r w:rsidRPr="00DC2FFD">
              <w:rPr>
                <w:sz w:val="20"/>
                <w:lang w:val="en-GB"/>
              </w:rPr>
              <w:t>450,000.00</w:t>
            </w:r>
          </w:p>
        </w:tc>
      </w:tr>
      <w:tr w:rsidR="00DC2FFD" w:rsidRPr="00DC2FFD" w14:paraId="37C88DA3" w14:textId="77777777" w:rsidTr="00296435">
        <w:trPr>
          <w:trHeight w:val="299"/>
        </w:trPr>
        <w:tc>
          <w:tcPr>
            <w:tcW w:w="3006" w:type="dxa"/>
          </w:tcPr>
          <w:p w14:paraId="345F7BCC" w14:textId="77777777" w:rsidR="00DC2FFD" w:rsidRPr="00DC2FFD" w:rsidRDefault="00DC2FFD" w:rsidP="00DC2FFD">
            <w:pPr>
              <w:spacing w:after="0" w:line="240" w:lineRule="auto"/>
              <w:jc w:val="both"/>
              <w:rPr>
                <w:sz w:val="20"/>
                <w:szCs w:val="20"/>
                <w:lang w:val="en-GB"/>
              </w:rPr>
            </w:pPr>
            <w:proofErr w:type="spellStart"/>
            <w:r w:rsidRPr="00DC2FFD">
              <w:rPr>
                <w:sz w:val="20"/>
                <w:lang w:val="en-GB"/>
              </w:rPr>
              <w:t>Smederevo</w:t>
            </w:r>
            <w:proofErr w:type="spellEnd"/>
          </w:p>
        </w:tc>
        <w:tc>
          <w:tcPr>
            <w:tcW w:w="3006" w:type="dxa"/>
          </w:tcPr>
          <w:p w14:paraId="4E1CFD80" w14:textId="77777777" w:rsidR="00DC2FFD" w:rsidRPr="00DC2FFD" w:rsidRDefault="00DC2FFD" w:rsidP="00DC2FFD">
            <w:pPr>
              <w:spacing w:after="0" w:line="240" w:lineRule="auto"/>
              <w:jc w:val="right"/>
              <w:rPr>
                <w:sz w:val="20"/>
                <w:szCs w:val="20"/>
                <w:lang w:val="en-GB"/>
              </w:rPr>
            </w:pPr>
            <w:r w:rsidRPr="00DC2FFD">
              <w:rPr>
                <w:sz w:val="20"/>
                <w:lang w:val="en-GB"/>
              </w:rPr>
              <w:t>44</w:t>
            </w:r>
          </w:p>
        </w:tc>
        <w:tc>
          <w:tcPr>
            <w:tcW w:w="3006" w:type="dxa"/>
          </w:tcPr>
          <w:p w14:paraId="493600C6" w14:textId="77777777" w:rsidR="00DC2FFD" w:rsidRPr="00DC2FFD" w:rsidRDefault="00DC2FFD" w:rsidP="00DC2FFD">
            <w:pPr>
              <w:spacing w:after="0" w:line="240" w:lineRule="auto"/>
              <w:jc w:val="right"/>
              <w:rPr>
                <w:sz w:val="20"/>
                <w:szCs w:val="20"/>
                <w:lang w:val="en-GB"/>
              </w:rPr>
            </w:pPr>
            <w:r w:rsidRPr="00DC2FFD">
              <w:rPr>
                <w:sz w:val="20"/>
                <w:lang w:val="en-GB"/>
              </w:rPr>
              <w:t>220,000.00</w:t>
            </w:r>
          </w:p>
        </w:tc>
      </w:tr>
    </w:tbl>
    <w:p w14:paraId="23EE7AA9" w14:textId="77777777" w:rsidR="00DC2FFD" w:rsidRPr="00DC2FFD" w:rsidRDefault="00DC2FFD" w:rsidP="00DC2FFD">
      <w:pPr>
        <w:spacing w:after="0"/>
        <w:jc w:val="both"/>
        <w:rPr>
          <w:sz w:val="24"/>
          <w:szCs w:val="24"/>
          <w:lang w:val="sr-Cyrl-RS"/>
        </w:rPr>
      </w:pPr>
    </w:p>
    <w:p w14:paraId="0EE47413" w14:textId="77777777" w:rsidR="00DC2FFD" w:rsidRPr="00DC2FFD" w:rsidRDefault="00DC2FFD" w:rsidP="00DC2FFD">
      <w:pPr>
        <w:spacing w:after="0"/>
        <w:ind w:firstLine="720"/>
        <w:jc w:val="both"/>
        <w:rPr>
          <w:sz w:val="24"/>
          <w:szCs w:val="24"/>
          <w:lang w:val="en-GB"/>
        </w:rPr>
      </w:pPr>
      <w:r w:rsidRPr="00DC2FFD">
        <w:rPr>
          <w:sz w:val="24"/>
          <w:lang w:val="en-GB"/>
        </w:rPr>
        <w:t xml:space="preserve">Particularly important measures for the social inclusion of Roma may be entrusted to health </w:t>
      </w:r>
      <w:proofErr w:type="gramStart"/>
      <w:r w:rsidRPr="00DC2FFD">
        <w:rPr>
          <w:sz w:val="24"/>
          <w:lang w:val="en-GB"/>
        </w:rPr>
        <w:t>mediators  at</w:t>
      </w:r>
      <w:proofErr w:type="gramEnd"/>
      <w:r w:rsidRPr="00DC2FFD">
        <w:rPr>
          <w:sz w:val="24"/>
          <w:lang w:val="en-GB"/>
        </w:rPr>
        <w:t xml:space="preserve"> the national level, and to coordinators for Roma matters and mobile teams at the local levels. </w:t>
      </w:r>
    </w:p>
    <w:p w14:paraId="6D45A5BC" w14:textId="77777777" w:rsidR="00DC2FFD" w:rsidRPr="00DC2FFD" w:rsidRDefault="00DC2FFD" w:rsidP="00DC2FFD">
      <w:pPr>
        <w:spacing w:after="0"/>
        <w:ind w:firstLine="720"/>
        <w:jc w:val="both"/>
        <w:rPr>
          <w:sz w:val="24"/>
          <w:szCs w:val="24"/>
          <w:lang w:val="en-GB"/>
        </w:rPr>
      </w:pPr>
      <w:r w:rsidRPr="00DC2FFD">
        <w:rPr>
          <w:sz w:val="24"/>
          <w:lang w:val="en-GB"/>
        </w:rPr>
        <w:t>Pursuant to the Law on Health Care,</w:t>
      </w:r>
      <w:r w:rsidRPr="00DC2FFD">
        <w:rPr>
          <w:sz w:val="24"/>
          <w:szCs w:val="24"/>
          <w:vertAlign w:val="superscript"/>
          <w:lang w:val="sr-Cyrl-RS"/>
        </w:rPr>
        <w:footnoteReference w:id="34"/>
      </w:r>
      <w:r w:rsidRPr="00DC2FFD">
        <w:rPr>
          <w:sz w:val="24"/>
          <w:lang w:val="en-GB"/>
        </w:rPr>
        <w:t xml:space="preserve"> within the framework of the improvement of health and health care of population groups which are exposed to an increase risk of disease in 2008. The Ministry of Health supported the project of introducing health mediators in the health care system of the Republic of Serbia. The role of health mediators is to keep records on the health status of persons belonging to the Roma national minority, work with them on raising awareness on the necessity to vaccinate children, as well as the importance of regular diet and hygienic habits. Health mediators provide a better insight of health institutions into the health status of inhabitants of Roma settlements, and point out the importance of timely contacting the doctor to the citizens. The Ministry of Health, when choosing health mediators, gave an advantage to Roma women who were mothers and lived in a Roma settlement. Since the introduction of health mediators into the health care system of Serbia, health mediators are a part of the health visiting practice of the health centre, where they cooperate with the Social Welfare Centre, a branch office of the Health Fund of the Republic of Serbia and the local self-government. In view of the fact that they are in everyday communication with the Roma community, they are giving a considerable contribution to the activity of the mobile team for the inclusion of Roma. A total of 85 mediators work in 70 municipalities in the Republic of Serbia. One of the objectives defined in the Strategy for the Inclusion of Roma Men and Women in the Republic of Serbia is the improvement of their health and better accessibility of health protection. Through measures which are concretized in the Action Plan, obligations are assumed which require the mobilisation of the overall primary health care and further improvement of the capacities of health </w:t>
      </w:r>
      <w:proofErr w:type="spellStart"/>
      <w:r w:rsidRPr="00DC2FFD">
        <w:rPr>
          <w:sz w:val="24"/>
          <w:lang w:val="en-GB"/>
        </w:rPr>
        <w:t>medicators</w:t>
      </w:r>
      <w:proofErr w:type="spellEnd"/>
      <w:r w:rsidRPr="00DC2FFD">
        <w:rPr>
          <w:sz w:val="24"/>
          <w:lang w:val="en-GB"/>
        </w:rPr>
        <w:t>, increase of their number, as well as resolution of the equal status and their recognition in the code list of professions.</w:t>
      </w:r>
    </w:p>
    <w:p w14:paraId="23F41D47" w14:textId="77777777" w:rsidR="00DC2FFD" w:rsidRPr="00DC2FFD" w:rsidRDefault="00DC2FFD" w:rsidP="00DC2FFD">
      <w:pPr>
        <w:spacing w:after="0"/>
        <w:ind w:firstLine="720"/>
        <w:jc w:val="both"/>
        <w:rPr>
          <w:sz w:val="24"/>
          <w:szCs w:val="24"/>
          <w:lang w:val="en-GB"/>
        </w:rPr>
      </w:pPr>
      <w:r w:rsidRPr="00DC2FFD">
        <w:rPr>
          <w:sz w:val="24"/>
          <w:lang w:val="en-GB"/>
        </w:rPr>
        <w:t xml:space="preserve">The local policy of the inclusion of Roma men and women entails a multi-sectoral approach and participation of multiple institutions at the local level, with an active participation and coordination of local mechanisms for the inclusion of the Roma community. The Strategy for the Inclusion of Roma Men and Women recognises that one of the local mechanisms which contributes the most to the implementation of strategic measures at the local level as regards </w:t>
      </w:r>
      <w:r w:rsidRPr="00DC2FFD">
        <w:rPr>
          <w:sz w:val="24"/>
          <w:lang w:val="en-GB"/>
        </w:rPr>
        <w:lastRenderedPageBreak/>
        <w:t>the inclusion of the Roma community, is the employment of local coordinators for Roma matters in towns and municipalities. By introducing the job of coordinators for Roma matters, the local self-government creates an opportunity to be in regular and direct communication with the Roma community and to implement national policies at the local level in a more efficient manner, respecting the characteristics of the local environment. The role of a coordinator for Roma matters is to provide technical support to the local self-government in the development and implementation of the existing and new policies and programmes of the inclusion of Roma men and women in accordance with the national and local strategic framework; to collect and analyse data on socio-economic needs as the basis for development and monitoring of local strategic documents relating to the inclusion of Roma men and women; to communicate and mediate between the Roma community and the local administration. Of 77 coordinators for Roma matters in local self-government units which have entered their data into the Database for monitoring the measures for the inclusion of Roma men and women for 2020, 46 coordinators had a systematised position.</w:t>
      </w:r>
    </w:p>
    <w:p w14:paraId="6713E98F" w14:textId="77777777" w:rsidR="00DC2FFD" w:rsidRPr="00DC2FFD" w:rsidRDefault="00DC2FFD" w:rsidP="00DC2FFD">
      <w:pPr>
        <w:spacing w:after="0"/>
        <w:ind w:firstLine="720"/>
        <w:jc w:val="both"/>
        <w:rPr>
          <w:sz w:val="24"/>
          <w:szCs w:val="24"/>
          <w:lang w:val="en-GB"/>
        </w:rPr>
      </w:pPr>
      <w:r w:rsidRPr="00DC2FFD">
        <w:rPr>
          <w:sz w:val="24"/>
          <w:lang w:val="en-GB"/>
        </w:rPr>
        <w:t xml:space="preserve">Mobile teams for the inclusion of Roma are working bodies of the National Assembly or the city/municipality council created for the purpose of strengthening cooperation between officers in respective local institutions. Members of the mobile teams organise joint field visits to Roma settlements and provide joint and coordinated support and assistance to individuals and families. Members of the mobile team are: the coordinator for Roma matters employed in the municipal/city administration, pedagogical assistant, health mediator, representative of the social welfare centre, and representative of the branch office of the National Employment Service. By creating mobile teams, a more rational utilisation of local institutional resources is ensured, as well as a coordinated approach to the provision of services, and better and faster accessibility of services to beneficiaries, Mobile teams act on the basis of semi-annual operational plans. Mobile teams for the inclusion of Roma men and women were founded in 50 towns and municipalities in the Republic of Serbia with the support of the EU funds (IPA12, IPA13, IPA16). A mobile team carries out the following tasks: provides joint and coordinated support and assistance to individuals and families; examines the needs of the Roma community in the municipality/town, particularly in the field of education, housing, employment, health care and social protection; promotes and helps the inclusion of Roma men and women in the social life of the community; proposes activities with the objective of improving the status of Roma men and women in the municipality/town and other competent authorities and organisations; promotes </w:t>
      </w:r>
      <w:proofErr w:type="spellStart"/>
      <w:r w:rsidRPr="00DC2FFD">
        <w:rPr>
          <w:sz w:val="24"/>
          <w:lang w:val="en-GB"/>
        </w:rPr>
        <w:t>interculturalism</w:t>
      </w:r>
      <w:proofErr w:type="spellEnd"/>
      <w:r w:rsidRPr="00DC2FFD">
        <w:rPr>
          <w:sz w:val="24"/>
          <w:lang w:val="en-GB"/>
        </w:rPr>
        <w:t xml:space="preserve"> and contributes to the majority population’s familiarity with the Roma community.</w:t>
      </w:r>
    </w:p>
    <w:p w14:paraId="01F3F8B5" w14:textId="77777777" w:rsidR="00DC2FFD" w:rsidRPr="00DC2FFD" w:rsidRDefault="00DC2FFD" w:rsidP="00DC2FFD">
      <w:pPr>
        <w:spacing w:after="0"/>
        <w:jc w:val="both"/>
        <w:rPr>
          <w:sz w:val="24"/>
          <w:szCs w:val="24"/>
          <w:lang w:val="sr-Cyrl-RS"/>
        </w:rPr>
      </w:pPr>
    </w:p>
    <w:p w14:paraId="0798DE7F" w14:textId="29A6F556" w:rsidR="00DC2FFD" w:rsidRPr="00DC2FFD" w:rsidRDefault="00DC2FFD" w:rsidP="00DC2FFD">
      <w:pPr>
        <w:spacing w:after="0"/>
        <w:jc w:val="both"/>
        <w:rPr>
          <w:i/>
          <w:sz w:val="24"/>
          <w:szCs w:val="24"/>
          <w:lang w:val="en-GB"/>
        </w:rPr>
      </w:pPr>
      <w:r w:rsidRPr="00DC2FFD">
        <w:rPr>
          <w:i/>
          <w:sz w:val="24"/>
          <w:lang w:val="en-GB"/>
        </w:rPr>
        <w:t>2</w:t>
      </w:r>
      <w:r w:rsidR="008D1F04">
        <w:rPr>
          <w:i/>
          <w:sz w:val="24"/>
          <w:lang w:val="en-GB"/>
        </w:rPr>
        <w:t>.</w:t>
      </w:r>
      <w:r w:rsidRPr="00DC2FFD">
        <w:rPr>
          <w:i/>
          <w:sz w:val="24"/>
          <w:lang w:val="en-GB"/>
        </w:rPr>
        <w:t xml:space="preserve"> Set up and operate, as soon as possible and at the latest by the due date of the fifth State Report, a sustainable and human rights-based data collection framework on issues pertaining to the access to rights of persons belonging to national minorities as well as promote complementary qualitative and quantitative research in order to assess the situation of persons belonging to national minorities; on the basis of such data and research, set up, implement, monitor and periodically review minority policies with the effective participation of persons belonging to national minorities.</w:t>
      </w:r>
    </w:p>
    <w:p w14:paraId="0E9C5E19" w14:textId="77777777" w:rsidR="00DC2FFD" w:rsidRPr="00DC2FFD" w:rsidRDefault="00DC2FFD" w:rsidP="00DC2FFD">
      <w:pPr>
        <w:spacing w:after="0"/>
        <w:jc w:val="both"/>
        <w:rPr>
          <w:i/>
          <w:sz w:val="24"/>
          <w:szCs w:val="24"/>
          <w:lang w:val="sr-Cyrl-RS"/>
        </w:rPr>
      </w:pPr>
    </w:p>
    <w:p w14:paraId="1FD292C8" w14:textId="77777777" w:rsidR="00DC2FFD" w:rsidRPr="00DC2FFD" w:rsidRDefault="00DC2FFD" w:rsidP="00DC2FFD">
      <w:pPr>
        <w:spacing w:after="0"/>
        <w:ind w:firstLine="720"/>
        <w:jc w:val="both"/>
        <w:rPr>
          <w:sz w:val="24"/>
          <w:szCs w:val="24"/>
          <w:lang w:val="en-GB"/>
        </w:rPr>
      </w:pPr>
      <w:r w:rsidRPr="00DC2FFD">
        <w:rPr>
          <w:sz w:val="24"/>
          <w:lang w:val="en-GB"/>
        </w:rPr>
        <w:lastRenderedPageBreak/>
        <w:t>Within the framework of the project “Promotion of diversity and equality in Serbia”, which is a part of the joint programme of the European Union/Council of Europe “Horizontal Facility for the Western Balkans and Turkey 2019-2022”, at an initiative of the then Office for Human and Minority Rights of the Government of the Republic of Serbia, the following documents were prepared: “Mapping and legal analysis of the recommendations of contracting bodies of the Council of Europe in the field of minority rights”, as well as “National criteria for the monitoring of the exercise of minority rights”. The Council of Europe hired a domestic expert to prepare these documents.</w:t>
      </w:r>
    </w:p>
    <w:p w14:paraId="6C55C59A" w14:textId="77777777" w:rsidR="00DC2FFD" w:rsidRPr="00DC2FFD" w:rsidRDefault="00DC2FFD" w:rsidP="00DC2FFD">
      <w:pPr>
        <w:spacing w:after="0"/>
        <w:ind w:firstLine="720"/>
        <w:jc w:val="both"/>
        <w:rPr>
          <w:sz w:val="24"/>
          <w:szCs w:val="24"/>
          <w:lang w:val="en-GB"/>
        </w:rPr>
      </w:pPr>
      <w:r w:rsidRPr="00DC2FFD">
        <w:rPr>
          <w:sz w:val="24"/>
          <w:lang w:val="en-GB"/>
        </w:rPr>
        <w:t>The subject of mapping and analysis were the recommendations of the relevant bodies of the Council of Europe - Committee of Ministers, Advisory Committee of the Framework Convention  for the Protection of National Minorities of the Council of Europe and the Committee of Experts of the European Charter of the Council of Europe for Regional or Minority Languages.</w:t>
      </w:r>
      <w:r w:rsidRPr="00DC2FFD">
        <w:rPr>
          <w:sz w:val="24"/>
          <w:szCs w:val="24"/>
          <w:vertAlign w:val="superscript"/>
          <w:lang w:val="sr-Cyrl-RS"/>
        </w:rPr>
        <w:footnoteReference w:id="35"/>
      </w:r>
      <w:r w:rsidRPr="00DC2FFD">
        <w:rPr>
          <w:sz w:val="24"/>
          <w:lang w:val="en-GB"/>
        </w:rPr>
        <w:t xml:space="preserve"> The objective of mapping and legal analysis of the recommendations is to establish a national institutional mechanism for fulfilling the recommendations of the relevant bodies of the Council of Europe and monitoring the implementation of conventions in general, and, through national criteria for monitoring the implementation of minority rights which have also been developed and proposed. Namely, within the framework of the project, specific national criteria were to be developed for the monitoring of the application of relevant thematic clusters of minority rights, which will be used for permanent data collection for the purpose of a review of the implementation of the Framework Convention for the Protection of National Minorities and the European Charter of the Council of Europe for Regional or Minority Languages and preparation of national reports on their implementation, with an emphasis on the collection of data on the basis of ethnicity. For each of the criteria, appropriate data are to be collected which, as a logically connected set, would provide relevant information on the exercise of minority rights and which would refer to quantitative and qualitative aspects of the exercise of minority rights.</w:t>
      </w:r>
    </w:p>
    <w:p w14:paraId="318A9D52" w14:textId="77777777" w:rsidR="00DC2FFD" w:rsidRPr="00DC2FFD" w:rsidRDefault="00DC2FFD" w:rsidP="00DC2FFD">
      <w:pPr>
        <w:spacing w:after="0"/>
        <w:ind w:firstLine="720"/>
        <w:jc w:val="both"/>
        <w:rPr>
          <w:bCs/>
          <w:sz w:val="24"/>
          <w:szCs w:val="24"/>
          <w:lang w:val="en-GB"/>
        </w:rPr>
      </w:pPr>
      <w:r w:rsidRPr="00DC2FFD">
        <w:rPr>
          <w:sz w:val="24"/>
          <w:lang w:val="en-GB"/>
        </w:rPr>
        <w:t>With a view to establishing this mechanism, the Republic of Serbia proposed that the third phase of the joint programme of the European Union/Council of Europe “Horizontal Facility for the Western Balkans and Turkey” shall include support to the development of a portal/application in which the competent institution should enter all relevant data of importance for the monitoring of the exercise of the rights of national minorities, according to the developed criteria and data. This would enable the establishment of a sustainable human rights-based framework for data collection relating to the matters of approach to the rights of persons belonging to national minorities.</w:t>
      </w:r>
    </w:p>
    <w:p w14:paraId="2DC2121B" w14:textId="7FE0FC22" w:rsidR="00DC2FFD" w:rsidRPr="00DC2FFD" w:rsidRDefault="00DC2FFD" w:rsidP="00DC2FFD">
      <w:pPr>
        <w:spacing w:after="0"/>
        <w:ind w:firstLine="720"/>
        <w:jc w:val="both"/>
        <w:rPr>
          <w:sz w:val="24"/>
          <w:szCs w:val="24"/>
          <w:lang w:val="en-GB"/>
        </w:rPr>
      </w:pPr>
      <w:r w:rsidRPr="00DC2FFD">
        <w:rPr>
          <w:sz w:val="24"/>
          <w:lang w:val="en-GB"/>
        </w:rPr>
        <w:t xml:space="preserve">The above documents are also of importance for the preparation of a new strategic document dedicated to the exercise of the rights of national minorities. Namely, the applicable Action Plan for exercise of the rights of national minorities of the Government of the Republic of Serbia, as a medium-term strategic document without an established timeline of the validity period of the document. As most of the activities in the Action Plan were planned to be executed no later than 2018, as a part of the revision of the Action Plan for Chapter 23 by the European </w:t>
      </w:r>
      <w:r w:rsidRPr="00DC2FFD">
        <w:rPr>
          <w:sz w:val="24"/>
          <w:lang w:val="en-GB"/>
        </w:rPr>
        <w:lastRenderedPageBreak/>
        <w:t>Commission and the Government of Serbia, a need was identified for a comprehensive impact analysis of the Action Plan, which would serve as the basis for further development of the strategic framework in the field of the rights of national minorities. In that regard, the project “Promotion of diversity and equality in Serbia” recruited experts, who prepared the “</w:t>
      </w:r>
      <w:r w:rsidRPr="00DC2FFD">
        <w:rPr>
          <w:i/>
          <w:iCs/>
          <w:sz w:val="24"/>
          <w:lang w:val="en-GB"/>
        </w:rPr>
        <w:t xml:space="preserve">Ex-post </w:t>
      </w:r>
      <w:r w:rsidRPr="00DC2FFD">
        <w:rPr>
          <w:sz w:val="24"/>
          <w:lang w:val="en-GB"/>
        </w:rPr>
        <w:t xml:space="preserve">impact analysis of the implementation of the Action Plan for exercise of the rights of national minorities”. This analysis provides guidelines for the methodology of the development of a new action plan, which would be based on </w:t>
      </w:r>
      <w:proofErr w:type="gramStart"/>
      <w:r w:rsidRPr="00DC2FFD">
        <w:rPr>
          <w:sz w:val="24"/>
          <w:lang w:val="en-GB"/>
        </w:rPr>
        <w:t>the  Progress</w:t>
      </w:r>
      <w:proofErr w:type="gramEnd"/>
      <w:r w:rsidRPr="00DC2FFD">
        <w:rPr>
          <w:sz w:val="24"/>
          <w:lang w:val="en-GB"/>
        </w:rPr>
        <w:t xml:space="preserve"> Report in the Serbia’s EU accession process, as well as the recommendations from the Fourth Report of the Advisory Committee of the Framework Convention for the Protection of National Minorities, while the development of a new strategic document is coordinated by the Ministry of Human and Minority Rights and Social Dialogue. After the adoption of a new action plan, reports on its implementation will allow the collection of data relating to the matter of access to the rights of persons belonging to national minorities, which will be in accordance with the above criteria of monitoring the exercise of the minority rights. </w:t>
      </w:r>
    </w:p>
    <w:p w14:paraId="093D5BF2" w14:textId="77777777" w:rsidR="00DC2FFD" w:rsidRPr="00DC2FFD" w:rsidRDefault="00DC2FFD" w:rsidP="00DC2FFD">
      <w:pPr>
        <w:spacing w:after="0"/>
        <w:jc w:val="both"/>
        <w:rPr>
          <w:sz w:val="24"/>
          <w:szCs w:val="24"/>
          <w:lang w:val="sr-Cyrl-RS"/>
        </w:rPr>
      </w:pPr>
    </w:p>
    <w:p w14:paraId="11FD06FE" w14:textId="29FB833F" w:rsidR="00DC2FFD" w:rsidRPr="00DC2FFD" w:rsidRDefault="00DC2FFD" w:rsidP="00DC2FFD">
      <w:pPr>
        <w:spacing w:after="0"/>
        <w:jc w:val="both"/>
        <w:rPr>
          <w:i/>
          <w:sz w:val="24"/>
          <w:lang w:val="en-GB"/>
        </w:rPr>
      </w:pPr>
      <w:r w:rsidRPr="00DC2FFD">
        <w:rPr>
          <w:i/>
          <w:sz w:val="24"/>
          <w:lang w:val="en-GB"/>
        </w:rPr>
        <w:t>3</w:t>
      </w:r>
      <w:r w:rsidR="008D1F04">
        <w:rPr>
          <w:i/>
          <w:sz w:val="24"/>
          <w:lang w:val="en-GB"/>
        </w:rPr>
        <w:t>.</w:t>
      </w:r>
      <w:r w:rsidRPr="00DC2FFD">
        <w:rPr>
          <w:i/>
          <w:sz w:val="24"/>
          <w:lang w:val="en-GB"/>
        </w:rPr>
        <w:t xml:space="preserve"> Implement the recommendations of the Protector of Citizens of the Republic of Serbia listed in its Special Report on Councils for Inter-Ethnic Relations and commission an independent qualitative study, as soon as possible and at the latest by the due date of the fifth State report, in order to assess the functionality of the Councils for Inter-Ethnic Relations; strongly support the development of independent qualitative and quantitative research showing the level and nature of inter-ethnic relations, including relations between persons belonging to national minorities and persons belonging to the majority; taking into account such research, set up, implement, monitor and periodically review a comprehensive strategy aimed at revitalising inter-ethnic relations, in consultation with persons belonging to national minorities and local self-government units, taking into account the need to involve the majority in the integration and inclusion of national minorities in Serbian society.</w:t>
      </w:r>
    </w:p>
    <w:p w14:paraId="3301FAF7" w14:textId="77777777" w:rsidR="00DC2FFD" w:rsidRPr="00DC2FFD" w:rsidRDefault="00DC2FFD" w:rsidP="00DC2FFD">
      <w:pPr>
        <w:spacing w:after="0"/>
        <w:jc w:val="both"/>
        <w:rPr>
          <w:i/>
          <w:color w:val="333333"/>
          <w:sz w:val="24"/>
          <w:lang w:val="en-GB"/>
        </w:rPr>
      </w:pPr>
    </w:p>
    <w:p w14:paraId="6E05B483" w14:textId="77777777" w:rsidR="00DC2FFD" w:rsidRPr="00DC2FFD" w:rsidRDefault="00DC2FFD" w:rsidP="00DC2FFD">
      <w:pPr>
        <w:spacing w:after="0"/>
        <w:jc w:val="both"/>
        <w:rPr>
          <w:i/>
          <w:sz w:val="24"/>
          <w:lang w:val="en-GB"/>
        </w:rPr>
      </w:pPr>
      <w:r w:rsidRPr="00DC2FFD">
        <w:rPr>
          <w:i/>
          <w:sz w:val="24"/>
          <w:lang w:val="en-GB"/>
        </w:rPr>
        <w:t xml:space="preserve">Councils for inter-ethnic relations </w:t>
      </w:r>
    </w:p>
    <w:p w14:paraId="6BEAFD2C" w14:textId="77777777" w:rsidR="00DC2FFD" w:rsidRPr="00DC2FFD" w:rsidRDefault="00DC2FFD" w:rsidP="00DC2FFD">
      <w:pPr>
        <w:spacing w:after="0"/>
        <w:jc w:val="both"/>
        <w:rPr>
          <w:i/>
          <w:sz w:val="24"/>
          <w:lang w:val="sr-Cyrl-RS"/>
        </w:rPr>
      </w:pPr>
    </w:p>
    <w:p w14:paraId="30FF7D4B" w14:textId="77777777" w:rsidR="00DC2FFD" w:rsidRPr="00DC2FFD" w:rsidRDefault="00DC2FFD" w:rsidP="00DC2FFD">
      <w:pPr>
        <w:spacing w:after="0"/>
        <w:ind w:firstLine="720"/>
        <w:jc w:val="both"/>
        <w:rPr>
          <w:sz w:val="24"/>
          <w:szCs w:val="24"/>
          <w:lang w:val="en-GB"/>
        </w:rPr>
      </w:pPr>
      <w:r w:rsidRPr="00DC2FFD">
        <w:rPr>
          <w:sz w:val="24"/>
          <w:lang w:val="en-GB"/>
        </w:rPr>
        <w:t>In view of the given recommendation of the Advisory Committee, as well as the recommendations of the Protector of Citizens, the Law on Local Self-Government was amended in 2018.</w:t>
      </w:r>
      <w:r w:rsidRPr="00DC2FFD">
        <w:rPr>
          <w:sz w:val="24"/>
          <w:szCs w:val="24"/>
          <w:vertAlign w:val="superscript"/>
          <w:lang w:val="sr-Cyrl-RS"/>
        </w:rPr>
        <w:footnoteReference w:id="36"/>
      </w:r>
      <w:r w:rsidRPr="00DC2FFD">
        <w:rPr>
          <w:sz w:val="24"/>
          <w:lang w:val="en-GB"/>
        </w:rPr>
        <w:t xml:space="preserve"> The Law prescribes the obligation of a local self-government unit in whose area a national minority language is used, to in the process of changing the names of streets, squares, urban neighbourhoods, hamlets and other parts of settlements, also obtain an opinion of the council for inter-ethnic relations, which is simultaneously a way to ensure that the obligations of such local self-government units to create the above bodies are fulfilled, particularly in view of the fact that the previous law did not provide for measures which would ensure their establishment. Also, amendments to the Law have established that a member of the assembly of a local self-government unit may not be elected member of a councils for inter-ethnic relations, and specified that representatives of Serbian people shall be nominated by a </w:t>
      </w:r>
      <w:r w:rsidRPr="00DC2FFD">
        <w:rPr>
          <w:sz w:val="24"/>
          <w:lang w:val="en-GB"/>
        </w:rPr>
        <w:lastRenderedPageBreak/>
        <w:t>permanent working body of an assembly of a local self-government unit which performs tasks relating to personnel matters, which also resolves these outstanding issues.</w:t>
      </w:r>
    </w:p>
    <w:p w14:paraId="547666E9" w14:textId="77777777" w:rsidR="00DC2FFD" w:rsidRPr="00DC2FFD" w:rsidRDefault="00DC2FFD" w:rsidP="00DC2FFD">
      <w:pPr>
        <w:spacing w:after="0"/>
        <w:ind w:firstLine="720"/>
        <w:jc w:val="both"/>
        <w:rPr>
          <w:sz w:val="24"/>
          <w:szCs w:val="24"/>
          <w:lang w:val="en-GB"/>
        </w:rPr>
      </w:pPr>
      <w:r w:rsidRPr="00DC2FFD">
        <w:rPr>
          <w:sz w:val="24"/>
          <w:lang w:val="en-GB"/>
        </w:rPr>
        <w:t xml:space="preserve">As regards this recommendation, it is important to note that the Ministry of Public Administration and Local Self-Government, as a part of monitoring the enforcement of the Law through its obligation to give opinions to draft statutes of local self-government units, particularly emphasise the need to list, among the provisions of the statutes, the articles/provisions concerning the following: selection and composition of the council, decision-making method of the council, submission of reports of the councils to the assembly of a local self-government unit, protection of the rights of persons belonging to the Serbian people and to national minorities, Rules of Procedure of the council, and operational funds of the council. All local self-government units which were legally obliged to create this body have done it within the legally defined timeline. In addition, two times a year, the Ministry of Public Administration and Local Self-Governments requires all local self-government units which are legally obliged to establish </w:t>
      </w:r>
      <w:proofErr w:type="gramStart"/>
      <w:r w:rsidRPr="00DC2FFD">
        <w:rPr>
          <w:sz w:val="24"/>
          <w:lang w:val="en-GB"/>
        </w:rPr>
        <w:t>a councils</w:t>
      </w:r>
      <w:proofErr w:type="gramEnd"/>
      <w:r w:rsidRPr="00DC2FFD">
        <w:rPr>
          <w:sz w:val="24"/>
          <w:lang w:val="en-GB"/>
        </w:rPr>
        <w:t xml:space="preserve"> for inter-ethnic relations to submit relevant data concerning the establishment and activity of such councils. </w:t>
      </w:r>
    </w:p>
    <w:p w14:paraId="5D56C91E" w14:textId="77777777" w:rsidR="00DC2FFD" w:rsidRPr="00DC2FFD" w:rsidRDefault="00DC2FFD" w:rsidP="00DC2FFD">
      <w:pPr>
        <w:spacing w:after="0"/>
        <w:ind w:firstLine="720"/>
        <w:jc w:val="both"/>
        <w:rPr>
          <w:sz w:val="24"/>
          <w:szCs w:val="24"/>
          <w:lang w:val="en-GB"/>
        </w:rPr>
      </w:pPr>
      <w:r w:rsidRPr="00DC2FFD">
        <w:rPr>
          <w:sz w:val="24"/>
          <w:lang w:val="en-GB"/>
        </w:rPr>
        <w:t>According to the 2021 data, 63 local self-government units established the councils for inter-ethnic relations, 8 local self-government units informed the Ministry that they had not established the Council but were in the process of establishing the Council, and two local self-government units did not submit the data. In 10 local self-government units, sessions of this body were held during 2021. The first collection of data for 2021 is underway, and after an analysis of the collected data, it will be possible to ascertain if any progress had been made compared to the previously collected data.</w:t>
      </w:r>
    </w:p>
    <w:p w14:paraId="656E60E2" w14:textId="77777777" w:rsidR="00DC2FFD" w:rsidRPr="00DC2FFD" w:rsidRDefault="00DC2FFD" w:rsidP="00DC2FFD">
      <w:pPr>
        <w:spacing w:after="0"/>
        <w:ind w:firstLine="720"/>
        <w:jc w:val="both"/>
        <w:rPr>
          <w:sz w:val="24"/>
          <w:szCs w:val="24"/>
          <w:lang w:val="en-GB"/>
        </w:rPr>
      </w:pPr>
      <w:r w:rsidRPr="00DC2FFD">
        <w:rPr>
          <w:sz w:val="24"/>
          <w:lang w:val="en-GB"/>
        </w:rPr>
        <w:t>As regards the part of the recommendation relating to the creation of independent qualitative studies, it should be noted that a survey was done in 2020, and the publication</w:t>
      </w:r>
      <w:r w:rsidRPr="00DC2FFD">
        <w:rPr>
          <w:i/>
          <w:iCs/>
          <w:sz w:val="24"/>
          <w:lang w:val="en-GB"/>
        </w:rPr>
        <w:t xml:space="preserve"> Impact assessment of the European integration to the local-self-government in Serbia – protection of fundamental rights</w:t>
      </w:r>
      <w:r w:rsidRPr="00DC2FFD">
        <w:rPr>
          <w:sz w:val="24"/>
          <w:lang w:val="en-GB"/>
        </w:rPr>
        <w:t xml:space="preserve">, </w:t>
      </w:r>
      <w:r w:rsidRPr="00DC2FFD">
        <w:rPr>
          <w:sz w:val="24"/>
          <w:szCs w:val="24"/>
          <w:vertAlign w:val="superscript"/>
          <w:lang w:val="sr-Cyrl-RS"/>
        </w:rPr>
        <w:footnoteReference w:id="37"/>
      </w:r>
      <w:r w:rsidRPr="00DC2FFD">
        <w:rPr>
          <w:sz w:val="24"/>
          <w:lang w:val="en-GB"/>
        </w:rPr>
        <w:t xml:space="preserve"> including the status of national minorities, was subsequently published. This publication originated from the cooperation between the Standing Conference of Towns and Municipalities and the Swedish Association of Local Authorities and Regions, with the objective of enhancing the capacities of municipalities and towns in Serbia for responding to their obligations which occurred in the European Union accession process. </w:t>
      </w:r>
    </w:p>
    <w:p w14:paraId="5687A7E6" w14:textId="77777777" w:rsidR="00DC2FFD" w:rsidRPr="00DC2FFD" w:rsidRDefault="00DC2FFD" w:rsidP="00DC2FFD">
      <w:pPr>
        <w:spacing w:after="0"/>
        <w:ind w:firstLine="720"/>
        <w:jc w:val="both"/>
        <w:rPr>
          <w:sz w:val="24"/>
          <w:szCs w:val="24"/>
          <w:lang w:val="en-GB"/>
        </w:rPr>
      </w:pPr>
      <w:r w:rsidRPr="00DC2FFD">
        <w:rPr>
          <w:sz w:val="24"/>
          <w:lang w:val="en-GB"/>
        </w:rPr>
        <w:t xml:space="preserve">The questionnaire which was used in the survey was sent to the addresses of 16 local self-government units (LSGUs). The following criteria were used in the selection of towns and municipalities: demographical composition (the sample comprised of LSGUs traditionally populated by national minorities, i.e., only nationally diverse LSGUs were taken into account), status and size (municipalities and towns of various sizes in terms of population were chosen), geographical location (LSGUs from each of the four statistical regions in Serbia), level of development (proportional representation of LSGUs from each of the four categories of development) and representation of various national minorities (the sample covers LSGUs populated by persons belonging to various national minorities). </w:t>
      </w:r>
    </w:p>
    <w:p w14:paraId="2D410EAD" w14:textId="77777777" w:rsidR="00DC2FFD" w:rsidRPr="00DC2FFD" w:rsidRDefault="00DC2FFD" w:rsidP="00DC2FFD">
      <w:pPr>
        <w:spacing w:after="0"/>
        <w:ind w:firstLine="720"/>
        <w:jc w:val="both"/>
        <w:rPr>
          <w:sz w:val="24"/>
          <w:szCs w:val="24"/>
          <w:lang w:val="en-GB"/>
        </w:rPr>
      </w:pPr>
      <w:r w:rsidRPr="00DC2FFD">
        <w:rPr>
          <w:sz w:val="24"/>
          <w:lang w:val="en-GB"/>
        </w:rPr>
        <w:lastRenderedPageBreak/>
        <w:t xml:space="preserve">The following LSGUs were selected: </w:t>
      </w:r>
      <w:proofErr w:type="spellStart"/>
      <w:r w:rsidRPr="00DC2FFD">
        <w:rPr>
          <w:sz w:val="24"/>
          <w:lang w:val="en-GB"/>
        </w:rPr>
        <w:t>Apatin</w:t>
      </w:r>
      <w:proofErr w:type="spellEnd"/>
      <w:r w:rsidRPr="00DC2FFD">
        <w:rPr>
          <w:sz w:val="24"/>
          <w:lang w:val="en-GB"/>
        </w:rPr>
        <w:t xml:space="preserve">, Bela </w:t>
      </w:r>
      <w:proofErr w:type="spellStart"/>
      <w:r w:rsidRPr="00DC2FFD">
        <w:rPr>
          <w:sz w:val="24"/>
          <w:lang w:val="en-GB"/>
        </w:rPr>
        <w:t>Palanka</w:t>
      </w:r>
      <w:proofErr w:type="spellEnd"/>
      <w:r w:rsidRPr="00DC2FFD">
        <w:rPr>
          <w:sz w:val="24"/>
          <w:lang w:val="en-GB"/>
        </w:rPr>
        <w:t xml:space="preserve">, </w:t>
      </w:r>
      <w:proofErr w:type="spellStart"/>
      <w:r w:rsidRPr="00DC2FFD">
        <w:rPr>
          <w:sz w:val="24"/>
          <w:lang w:val="en-GB"/>
        </w:rPr>
        <w:t>Bujanovac</w:t>
      </w:r>
      <w:proofErr w:type="spellEnd"/>
      <w:r w:rsidRPr="00DC2FFD">
        <w:rPr>
          <w:sz w:val="24"/>
          <w:lang w:val="en-GB"/>
        </w:rPr>
        <w:t xml:space="preserve">, </w:t>
      </w:r>
      <w:proofErr w:type="spellStart"/>
      <w:r w:rsidRPr="00DC2FFD">
        <w:rPr>
          <w:sz w:val="24"/>
          <w:lang w:val="en-GB"/>
        </w:rPr>
        <w:t>Vranje</w:t>
      </w:r>
      <w:proofErr w:type="spellEnd"/>
      <w:r w:rsidRPr="00DC2FFD">
        <w:rPr>
          <w:sz w:val="24"/>
          <w:lang w:val="en-GB"/>
        </w:rPr>
        <w:t xml:space="preserve">, </w:t>
      </w:r>
      <w:proofErr w:type="spellStart"/>
      <w:r w:rsidRPr="00DC2FFD">
        <w:rPr>
          <w:sz w:val="24"/>
          <w:lang w:val="en-GB"/>
        </w:rPr>
        <w:t>Dimitrovgrad</w:t>
      </w:r>
      <w:proofErr w:type="spellEnd"/>
      <w:r w:rsidRPr="00DC2FFD">
        <w:rPr>
          <w:sz w:val="24"/>
          <w:lang w:val="en-GB"/>
        </w:rPr>
        <w:t xml:space="preserve">, </w:t>
      </w:r>
      <w:proofErr w:type="spellStart"/>
      <w:r w:rsidRPr="00DC2FFD">
        <w:rPr>
          <w:sz w:val="24"/>
          <w:lang w:val="en-GB"/>
        </w:rPr>
        <w:t>Zrenjanin</w:t>
      </w:r>
      <w:proofErr w:type="spellEnd"/>
      <w:r w:rsidRPr="00DC2FFD">
        <w:rPr>
          <w:sz w:val="24"/>
          <w:lang w:val="en-GB"/>
        </w:rPr>
        <w:t xml:space="preserve">, </w:t>
      </w:r>
      <w:proofErr w:type="spellStart"/>
      <w:r w:rsidRPr="00DC2FFD">
        <w:rPr>
          <w:sz w:val="24"/>
          <w:lang w:val="en-GB"/>
        </w:rPr>
        <w:t>Кučevo</w:t>
      </w:r>
      <w:proofErr w:type="spellEnd"/>
      <w:r w:rsidRPr="00DC2FFD">
        <w:rPr>
          <w:sz w:val="24"/>
          <w:lang w:val="en-GB"/>
        </w:rPr>
        <w:t xml:space="preserve">, </w:t>
      </w:r>
      <w:proofErr w:type="spellStart"/>
      <w:r w:rsidRPr="00DC2FFD">
        <w:rPr>
          <w:sz w:val="24"/>
          <w:lang w:val="en-GB"/>
        </w:rPr>
        <w:t>Lajkovac</w:t>
      </w:r>
      <w:proofErr w:type="spellEnd"/>
      <w:r w:rsidRPr="00DC2FFD">
        <w:rPr>
          <w:sz w:val="24"/>
          <w:lang w:val="en-GB"/>
        </w:rPr>
        <w:t xml:space="preserve">, </w:t>
      </w:r>
      <w:proofErr w:type="spellStart"/>
      <w:r w:rsidRPr="00DC2FFD">
        <w:rPr>
          <w:sz w:val="24"/>
          <w:lang w:val="en-GB"/>
        </w:rPr>
        <w:t>Negotin</w:t>
      </w:r>
      <w:proofErr w:type="spellEnd"/>
      <w:r w:rsidRPr="00DC2FFD">
        <w:rPr>
          <w:sz w:val="24"/>
          <w:lang w:val="en-GB"/>
        </w:rPr>
        <w:t xml:space="preserve">, Novi </w:t>
      </w:r>
      <w:proofErr w:type="spellStart"/>
      <w:r w:rsidRPr="00DC2FFD">
        <w:rPr>
          <w:sz w:val="24"/>
          <w:lang w:val="en-GB"/>
        </w:rPr>
        <w:t>Pazar</w:t>
      </w:r>
      <w:proofErr w:type="spellEnd"/>
      <w:r w:rsidRPr="00DC2FFD">
        <w:rPr>
          <w:sz w:val="24"/>
          <w:lang w:val="en-GB"/>
        </w:rPr>
        <w:t xml:space="preserve">, Novi Sad, </w:t>
      </w:r>
      <w:proofErr w:type="spellStart"/>
      <w:r w:rsidRPr="00DC2FFD">
        <w:rPr>
          <w:sz w:val="24"/>
          <w:lang w:val="en-GB"/>
        </w:rPr>
        <w:t>Pančevo</w:t>
      </w:r>
      <w:proofErr w:type="spellEnd"/>
      <w:r w:rsidRPr="00DC2FFD">
        <w:rPr>
          <w:sz w:val="24"/>
          <w:lang w:val="en-GB"/>
        </w:rPr>
        <w:t xml:space="preserve">, </w:t>
      </w:r>
      <w:proofErr w:type="spellStart"/>
      <w:r w:rsidRPr="00DC2FFD">
        <w:rPr>
          <w:sz w:val="24"/>
          <w:lang w:val="en-GB"/>
        </w:rPr>
        <w:t>Požarevac</w:t>
      </w:r>
      <w:proofErr w:type="spellEnd"/>
      <w:r w:rsidRPr="00DC2FFD">
        <w:rPr>
          <w:sz w:val="24"/>
          <w:lang w:val="en-GB"/>
        </w:rPr>
        <w:t xml:space="preserve">, </w:t>
      </w:r>
      <w:proofErr w:type="spellStart"/>
      <w:r w:rsidRPr="00DC2FFD">
        <w:rPr>
          <w:sz w:val="24"/>
          <w:lang w:val="en-GB"/>
        </w:rPr>
        <w:t>Priboj</w:t>
      </w:r>
      <w:proofErr w:type="spellEnd"/>
      <w:r w:rsidRPr="00DC2FFD">
        <w:rPr>
          <w:sz w:val="24"/>
          <w:lang w:val="en-GB"/>
        </w:rPr>
        <w:t xml:space="preserve">, </w:t>
      </w:r>
      <w:proofErr w:type="spellStart"/>
      <w:r w:rsidRPr="00DC2FFD">
        <w:rPr>
          <w:sz w:val="24"/>
          <w:lang w:val="en-GB"/>
        </w:rPr>
        <w:t>Sombor</w:t>
      </w:r>
      <w:proofErr w:type="spellEnd"/>
      <w:r w:rsidRPr="00DC2FFD">
        <w:rPr>
          <w:sz w:val="24"/>
          <w:lang w:val="en-GB"/>
        </w:rPr>
        <w:t xml:space="preserve"> and Subotica. </w:t>
      </w:r>
    </w:p>
    <w:p w14:paraId="33DCE0CF" w14:textId="77777777" w:rsidR="00DC2FFD" w:rsidRPr="00DC2FFD" w:rsidRDefault="00DC2FFD" w:rsidP="00DC2FFD">
      <w:pPr>
        <w:spacing w:after="0"/>
        <w:ind w:firstLine="720"/>
        <w:jc w:val="both"/>
        <w:rPr>
          <w:sz w:val="24"/>
          <w:szCs w:val="24"/>
          <w:lang w:val="en-GB"/>
        </w:rPr>
      </w:pPr>
      <w:r w:rsidRPr="00DC2FFD">
        <w:rPr>
          <w:sz w:val="24"/>
          <w:lang w:val="en-GB"/>
        </w:rPr>
        <w:t>The questionnaire for the selected LSGUs relating to the exercise of the rights of national minorities included questions relating to councils for inter-ethnic relations, as one of the local mechanisms whose importance was particularly recognised in the negotiations, progress reports, and the Action Plan for Chapter 23.</w:t>
      </w:r>
      <w:r w:rsidRPr="00DC2FFD">
        <w:rPr>
          <w:lang w:val="en-GB"/>
        </w:rPr>
        <w:t xml:space="preserve"> </w:t>
      </w:r>
      <w:r w:rsidRPr="00DC2FFD">
        <w:rPr>
          <w:sz w:val="24"/>
          <w:lang w:val="en-GB"/>
        </w:rPr>
        <w:t>Among the above municipalities and towns, 4 LSGUs did not send their answers, so the final sample for analysis included 12 LSGUs.</w:t>
      </w:r>
    </w:p>
    <w:p w14:paraId="3BA9367F" w14:textId="77777777" w:rsidR="00DC2FFD" w:rsidRPr="00DC2FFD" w:rsidRDefault="00DC2FFD" w:rsidP="00DC2FFD">
      <w:pPr>
        <w:spacing w:after="0"/>
        <w:ind w:firstLine="720"/>
        <w:jc w:val="both"/>
        <w:rPr>
          <w:sz w:val="24"/>
          <w:szCs w:val="24"/>
          <w:lang w:val="en-GB"/>
        </w:rPr>
      </w:pPr>
      <w:r w:rsidRPr="00DC2FFD">
        <w:rPr>
          <w:sz w:val="24"/>
          <w:lang w:val="en-GB"/>
        </w:rPr>
        <w:t>The conclusions of the analysis indicate that one of the LSGUs from the sample had a fully functional council, two had a fully active one, and two LSGUs had a relatively active one. The overall impressions is that the capacities of the council were still weak, as was the initiative of the members of these bodies to affect the decisions of the local authorities. The overall evaluation of the harmonisation of the statute and decisions of LSGUs with the Law on Local Self-Government is relatively good, but there is still room for improvement:</w:t>
      </w:r>
    </w:p>
    <w:p w14:paraId="659C830C" w14:textId="77777777" w:rsidR="00DC2FFD" w:rsidRPr="00DC2FFD" w:rsidRDefault="00DC2FFD" w:rsidP="00DC2FFD">
      <w:pPr>
        <w:spacing w:after="0"/>
        <w:ind w:firstLine="720"/>
        <w:jc w:val="both"/>
        <w:rPr>
          <w:sz w:val="24"/>
          <w:szCs w:val="24"/>
          <w:lang w:val="en-GB"/>
        </w:rPr>
      </w:pPr>
      <w:r w:rsidRPr="00DC2FFD">
        <w:rPr>
          <w:sz w:val="24"/>
          <w:lang w:val="en-GB"/>
        </w:rPr>
        <w:t xml:space="preserve">In addition to the above, it is important to note that trainings for enhancement of capacities of the council for inter-ethnic relations were planned for the project “Promotion of Diversity and Equality in Serbia”, which is a part of the joint programme of the European Union/Council of Europe “Horizontal Facility for the Western Balkans and Turkey 2019-2022”. It was initially planned that this activity be implemented during 2020, but its implementation was made more difficult by the COVID-19 pandemic. In 2021, the Ministry of Human and Minority Rights and Social Dialogue and the Protector of Citizens, in collaboration with the Council of Europe, implemented activities for the preparation of these trainings. The implementation of trainings was subject to the epidemiological situation, and the conditions for them to begin were met in March 2022. In March and April 2022, trainings were held in </w:t>
      </w:r>
      <w:proofErr w:type="spellStart"/>
      <w:r w:rsidRPr="00DC2FFD">
        <w:rPr>
          <w:sz w:val="24"/>
          <w:lang w:val="en-GB"/>
        </w:rPr>
        <w:t>Bujanovac</w:t>
      </w:r>
      <w:proofErr w:type="spellEnd"/>
      <w:r w:rsidRPr="00DC2FFD">
        <w:rPr>
          <w:sz w:val="24"/>
          <w:lang w:val="en-GB"/>
        </w:rPr>
        <w:t xml:space="preserve">, </w:t>
      </w:r>
      <w:proofErr w:type="spellStart"/>
      <w:r w:rsidRPr="00DC2FFD">
        <w:rPr>
          <w:sz w:val="24"/>
          <w:lang w:val="en-GB"/>
        </w:rPr>
        <w:t>Bačka</w:t>
      </w:r>
      <w:proofErr w:type="spellEnd"/>
      <w:r w:rsidRPr="00DC2FFD">
        <w:rPr>
          <w:sz w:val="24"/>
          <w:lang w:val="en-GB"/>
        </w:rPr>
        <w:t xml:space="preserve"> </w:t>
      </w:r>
      <w:proofErr w:type="spellStart"/>
      <w:r w:rsidRPr="00DC2FFD">
        <w:rPr>
          <w:sz w:val="24"/>
          <w:lang w:val="en-GB"/>
        </w:rPr>
        <w:t>Palanka</w:t>
      </w:r>
      <w:proofErr w:type="spellEnd"/>
      <w:r w:rsidRPr="00DC2FFD">
        <w:rPr>
          <w:sz w:val="24"/>
          <w:lang w:val="en-GB"/>
        </w:rPr>
        <w:t xml:space="preserve">, </w:t>
      </w:r>
      <w:proofErr w:type="spellStart"/>
      <w:r w:rsidRPr="00DC2FFD">
        <w:rPr>
          <w:sz w:val="24"/>
          <w:lang w:val="en-GB"/>
        </w:rPr>
        <w:t>Vrbas</w:t>
      </w:r>
      <w:proofErr w:type="spellEnd"/>
      <w:r w:rsidRPr="00DC2FFD">
        <w:rPr>
          <w:sz w:val="24"/>
          <w:lang w:val="en-GB"/>
        </w:rPr>
        <w:t xml:space="preserve">, </w:t>
      </w:r>
      <w:proofErr w:type="spellStart"/>
      <w:r w:rsidRPr="00DC2FFD">
        <w:rPr>
          <w:sz w:val="24"/>
          <w:lang w:val="en-GB"/>
        </w:rPr>
        <w:t>Beočin</w:t>
      </w:r>
      <w:proofErr w:type="spellEnd"/>
      <w:r w:rsidRPr="00DC2FFD">
        <w:rPr>
          <w:sz w:val="24"/>
          <w:lang w:val="en-GB"/>
        </w:rPr>
        <w:t xml:space="preserve">, Novi </w:t>
      </w:r>
      <w:proofErr w:type="spellStart"/>
      <w:r w:rsidRPr="00DC2FFD">
        <w:rPr>
          <w:sz w:val="24"/>
          <w:lang w:val="en-GB"/>
        </w:rPr>
        <w:t>Pazar</w:t>
      </w:r>
      <w:proofErr w:type="spellEnd"/>
      <w:r w:rsidRPr="00DC2FFD">
        <w:rPr>
          <w:sz w:val="24"/>
          <w:lang w:val="en-GB"/>
        </w:rPr>
        <w:t xml:space="preserve">, </w:t>
      </w:r>
      <w:proofErr w:type="spellStart"/>
      <w:r w:rsidRPr="00DC2FFD">
        <w:rPr>
          <w:sz w:val="24"/>
          <w:lang w:val="en-GB"/>
        </w:rPr>
        <w:t>Petrovac</w:t>
      </w:r>
      <w:proofErr w:type="spellEnd"/>
      <w:r w:rsidRPr="00DC2FFD">
        <w:rPr>
          <w:sz w:val="24"/>
          <w:lang w:val="en-GB"/>
        </w:rPr>
        <w:t xml:space="preserve"> </w:t>
      </w:r>
      <w:proofErr w:type="spellStart"/>
      <w:r w:rsidRPr="00DC2FFD">
        <w:rPr>
          <w:sz w:val="24"/>
          <w:lang w:val="en-GB"/>
        </w:rPr>
        <w:t>na</w:t>
      </w:r>
      <w:proofErr w:type="spellEnd"/>
      <w:r w:rsidRPr="00DC2FFD">
        <w:rPr>
          <w:sz w:val="24"/>
          <w:lang w:val="en-GB"/>
        </w:rPr>
        <w:t xml:space="preserve"> </w:t>
      </w:r>
      <w:proofErr w:type="spellStart"/>
      <w:r w:rsidRPr="00DC2FFD">
        <w:rPr>
          <w:sz w:val="24"/>
          <w:lang w:val="en-GB"/>
        </w:rPr>
        <w:t>Mlavi</w:t>
      </w:r>
      <w:proofErr w:type="spellEnd"/>
      <w:r w:rsidRPr="00DC2FFD">
        <w:rPr>
          <w:sz w:val="24"/>
          <w:lang w:val="en-GB"/>
        </w:rPr>
        <w:t xml:space="preserve">, </w:t>
      </w:r>
      <w:proofErr w:type="spellStart"/>
      <w:r w:rsidRPr="00DC2FFD">
        <w:rPr>
          <w:sz w:val="24"/>
          <w:lang w:val="en-GB"/>
        </w:rPr>
        <w:t>Sombor</w:t>
      </w:r>
      <w:proofErr w:type="spellEnd"/>
      <w:r w:rsidRPr="00DC2FFD">
        <w:rPr>
          <w:sz w:val="24"/>
          <w:lang w:val="en-GB"/>
        </w:rPr>
        <w:t xml:space="preserve">, Subotica, </w:t>
      </w:r>
      <w:proofErr w:type="spellStart"/>
      <w:r w:rsidRPr="00DC2FFD">
        <w:rPr>
          <w:sz w:val="24"/>
          <w:lang w:val="en-GB"/>
        </w:rPr>
        <w:t>Babušnica</w:t>
      </w:r>
      <w:proofErr w:type="spellEnd"/>
      <w:r w:rsidRPr="00DC2FFD">
        <w:rPr>
          <w:sz w:val="24"/>
          <w:lang w:val="en-GB"/>
        </w:rPr>
        <w:t xml:space="preserve"> and </w:t>
      </w:r>
      <w:proofErr w:type="spellStart"/>
      <w:r w:rsidRPr="00DC2FFD">
        <w:rPr>
          <w:sz w:val="24"/>
          <w:lang w:val="en-GB"/>
        </w:rPr>
        <w:t>Bosilegrad</w:t>
      </w:r>
      <w:proofErr w:type="spellEnd"/>
      <w:r w:rsidRPr="00DC2FFD">
        <w:rPr>
          <w:sz w:val="24"/>
          <w:lang w:val="en-GB"/>
        </w:rPr>
        <w:t>. By organising such seminars and trainings for representatives of local self-government units and members of councils for inter-ethnic relations, their capacities will be enhanced, their work improved, and their method of functioning will be considered, together with any outstanding issues they face in their work.</w:t>
      </w:r>
    </w:p>
    <w:p w14:paraId="405C4631" w14:textId="77777777" w:rsidR="00DC2FFD" w:rsidRPr="00DC2FFD" w:rsidRDefault="00DC2FFD" w:rsidP="00DC2FFD">
      <w:pPr>
        <w:spacing w:after="0"/>
        <w:jc w:val="both"/>
        <w:rPr>
          <w:sz w:val="24"/>
          <w:szCs w:val="24"/>
          <w:lang w:val="sr-Cyrl-RS"/>
        </w:rPr>
      </w:pPr>
    </w:p>
    <w:p w14:paraId="2EFD8FAE" w14:textId="77777777" w:rsidR="00DC2FFD" w:rsidRPr="00DC2FFD" w:rsidRDefault="00DC2FFD" w:rsidP="00DC2FFD">
      <w:pPr>
        <w:spacing w:after="0"/>
        <w:jc w:val="both"/>
        <w:rPr>
          <w:i/>
          <w:sz w:val="24"/>
          <w:lang w:val="en-GB"/>
        </w:rPr>
      </w:pPr>
      <w:r w:rsidRPr="00DC2FFD">
        <w:rPr>
          <w:i/>
          <w:sz w:val="24"/>
          <w:lang w:val="en-GB"/>
        </w:rPr>
        <w:t xml:space="preserve">Surveys </w:t>
      </w:r>
    </w:p>
    <w:p w14:paraId="507DE3CC" w14:textId="77777777" w:rsidR="00DC2FFD" w:rsidRPr="00DC2FFD" w:rsidRDefault="00DC2FFD" w:rsidP="00DC2FFD">
      <w:pPr>
        <w:spacing w:after="0"/>
        <w:jc w:val="both"/>
        <w:rPr>
          <w:sz w:val="24"/>
          <w:szCs w:val="24"/>
          <w:lang w:val="sr-Cyrl-RS"/>
        </w:rPr>
      </w:pPr>
    </w:p>
    <w:p w14:paraId="0898DDEF" w14:textId="77777777" w:rsidR="00DC2FFD" w:rsidRPr="00DC2FFD" w:rsidRDefault="00DC2FFD" w:rsidP="00DC2FFD">
      <w:pPr>
        <w:spacing w:after="0"/>
        <w:ind w:firstLine="720"/>
        <w:jc w:val="both"/>
        <w:rPr>
          <w:sz w:val="24"/>
          <w:szCs w:val="24"/>
          <w:lang w:val="en-GB"/>
        </w:rPr>
      </w:pPr>
      <w:r w:rsidRPr="00DC2FFD">
        <w:rPr>
          <w:sz w:val="24"/>
          <w:lang w:val="en-GB"/>
        </w:rPr>
        <w:t>Implementation of independent surveys is a legal obligation of independent authorities and bodies in the legal system of the Republic of Serbia. Thus, Article 33, paragraph 11 of the Law on the Prohibition of Discrimination prescribes that the Commissioner for the Protection of Equality shall organise and implement independent surveys concerning the improvement of equality and protection from discrimination. Acting within the framework of this legal solution, the Commissioner implemented a total of ten surveys in the previous five-year period, which polled the views of both the public and certain social and vocational/professional groups towards discrimination.</w:t>
      </w:r>
      <w:r w:rsidRPr="00DC2FFD">
        <w:rPr>
          <w:sz w:val="24"/>
          <w:szCs w:val="24"/>
          <w:vertAlign w:val="superscript"/>
          <w:lang w:val="sr-Cyrl-RS"/>
        </w:rPr>
        <w:footnoteReference w:id="38"/>
      </w:r>
      <w:r w:rsidRPr="00DC2FFD">
        <w:rPr>
          <w:sz w:val="24"/>
          <w:lang w:val="en-GB"/>
        </w:rPr>
        <w:t xml:space="preserve"> Results of these surveys are a relevant source of data and, together with other sources, may be used to consider the status of national minorities in Serbia, i.e., the </w:t>
      </w:r>
      <w:r w:rsidRPr="00DC2FFD">
        <w:rPr>
          <w:sz w:val="24"/>
          <w:lang w:val="en-GB"/>
        </w:rPr>
        <w:lastRenderedPageBreak/>
        <w:t>level and nature of inter-ethnic relations, including relations between persons belonging to national minorities and persons belonging to the majority population.</w:t>
      </w:r>
    </w:p>
    <w:p w14:paraId="6B86BE9D" w14:textId="77777777" w:rsidR="00DC2FFD" w:rsidRPr="00DC2FFD" w:rsidRDefault="00DC2FFD" w:rsidP="00DC2FFD">
      <w:pPr>
        <w:spacing w:after="0"/>
        <w:ind w:firstLine="720"/>
        <w:jc w:val="both"/>
        <w:rPr>
          <w:sz w:val="24"/>
          <w:szCs w:val="24"/>
          <w:lang w:val="en-GB"/>
        </w:rPr>
      </w:pPr>
      <w:r w:rsidRPr="00DC2FFD">
        <w:rPr>
          <w:sz w:val="24"/>
          <w:lang w:val="en-GB"/>
        </w:rPr>
        <w:t xml:space="preserve">Thus, the survey of public opinions on discrimination “Citizens’ Attitudes on Discrimination in Serbia”, </w:t>
      </w:r>
      <w:r w:rsidRPr="00DC2FFD">
        <w:rPr>
          <w:i/>
          <w:iCs/>
          <w:sz w:val="24"/>
          <w:lang w:val="en-GB"/>
        </w:rPr>
        <w:t>inter alia</w:t>
      </w:r>
      <w:r w:rsidRPr="00DC2FFD">
        <w:rPr>
          <w:sz w:val="24"/>
          <w:lang w:val="en-GB"/>
        </w:rPr>
        <w:t>, discusses the level of ethnic and social distance that citizens hold towards certain social groups. This survey is conducted by the Commissioner periodically (every three years) according to the same sampling methodology which enables a better insight into the changes of the public’s attitude towards discrimination in a certain period (the latest survey was implemented in 2019). Results of this survey also indicate public opinions on which social groups are most frequently exposed to discrimination (e.g., In 2019, 51% of interviewees listed the Roma community as the first they thought of), as well as the attitude of citizens towards special affirmative measures for improving the status of certain social groups (e.g., 2019 results indicate that, compared to 2016, there is stronger support for citizens to introduce such measures in the field of employment - growth by 5.8 percentage points and education - growth of 2.4 percentage points).</w:t>
      </w:r>
    </w:p>
    <w:p w14:paraId="2B4B6DFE" w14:textId="77777777" w:rsidR="00DC2FFD" w:rsidRPr="00DC2FFD" w:rsidRDefault="00DC2FFD" w:rsidP="00DC2FFD">
      <w:pPr>
        <w:spacing w:after="0"/>
        <w:ind w:firstLine="720"/>
        <w:jc w:val="both"/>
        <w:rPr>
          <w:sz w:val="24"/>
          <w:szCs w:val="24"/>
          <w:lang w:val="en-GB"/>
        </w:rPr>
      </w:pPr>
      <w:r w:rsidRPr="00DC2FFD">
        <w:rPr>
          <w:sz w:val="24"/>
          <w:lang w:val="en-GB"/>
        </w:rPr>
        <w:t xml:space="preserve">“Survey on the attitude of the representatives of public authorities towards discrimination in Serbia” is also implemented periodically. In addition to the perception on the frequency of discrimination towards certain social groups, this survey also discusses views of decision-makers on hate speech and its recognition (e.g., 2018 results indicate that, compared to the previous survey from 2013, a higher percentage of representatives of public authorities recognise hate speech).  </w:t>
      </w:r>
    </w:p>
    <w:p w14:paraId="07C784EA" w14:textId="77777777" w:rsidR="00DC2FFD" w:rsidRPr="00DC2FFD" w:rsidRDefault="00DC2FFD" w:rsidP="00DC2FFD">
      <w:pPr>
        <w:spacing w:after="0"/>
        <w:ind w:firstLine="720"/>
        <w:jc w:val="both"/>
        <w:rPr>
          <w:sz w:val="24"/>
          <w:szCs w:val="24"/>
          <w:lang w:val="en-GB"/>
        </w:rPr>
      </w:pPr>
      <w:r w:rsidRPr="00DC2FFD">
        <w:rPr>
          <w:sz w:val="24"/>
          <w:lang w:val="en-GB"/>
        </w:rPr>
        <w:t>In addition to the above, during 2020, the Commissioner conducted the survey “Perception of discrimination in the Roma community”, which considers the views of Roma on their status in the society and the presence of discrimination. The survey methodology included two survey techniques – a survey which also included representatives of informal settlements and focus groups which were realised with representatives of the National Council of the Roma National Minority, representatives of civil society organisations, students, representatives of local mechanisms for the inclusion of Roma and other persons handling matters of improving the status of Roma. The survey allows a more comprehensive discussion about potential solutions from the perspective of this social group and policy making which results in the reduction of prejudice and discrimination and sustainable inclusion of Roma into the society, as well as highlighting the empowerment of persons belonging to the Roma national minority so they could recognise discrimination and protect themselves, i.e., use the established legislative and institutional framework independently or in collaboration with civil society organisations and other organisations.</w:t>
      </w:r>
    </w:p>
    <w:p w14:paraId="0C42BE1B" w14:textId="77777777" w:rsidR="00DC2FFD" w:rsidRPr="00DC2FFD" w:rsidRDefault="00DC2FFD" w:rsidP="00DC2FFD">
      <w:pPr>
        <w:spacing w:after="0"/>
        <w:ind w:firstLine="720"/>
        <w:jc w:val="both"/>
        <w:rPr>
          <w:sz w:val="24"/>
          <w:szCs w:val="24"/>
          <w:lang w:val="en-GB"/>
        </w:rPr>
      </w:pPr>
      <w:r w:rsidRPr="00DC2FFD">
        <w:rPr>
          <w:sz w:val="24"/>
          <w:lang w:val="en-GB"/>
        </w:rPr>
        <w:t xml:space="preserve">In addition to the above, the Commissioner also implemented other surveys in the reporting period. Thus, particular attention was paid to combating age-based discrimination, and thus multiple surveys were implemented in this field (“Aging in cities –  challenges of the contemporary society” 2017, “Status of elderly women in Serbia” 2017, “Status of elderly people in Serbia – social context, overview of data and results of the survey” 2020). In addition, in 2017, the Commissioner created the analysis “Gender equality in positions of decision-making in local self-government units –overview of the situation as regards the implementation of recommended measures to local self-government units for the purpose of exercising gender equality”. In late 2019, local self-government units were sent a Questionnaire on the participation of young people in the decision-making process at the local level, and the results </w:t>
      </w:r>
      <w:r w:rsidRPr="00DC2FFD">
        <w:rPr>
          <w:sz w:val="24"/>
          <w:lang w:val="en-GB"/>
        </w:rPr>
        <w:lastRenderedPageBreak/>
        <w:t>of the analysis of the questionnaire, were published in the 2019 Regular Annual Report of the Commissioner.</w:t>
      </w:r>
    </w:p>
    <w:p w14:paraId="7783D504" w14:textId="77777777" w:rsidR="00DC2FFD" w:rsidRPr="00DC2FFD" w:rsidRDefault="00DC2FFD" w:rsidP="00DC2FFD">
      <w:pPr>
        <w:spacing w:after="0"/>
        <w:ind w:firstLine="720"/>
        <w:jc w:val="both"/>
        <w:rPr>
          <w:sz w:val="24"/>
          <w:szCs w:val="24"/>
          <w:lang w:val="en-GB"/>
        </w:rPr>
      </w:pPr>
      <w:r w:rsidRPr="00DC2FFD">
        <w:rPr>
          <w:sz w:val="24"/>
          <w:lang w:val="en-GB"/>
        </w:rPr>
        <w:t>As the role of the media is particularly important for preventive conduct and promotion of the observance of the principle of equality, in 2018, the Commissioner implemented the second “Survey on views of representatives of the media towards discrimination”. Also, in accordance with the Commissioner’s Special Report on Discrimination in Labour and Employment, a survey was conducted in 2019 “Discrimination on the labour market in Serbia”. According to the results of this survey, 63% of interviewed employers and 50% of employees believe that Roma are in an unequal position and discriminated in labour and employment. In 2021, the survey “Gender Equality and Work-life Balance” was implemented.</w:t>
      </w:r>
    </w:p>
    <w:p w14:paraId="178FF809" w14:textId="77777777" w:rsidR="00DC2FFD" w:rsidRPr="00DC2FFD" w:rsidRDefault="00DC2FFD" w:rsidP="00DC2FFD">
      <w:pPr>
        <w:spacing w:after="0"/>
        <w:ind w:firstLine="720"/>
        <w:jc w:val="both"/>
        <w:rPr>
          <w:sz w:val="24"/>
          <w:szCs w:val="24"/>
          <w:lang w:val="en-GB"/>
        </w:rPr>
      </w:pPr>
      <w:r w:rsidRPr="00DC2FFD">
        <w:rPr>
          <w:sz w:val="24"/>
          <w:lang w:val="en-GB"/>
        </w:rPr>
        <w:t>In addition to the Commissioner’s survey, surveys in Serbia are also implemented by relevant international bodies which are referenced in appropriate places of this Report (MICS).</w:t>
      </w:r>
    </w:p>
    <w:p w14:paraId="092B353C" w14:textId="77777777" w:rsidR="00DC2FFD" w:rsidRPr="00DC2FFD" w:rsidRDefault="00DC2FFD" w:rsidP="00DC2FFD">
      <w:pPr>
        <w:spacing w:after="0"/>
        <w:ind w:firstLine="720"/>
        <w:jc w:val="both"/>
        <w:rPr>
          <w:sz w:val="24"/>
          <w:szCs w:val="24"/>
          <w:lang w:val="en-GB"/>
        </w:rPr>
      </w:pPr>
      <w:r w:rsidRPr="00DC2FFD">
        <w:rPr>
          <w:sz w:val="24"/>
          <w:lang w:val="en-GB"/>
        </w:rPr>
        <w:t>State authorities, both during the development of the report, and during the implementation of concrete measures and activities, shall take into account the results of relevant independent surveys implemented by scientific organisations, well as civil society organisations, In that regard, it should be particularly noted that, in 2020, a survey was implemented by the Centre for research of ethnicity “Social relations between ethnic communities in Serbia”,  whose results will also indicated at appropriate places in this document.</w:t>
      </w:r>
    </w:p>
    <w:p w14:paraId="59A5E89B" w14:textId="77777777" w:rsidR="00DC2FFD" w:rsidRPr="00DC2FFD" w:rsidRDefault="00DC2FFD" w:rsidP="00DC2FFD">
      <w:pPr>
        <w:spacing w:after="0"/>
        <w:jc w:val="both"/>
        <w:rPr>
          <w:sz w:val="24"/>
          <w:szCs w:val="24"/>
          <w:lang w:val="sr-Cyrl-RS"/>
        </w:rPr>
      </w:pPr>
    </w:p>
    <w:p w14:paraId="4CD969C9" w14:textId="02EC6976" w:rsidR="00DC2FFD" w:rsidRPr="00DC2FFD" w:rsidRDefault="00DC2FFD" w:rsidP="00DC2FFD">
      <w:pPr>
        <w:spacing w:after="0"/>
        <w:jc w:val="both"/>
        <w:rPr>
          <w:i/>
          <w:sz w:val="24"/>
          <w:lang w:val="en-GB"/>
        </w:rPr>
      </w:pPr>
      <w:r w:rsidRPr="00DC2FFD">
        <w:rPr>
          <w:i/>
          <w:sz w:val="24"/>
          <w:lang w:val="en-GB"/>
        </w:rPr>
        <w:t>4</w:t>
      </w:r>
      <w:r w:rsidR="008D1F04">
        <w:rPr>
          <w:i/>
          <w:sz w:val="24"/>
          <w:lang w:val="en-GB"/>
        </w:rPr>
        <w:t>.</w:t>
      </w:r>
      <w:r w:rsidRPr="00DC2FFD">
        <w:rPr>
          <w:i/>
          <w:sz w:val="24"/>
          <w:lang w:val="en-GB"/>
        </w:rPr>
        <w:t xml:space="preserve"> Promote a multicultural and intercultural perspective in education, including by developing exchange programmes between communities, at every level of education; ensure, as soon as possible and at the latest by the due date of the fifth State Report, that through a process including effective participation of persons belonging to national minorities, history curricula and teaching materials promote respect for all groups in society and provide broad knowledge on minorities as forming an integral part of Serbian society; ensure that multiple perspectives are encouraged in historical and contemporary research; promote, in consultation with representatives of the national minorities concerned, possible models for bilingual or multilingual education;</w:t>
      </w:r>
    </w:p>
    <w:p w14:paraId="4BBC17F0" w14:textId="77777777" w:rsidR="00DC2FFD" w:rsidRPr="00DC2FFD" w:rsidRDefault="00DC2FFD" w:rsidP="00DC2FFD">
      <w:pPr>
        <w:spacing w:after="0"/>
        <w:jc w:val="both"/>
        <w:rPr>
          <w:i/>
          <w:color w:val="333333"/>
          <w:sz w:val="24"/>
          <w:lang w:val="en-GB"/>
        </w:rPr>
      </w:pPr>
    </w:p>
    <w:p w14:paraId="09EF3CD0" w14:textId="77777777" w:rsidR="00DC2FFD" w:rsidRPr="00DC2FFD" w:rsidRDefault="00DC2FFD" w:rsidP="00DC2FFD">
      <w:pPr>
        <w:spacing w:after="0"/>
        <w:jc w:val="both"/>
        <w:rPr>
          <w:i/>
          <w:sz w:val="24"/>
          <w:lang w:val="en-GB"/>
        </w:rPr>
      </w:pPr>
      <w:r w:rsidRPr="00DC2FFD">
        <w:rPr>
          <w:i/>
          <w:sz w:val="24"/>
          <w:lang w:val="en-GB"/>
        </w:rPr>
        <w:t>Promotion of a multicultural and intercultural perspective in education</w:t>
      </w:r>
    </w:p>
    <w:p w14:paraId="39FCBD3F" w14:textId="77777777" w:rsidR="00DC2FFD" w:rsidRPr="00DC2FFD" w:rsidRDefault="00DC2FFD" w:rsidP="00DC2FFD">
      <w:pPr>
        <w:spacing w:after="0"/>
        <w:jc w:val="both"/>
        <w:rPr>
          <w:b/>
          <w:color w:val="333333"/>
          <w:sz w:val="24"/>
          <w:lang w:val="en-GB"/>
        </w:rPr>
      </w:pPr>
    </w:p>
    <w:p w14:paraId="2FF4F0E1" w14:textId="77777777" w:rsidR="00DC2FFD" w:rsidRPr="00DC2FFD" w:rsidRDefault="00DC2FFD" w:rsidP="00DC2FFD">
      <w:pPr>
        <w:spacing w:after="0"/>
        <w:ind w:firstLine="720"/>
        <w:jc w:val="both"/>
        <w:rPr>
          <w:sz w:val="24"/>
          <w:szCs w:val="24"/>
          <w:lang w:val="en-GB"/>
        </w:rPr>
      </w:pPr>
      <w:r w:rsidRPr="00DC2FFD">
        <w:rPr>
          <w:sz w:val="24"/>
          <w:lang w:val="en-GB"/>
        </w:rPr>
        <w:t xml:space="preserve">Teaching and learning programmes for all subjects, particularly social sciences and humanities, as well as elective programmes such as Civic Education, contain elements of democratic culture, multiculturalism and </w:t>
      </w:r>
      <w:proofErr w:type="spellStart"/>
      <w:r w:rsidRPr="00DC2FFD">
        <w:rPr>
          <w:sz w:val="24"/>
          <w:lang w:val="en-GB"/>
        </w:rPr>
        <w:t>interculturality</w:t>
      </w:r>
      <w:proofErr w:type="spellEnd"/>
      <w:r w:rsidRPr="00DC2FFD">
        <w:rPr>
          <w:sz w:val="24"/>
          <w:lang w:val="en-GB"/>
        </w:rPr>
        <w:t>, both in terms of content and in objectives and outcomes.</w:t>
      </w:r>
    </w:p>
    <w:p w14:paraId="62C9BD28" w14:textId="77777777" w:rsidR="00DC2FFD" w:rsidRPr="00DC2FFD" w:rsidRDefault="00DC2FFD" w:rsidP="00DC2FFD">
      <w:pPr>
        <w:spacing w:after="0"/>
        <w:ind w:firstLine="720"/>
        <w:jc w:val="both"/>
        <w:rPr>
          <w:sz w:val="24"/>
          <w:lang w:val="en-GB"/>
        </w:rPr>
      </w:pPr>
      <w:r w:rsidRPr="00DC2FFD">
        <w:rPr>
          <w:sz w:val="24"/>
          <w:lang w:val="en-GB"/>
        </w:rPr>
        <w:t xml:space="preserve">Introducing a new educational paradigm by launching an education reform in 2018, a national education framework is being built, as the basis for the development of all teaching and learning programmes which include objectives, standards, competences, outcomes, the mission and vision of education. The curriculum is outcome-oriented and should ensure the development of inter-subject competences, of which one was Responsible participation in the democratic society - in outcomes relating to the observance of human rights and freedoms. New elective programmes for grammar school (Individual, group and society, Language, media and culture, Education for sustainable development, Art and design, Basics of </w:t>
      </w:r>
      <w:r w:rsidRPr="00DC2FFD">
        <w:rPr>
          <w:sz w:val="24"/>
          <w:lang w:val="en-GB"/>
        </w:rPr>
        <w:lastRenderedPageBreak/>
        <w:t>Geopolitics, Religion and civilisation), of which some are important for the improvement of the multicultural perspective in education. Particularly important in this context is the elective subject Civic education.</w:t>
      </w:r>
    </w:p>
    <w:p w14:paraId="706A8411" w14:textId="77777777" w:rsidR="00DC2FFD" w:rsidRPr="00DC2FFD" w:rsidRDefault="00DC2FFD" w:rsidP="00DC2FFD">
      <w:pPr>
        <w:spacing w:after="0"/>
        <w:ind w:firstLine="720"/>
        <w:jc w:val="both"/>
        <w:rPr>
          <w:sz w:val="24"/>
          <w:lang w:val="en-GB"/>
        </w:rPr>
      </w:pPr>
      <w:r w:rsidRPr="00DC2FFD">
        <w:rPr>
          <w:sz w:val="24"/>
          <w:lang w:val="en-GB"/>
        </w:rPr>
        <w:t xml:space="preserve">Civic education, aka Education for democracy and civic society, was introduced into the education system of the Republic of Serbia in the school year 2001/2002 for the first grade of the elementary school and the first grade of the secondary school as an elective subject. Subsequently, Civic education was included in all grades of the elementary and secondary school as a mandatory facultative subject. Civic education encourages the development of children and young people in the spirit of respecting human rights and fundamental freedoms, peace, tolerance, gender equality, understanding and friendship between peoples, ethnic, national and religious groups, and thus also multiculturalism and </w:t>
      </w:r>
      <w:proofErr w:type="spellStart"/>
      <w:r w:rsidRPr="00DC2FFD">
        <w:rPr>
          <w:sz w:val="24"/>
          <w:lang w:val="en-GB"/>
        </w:rPr>
        <w:t>interculturalism</w:t>
      </w:r>
      <w:proofErr w:type="spellEnd"/>
      <w:r w:rsidRPr="00DC2FFD">
        <w:rPr>
          <w:sz w:val="24"/>
          <w:lang w:val="en-GB"/>
        </w:rPr>
        <w:t xml:space="preserve">. The basis for introduction and further development of Civic Education in Serbia was the recommendation of the Council of Europe on education for an active participation in a democratic society. Handbooks for all three education cycles were developed with the objective of improving the competences of teachers who teach Civic Education. Tolerance and respect for diversity and equality are present in such programmes for all three education cycles and are a part of these handbooks. </w:t>
      </w:r>
    </w:p>
    <w:p w14:paraId="41596687" w14:textId="77777777" w:rsidR="00DC2FFD" w:rsidRPr="00DC2FFD" w:rsidRDefault="00DC2FFD" w:rsidP="00DC2FFD">
      <w:pPr>
        <w:spacing w:after="0"/>
        <w:ind w:firstLine="720"/>
        <w:jc w:val="both"/>
        <w:rPr>
          <w:sz w:val="24"/>
          <w:lang w:val="en-GB"/>
        </w:rPr>
      </w:pPr>
      <w:r w:rsidRPr="00DC2FFD">
        <w:rPr>
          <w:sz w:val="24"/>
          <w:lang w:val="en-GB"/>
        </w:rPr>
        <w:t xml:space="preserve">With the objective of multicultural and intercultural perspective in education, a series of projects were implemented in the Republic of Serbia, covering appropriate education and conferences. </w:t>
      </w:r>
    </w:p>
    <w:p w14:paraId="1DBF27AE" w14:textId="77777777" w:rsidR="00DC2FFD" w:rsidRPr="00DC2FFD" w:rsidRDefault="00DC2FFD" w:rsidP="00DC2FFD">
      <w:pPr>
        <w:spacing w:after="0"/>
        <w:ind w:firstLine="720"/>
        <w:jc w:val="both"/>
        <w:rPr>
          <w:sz w:val="24"/>
          <w:lang w:val="en-GB"/>
        </w:rPr>
      </w:pPr>
      <w:r w:rsidRPr="00DC2FFD">
        <w:rPr>
          <w:sz w:val="24"/>
          <w:lang w:val="en-GB"/>
        </w:rPr>
        <w:t xml:space="preserve">Within the framework of the Joint Initiative of the Council of Europe and the European Union “Horizontal Facility for Western Balkans and Turkey”, through the project </w:t>
      </w:r>
      <w:r w:rsidRPr="00DC2FFD">
        <w:rPr>
          <w:i/>
          <w:iCs/>
          <w:sz w:val="24"/>
          <w:lang w:val="en-GB"/>
        </w:rPr>
        <w:t>Promotion of democratic culture in schools.</w:t>
      </w:r>
      <w:r w:rsidRPr="00DC2FFD">
        <w:rPr>
          <w:sz w:val="24"/>
          <w:lang w:val="en-GB"/>
        </w:rPr>
        <w:t xml:space="preserve"> a framework of 20 competences was prepared based on the Model of Competences as regards a group of values, group of views, group of skills and group of knowledge and critical understanding. Schools have organised a large number of very different activities, with pedagogical approaches suitable for the development of competences for democratic culture and creation of a more pleasant, more interesting and safer school environment, simultaneously empowering their capacities for elimination of violent, discriminatory and antidemocratic structures in school and school environment, improving the ethos in school and providing support to participants. Examples of content used to reach democratic competences are in the publication “How to achieve a Democratic Culture in Schools”.</w:t>
      </w:r>
      <w:r w:rsidRPr="00DC2FFD">
        <w:rPr>
          <w:sz w:val="24"/>
          <w:vertAlign w:val="superscript"/>
          <w:lang w:val="en-GB"/>
        </w:rPr>
        <w:footnoteReference w:id="39"/>
      </w:r>
      <w:r w:rsidRPr="00DC2FFD">
        <w:rPr>
          <w:sz w:val="24"/>
          <w:lang w:val="en-GB"/>
        </w:rPr>
        <w:t xml:space="preserve">  </w:t>
      </w:r>
    </w:p>
    <w:p w14:paraId="4962017F" w14:textId="77777777" w:rsidR="00DC2FFD" w:rsidRPr="00DC2FFD" w:rsidRDefault="00DC2FFD" w:rsidP="00DC2FFD">
      <w:pPr>
        <w:spacing w:after="0"/>
        <w:ind w:firstLine="720"/>
        <w:jc w:val="both"/>
        <w:rPr>
          <w:sz w:val="24"/>
          <w:lang w:val="en-GB"/>
        </w:rPr>
      </w:pPr>
      <w:r w:rsidRPr="00DC2FFD">
        <w:rPr>
          <w:sz w:val="24"/>
          <w:lang w:val="en-GB"/>
        </w:rPr>
        <w:t>Within the framework of this project, a handbook was created for parents on the application of competences for a democratic culture, as well as a handbook for the application of competences for a democratic culture in the curricula of certain subjects. Training was programmed for the application of competences for a democratic culture, which is a part of the educational platform of the Institute for the Improvement of Education, and an invitation was sent to schools for participation.</w:t>
      </w:r>
    </w:p>
    <w:p w14:paraId="4FE04352" w14:textId="77777777" w:rsidR="00DC2FFD" w:rsidRPr="00DC2FFD" w:rsidRDefault="00DC2FFD" w:rsidP="00DC2FFD">
      <w:pPr>
        <w:spacing w:after="0"/>
        <w:ind w:firstLine="720"/>
        <w:jc w:val="both"/>
        <w:rPr>
          <w:sz w:val="24"/>
          <w:lang w:val="en-GB"/>
        </w:rPr>
      </w:pPr>
      <w:r w:rsidRPr="00DC2FFD">
        <w:rPr>
          <w:sz w:val="24"/>
          <w:lang w:val="en-GB"/>
        </w:rPr>
        <w:t xml:space="preserve">The continuation of this project of the Council of Europe, titled “Quality Education for All” (2019-2022), establishes the objective of promoting quality education by supporting schools, local communities and education institutions in the fight against discrimination by applying the Reference Framework of Competences for Democratic Culture. The execution of </w:t>
      </w:r>
      <w:r w:rsidRPr="00DC2FFD">
        <w:rPr>
          <w:sz w:val="24"/>
          <w:lang w:val="en-GB"/>
        </w:rPr>
        <w:lastRenderedPageBreak/>
        <w:t xml:space="preserve">project activities included 60 schools, with teachers, students, parents and the local community as actors. Of 60 included schools, classes are realised in one of the languages of national minorities (Hungarian, </w:t>
      </w:r>
      <w:proofErr w:type="spellStart"/>
      <w:r w:rsidRPr="00DC2FFD">
        <w:rPr>
          <w:sz w:val="24"/>
          <w:lang w:val="en-GB"/>
        </w:rPr>
        <w:t>Ruthenian</w:t>
      </w:r>
      <w:proofErr w:type="spellEnd"/>
      <w:r w:rsidRPr="00DC2FFD">
        <w:rPr>
          <w:sz w:val="24"/>
          <w:lang w:val="en-GB"/>
        </w:rPr>
        <w:t>, Croatian, Bosnian, Romanian, Slovak) in 14 schools. In addition, the elective programme Mother Tongue/Speech with Elements of National Culture is realised in most included schools. Activities of this project have contributed to establishing an active intercultural dialogue between teachers/parents from different ethnic and minority communities.</w:t>
      </w:r>
    </w:p>
    <w:p w14:paraId="698386FD" w14:textId="77777777" w:rsidR="00DC2FFD" w:rsidRPr="00DC2FFD" w:rsidRDefault="00DC2FFD" w:rsidP="00DC2FFD">
      <w:pPr>
        <w:spacing w:after="0"/>
        <w:ind w:firstLine="720"/>
        <w:jc w:val="both"/>
        <w:rPr>
          <w:sz w:val="24"/>
          <w:lang w:val="en-GB"/>
        </w:rPr>
      </w:pPr>
      <w:r w:rsidRPr="00DC2FFD">
        <w:rPr>
          <w:sz w:val="24"/>
          <w:lang w:val="en-GB"/>
        </w:rPr>
        <w:t xml:space="preserve">In 2021, the Pedagogical Institute of </w:t>
      </w:r>
      <w:proofErr w:type="spellStart"/>
      <w:r w:rsidRPr="00DC2FFD">
        <w:rPr>
          <w:sz w:val="24"/>
          <w:lang w:val="en-GB"/>
        </w:rPr>
        <w:t>Vojvodina</w:t>
      </w:r>
      <w:proofErr w:type="spellEnd"/>
      <w:r w:rsidRPr="00DC2FFD">
        <w:rPr>
          <w:sz w:val="24"/>
          <w:lang w:val="en-GB"/>
        </w:rPr>
        <w:t xml:space="preserve"> organised the seventh international conference </w:t>
      </w:r>
      <w:proofErr w:type="spellStart"/>
      <w:r w:rsidRPr="00DC2FFD">
        <w:rPr>
          <w:sz w:val="24"/>
          <w:lang w:val="en-GB"/>
        </w:rPr>
        <w:t>Interculturality</w:t>
      </w:r>
      <w:proofErr w:type="spellEnd"/>
      <w:r w:rsidRPr="00DC2FFD">
        <w:rPr>
          <w:sz w:val="24"/>
          <w:lang w:val="en-GB"/>
        </w:rPr>
        <w:t xml:space="preserve"> in Education. The objective of the conference is comprehensive elaboration and discussion of </w:t>
      </w:r>
      <w:proofErr w:type="spellStart"/>
      <w:r w:rsidRPr="00DC2FFD">
        <w:rPr>
          <w:sz w:val="24"/>
          <w:lang w:val="en-GB"/>
        </w:rPr>
        <w:t>interculturality</w:t>
      </w:r>
      <w:proofErr w:type="spellEnd"/>
      <w:r w:rsidRPr="00DC2FFD">
        <w:rPr>
          <w:sz w:val="24"/>
          <w:lang w:val="en-GB"/>
        </w:rPr>
        <w:t xml:space="preserve">, with an emphasis on the application of intercultural principles in education, teaching, language, media and other segments of the intercultural life. The conference is attended by scholars and researchers of </w:t>
      </w:r>
      <w:proofErr w:type="spellStart"/>
      <w:r w:rsidRPr="00DC2FFD">
        <w:rPr>
          <w:sz w:val="24"/>
          <w:lang w:val="en-GB"/>
        </w:rPr>
        <w:t>interculturality</w:t>
      </w:r>
      <w:proofErr w:type="spellEnd"/>
      <w:r w:rsidRPr="00DC2FFD">
        <w:rPr>
          <w:sz w:val="24"/>
          <w:lang w:val="en-GB"/>
        </w:rPr>
        <w:t xml:space="preserve"> from the neighbouring countries, as well as countries where languages of national minorities who live in the Autonomous Province of </w:t>
      </w:r>
      <w:proofErr w:type="spellStart"/>
      <w:r w:rsidRPr="00DC2FFD">
        <w:rPr>
          <w:sz w:val="24"/>
          <w:lang w:val="en-GB"/>
        </w:rPr>
        <w:t>Vojvodina</w:t>
      </w:r>
      <w:proofErr w:type="spellEnd"/>
      <w:r w:rsidRPr="00DC2FFD">
        <w:rPr>
          <w:sz w:val="24"/>
          <w:lang w:val="en-GB"/>
        </w:rPr>
        <w:t xml:space="preserve"> are spoken. Working languages of the conference are Serbian, Hungarian, Romanian, </w:t>
      </w:r>
      <w:proofErr w:type="spellStart"/>
      <w:r w:rsidRPr="00DC2FFD">
        <w:rPr>
          <w:sz w:val="24"/>
          <w:lang w:val="en-GB"/>
        </w:rPr>
        <w:t>Ruthenian</w:t>
      </w:r>
      <w:proofErr w:type="spellEnd"/>
      <w:r w:rsidRPr="00DC2FFD">
        <w:rPr>
          <w:sz w:val="24"/>
          <w:lang w:val="en-GB"/>
        </w:rPr>
        <w:t xml:space="preserve">, Slovak and Croatian - languages which are in official use in the authorities of the Autonomous Province of </w:t>
      </w:r>
      <w:proofErr w:type="spellStart"/>
      <w:r w:rsidRPr="00DC2FFD">
        <w:rPr>
          <w:sz w:val="24"/>
          <w:lang w:val="en-GB"/>
        </w:rPr>
        <w:t>Vojvodina</w:t>
      </w:r>
      <w:proofErr w:type="spellEnd"/>
      <w:r w:rsidRPr="00DC2FFD">
        <w:rPr>
          <w:sz w:val="24"/>
          <w:lang w:val="en-GB"/>
        </w:rPr>
        <w:t>. After the conference, the Institute publishes a collection of presented works which are distributed to educational institutions.</w:t>
      </w:r>
    </w:p>
    <w:p w14:paraId="75DE8ED2" w14:textId="77777777" w:rsidR="00DC2FFD" w:rsidRPr="00DC2FFD" w:rsidRDefault="00DC2FFD" w:rsidP="00DC2FFD">
      <w:pPr>
        <w:spacing w:after="0"/>
        <w:ind w:firstLine="720"/>
        <w:jc w:val="both"/>
        <w:rPr>
          <w:sz w:val="24"/>
          <w:lang w:val="en-GB"/>
        </w:rPr>
      </w:pPr>
      <w:r w:rsidRPr="00DC2FFD">
        <w:rPr>
          <w:sz w:val="24"/>
          <w:lang w:val="en-GB"/>
        </w:rPr>
        <w:t xml:space="preserve">Also, the Pedagogical Institute of </w:t>
      </w:r>
      <w:proofErr w:type="spellStart"/>
      <w:r w:rsidRPr="00DC2FFD">
        <w:rPr>
          <w:sz w:val="24"/>
          <w:lang w:val="en-GB"/>
        </w:rPr>
        <w:t>Vojvodina</w:t>
      </w:r>
      <w:proofErr w:type="spellEnd"/>
      <w:r w:rsidRPr="00DC2FFD">
        <w:rPr>
          <w:sz w:val="24"/>
          <w:lang w:val="en-GB"/>
        </w:rPr>
        <w:t xml:space="preserve">, since it was founded, has been conducting the project Development of mother tongue and non-mother tongue and </w:t>
      </w:r>
      <w:proofErr w:type="spellStart"/>
      <w:r w:rsidRPr="00DC2FFD">
        <w:rPr>
          <w:sz w:val="24"/>
          <w:lang w:val="en-GB"/>
        </w:rPr>
        <w:t>interculturality</w:t>
      </w:r>
      <w:proofErr w:type="spellEnd"/>
      <w:r w:rsidRPr="00DC2FFD">
        <w:rPr>
          <w:sz w:val="24"/>
          <w:lang w:val="en-GB"/>
        </w:rPr>
        <w:t xml:space="preserve"> with children in </w:t>
      </w:r>
      <w:proofErr w:type="spellStart"/>
      <w:r w:rsidRPr="00DC2FFD">
        <w:rPr>
          <w:sz w:val="24"/>
          <w:lang w:val="en-GB"/>
        </w:rPr>
        <w:t>Vojvodina</w:t>
      </w:r>
      <w:proofErr w:type="spellEnd"/>
      <w:r w:rsidRPr="00DC2FFD">
        <w:rPr>
          <w:sz w:val="24"/>
          <w:lang w:val="en-GB"/>
        </w:rPr>
        <w:t xml:space="preserve">. The objective of the project is support to educational institutions in the process of development and fostering of the mother tongue and non-mother tongue and </w:t>
      </w:r>
      <w:proofErr w:type="spellStart"/>
      <w:r w:rsidRPr="00DC2FFD">
        <w:rPr>
          <w:sz w:val="24"/>
          <w:lang w:val="en-GB"/>
        </w:rPr>
        <w:t>interculturality</w:t>
      </w:r>
      <w:proofErr w:type="spellEnd"/>
      <w:r w:rsidRPr="00DC2FFD">
        <w:rPr>
          <w:sz w:val="24"/>
          <w:lang w:val="en-GB"/>
        </w:rPr>
        <w:t xml:space="preserve">. Through its activities, the project preserves the language and culture of national minorities, and ensures the adoption of a foreign language, as a precondition for getting to know other cultures and traditions. In addition, the project entails an expansion of the competences of pedagogues, teachers and expert associates in the field of education in a non-mother tongue. The specific objective of the project is to develop and foster additive bilingualism as well as communicative skills in a non-mother tongue, i.e., develop positive attitudes towards Serbia as a non-mother tongue and Hungarian as the language of the social environment for the purpose of developing tolerance and a feeling of belonging to a multilingual and multicultural community. The programme is being implemented in kindergartens in </w:t>
      </w:r>
      <w:proofErr w:type="spellStart"/>
      <w:r w:rsidRPr="00DC2FFD">
        <w:rPr>
          <w:sz w:val="24"/>
          <w:lang w:val="en-GB"/>
        </w:rPr>
        <w:t>Senta</w:t>
      </w:r>
      <w:proofErr w:type="spellEnd"/>
      <w:r w:rsidRPr="00DC2FFD">
        <w:rPr>
          <w:sz w:val="24"/>
          <w:lang w:val="en-GB"/>
        </w:rPr>
        <w:t xml:space="preserve">, </w:t>
      </w:r>
      <w:proofErr w:type="spellStart"/>
      <w:r w:rsidRPr="00DC2FFD">
        <w:rPr>
          <w:sz w:val="24"/>
          <w:lang w:val="en-GB"/>
        </w:rPr>
        <w:t>Gornji</w:t>
      </w:r>
      <w:proofErr w:type="spellEnd"/>
      <w:r w:rsidRPr="00DC2FFD">
        <w:rPr>
          <w:sz w:val="24"/>
          <w:lang w:val="en-GB"/>
        </w:rPr>
        <w:t xml:space="preserve"> </w:t>
      </w:r>
      <w:proofErr w:type="spellStart"/>
      <w:r w:rsidRPr="00DC2FFD">
        <w:rPr>
          <w:sz w:val="24"/>
          <w:lang w:val="en-GB"/>
        </w:rPr>
        <w:t>Breg</w:t>
      </w:r>
      <w:proofErr w:type="spellEnd"/>
      <w:r w:rsidRPr="00DC2FFD">
        <w:rPr>
          <w:sz w:val="24"/>
          <w:lang w:val="en-GB"/>
        </w:rPr>
        <w:t xml:space="preserve">, </w:t>
      </w:r>
      <w:proofErr w:type="spellStart"/>
      <w:proofErr w:type="gramStart"/>
      <w:r w:rsidRPr="00DC2FFD">
        <w:rPr>
          <w:sz w:val="24"/>
          <w:lang w:val="en-GB"/>
        </w:rPr>
        <w:t>Tornjoš</w:t>
      </w:r>
      <w:proofErr w:type="spellEnd"/>
      <w:r w:rsidRPr="00DC2FFD">
        <w:rPr>
          <w:sz w:val="24"/>
          <w:lang w:val="en-GB"/>
        </w:rPr>
        <w:t xml:space="preserve"> ,</w:t>
      </w:r>
      <w:proofErr w:type="gramEnd"/>
      <w:r w:rsidRPr="00DC2FFD">
        <w:rPr>
          <w:sz w:val="24"/>
          <w:lang w:val="en-GB"/>
        </w:rPr>
        <w:t xml:space="preserve"> </w:t>
      </w:r>
      <w:proofErr w:type="spellStart"/>
      <w:r w:rsidRPr="00DC2FFD">
        <w:rPr>
          <w:sz w:val="24"/>
          <w:lang w:val="en-GB"/>
        </w:rPr>
        <w:t>Bogaraš</w:t>
      </w:r>
      <w:proofErr w:type="spellEnd"/>
      <w:r w:rsidRPr="00DC2FFD">
        <w:rPr>
          <w:sz w:val="24"/>
          <w:lang w:val="en-GB"/>
        </w:rPr>
        <w:t xml:space="preserve"> and </w:t>
      </w:r>
      <w:proofErr w:type="spellStart"/>
      <w:r w:rsidRPr="00DC2FFD">
        <w:rPr>
          <w:sz w:val="24"/>
          <w:lang w:val="en-GB"/>
        </w:rPr>
        <w:t>Kevi</w:t>
      </w:r>
      <w:proofErr w:type="spellEnd"/>
      <w:r w:rsidRPr="00DC2FFD">
        <w:rPr>
          <w:sz w:val="24"/>
          <w:lang w:val="en-GB"/>
        </w:rPr>
        <w:t>.</w:t>
      </w:r>
    </w:p>
    <w:p w14:paraId="7619F23E" w14:textId="77777777" w:rsidR="00DC2FFD" w:rsidRPr="00DC2FFD" w:rsidRDefault="00DC2FFD" w:rsidP="00DC2FFD">
      <w:pPr>
        <w:spacing w:after="0"/>
        <w:ind w:firstLine="720"/>
        <w:jc w:val="both"/>
        <w:rPr>
          <w:sz w:val="24"/>
          <w:lang w:val="en-GB"/>
        </w:rPr>
      </w:pPr>
      <w:r w:rsidRPr="00DC2FFD">
        <w:rPr>
          <w:sz w:val="24"/>
          <w:lang w:val="en-GB"/>
        </w:rPr>
        <w:t xml:space="preserve">The project “Strengthening intercultural practices in culturally diverse schools” includes five schools which implement activities with a view to strengthening cooperation, understanding and tolerance among students of different nationalities. Within the framework of the project, two accredited trainings were implemented, for approximately 150 teachers, on </w:t>
      </w:r>
      <w:proofErr w:type="spellStart"/>
      <w:r w:rsidRPr="00DC2FFD">
        <w:rPr>
          <w:sz w:val="24"/>
          <w:lang w:val="en-GB"/>
        </w:rPr>
        <w:t>interculturality</w:t>
      </w:r>
      <w:proofErr w:type="spellEnd"/>
      <w:r w:rsidRPr="00DC2FFD">
        <w:rPr>
          <w:sz w:val="24"/>
          <w:lang w:val="en-GB"/>
        </w:rPr>
        <w:t xml:space="preserve"> and antidiscrimination, as well as a series of curricular and extracurricular activities with intercultural content.</w:t>
      </w:r>
    </w:p>
    <w:p w14:paraId="5C6F1A59" w14:textId="77777777" w:rsidR="00DC2FFD" w:rsidRPr="00DC2FFD" w:rsidRDefault="00DC2FFD" w:rsidP="00DC2FFD">
      <w:pPr>
        <w:spacing w:after="0"/>
        <w:ind w:firstLine="720"/>
        <w:jc w:val="both"/>
        <w:rPr>
          <w:sz w:val="24"/>
          <w:lang w:val="en-GB"/>
        </w:rPr>
      </w:pPr>
      <w:r w:rsidRPr="00DC2FFD">
        <w:rPr>
          <w:sz w:val="24"/>
          <w:lang w:val="en-GB"/>
        </w:rPr>
        <w:t xml:space="preserve">The project “Young people in a multicultural community” gathered young people of various nationalities from Novi </w:t>
      </w:r>
      <w:proofErr w:type="spellStart"/>
      <w:r w:rsidRPr="00DC2FFD">
        <w:rPr>
          <w:sz w:val="24"/>
          <w:lang w:val="en-GB"/>
        </w:rPr>
        <w:t>Pazar</w:t>
      </w:r>
      <w:proofErr w:type="spellEnd"/>
      <w:r w:rsidRPr="00DC2FFD">
        <w:rPr>
          <w:sz w:val="24"/>
          <w:lang w:val="en-GB"/>
        </w:rPr>
        <w:t xml:space="preserve">, </w:t>
      </w:r>
      <w:proofErr w:type="spellStart"/>
      <w:r w:rsidRPr="00DC2FFD">
        <w:rPr>
          <w:sz w:val="24"/>
          <w:lang w:val="en-GB"/>
        </w:rPr>
        <w:t>Sjenica</w:t>
      </w:r>
      <w:proofErr w:type="spellEnd"/>
      <w:r w:rsidRPr="00DC2FFD">
        <w:rPr>
          <w:sz w:val="24"/>
          <w:lang w:val="en-GB"/>
        </w:rPr>
        <w:t xml:space="preserve">, </w:t>
      </w:r>
      <w:proofErr w:type="spellStart"/>
      <w:r w:rsidRPr="00DC2FFD">
        <w:rPr>
          <w:sz w:val="24"/>
          <w:lang w:val="en-GB"/>
        </w:rPr>
        <w:t>Tutin</w:t>
      </w:r>
      <w:proofErr w:type="spellEnd"/>
      <w:r w:rsidRPr="00DC2FFD">
        <w:rPr>
          <w:sz w:val="24"/>
          <w:lang w:val="en-GB"/>
        </w:rPr>
        <w:t xml:space="preserve">, </w:t>
      </w:r>
      <w:proofErr w:type="spellStart"/>
      <w:r w:rsidRPr="00DC2FFD">
        <w:rPr>
          <w:sz w:val="24"/>
          <w:lang w:val="en-GB"/>
        </w:rPr>
        <w:t>Prijepolje</w:t>
      </w:r>
      <w:proofErr w:type="spellEnd"/>
      <w:r w:rsidRPr="00DC2FFD">
        <w:rPr>
          <w:sz w:val="24"/>
          <w:lang w:val="en-GB"/>
        </w:rPr>
        <w:t xml:space="preserve">, </w:t>
      </w:r>
      <w:proofErr w:type="spellStart"/>
      <w:r w:rsidRPr="00DC2FFD">
        <w:rPr>
          <w:sz w:val="24"/>
          <w:lang w:val="en-GB"/>
        </w:rPr>
        <w:t>Priboj</w:t>
      </w:r>
      <w:proofErr w:type="spellEnd"/>
      <w:r w:rsidRPr="00DC2FFD">
        <w:rPr>
          <w:sz w:val="24"/>
          <w:lang w:val="en-GB"/>
        </w:rPr>
        <w:t xml:space="preserve"> and Nova </w:t>
      </w:r>
      <w:proofErr w:type="spellStart"/>
      <w:r w:rsidRPr="00DC2FFD">
        <w:rPr>
          <w:sz w:val="24"/>
          <w:lang w:val="en-GB"/>
        </w:rPr>
        <w:t>Varoš</w:t>
      </w:r>
      <w:proofErr w:type="spellEnd"/>
      <w:r w:rsidRPr="00DC2FFD">
        <w:rPr>
          <w:sz w:val="24"/>
          <w:lang w:val="en-GB"/>
        </w:rPr>
        <w:t>, as well as their parents and teachers, for the purpose of the implementation of various intercultural contents and skills.</w:t>
      </w:r>
    </w:p>
    <w:p w14:paraId="2D52C2D7" w14:textId="77777777" w:rsidR="00DC2FFD" w:rsidRPr="00DC2FFD" w:rsidRDefault="00DC2FFD" w:rsidP="00DC2FFD">
      <w:pPr>
        <w:spacing w:after="0"/>
        <w:ind w:firstLine="720"/>
        <w:jc w:val="both"/>
        <w:rPr>
          <w:sz w:val="24"/>
          <w:lang w:val="en-GB"/>
        </w:rPr>
      </w:pPr>
      <w:r w:rsidRPr="00DC2FFD">
        <w:rPr>
          <w:sz w:val="24"/>
          <w:lang w:val="en-GB"/>
        </w:rPr>
        <w:t xml:space="preserve">The project “Our Town, Our Schools” is being implemented by the Government of Serbia Coordination Body for the Municipalities of </w:t>
      </w:r>
      <w:proofErr w:type="spellStart"/>
      <w:r w:rsidRPr="00DC2FFD">
        <w:rPr>
          <w:sz w:val="24"/>
          <w:lang w:val="en-GB"/>
        </w:rPr>
        <w:t>Preševo</w:t>
      </w:r>
      <w:proofErr w:type="spellEnd"/>
      <w:r w:rsidRPr="00DC2FFD">
        <w:rPr>
          <w:sz w:val="24"/>
          <w:lang w:val="en-GB"/>
        </w:rPr>
        <w:t xml:space="preserve">, </w:t>
      </w:r>
      <w:proofErr w:type="spellStart"/>
      <w:r w:rsidRPr="00DC2FFD">
        <w:rPr>
          <w:sz w:val="24"/>
          <w:lang w:val="en-GB"/>
        </w:rPr>
        <w:t>Bujanovac</w:t>
      </w:r>
      <w:proofErr w:type="spellEnd"/>
      <w:r w:rsidRPr="00DC2FFD">
        <w:rPr>
          <w:sz w:val="24"/>
          <w:lang w:val="en-GB"/>
        </w:rPr>
        <w:t xml:space="preserve"> and </w:t>
      </w:r>
      <w:proofErr w:type="spellStart"/>
      <w:r w:rsidRPr="00DC2FFD">
        <w:rPr>
          <w:sz w:val="24"/>
          <w:lang w:val="en-GB"/>
        </w:rPr>
        <w:t>Medvedja</w:t>
      </w:r>
      <w:proofErr w:type="spellEnd"/>
      <w:r w:rsidRPr="00DC2FFD">
        <w:rPr>
          <w:sz w:val="24"/>
          <w:lang w:val="en-GB"/>
        </w:rPr>
        <w:t xml:space="preserve"> - CB's </w:t>
      </w:r>
      <w:r w:rsidRPr="00DC2FFD">
        <w:rPr>
          <w:sz w:val="24"/>
          <w:lang w:val="en-GB"/>
        </w:rPr>
        <w:lastRenderedPageBreak/>
        <w:t xml:space="preserve">Office, with a view to improving cooperation among elementary and secondary schools in the territory of the municipality of </w:t>
      </w:r>
      <w:proofErr w:type="spellStart"/>
      <w:r w:rsidRPr="00DC2FFD">
        <w:rPr>
          <w:sz w:val="24"/>
          <w:lang w:val="en-GB"/>
        </w:rPr>
        <w:t>Bujanovac</w:t>
      </w:r>
      <w:proofErr w:type="spellEnd"/>
      <w:r w:rsidRPr="00DC2FFD">
        <w:rPr>
          <w:sz w:val="24"/>
          <w:lang w:val="en-GB"/>
        </w:rPr>
        <w:t xml:space="preserve">, where classes are conducted in Serbian and Albanian, as well as creating opportunities for interaction and cooperation between students and teachers. Multiple joint activities were implemented, three three-day trainings for teachers and seven two-days workshops for students. The topics covered by this programme were: intercultural education, understanding of diversity, rights of the child, topics about stereotypes and prejudice. “The Guide to </w:t>
      </w:r>
      <w:proofErr w:type="spellStart"/>
      <w:r w:rsidRPr="00DC2FFD">
        <w:rPr>
          <w:sz w:val="24"/>
          <w:lang w:val="en-GB"/>
        </w:rPr>
        <w:t>Bujanovac</w:t>
      </w:r>
      <w:proofErr w:type="spellEnd"/>
      <w:r w:rsidRPr="00DC2FFD">
        <w:rPr>
          <w:sz w:val="24"/>
          <w:lang w:val="en-GB"/>
        </w:rPr>
        <w:t>”, through the eyes of young people, was created during the workshops.</w:t>
      </w:r>
    </w:p>
    <w:p w14:paraId="5B098B45" w14:textId="77777777" w:rsidR="00DC2FFD" w:rsidRPr="00DC2FFD" w:rsidRDefault="00DC2FFD" w:rsidP="00DC2FFD">
      <w:pPr>
        <w:spacing w:after="0"/>
        <w:ind w:firstLine="720"/>
        <w:jc w:val="both"/>
        <w:rPr>
          <w:sz w:val="24"/>
          <w:lang w:val="en-GB"/>
        </w:rPr>
      </w:pPr>
      <w:r w:rsidRPr="00DC2FFD">
        <w:rPr>
          <w:sz w:val="24"/>
          <w:lang w:val="en-GB"/>
        </w:rPr>
        <w:t xml:space="preserve">The project “Our Story” was implemented by the Government of Serbia Coordination Body for the Municipalities of </w:t>
      </w:r>
      <w:proofErr w:type="spellStart"/>
      <w:r w:rsidRPr="00DC2FFD">
        <w:rPr>
          <w:sz w:val="24"/>
          <w:lang w:val="en-GB"/>
        </w:rPr>
        <w:t>Preševo</w:t>
      </w:r>
      <w:proofErr w:type="spellEnd"/>
      <w:r w:rsidRPr="00DC2FFD">
        <w:rPr>
          <w:sz w:val="24"/>
          <w:lang w:val="en-GB"/>
        </w:rPr>
        <w:t xml:space="preserve">, </w:t>
      </w:r>
      <w:proofErr w:type="spellStart"/>
      <w:r w:rsidRPr="00DC2FFD">
        <w:rPr>
          <w:sz w:val="24"/>
          <w:lang w:val="en-GB"/>
        </w:rPr>
        <w:t>Bujanovac</w:t>
      </w:r>
      <w:proofErr w:type="spellEnd"/>
      <w:r w:rsidRPr="00DC2FFD">
        <w:rPr>
          <w:sz w:val="24"/>
          <w:lang w:val="en-GB"/>
        </w:rPr>
        <w:t xml:space="preserve"> and </w:t>
      </w:r>
      <w:proofErr w:type="spellStart"/>
      <w:r w:rsidRPr="00DC2FFD">
        <w:rPr>
          <w:sz w:val="24"/>
          <w:lang w:val="en-GB"/>
        </w:rPr>
        <w:t>Medvedja</w:t>
      </w:r>
      <w:proofErr w:type="spellEnd"/>
      <w:r w:rsidRPr="00DC2FFD">
        <w:rPr>
          <w:sz w:val="24"/>
          <w:lang w:val="en-GB"/>
        </w:rPr>
        <w:t xml:space="preserve"> - CB's Office, with two elementary schools from </w:t>
      </w:r>
      <w:proofErr w:type="spellStart"/>
      <w:r w:rsidRPr="00DC2FFD">
        <w:rPr>
          <w:sz w:val="24"/>
          <w:lang w:val="en-GB"/>
        </w:rPr>
        <w:t>Preševo</w:t>
      </w:r>
      <w:proofErr w:type="spellEnd"/>
      <w:r w:rsidRPr="00DC2FFD">
        <w:rPr>
          <w:sz w:val="24"/>
          <w:lang w:val="en-GB"/>
        </w:rPr>
        <w:t xml:space="preserve">. A series of workshops were implemented with the objective of creating a platform for overcoming segregation in educational institutions and contribution to affirmation of </w:t>
      </w:r>
      <w:proofErr w:type="spellStart"/>
      <w:r w:rsidRPr="00DC2FFD">
        <w:rPr>
          <w:sz w:val="24"/>
          <w:lang w:val="en-GB"/>
        </w:rPr>
        <w:t>interculturality</w:t>
      </w:r>
      <w:proofErr w:type="spellEnd"/>
      <w:r w:rsidRPr="00DC2FFD">
        <w:rPr>
          <w:sz w:val="24"/>
          <w:lang w:val="en-GB"/>
        </w:rPr>
        <w:t xml:space="preserve"> in a multicultural environment.</w:t>
      </w:r>
    </w:p>
    <w:p w14:paraId="1830B5C1" w14:textId="77777777" w:rsidR="00DC2FFD" w:rsidRPr="00DC2FFD" w:rsidRDefault="00DC2FFD" w:rsidP="00DC2FFD">
      <w:pPr>
        <w:spacing w:after="0"/>
        <w:jc w:val="both"/>
        <w:rPr>
          <w:sz w:val="24"/>
          <w:szCs w:val="24"/>
          <w:lang w:val="sr-Cyrl-RS"/>
        </w:rPr>
      </w:pPr>
    </w:p>
    <w:p w14:paraId="1FB95EDE" w14:textId="77777777" w:rsidR="00DC2FFD" w:rsidRPr="00DC2FFD" w:rsidRDefault="00DC2FFD" w:rsidP="00DC2FFD">
      <w:pPr>
        <w:spacing w:after="0"/>
        <w:jc w:val="both"/>
        <w:rPr>
          <w:i/>
          <w:sz w:val="24"/>
          <w:szCs w:val="24"/>
          <w:lang w:val="en-GB"/>
        </w:rPr>
      </w:pPr>
      <w:r w:rsidRPr="00DC2FFD">
        <w:rPr>
          <w:i/>
          <w:sz w:val="24"/>
          <w:lang w:val="en-GB"/>
        </w:rPr>
        <w:t>Curricula providing knowledge on minorities</w:t>
      </w:r>
    </w:p>
    <w:p w14:paraId="25793581" w14:textId="77777777" w:rsidR="00DC2FFD" w:rsidRPr="00DC2FFD" w:rsidRDefault="00DC2FFD" w:rsidP="00DC2FFD">
      <w:pPr>
        <w:spacing w:after="0"/>
        <w:ind w:firstLine="720"/>
        <w:jc w:val="both"/>
        <w:rPr>
          <w:color w:val="333333"/>
          <w:sz w:val="24"/>
          <w:lang w:val="en-GB"/>
        </w:rPr>
      </w:pPr>
    </w:p>
    <w:p w14:paraId="36065AF3" w14:textId="77777777" w:rsidR="00DC2FFD" w:rsidRPr="00DC2FFD" w:rsidRDefault="00DC2FFD" w:rsidP="00DC2FFD">
      <w:pPr>
        <w:spacing w:after="0"/>
        <w:ind w:firstLine="720"/>
        <w:jc w:val="both"/>
        <w:rPr>
          <w:sz w:val="24"/>
          <w:lang w:val="en-GB"/>
        </w:rPr>
      </w:pPr>
      <w:r w:rsidRPr="00DC2FFD">
        <w:rPr>
          <w:sz w:val="24"/>
          <w:lang w:val="en-GB"/>
        </w:rPr>
        <w:t>The regulatory framework in the Republic of Serbia entails a good foundation for curricula to provide knowledge on national minorities as an integral part of the Serbian society.</w:t>
      </w:r>
    </w:p>
    <w:p w14:paraId="2CDBE1E3" w14:textId="77777777" w:rsidR="00DC2FFD" w:rsidRPr="00DC2FFD" w:rsidRDefault="00DC2FFD" w:rsidP="00DC2FFD">
      <w:pPr>
        <w:spacing w:after="0"/>
        <w:ind w:firstLine="720"/>
        <w:jc w:val="both"/>
        <w:rPr>
          <w:sz w:val="24"/>
          <w:lang w:val="en-GB"/>
        </w:rPr>
      </w:pPr>
      <w:r w:rsidRPr="00DC2FFD">
        <w:rPr>
          <w:sz w:val="24"/>
          <w:lang w:val="en-GB"/>
        </w:rPr>
        <w:t>The Law on the Fundamentals of the Education System</w:t>
      </w:r>
      <w:r w:rsidRPr="00DC2FFD">
        <w:rPr>
          <w:sz w:val="24"/>
          <w:vertAlign w:val="superscript"/>
          <w:lang w:val="en-GB"/>
        </w:rPr>
        <w:footnoteReference w:id="40"/>
      </w:r>
      <w:r w:rsidRPr="00DC2FFD">
        <w:rPr>
          <w:sz w:val="24"/>
          <w:lang w:val="en-GB"/>
        </w:rPr>
        <w:t xml:space="preserve"> stipulates that teaching and learning plans and programmes for elementary and secondary education contain the manner of adaptation of the programmes for persons belonging to national minorities in all teaching and learning programmes. </w:t>
      </w:r>
    </w:p>
    <w:p w14:paraId="0A75917E" w14:textId="5973883A" w:rsidR="00DC2FFD" w:rsidRPr="00DC2FFD" w:rsidRDefault="00DC2FFD" w:rsidP="00DC2FFD">
      <w:pPr>
        <w:spacing w:after="0"/>
        <w:ind w:firstLine="720"/>
        <w:jc w:val="both"/>
        <w:rPr>
          <w:sz w:val="24"/>
          <w:lang w:val="en-GB"/>
        </w:rPr>
      </w:pPr>
      <w:r w:rsidRPr="00DC2FFD">
        <w:rPr>
          <w:sz w:val="24"/>
          <w:lang w:val="en-GB"/>
        </w:rPr>
        <w:t xml:space="preserve">Within the framework of the Council of Europe and the European Union Horizontal Facility (HF 33) - </w:t>
      </w:r>
      <w:r w:rsidRPr="00DC2FFD">
        <w:rPr>
          <w:i/>
          <w:iCs/>
          <w:sz w:val="24"/>
          <w:lang w:val="en-GB"/>
        </w:rPr>
        <w:t>Strengthening the protection of national minorities in Serbia</w:t>
      </w:r>
      <w:r w:rsidRPr="00DC2FFD">
        <w:rPr>
          <w:sz w:val="24"/>
          <w:lang w:val="en-GB"/>
        </w:rPr>
        <w:t xml:space="preserve">, an analysis of selected curricula, respective competences and educational standards was created. The results of this analysis indicate a heterogeneous situation as regards the presence and attitude towards national minorities in the educational framework in the Republic of Serbia. The analysis emphases that official documents concerning education, i.e., standards and curricula (particularly tasks and teaching units) for certain school subjects (Nature and Society and Musical Culture in the first cycle; Serbian Language and Literature and Geography in the second cycle, Social Sciences and Constitution and Civic Rights in the third cycle) directly deal with the issue of national minorities or their cultural heritage, and are positive trends or examples. There is a commitment to include national minorities as an integral part of these documents. National minorities are mostly mentioned in elementary school curricula relating to music (with an exception of the subject Nature and Society and partially Geography), and, in general, a limited number of minorities are mentioned (the list of those mentioned within the subject Musical Culture is longer). Information on national minorities relating to music are not necessarily a shortcoming, but the report recommends that this tendency to mostly represent national minorities through folklore should be avoided. In addition, teachers are left to decide if they are going to teach classes on certain subjects important for the national identity with the objective that classes should develop intercultural competences of students and familiarise </w:t>
      </w:r>
      <w:r w:rsidRPr="00DC2FFD">
        <w:rPr>
          <w:sz w:val="24"/>
          <w:lang w:val="en-GB"/>
        </w:rPr>
        <w:lastRenderedPageBreak/>
        <w:t>them with persons belonging to various ethnic national groups. History is recognised as one of the most important subjects for strengthening awareness of various views of the past, including the status and perspective of national minorities. An analysis of the curricula indicates that insufficient attention is paid to the national minorities living in Serbia during the entire schooling, from the first to the end of the third cycle, within the subjects Nature and Society, History, and, to an extent, Geography. This kind of conclusion is a consequence of the fact that teachers teach content referencing the cultural and historical heritage of the minorities for the subject History within the defined annual number of classes. Namely, classes are planned and implemented in such a way that such content is not viewed and treated as isolated, but is linked and integrated with the other contents of the curriculum, thus reinforcing the student’s feeling of belonging to their national minority. At the same time, the curricula of the subject History contains topics (content) concerning the common and specific historical and cultural heritage, periods of coexistence of various peoples/ethnic communities in the region and Europe, with an emphasis on the periods of peace and common challenges in various situations. Such a curriculum, although it may not be paying sufficient attention to each of the national minorities separately, still reinforces the multicultural environment for learning and promotes the respect of all groups in the society, indicates a joint contribution to its development and ensures a broad and deep knowledge on the minorities as an integral part of the Serbian society, while students are encouraged to learn more and research various perspectives.</w:t>
      </w:r>
    </w:p>
    <w:p w14:paraId="5B5B41F3" w14:textId="77777777" w:rsidR="00DC2FFD" w:rsidRPr="00DC2FFD" w:rsidRDefault="00DC2FFD" w:rsidP="00DC2FFD">
      <w:pPr>
        <w:spacing w:after="0"/>
        <w:ind w:firstLine="720"/>
        <w:jc w:val="both"/>
        <w:rPr>
          <w:sz w:val="24"/>
          <w:lang w:val="en-GB"/>
        </w:rPr>
      </w:pPr>
      <w:r w:rsidRPr="00DC2FFD">
        <w:rPr>
          <w:sz w:val="24"/>
          <w:lang w:val="en-GB"/>
        </w:rPr>
        <w:t>With a view to improving the representation of minorities in the educational process, Guidelines for appropriate representation of national minorities in educational contents were prepared within the framework of the Joint Initiative of the Council of Europe and the European Union.</w:t>
      </w:r>
      <w:r w:rsidRPr="00DC2FFD">
        <w:rPr>
          <w:sz w:val="24"/>
          <w:vertAlign w:val="superscript"/>
          <w:lang w:val="en-GB"/>
        </w:rPr>
        <w:footnoteReference w:id="41"/>
      </w:r>
      <w:r w:rsidRPr="00DC2FFD">
        <w:rPr>
          <w:sz w:val="24"/>
          <w:lang w:val="en-GB"/>
        </w:rPr>
        <w:t xml:space="preserve"> This document originates from the Report on the representation of national minorities in the curricula and educational standards of the Republic of Serbia and the Report on the representation and presentation of national minorities in the school textbooks in the Republic of Serbia, as well as their accompanying recommendations. In addition to general guidelines, the document also proposes concrete guidelines containing examples and instructions on how to appropriately transpose the recommendations into the educational content. It also contains a set of adopted guidelines concerning the institutions within whose purview is the adoption, harmonisation, implementation, monitoring and evaluation of curricula. The last set of proposed guidelines concerns the contents of textbooks and possible ways to include the content on national minorities. The recommendations are defined as a form of support to institutions, participants and stakeholders in the education system in the development of awareness (particularly of the student population and persons employed in the education and culture) on the need to understand the rights, status and participation of national minorities, acceptance of cultural diversity, development of tolerance, fostering coexistence and comprehensive social inclusion in the Republic of Serbia. The recommendations are aimed at institutions which are competent for education and concern curricula for elementary and secondary school, improvement of the democratic culture in schools, and gender equality. A special set of recommendations concern the improvement of the quality of the textbook content (visual and textual) which should reflect the observance of minority rights, as well as a set of recommendation for improving the quality of initial education of teachers who are </w:t>
      </w:r>
      <w:r w:rsidRPr="00DC2FFD">
        <w:rPr>
          <w:sz w:val="24"/>
          <w:lang w:val="en-GB"/>
        </w:rPr>
        <w:lastRenderedPageBreak/>
        <w:t xml:space="preserve">implementing the classes in some of the languages of a national minority. A result of this project is the incorporation of Guidelines, opinions and recommendations into the curricula for the second grade of the grammar school, with clearly marked elements of the democratic culture, i.e., contents supporting and promoting the observance of diversity, active implementation of tolerance, and protection from discrimination within the education system. </w:t>
      </w:r>
    </w:p>
    <w:p w14:paraId="56FDE370" w14:textId="77777777" w:rsidR="00DC2FFD" w:rsidRPr="00DC2FFD" w:rsidRDefault="00DC2FFD" w:rsidP="00DC2FFD">
      <w:pPr>
        <w:spacing w:after="0"/>
        <w:jc w:val="both"/>
        <w:rPr>
          <w:sz w:val="24"/>
          <w:lang w:val="sr-Cyrl-RS"/>
        </w:rPr>
      </w:pPr>
    </w:p>
    <w:p w14:paraId="650B298F" w14:textId="77777777" w:rsidR="00DC2FFD" w:rsidRPr="00DC2FFD" w:rsidRDefault="00DC2FFD" w:rsidP="00DC2FFD">
      <w:pPr>
        <w:spacing w:after="0"/>
        <w:jc w:val="both"/>
        <w:rPr>
          <w:i/>
          <w:sz w:val="24"/>
          <w:lang w:val="en-GB"/>
        </w:rPr>
      </w:pPr>
      <w:r w:rsidRPr="00DC2FFD">
        <w:rPr>
          <w:i/>
          <w:sz w:val="24"/>
          <w:lang w:val="en-GB"/>
        </w:rPr>
        <w:t>Promoting models for bilingual or multilingual education in consultations with representatives of the law</w:t>
      </w:r>
    </w:p>
    <w:p w14:paraId="78464609" w14:textId="77777777" w:rsidR="00DC2FFD" w:rsidRPr="00DC2FFD" w:rsidRDefault="00DC2FFD" w:rsidP="00DC2FFD">
      <w:pPr>
        <w:spacing w:after="0"/>
        <w:jc w:val="both"/>
        <w:rPr>
          <w:sz w:val="24"/>
          <w:lang w:val="sr-Cyrl-RS"/>
        </w:rPr>
      </w:pPr>
    </w:p>
    <w:p w14:paraId="3AF9C779" w14:textId="77777777" w:rsidR="00DC2FFD" w:rsidRPr="00DC2FFD" w:rsidRDefault="00DC2FFD" w:rsidP="00DC2FFD">
      <w:pPr>
        <w:spacing w:after="0"/>
        <w:ind w:firstLine="720"/>
        <w:jc w:val="both"/>
        <w:rPr>
          <w:sz w:val="24"/>
          <w:lang w:val="en-GB"/>
        </w:rPr>
      </w:pPr>
      <w:r w:rsidRPr="00DC2FFD">
        <w:rPr>
          <w:sz w:val="24"/>
          <w:lang w:val="en-GB"/>
        </w:rPr>
        <w:t xml:space="preserve">The regulatory framework and strategic documents in the Republic of Serbia provide a broad foundation for using minority languages in education and for the participation of persons belonging to national minorities in the adoption of relevant decisions relating to the use of minority languages in the education process. In that regard, the authorities of the Republic of Serbia note that the Law on the Foundations of the Education System prescribes that the line minister shall adopt an elementary and secondary education programme for persons belonging to national minorities, upon a proposal of the national council of a national minority and an obtained opinion of the National Education Council, which includes representatives of national councils. Moreover, on the basis of the powers of the national councils in education, it is clear that such bodies as persons belonging to minorities in this field of social life may suggest, advocate and promote appropriate models of education which do not include education in minority languages, as shown in the example of the National Council of the Bulgarian National Minority, and the introduction of a model of bilingual Serbian-Bulgarian education in </w:t>
      </w:r>
      <w:proofErr w:type="spellStart"/>
      <w:r w:rsidRPr="00DC2FFD">
        <w:rPr>
          <w:sz w:val="24"/>
          <w:lang w:val="en-GB"/>
        </w:rPr>
        <w:t>Bosilegrad</w:t>
      </w:r>
      <w:proofErr w:type="spellEnd"/>
      <w:r w:rsidRPr="00DC2FFD">
        <w:rPr>
          <w:sz w:val="24"/>
          <w:lang w:val="en-GB"/>
        </w:rPr>
        <w:t xml:space="preserve">, starting with the school year  2018/2019. </w:t>
      </w:r>
    </w:p>
    <w:p w14:paraId="1B663EB5" w14:textId="77777777" w:rsidR="00DC2FFD" w:rsidRPr="00DC2FFD" w:rsidRDefault="00DC2FFD" w:rsidP="00DC2FFD">
      <w:pPr>
        <w:spacing w:after="0"/>
        <w:ind w:firstLine="720"/>
        <w:jc w:val="both"/>
        <w:rPr>
          <w:sz w:val="24"/>
          <w:szCs w:val="24"/>
          <w:lang w:val="en-GB"/>
        </w:rPr>
      </w:pPr>
      <w:r w:rsidRPr="00DC2FFD">
        <w:rPr>
          <w:sz w:val="24"/>
          <w:lang w:val="en-GB"/>
        </w:rPr>
        <w:t>The Education Development Strategy emphases the need to develop models of bilingual teaching in the elementary and secondary education for the national minorities who want that. As an important step, meetings, i.e., consultations and round tables will be held in the upcoming period with representatives of interested national councils of national minorities, for the purpose of promoting possible models of bilingual and multilingual education and the methods of their implementation.</w:t>
      </w:r>
    </w:p>
    <w:p w14:paraId="3C805FC0" w14:textId="77777777" w:rsidR="00DC2FFD" w:rsidRPr="00DC2FFD" w:rsidRDefault="00DC2FFD" w:rsidP="00DC2FFD">
      <w:pPr>
        <w:spacing w:after="0"/>
        <w:ind w:firstLine="720"/>
        <w:jc w:val="both"/>
        <w:rPr>
          <w:sz w:val="24"/>
          <w:lang w:val="en-GB"/>
        </w:rPr>
      </w:pPr>
      <w:r w:rsidRPr="00DC2FFD">
        <w:rPr>
          <w:sz w:val="24"/>
          <w:lang w:val="en-GB"/>
        </w:rPr>
        <w:t>The Action Plan for the implementation of the Strategy for the Development of Education  2021-2023 contains the measure called Development and Improvement of the existing Qualification Standards and Achievement Standards, curricula in pre-university education which provides for activities relating to the development of new curricula and improvement of all existing curricula in the elementary and secondary education in all subjects, among which curricula in languages and scripts of national minorities by cycles (the first and second cycle of the elementary school, general secondary and general education aspect of the vocational secondary education), as well as the programme Mother Tongue/Speech with Elements of National Culture.</w:t>
      </w:r>
    </w:p>
    <w:p w14:paraId="23E612DB" w14:textId="77777777" w:rsidR="00DC2FFD" w:rsidRPr="00DC2FFD" w:rsidRDefault="00DC2FFD" w:rsidP="00DC2FFD">
      <w:pPr>
        <w:spacing w:after="0"/>
        <w:ind w:firstLine="720"/>
        <w:jc w:val="both"/>
        <w:rPr>
          <w:sz w:val="24"/>
          <w:szCs w:val="24"/>
          <w:lang w:val="en-GB"/>
        </w:rPr>
      </w:pPr>
      <w:r w:rsidRPr="00DC2FFD">
        <w:rPr>
          <w:sz w:val="24"/>
          <w:lang w:val="en-GB"/>
        </w:rPr>
        <w:t xml:space="preserve">With a view to informing the parents/legal representatives, as well as to promote education in languages of national minorities, the Ministry of Education, Science and Technological Development, within the framework of the project </w:t>
      </w:r>
      <w:r w:rsidRPr="00DC2FFD">
        <w:rPr>
          <w:i/>
          <w:iCs/>
          <w:sz w:val="24"/>
          <w:lang w:val="en-GB"/>
        </w:rPr>
        <w:t>Strengthening the protection of national minorities in Serbia</w:t>
      </w:r>
      <w:r w:rsidRPr="00DC2FFD">
        <w:rPr>
          <w:sz w:val="24"/>
          <w:lang w:val="en-GB"/>
        </w:rPr>
        <w:t xml:space="preserve"> of the Council of Europe and the European Union, created a brochure on the opportunities for education in languages of national minorities in the Republic of Serbia, which has been translated in the languages of national minorities (Albanian, Bosnian, </w:t>
      </w:r>
      <w:r w:rsidRPr="00DC2FFD">
        <w:rPr>
          <w:sz w:val="24"/>
          <w:lang w:val="en-GB"/>
        </w:rPr>
        <w:lastRenderedPageBreak/>
        <w:t xml:space="preserve">Bulgarian, </w:t>
      </w:r>
      <w:proofErr w:type="spellStart"/>
      <w:r w:rsidRPr="00DC2FFD">
        <w:rPr>
          <w:sz w:val="24"/>
          <w:lang w:val="en-GB"/>
        </w:rPr>
        <w:t>Bunjevac</w:t>
      </w:r>
      <w:proofErr w:type="spellEnd"/>
      <w:r w:rsidRPr="00DC2FFD">
        <w:rPr>
          <w:sz w:val="24"/>
          <w:lang w:val="en-GB"/>
        </w:rPr>
        <w:t xml:space="preserve">, Vlach, Hungarian, Macedonian, German, Roma, Romanian, </w:t>
      </w:r>
      <w:proofErr w:type="spellStart"/>
      <w:r w:rsidRPr="00DC2FFD">
        <w:rPr>
          <w:sz w:val="24"/>
          <w:lang w:val="en-GB"/>
        </w:rPr>
        <w:t>Ruthenian</w:t>
      </w:r>
      <w:proofErr w:type="spellEnd"/>
      <w:r w:rsidRPr="00DC2FFD">
        <w:rPr>
          <w:sz w:val="24"/>
          <w:lang w:val="en-GB"/>
        </w:rPr>
        <w:t>, Slovak, Slovenian, Ukrainian, Croatian and Czech).</w:t>
      </w:r>
    </w:p>
    <w:p w14:paraId="4C6E27AF" w14:textId="77777777" w:rsidR="00DC2FFD" w:rsidRPr="00DC2FFD" w:rsidRDefault="00DC2FFD" w:rsidP="00DC2FFD">
      <w:pPr>
        <w:spacing w:after="0"/>
        <w:ind w:firstLine="720"/>
        <w:jc w:val="both"/>
        <w:rPr>
          <w:sz w:val="24"/>
          <w:lang w:val="en-GB"/>
        </w:rPr>
      </w:pPr>
    </w:p>
    <w:p w14:paraId="38F55365" w14:textId="24875F1F" w:rsidR="00DC2FFD" w:rsidRPr="00DC2FFD" w:rsidRDefault="00DC2FFD" w:rsidP="00DC2FFD">
      <w:pPr>
        <w:spacing w:after="0"/>
        <w:jc w:val="both"/>
        <w:rPr>
          <w:i/>
          <w:sz w:val="24"/>
          <w:szCs w:val="24"/>
          <w:lang w:val="en-GB"/>
        </w:rPr>
      </w:pPr>
      <w:r w:rsidRPr="00DC2FFD">
        <w:rPr>
          <w:i/>
          <w:sz w:val="24"/>
          <w:lang w:val="en-GB"/>
        </w:rPr>
        <w:t>5</w:t>
      </w:r>
      <w:r w:rsidR="008D1F04">
        <w:rPr>
          <w:i/>
          <w:sz w:val="24"/>
          <w:lang w:val="en-GB"/>
        </w:rPr>
        <w:t>.</w:t>
      </w:r>
      <w:r w:rsidRPr="00DC2FFD">
        <w:rPr>
          <w:i/>
          <w:sz w:val="24"/>
          <w:lang w:val="en-GB"/>
        </w:rPr>
        <w:t xml:space="preserve"> Set up and operate, as soon as possible and at the latest by the due date of the fifth State Report, a sustainable and human rights-based data collection framework within the public administration and, on the basis of such data, set up, implement, monitor and review on a periodical basis concrete and effective measures aimed at producing long-term and measurable progress on the representation of national minorities in the public administration, in particular those living in remote areas and the most marginalised.</w:t>
      </w:r>
    </w:p>
    <w:p w14:paraId="368D15F8" w14:textId="77777777" w:rsidR="00DC2FFD" w:rsidRPr="00DC2FFD" w:rsidRDefault="00DC2FFD" w:rsidP="00DC2FFD">
      <w:pPr>
        <w:spacing w:after="0"/>
        <w:jc w:val="both"/>
        <w:rPr>
          <w:i/>
          <w:sz w:val="24"/>
          <w:szCs w:val="24"/>
          <w:lang w:val="sr-Cyrl-RS"/>
        </w:rPr>
      </w:pPr>
    </w:p>
    <w:p w14:paraId="5D90A17C" w14:textId="77777777" w:rsidR="00DC2FFD" w:rsidRPr="00DC2FFD" w:rsidRDefault="00DC2FFD" w:rsidP="00DC2FFD">
      <w:pPr>
        <w:spacing w:after="0"/>
        <w:ind w:firstLine="720"/>
        <w:jc w:val="both"/>
        <w:rPr>
          <w:sz w:val="24"/>
          <w:szCs w:val="24"/>
          <w:lang w:val="en-GB"/>
        </w:rPr>
      </w:pPr>
      <w:r w:rsidRPr="00DC2FFD">
        <w:rPr>
          <w:sz w:val="24"/>
          <w:lang w:val="en-GB"/>
        </w:rPr>
        <w:t xml:space="preserve">As regards the establishment and putting into service of a sustainable framework for data collection based on human rights within the public administration, we highlight the fact that, within the framework of the project Promotion of Diversity and Equality in Serbia, which is a part of the joint programme of the European Union/Council of Europe “Horizontal Facility for the Western Balkans and Turkey 2019-2022”, the “National criteria for the monitoring of the exercise of minority rights” which, </w:t>
      </w:r>
      <w:r w:rsidRPr="00DC2FFD">
        <w:rPr>
          <w:i/>
          <w:iCs/>
          <w:sz w:val="24"/>
          <w:lang w:val="en-GB"/>
        </w:rPr>
        <w:t>inter alia</w:t>
      </w:r>
      <w:r w:rsidRPr="00DC2FFD">
        <w:rPr>
          <w:sz w:val="24"/>
          <w:lang w:val="en-GB"/>
        </w:rPr>
        <w:t xml:space="preserve">, concern the data collection within the public administration. Further information thereof </w:t>
      </w:r>
      <w:proofErr w:type="gramStart"/>
      <w:r w:rsidRPr="00DC2FFD">
        <w:rPr>
          <w:sz w:val="24"/>
          <w:lang w:val="en-GB"/>
        </w:rPr>
        <w:t>are</w:t>
      </w:r>
      <w:proofErr w:type="gramEnd"/>
      <w:r w:rsidRPr="00DC2FFD">
        <w:rPr>
          <w:sz w:val="24"/>
          <w:lang w:val="en-GB"/>
        </w:rPr>
        <w:t xml:space="preserve"> provided in the answer to the recommendation 2 of the Committee of Ministers.</w:t>
      </w:r>
    </w:p>
    <w:p w14:paraId="108FFC73" w14:textId="77777777" w:rsidR="00DC2FFD" w:rsidRPr="00DC2FFD" w:rsidRDefault="00DC2FFD" w:rsidP="00DC2FFD">
      <w:pPr>
        <w:spacing w:after="0"/>
        <w:ind w:firstLine="720"/>
        <w:jc w:val="both"/>
        <w:rPr>
          <w:sz w:val="24"/>
          <w:szCs w:val="24"/>
          <w:lang w:val="en-GB"/>
        </w:rPr>
      </w:pPr>
      <w:r w:rsidRPr="00DC2FFD">
        <w:rPr>
          <w:sz w:val="24"/>
          <w:lang w:val="en-GB"/>
        </w:rPr>
        <w:t>Effective measures aimed at creating progress in terms of the representation of national minorities in the public administration are provided for in a series of laws which were adopted in the reporting period. The amendments and supplements to the Civil Servants Law</w:t>
      </w:r>
      <w:r w:rsidRPr="00DC2FFD">
        <w:rPr>
          <w:sz w:val="24"/>
          <w:szCs w:val="24"/>
          <w:vertAlign w:val="superscript"/>
          <w:lang w:val="sr-Cyrl-RS"/>
        </w:rPr>
        <w:footnoteReference w:id="42"/>
      </w:r>
      <w:r w:rsidRPr="00DC2FFD">
        <w:rPr>
          <w:sz w:val="24"/>
          <w:lang w:val="en-GB"/>
        </w:rPr>
        <w:t xml:space="preserve">, which have applied since 1 January 2019, elaborate Article 9 of this Law, which prescribes that, when employing persons for State authorities, it should be ensured that the national composition, </w:t>
      </w:r>
      <w:r w:rsidRPr="00DC2FFD">
        <w:rPr>
          <w:i/>
          <w:iCs/>
          <w:sz w:val="24"/>
          <w:lang w:val="en-GB"/>
        </w:rPr>
        <w:t>inter alia</w:t>
      </w:r>
      <w:r w:rsidRPr="00DC2FFD">
        <w:rPr>
          <w:sz w:val="24"/>
          <w:lang w:val="en-GB"/>
        </w:rPr>
        <w:t>, reflects the population structure as much as possible. Namely, amendments to Article 55 of the Law prescribes that, if a job vacancy is to be filled where a special requirement is knowledge of the national minority language and script, the job advertisement shall specifically list this requirement, as well as any written verification of its fulfilment. In addition, Article 57 prescribes that, in case of equally qualified candidates, the advantage in the selection of a candidate from the list will be given to a candidate who is a person belonging to a national minority. Namely, an executive is obliged to, within 15 days from the date of receipt of the list of candidates, employ the candidate who has fulfilled the selection criteria with the best result (paragraph 2 of this Article), while paragraph 3 of this Article prescribes that the executive of an authority, when adopting the decision referred to in paragraph 2 of this Article, shall give an advantage a candidate who is a person belonging to a national minority.</w:t>
      </w:r>
    </w:p>
    <w:p w14:paraId="7ED4788D" w14:textId="7F6E711E" w:rsidR="00DC2FFD" w:rsidRPr="00DC2FFD" w:rsidRDefault="00DC2FFD" w:rsidP="00DC2FFD">
      <w:pPr>
        <w:spacing w:after="0"/>
        <w:ind w:firstLine="720"/>
        <w:jc w:val="both"/>
        <w:rPr>
          <w:sz w:val="24"/>
          <w:szCs w:val="24"/>
          <w:lang w:val="en-GB"/>
        </w:rPr>
      </w:pPr>
      <w:r w:rsidRPr="00DC2FFD">
        <w:rPr>
          <w:sz w:val="24"/>
          <w:lang w:val="en-GB"/>
        </w:rPr>
        <w:t>For the purpose of the implementation of this Law, the Government of the Republic of Serbia adopted the Regulation on the implementation of the Internal and Open Application Procedure in State Bodies,</w:t>
      </w:r>
      <w:r w:rsidRPr="00DC2FFD">
        <w:rPr>
          <w:sz w:val="24"/>
          <w:szCs w:val="24"/>
          <w:vertAlign w:val="superscript"/>
          <w:lang w:val="sr-Cyrl-RS"/>
        </w:rPr>
        <w:footnoteReference w:id="43"/>
      </w:r>
      <w:r w:rsidRPr="00DC2FFD">
        <w:rPr>
          <w:sz w:val="24"/>
          <w:lang w:val="en-GB"/>
        </w:rPr>
        <w:t xml:space="preserve"> which further regulates the method of giving an advantage to persons belonging to national minorities in the open competition procedure in all State authorities. Namely, this Regulation prescribes that, if there is a need for employing persons belonging to a national minority which is insufficiently represented among the employees, the advertised competition particularly indicates that persons belonging to that national minority </w:t>
      </w:r>
      <w:r w:rsidRPr="00DC2FFD">
        <w:rPr>
          <w:sz w:val="24"/>
          <w:lang w:val="en-GB"/>
        </w:rPr>
        <w:lastRenderedPageBreak/>
        <w:t>shall have an advantage on the list of candidates compared to other candidates who have achieved the same result in the open competition procedure. The need to employ persons belonging to a certain national minority results from the ratio of the number of employees who have identified themselves as persons belonging to a certain national minority in accordance with the data from the employee register in the public administration in accordance with the law and their representation in the population in the territory of the local self-government unit where the seat of a State authority, or area unit of the State authority where the job position is to be filled according to the results of the latest census, is located, under the condition that 30% of the employees in the public administration/area unit of the State authority have stated their national affiliation.</w:t>
      </w:r>
    </w:p>
    <w:p w14:paraId="3821C2F1" w14:textId="77777777" w:rsidR="00DC2FFD" w:rsidRPr="00DC2FFD" w:rsidRDefault="00DC2FFD" w:rsidP="00DC2FFD">
      <w:pPr>
        <w:spacing w:after="0"/>
        <w:ind w:firstLine="720"/>
        <w:jc w:val="both"/>
        <w:rPr>
          <w:sz w:val="24"/>
          <w:szCs w:val="24"/>
          <w:lang w:val="en-GB"/>
        </w:rPr>
      </w:pPr>
      <w:r w:rsidRPr="00DC2FFD">
        <w:rPr>
          <w:sz w:val="24"/>
          <w:lang w:val="en-GB"/>
        </w:rPr>
        <w:t xml:space="preserve">Also, this Regulation prescribes that, in case that the advertisement on the open competition states that there is a need to employ persons belonging to national minorities which are insufficiently represented among the employees, the first additional criterion for ranking candidates with the same score on the list for the selection shall be whether they belong to a national minority, which entails that the candidate has voluntarily stated that they belong to a national minority in their application. If there are multiple candidates with the same score who belong to a national minority, the advantage in ranking them against other candidates who have been evaluated in the same way shall be given to a candidate who has received better scores for behavioural competences (the second additional criterion). In case that they have received the same score for behavioural competences, the advantage shall be given to a candidate who has received better scores in the interview with the commission (third additional criterion). In case that they receive equal scores for </w:t>
      </w:r>
      <w:proofErr w:type="gramStart"/>
      <w:r w:rsidRPr="00DC2FFD">
        <w:rPr>
          <w:sz w:val="24"/>
          <w:lang w:val="en-GB"/>
        </w:rPr>
        <w:t>the  interview</w:t>
      </w:r>
      <w:proofErr w:type="gramEnd"/>
      <w:r w:rsidRPr="00DC2FFD">
        <w:rPr>
          <w:sz w:val="24"/>
          <w:lang w:val="en-GB"/>
        </w:rPr>
        <w:t xml:space="preserve"> with the commission, the advantage shall be given to a candidate with better scores for special functional competences (fourth additional criterion).</w:t>
      </w:r>
    </w:p>
    <w:p w14:paraId="02406C00" w14:textId="77777777" w:rsidR="00DC2FFD" w:rsidRPr="00DC2FFD" w:rsidRDefault="00DC2FFD" w:rsidP="00DC2FFD">
      <w:pPr>
        <w:spacing w:after="0"/>
        <w:ind w:firstLine="720"/>
        <w:jc w:val="both"/>
        <w:rPr>
          <w:sz w:val="24"/>
          <w:szCs w:val="24"/>
          <w:lang w:val="en-GB"/>
        </w:rPr>
      </w:pPr>
      <w:r w:rsidRPr="00DC2FFD">
        <w:rPr>
          <w:sz w:val="24"/>
          <w:lang w:val="en-GB"/>
        </w:rPr>
        <w:t>The Public Agencies Act</w:t>
      </w:r>
      <w:r w:rsidRPr="00DC2FFD">
        <w:rPr>
          <w:sz w:val="24"/>
          <w:szCs w:val="24"/>
          <w:vertAlign w:val="superscript"/>
          <w:lang w:val="sr-Cyrl-RS"/>
        </w:rPr>
        <w:footnoteReference w:id="44"/>
      </w:r>
      <w:r w:rsidRPr="00DC2FFD">
        <w:rPr>
          <w:sz w:val="24"/>
          <w:lang w:val="en-GB"/>
        </w:rPr>
        <w:t xml:space="preserve"> also prescribes affirmative measures for employing persons belonging to national minorities; i.e., it prescribes that, if a job position is being filled for which the rulebook on internal organisation and systematisation of job positions states the knowledge of the language and script of a national minority as a special requirements, the advertisement about the public competition shall particularly state this requirement, as well as any written examinations of its fulfilment. It is also prescribed that the selection procedure will give an advantage to an equally qualified candidate who belongs to a national minority which is not sufficiently represented, who has fulfilled the selection criteria with a result which is the best and equal with another candidate, and, with a view to achieving full equality between persons belonging to a national minority and citizens who belong to the majority, if preconditions for giving an advantage to the candidate are provided for in this Act.</w:t>
      </w:r>
    </w:p>
    <w:p w14:paraId="7C7BE44F" w14:textId="31F961C4" w:rsidR="00DC2FFD" w:rsidRPr="00DC2FFD" w:rsidRDefault="00DC2FFD" w:rsidP="00DC2FFD">
      <w:pPr>
        <w:spacing w:after="0"/>
        <w:ind w:firstLine="720"/>
        <w:jc w:val="both"/>
        <w:rPr>
          <w:sz w:val="24"/>
          <w:szCs w:val="24"/>
          <w:lang w:val="en-GB"/>
        </w:rPr>
      </w:pPr>
      <w:r w:rsidRPr="00DC2FFD">
        <w:rPr>
          <w:sz w:val="24"/>
          <w:lang w:val="en-GB"/>
        </w:rPr>
        <w:t>Article 10, paragraph 3 of the Law on Public Service Employees</w:t>
      </w:r>
      <w:r w:rsidRPr="00DC2FFD">
        <w:rPr>
          <w:sz w:val="24"/>
          <w:szCs w:val="24"/>
          <w:vertAlign w:val="superscript"/>
          <w:lang w:val="sr-Cyrl-RS"/>
        </w:rPr>
        <w:footnoteReference w:id="45"/>
      </w:r>
      <w:r w:rsidRPr="00DC2FFD">
        <w:rPr>
          <w:sz w:val="24"/>
          <w:lang w:val="en-GB"/>
        </w:rPr>
        <w:t xml:space="preserve"> prescribes that, with a view to achieving an adequate representation of persons belonging to national minorities, the advantage in employment in public services will primarily be given to equally qualified candidates who belong to national minorities. This provision was first elaborated in the decision from Article 52, according to which the advertisement about the open competition specifically states that a person belonging to a national minority has an advantage in the </w:t>
      </w:r>
      <w:r w:rsidRPr="00DC2FFD">
        <w:rPr>
          <w:sz w:val="24"/>
          <w:lang w:val="en-GB"/>
        </w:rPr>
        <w:lastRenderedPageBreak/>
        <w:t xml:space="preserve">selection process in case of equal evaluation of qualified candidates, if persons belonging to the national minority are insufficiently represented among the employees. The same Article defines that the representation of persons belonging to a national minority among employees is deemed to be insufficient if it is not proportional to their percentage in the population in the territory of the local self-government unit where the public service or its organisation unit is located, in line with the results of the latest census, provided that at least 30% of employees in the seat of the public service or its organisation unit have declared their national affiliation, according to the data from the Registry of Public Administration Employees, in accordance with the law. Adopting the decision on the selection of a candidate, the Selection Panel shall give advantage to equally qualified candidates who are persons belonging to national minorities, with a view to achieving an adequate representation of persons belonging to national minorities and full equality between persons belonging to national minorities and citizens belonging to the majority population. Other provisions of importance to the employment of persons belonging to national minorities in public services are provisions of the Law which concern the knowledge of the languages and scripts of national minorities which are in official use. Namely, pursuant to Article 30 of the Law, the rulebook on the organisation and systematisation of job positions in the public service, </w:t>
      </w:r>
      <w:r w:rsidRPr="00DC2FFD">
        <w:rPr>
          <w:i/>
          <w:iCs/>
          <w:sz w:val="24"/>
          <w:lang w:val="en-GB"/>
        </w:rPr>
        <w:t>inter alia</w:t>
      </w:r>
      <w:r w:rsidRPr="00DC2FFD">
        <w:rPr>
          <w:sz w:val="24"/>
          <w:lang w:val="en-GB"/>
        </w:rPr>
        <w:t xml:space="preserve">, determines the job positions for which a special requirement is knowledge of the language and script of a national minority which is in official use in the territory of the local self-government unit where the seat of the public service/its organisational unit is located. Also, such job positions may only be filled with persons who know the language and script of the national minority which is in official use. If the advertisement of a vacant job position is published by a public service located in the territory of the local self-government unit in which a national minority language is also in official use, the job advertisement shall also be published in one local or </w:t>
      </w:r>
      <w:proofErr w:type="spellStart"/>
      <w:r w:rsidRPr="00DC2FFD">
        <w:rPr>
          <w:sz w:val="24"/>
          <w:lang w:val="en-GB"/>
        </w:rPr>
        <w:t>intermunicipal</w:t>
      </w:r>
      <w:proofErr w:type="spellEnd"/>
      <w:r w:rsidRPr="00DC2FFD">
        <w:rPr>
          <w:sz w:val="24"/>
          <w:lang w:val="en-GB"/>
        </w:rPr>
        <w:t xml:space="preserve"> newspaper published in that language.</w:t>
      </w:r>
    </w:p>
    <w:p w14:paraId="37F2A044" w14:textId="7C03F639" w:rsidR="00DC2FFD" w:rsidRPr="00DC2FFD" w:rsidRDefault="00DC2FFD" w:rsidP="00DC2FFD">
      <w:pPr>
        <w:spacing w:after="0"/>
        <w:ind w:firstLine="720"/>
        <w:jc w:val="both"/>
        <w:rPr>
          <w:sz w:val="24"/>
          <w:szCs w:val="24"/>
          <w:lang w:val="en-GB"/>
        </w:rPr>
      </w:pPr>
      <w:r w:rsidRPr="00DC2FFD">
        <w:rPr>
          <w:sz w:val="24"/>
          <w:lang w:val="en-GB"/>
        </w:rPr>
        <w:t>In order to establish data on the representation of national minorities in the public administration, it is important to note that the appropriate legal amendments have created conditions for their collection. Namely, the Law on the Central Registry of Compulsory Social Insurance</w:t>
      </w:r>
      <w:r w:rsidRPr="00DC2FFD">
        <w:rPr>
          <w:color w:val="333333"/>
          <w:sz w:val="24"/>
          <w:vertAlign w:val="superscript"/>
          <w:lang w:val="en-GB"/>
        </w:rPr>
        <w:footnoteReference w:id="46"/>
      </w:r>
      <w:r w:rsidRPr="00DC2FFD">
        <w:rPr>
          <w:sz w:val="24"/>
          <w:lang w:val="en-GB"/>
        </w:rPr>
        <w:t xml:space="preserve"> prescribes that the Central Registry of Compulsory Social Insurance shall assume the tasks of keeping the Register of Employed, Selected, Appointed and Recruited Persons at the beneficiaries of public funds which, in accordance with the applicable regulations, </w:t>
      </w:r>
      <w:r w:rsidRPr="00DC2FFD">
        <w:rPr>
          <w:i/>
          <w:iCs/>
          <w:sz w:val="24"/>
          <w:lang w:val="en-GB"/>
        </w:rPr>
        <w:t>inter alia</w:t>
      </w:r>
      <w:r w:rsidRPr="00DC2FFD">
        <w:rPr>
          <w:sz w:val="24"/>
          <w:lang w:val="en-GB"/>
        </w:rPr>
        <w:t xml:space="preserve">, the data on the national affiliation and the language in which the elementary education was completed shall be entered, in accordance with the principle of voluntary declaration as prescribed in the Constitution of the Republic of Serbia. The amendments and supplements of the Law on Civil Servants which have applied since 1 January 2019 prescribe that the Central Personnel Registry shall, according to the principle of voluntary declaration, keep data on the national affiliation, as well as the language in which the elementary, secondary and tertiary education was completed. Namely, Article 159 of the Law on Civil Servants prescribes that the Central Personnel Registry is used for human resource management and other purposes concerning labour relations, and that the Central Personnel Registry on civil servants and persons employed in all State bodies shall be maintained by the Human Resource Management Service. Article 160 of this Law prescribes that data on civil servants and persons employed in </w:t>
      </w:r>
      <w:r w:rsidRPr="00DC2FFD">
        <w:rPr>
          <w:sz w:val="24"/>
          <w:lang w:val="en-GB"/>
        </w:rPr>
        <w:lastRenderedPageBreak/>
        <w:t xml:space="preserve">all State bodies shall be entered, concerning, inter alia, national affiliation, if the civil servant or person employed in a State body declares their national affiliation, as well as the language in which they have completed their elementary, secondary and tertiary education. Article 161, paragraph 6 prescribes that the Human Resource Management Service may process the data entered in to the Central Personnel Registry for the purpose of performing tasks from its purview and in accordance with the law governing the protection of personal data. </w:t>
      </w:r>
    </w:p>
    <w:p w14:paraId="71FB1AF4" w14:textId="77777777" w:rsidR="00DC2FFD" w:rsidRPr="00DC2FFD" w:rsidRDefault="00DC2FFD" w:rsidP="00DC2FFD">
      <w:pPr>
        <w:spacing w:after="0"/>
        <w:ind w:firstLine="720"/>
        <w:jc w:val="both"/>
        <w:rPr>
          <w:sz w:val="24"/>
          <w:lang w:val="en-GB"/>
        </w:rPr>
      </w:pPr>
      <w:r w:rsidRPr="00DC2FFD">
        <w:rPr>
          <w:sz w:val="24"/>
          <w:lang w:val="en-GB"/>
        </w:rPr>
        <w:t xml:space="preserve">In early 2021, the Register of employed, elected, appointed and recruited persons within public funds beneficiaries was established in the information system CROSO. Data on the national affiliation, language of the completed elementary education and language of the completed secondary education shall be processed in accordance with the law governing personal data protection. As such data are a special type of personal data, entering such data is optional, and they shall be entered in accordance with a special procedure, and public fund beneficiaries shall submit such data on the facultative basis. The person who is authorised by a public fund beneficiary to enter data into the Register must have a signed explicit consent of the employee for processing such data. When entering data into the Register a person must confirm that they own a signed consent. A signed consent must be kept in the personnel file of the employee. </w:t>
      </w:r>
    </w:p>
    <w:p w14:paraId="49460311" w14:textId="77777777" w:rsidR="00DC2FFD" w:rsidRPr="00DC2FFD" w:rsidRDefault="00DC2FFD" w:rsidP="00DC2FFD">
      <w:pPr>
        <w:spacing w:after="0"/>
        <w:ind w:firstLine="720"/>
        <w:jc w:val="both"/>
        <w:rPr>
          <w:color w:val="333333"/>
          <w:sz w:val="24"/>
          <w:lang w:val="en-GB"/>
        </w:rPr>
      </w:pPr>
      <w:r w:rsidRPr="00DC2FFD">
        <w:rPr>
          <w:color w:val="333333"/>
          <w:sz w:val="24"/>
          <w:lang w:val="en-GB"/>
        </w:rPr>
        <w:t>The Human Resource Management Service maintains the Central Personnel Registry which includes data relating to civil servants and public service employees. One of the data that the Human Resource Management Service keeps on civil servants is about their national affiliation, but only if the civil servant/employee in a State body has voluntarily declared their national affiliation. In December 2019, the Human Resource Management Service, in collaboration with the Ministry of Public Administration and Local Self-Government and the Office for Information Technology and e-Government, with the support of the EU project “Design and implementation of HRMIS for civil servants”, started the development of a new Human Resource Information System in State bodies and bodies of the autonomous provinces and local self-government units, which will contain data on the national affiliation, if the employee voluntarily declares it, as well as the data on the language of that completed elementary, secondary and tertiary education. Activities are currently implemented for the purpose of finalisation of the establishment of the Information System, which may become operational only when it is fully adapted and aligned with the legislative framework, becomes fully secure and when the competent authorities decide that it is fully safe for public use. The Human Resource Information System may be expected to become operational only after 2022.</w:t>
      </w:r>
    </w:p>
    <w:p w14:paraId="1DF089E8" w14:textId="77777777" w:rsidR="00DC2FFD" w:rsidRPr="00DC2FFD" w:rsidRDefault="00DC2FFD" w:rsidP="00DC2FFD">
      <w:pPr>
        <w:spacing w:after="0"/>
        <w:ind w:firstLine="720"/>
        <w:jc w:val="both"/>
        <w:rPr>
          <w:sz w:val="24"/>
          <w:szCs w:val="24"/>
          <w:lang w:val="en-GB"/>
        </w:rPr>
      </w:pPr>
      <w:r w:rsidRPr="00DC2FFD">
        <w:rPr>
          <w:sz w:val="24"/>
          <w:lang w:val="en-GB"/>
        </w:rPr>
        <w:t>In view of the fact that, on the one hand, according to the existing data, a relatively small number of employees of the public administration at the State level of its organisation has declared their national affiliation, which is largely a consequence of the fact that such declaration is voluntary and that it may result in wrong conclusions on the representation of persons belonging to national minorities</w:t>
      </w:r>
      <w:r w:rsidRPr="00DC2FFD">
        <w:rPr>
          <w:color w:val="333333"/>
          <w:sz w:val="24"/>
          <w:lang w:val="en-GB"/>
        </w:rPr>
        <w:t xml:space="preserve">, and that, on the other </w:t>
      </w:r>
      <w:proofErr w:type="spellStart"/>
      <w:r w:rsidRPr="00DC2FFD">
        <w:rPr>
          <w:color w:val="333333"/>
          <w:sz w:val="24"/>
          <w:lang w:val="en-GB"/>
        </w:rPr>
        <w:t>hand,</w:t>
      </w:r>
      <w:r w:rsidRPr="00DC2FFD">
        <w:rPr>
          <w:sz w:val="24"/>
          <w:lang w:val="en-GB"/>
        </w:rPr>
        <w:t>the</w:t>
      </w:r>
      <w:proofErr w:type="spellEnd"/>
      <w:r w:rsidRPr="00DC2FFD">
        <w:rPr>
          <w:sz w:val="24"/>
          <w:lang w:val="en-GB"/>
        </w:rPr>
        <w:t xml:space="preserve"> Action Plan for the exercise of the rights of persons belonging to national minorities, prescribes the development of an Analysis of the situation with a view to defining the criteria for prescribing the appropriate representation of national minorities in certain parts of the public sector, a special project titled “Support to affirmative measures for the employment of national minorities in the public sector” was executed. The project was executed with the resources from the IPA funds, where the beneficiary of the resources was the Ministry of Public Administration and Local Self-</w:t>
      </w:r>
      <w:r w:rsidRPr="00DC2FFD">
        <w:rPr>
          <w:sz w:val="24"/>
          <w:lang w:val="en-GB"/>
        </w:rPr>
        <w:lastRenderedPageBreak/>
        <w:t xml:space="preserve">Government. The project </w:t>
      </w:r>
      <w:proofErr w:type="spellStart"/>
      <w:r w:rsidRPr="00DC2FFD">
        <w:rPr>
          <w:sz w:val="24"/>
          <w:lang w:val="en-GB"/>
        </w:rPr>
        <w:t>implementor</w:t>
      </w:r>
      <w:proofErr w:type="spellEnd"/>
      <w:r w:rsidRPr="00DC2FFD">
        <w:rPr>
          <w:sz w:val="24"/>
          <w:lang w:val="en-GB"/>
        </w:rPr>
        <w:t xml:space="preserve"> was GFA Consulting Group GmbH, and its partners were the Ministry of Justice, Ministry of Labour, Employment and Social Affairs, Ministry of Interior, Ministry of Finance, Ministry of Health, Ministry of Education, Science and Technological Development. The period of the execution of the project was from November 2018 to November 2019. The project value was 300,000 EUR.</w:t>
      </w:r>
    </w:p>
    <w:p w14:paraId="2FE73DE2" w14:textId="77777777" w:rsidR="00DC2FFD" w:rsidRPr="00DC2FFD" w:rsidRDefault="00DC2FFD" w:rsidP="00DC2FFD">
      <w:pPr>
        <w:spacing w:after="0"/>
        <w:ind w:firstLine="720"/>
        <w:jc w:val="both"/>
        <w:rPr>
          <w:sz w:val="24"/>
          <w:szCs w:val="24"/>
          <w:lang w:val="en-GB"/>
        </w:rPr>
      </w:pPr>
      <w:r w:rsidRPr="00DC2FFD">
        <w:rPr>
          <w:sz w:val="24"/>
          <w:lang w:val="en-GB"/>
        </w:rPr>
        <w:t>The results of the project which will be implemented in the upcoming period are:</w:t>
      </w:r>
    </w:p>
    <w:p w14:paraId="553DCE35" w14:textId="77777777" w:rsidR="00DC2FFD" w:rsidRPr="00DC2FFD" w:rsidRDefault="00DC2FFD" w:rsidP="00DC2FFD">
      <w:pPr>
        <w:spacing w:after="0"/>
        <w:ind w:firstLine="720"/>
        <w:jc w:val="both"/>
        <w:rPr>
          <w:sz w:val="24"/>
          <w:szCs w:val="24"/>
          <w:lang w:val="en-GB"/>
        </w:rPr>
      </w:pPr>
      <w:r w:rsidRPr="00DC2FFD">
        <w:rPr>
          <w:sz w:val="24"/>
          <w:lang w:val="en-GB"/>
        </w:rPr>
        <w:t>- Analysis of the best practice in five selected EU countries in terms of the employment of persons belonging to national minorities and implementation of affirmative measures for their employment</w:t>
      </w:r>
    </w:p>
    <w:p w14:paraId="3F1CAF8E" w14:textId="77777777" w:rsidR="00DC2FFD" w:rsidRPr="00DC2FFD" w:rsidRDefault="00DC2FFD" w:rsidP="00DC2FFD">
      <w:pPr>
        <w:widowControl w:val="0"/>
        <w:spacing w:after="0"/>
        <w:jc w:val="both"/>
        <w:rPr>
          <w:sz w:val="24"/>
          <w:szCs w:val="24"/>
          <w:lang w:val="en-GB"/>
        </w:rPr>
      </w:pPr>
      <w:r w:rsidRPr="00DC2FFD">
        <w:rPr>
          <w:sz w:val="24"/>
          <w:lang w:val="en-GB"/>
        </w:rPr>
        <w:tab/>
        <w:t>- Analysis of the legal framework in the Republic of Serbia which regulates employment and the legal status of employees who belong to the national minorities in the public sector;</w:t>
      </w:r>
    </w:p>
    <w:p w14:paraId="4A87AE6E" w14:textId="77777777" w:rsidR="00DC2FFD" w:rsidRPr="00DC2FFD" w:rsidRDefault="00DC2FFD" w:rsidP="00DC2FFD">
      <w:pPr>
        <w:widowControl w:val="0"/>
        <w:spacing w:after="0"/>
        <w:jc w:val="both"/>
        <w:rPr>
          <w:sz w:val="24"/>
          <w:szCs w:val="24"/>
          <w:lang w:val="en-GB"/>
        </w:rPr>
      </w:pPr>
      <w:r w:rsidRPr="00DC2FFD">
        <w:rPr>
          <w:sz w:val="24"/>
          <w:lang w:val="en-GB"/>
        </w:rPr>
        <w:tab/>
        <w:t>- Development of a methodology for the implementation of a situation analysis as regards the number of employed persons belonging to national minorities in the State administration bodies;</w:t>
      </w:r>
    </w:p>
    <w:p w14:paraId="523B959D" w14:textId="77777777" w:rsidR="00DC2FFD" w:rsidRPr="00DC2FFD" w:rsidRDefault="00DC2FFD" w:rsidP="00DC2FFD">
      <w:pPr>
        <w:widowControl w:val="0"/>
        <w:tabs>
          <w:tab w:val="left" w:pos="426"/>
        </w:tabs>
        <w:spacing w:after="0"/>
        <w:jc w:val="both"/>
        <w:rPr>
          <w:sz w:val="24"/>
          <w:szCs w:val="24"/>
          <w:lang w:val="en-GB"/>
        </w:rPr>
      </w:pPr>
      <w:r w:rsidRPr="00DC2FFD">
        <w:rPr>
          <w:sz w:val="24"/>
          <w:lang w:val="en-GB"/>
        </w:rPr>
        <w:tab/>
      </w:r>
      <w:r w:rsidRPr="00DC2FFD">
        <w:rPr>
          <w:sz w:val="24"/>
          <w:lang w:val="en-GB"/>
        </w:rPr>
        <w:tab/>
        <w:t>- Proposed criteria and standards which define the adequate representation of persons belonging to national minorities in State administration bodies;</w:t>
      </w:r>
    </w:p>
    <w:p w14:paraId="52E79834" w14:textId="77777777" w:rsidR="00DC2FFD" w:rsidRPr="00DC2FFD" w:rsidRDefault="00DC2FFD" w:rsidP="00DC2FFD">
      <w:pPr>
        <w:widowControl w:val="0"/>
        <w:spacing w:after="0"/>
        <w:jc w:val="both"/>
        <w:rPr>
          <w:sz w:val="24"/>
          <w:szCs w:val="24"/>
          <w:lang w:val="en-GB"/>
        </w:rPr>
      </w:pPr>
      <w:r w:rsidRPr="00DC2FFD">
        <w:rPr>
          <w:sz w:val="24"/>
          <w:lang w:val="en-GB"/>
        </w:rPr>
        <w:tab/>
        <w:t xml:space="preserve">- Recommendations for the improvement of the existing legal framework. </w:t>
      </w:r>
    </w:p>
    <w:p w14:paraId="19C6D983" w14:textId="77777777" w:rsidR="00DC2FFD" w:rsidRPr="00DC2FFD" w:rsidRDefault="00DC2FFD" w:rsidP="00DC2FFD">
      <w:pPr>
        <w:widowControl w:val="0"/>
        <w:tabs>
          <w:tab w:val="left" w:pos="3154"/>
        </w:tabs>
        <w:spacing w:after="0"/>
        <w:jc w:val="both"/>
        <w:rPr>
          <w:sz w:val="24"/>
          <w:szCs w:val="24"/>
          <w:lang w:val="sr-Cyrl-RS"/>
        </w:rPr>
      </w:pPr>
    </w:p>
    <w:p w14:paraId="7C93292A" w14:textId="77777777" w:rsidR="00DC2FFD" w:rsidRPr="00DC2FFD" w:rsidRDefault="00DC2FFD" w:rsidP="00DC2FFD">
      <w:pPr>
        <w:widowControl w:val="0"/>
        <w:spacing w:after="0" w:line="266" w:lineRule="auto"/>
        <w:jc w:val="both"/>
        <w:rPr>
          <w:sz w:val="24"/>
          <w:szCs w:val="24"/>
          <w:lang w:val="en-GB"/>
        </w:rPr>
      </w:pPr>
      <w:r w:rsidRPr="00DC2FFD">
        <w:rPr>
          <w:sz w:val="24"/>
          <w:lang w:val="en-GB"/>
        </w:rPr>
        <w:tab/>
        <w:t>As regards the collection of data on the representation of persons belonging to national minorities at the provincial level of the public administration organisation, it should be noted, first and foremost, that the amendments and supplements to the Law on Employees in the Autonomous Provinces and Local Self-government Units,</w:t>
      </w:r>
      <w:r w:rsidRPr="00DC2FFD">
        <w:rPr>
          <w:sz w:val="24"/>
          <w:szCs w:val="24"/>
          <w:vertAlign w:val="superscript"/>
          <w:lang w:val="sr-Cyrl-RS"/>
        </w:rPr>
        <w:footnoteReference w:id="47"/>
      </w:r>
      <w:r w:rsidRPr="00DC2FFD">
        <w:rPr>
          <w:sz w:val="24"/>
          <w:lang w:val="en-GB"/>
        </w:rPr>
        <w:t xml:space="preserve"> which have applied since 1 January 2019, prescribe that bodies of the autonomous provinces and LSGUs will use the Central Personnel Registry of State authorities to maintain the personnel registry of their employees, as well as that the Human Resource Management Service, upon a request of the Ministry of Public Administration and Local Self-Government, will be able to process these data. Namely, Article 190 paragraphs 8 and 9 of this Law prescribe that bodies of the autonomous province, i.e., local self-government units, shall use the Central Personnel Registry of state authorities as an information system for keeping a </w:t>
      </w:r>
      <w:proofErr w:type="gramStart"/>
      <w:r w:rsidRPr="00DC2FFD">
        <w:rPr>
          <w:sz w:val="24"/>
          <w:lang w:val="en-GB"/>
        </w:rPr>
        <w:t>personnel  registry</w:t>
      </w:r>
      <w:proofErr w:type="gramEnd"/>
      <w:r w:rsidRPr="00DC2FFD">
        <w:rPr>
          <w:sz w:val="24"/>
          <w:lang w:val="en-GB"/>
        </w:rPr>
        <w:t xml:space="preserve"> of its employees, in accordance with the law. The Human Resource Management Service, upon a proposal of the ministry in charge of the local self-government affairs, may process the data entered into the personnel registry of local self-government units for the purpose of performing tasks within the purview of the ministry, and in accordance with the law governing personal data protection. </w:t>
      </w:r>
    </w:p>
    <w:p w14:paraId="349F2167" w14:textId="77777777" w:rsidR="00DC2FFD" w:rsidRPr="00DC2FFD" w:rsidRDefault="00DC2FFD" w:rsidP="00DC2FFD">
      <w:pPr>
        <w:widowControl w:val="0"/>
        <w:spacing w:after="0" w:line="266" w:lineRule="auto"/>
        <w:ind w:firstLine="720"/>
        <w:jc w:val="both"/>
        <w:rPr>
          <w:sz w:val="24"/>
          <w:szCs w:val="24"/>
          <w:lang w:val="en-GB"/>
        </w:rPr>
      </w:pPr>
      <w:proofErr w:type="spellStart"/>
      <w:r w:rsidRPr="00DC2FFD">
        <w:rPr>
          <w:sz w:val="24"/>
          <w:lang w:val="en-GB"/>
        </w:rPr>
        <w:t>Percentual</w:t>
      </w:r>
      <w:proofErr w:type="spellEnd"/>
      <w:r w:rsidRPr="00DC2FFD">
        <w:rPr>
          <w:sz w:val="24"/>
          <w:lang w:val="en-GB"/>
        </w:rPr>
        <w:t xml:space="preserve"> data on the national structure of the employees in provincial bodies and expert services of the provincial government of the AP </w:t>
      </w:r>
      <w:proofErr w:type="spellStart"/>
      <w:r w:rsidRPr="00DC2FFD">
        <w:rPr>
          <w:sz w:val="24"/>
          <w:lang w:val="en-GB"/>
        </w:rPr>
        <w:t>Vojvodina</w:t>
      </w:r>
      <w:proofErr w:type="spellEnd"/>
      <w:r w:rsidRPr="00DC2FFD">
        <w:rPr>
          <w:sz w:val="24"/>
          <w:lang w:val="en-GB"/>
        </w:rPr>
        <w:t>, as of 31 March 2022, are provided in the table below.</w:t>
      </w:r>
    </w:p>
    <w:p w14:paraId="57D12AAF" w14:textId="77777777" w:rsidR="00DC2FFD" w:rsidRPr="00DC2FFD" w:rsidRDefault="00DC2FFD" w:rsidP="00DC2FFD">
      <w:pPr>
        <w:widowControl w:val="0"/>
        <w:tabs>
          <w:tab w:val="left" w:pos="3154"/>
        </w:tabs>
        <w:spacing w:after="0" w:line="266" w:lineRule="auto"/>
        <w:ind w:left="360"/>
        <w:jc w:val="both"/>
        <w:rPr>
          <w:lang w:val="sr-Cyrl-RS"/>
        </w:rPr>
      </w:pPr>
    </w:p>
    <w:tbl>
      <w:tblPr>
        <w:tblStyle w:val="TableGrid"/>
        <w:tblW w:w="0" w:type="auto"/>
        <w:tblLook w:val="04A0" w:firstRow="1" w:lastRow="0" w:firstColumn="1" w:lastColumn="0" w:noHBand="0" w:noVBand="1"/>
      </w:tblPr>
      <w:tblGrid>
        <w:gridCol w:w="3005"/>
        <w:gridCol w:w="3005"/>
        <w:gridCol w:w="3006"/>
      </w:tblGrid>
      <w:tr w:rsidR="00DC2FFD" w:rsidRPr="00DC2FFD" w14:paraId="177DA0CB" w14:textId="77777777" w:rsidTr="00296435">
        <w:tc>
          <w:tcPr>
            <w:tcW w:w="3005" w:type="dxa"/>
          </w:tcPr>
          <w:p w14:paraId="0E5F533E" w14:textId="77777777" w:rsidR="00DC2FFD" w:rsidRPr="00DC2FFD" w:rsidRDefault="00DC2FFD" w:rsidP="00DC2FFD">
            <w:pPr>
              <w:spacing w:after="0"/>
              <w:jc w:val="center"/>
              <w:rPr>
                <w:rFonts w:eastAsia="Times New Roman"/>
                <w:bCs/>
                <w:sz w:val="20"/>
                <w:szCs w:val="20"/>
                <w:lang w:val="en-GB"/>
              </w:rPr>
            </w:pPr>
            <w:r w:rsidRPr="00DC2FFD">
              <w:rPr>
                <w:sz w:val="20"/>
                <w:lang w:val="en-GB"/>
              </w:rPr>
              <w:t>National affiliation</w:t>
            </w:r>
          </w:p>
        </w:tc>
        <w:tc>
          <w:tcPr>
            <w:tcW w:w="3005" w:type="dxa"/>
          </w:tcPr>
          <w:p w14:paraId="7A0938ED" w14:textId="77777777" w:rsidR="00DC2FFD" w:rsidRPr="00DC2FFD" w:rsidRDefault="00DC2FFD" w:rsidP="00DC2FFD">
            <w:pPr>
              <w:spacing w:after="0"/>
              <w:jc w:val="center"/>
              <w:rPr>
                <w:sz w:val="20"/>
                <w:szCs w:val="20"/>
                <w:lang w:val="en-GB"/>
              </w:rPr>
            </w:pPr>
            <w:r w:rsidRPr="00DC2FFD">
              <w:rPr>
                <w:sz w:val="20"/>
                <w:lang w:val="en-GB"/>
              </w:rPr>
              <w:t>Percentage according to the 2011 status</w:t>
            </w:r>
          </w:p>
        </w:tc>
        <w:tc>
          <w:tcPr>
            <w:tcW w:w="3006" w:type="dxa"/>
          </w:tcPr>
          <w:p w14:paraId="4ED9E045" w14:textId="77777777" w:rsidR="00DC2FFD" w:rsidRPr="00DC2FFD" w:rsidRDefault="00DC2FFD" w:rsidP="00DC2FFD">
            <w:pPr>
              <w:spacing w:after="0"/>
              <w:jc w:val="center"/>
              <w:rPr>
                <w:sz w:val="20"/>
                <w:szCs w:val="20"/>
                <w:lang w:val="en-GB"/>
              </w:rPr>
            </w:pPr>
            <w:r w:rsidRPr="00DC2FFD">
              <w:rPr>
                <w:sz w:val="20"/>
                <w:lang w:val="en-GB"/>
              </w:rPr>
              <w:t>Aggregate percentage for all authorities and expert services</w:t>
            </w:r>
          </w:p>
        </w:tc>
      </w:tr>
      <w:tr w:rsidR="00DC2FFD" w:rsidRPr="00DC2FFD" w14:paraId="21574E55" w14:textId="77777777" w:rsidTr="00296435">
        <w:tc>
          <w:tcPr>
            <w:tcW w:w="3005" w:type="dxa"/>
          </w:tcPr>
          <w:p w14:paraId="498E4A89" w14:textId="77777777" w:rsidR="00DC2FFD" w:rsidRPr="00DC2FFD" w:rsidRDefault="00DC2FFD" w:rsidP="00DC2FFD">
            <w:pPr>
              <w:spacing w:after="0"/>
              <w:rPr>
                <w:sz w:val="20"/>
                <w:szCs w:val="20"/>
                <w:lang w:val="en-GB"/>
              </w:rPr>
            </w:pPr>
            <w:r w:rsidRPr="00DC2FFD">
              <w:rPr>
                <w:sz w:val="20"/>
                <w:lang w:val="en-GB"/>
              </w:rPr>
              <w:t>Serbs</w:t>
            </w:r>
          </w:p>
        </w:tc>
        <w:tc>
          <w:tcPr>
            <w:tcW w:w="3005" w:type="dxa"/>
          </w:tcPr>
          <w:p w14:paraId="72CE4BD9" w14:textId="77777777" w:rsidR="00DC2FFD" w:rsidRPr="00DC2FFD" w:rsidRDefault="00DC2FFD" w:rsidP="00DC2FFD">
            <w:pPr>
              <w:spacing w:after="0"/>
              <w:jc w:val="center"/>
              <w:rPr>
                <w:sz w:val="20"/>
                <w:szCs w:val="20"/>
                <w:lang w:val="en-GB"/>
              </w:rPr>
            </w:pPr>
            <w:r w:rsidRPr="00DC2FFD">
              <w:rPr>
                <w:sz w:val="20"/>
                <w:lang w:val="en-GB"/>
              </w:rPr>
              <w:t>66.76</w:t>
            </w:r>
          </w:p>
        </w:tc>
        <w:tc>
          <w:tcPr>
            <w:tcW w:w="3006" w:type="dxa"/>
          </w:tcPr>
          <w:p w14:paraId="6F40BB1E" w14:textId="77777777" w:rsidR="00DC2FFD" w:rsidRPr="00DC2FFD" w:rsidRDefault="00DC2FFD" w:rsidP="00DC2FFD">
            <w:pPr>
              <w:spacing w:after="0"/>
              <w:jc w:val="center"/>
              <w:rPr>
                <w:sz w:val="20"/>
                <w:szCs w:val="20"/>
                <w:lang w:val="en-GB"/>
              </w:rPr>
            </w:pPr>
            <w:r w:rsidRPr="00DC2FFD">
              <w:rPr>
                <w:sz w:val="20"/>
                <w:lang w:val="en-GB"/>
              </w:rPr>
              <w:t>73.40</w:t>
            </w:r>
          </w:p>
        </w:tc>
      </w:tr>
      <w:tr w:rsidR="00DC2FFD" w:rsidRPr="00DC2FFD" w14:paraId="4F2943AC" w14:textId="77777777" w:rsidTr="00296435">
        <w:tc>
          <w:tcPr>
            <w:tcW w:w="3005" w:type="dxa"/>
          </w:tcPr>
          <w:p w14:paraId="2D64E407" w14:textId="77777777" w:rsidR="00DC2FFD" w:rsidRPr="00DC2FFD" w:rsidRDefault="00DC2FFD" w:rsidP="00DC2FFD">
            <w:pPr>
              <w:spacing w:after="0"/>
              <w:rPr>
                <w:sz w:val="20"/>
                <w:szCs w:val="20"/>
                <w:lang w:val="en-GB"/>
              </w:rPr>
            </w:pPr>
            <w:r w:rsidRPr="00DC2FFD">
              <w:rPr>
                <w:sz w:val="20"/>
                <w:lang w:val="en-GB"/>
              </w:rPr>
              <w:t>Albanians</w:t>
            </w:r>
          </w:p>
        </w:tc>
        <w:tc>
          <w:tcPr>
            <w:tcW w:w="3005" w:type="dxa"/>
          </w:tcPr>
          <w:p w14:paraId="128CAF85" w14:textId="77777777" w:rsidR="00DC2FFD" w:rsidRPr="00DC2FFD" w:rsidRDefault="00DC2FFD" w:rsidP="00DC2FFD">
            <w:pPr>
              <w:spacing w:after="0"/>
              <w:jc w:val="center"/>
              <w:rPr>
                <w:sz w:val="20"/>
                <w:szCs w:val="20"/>
                <w:lang w:val="en-GB"/>
              </w:rPr>
            </w:pPr>
            <w:r w:rsidRPr="00DC2FFD">
              <w:rPr>
                <w:sz w:val="20"/>
                <w:lang w:val="en-GB"/>
              </w:rPr>
              <w:t>0.12</w:t>
            </w:r>
          </w:p>
        </w:tc>
        <w:tc>
          <w:tcPr>
            <w:tcW w:w="3006" w:type="dxa"/>
          </w:tcPr>
          <w:p w14:paraId="3A364607" w14:textId="77777777" w:rsidR="00DC2FFD" w:rsidRPr="00DC2FFD" w:rsidRDefault="00DC2FFD" w:rsidP="00DC2FFD">
            <w:pPr>
              <w:spacing w:after="0"/>
              <w:jc w:val="center"/>
              <w:rPr>
                <w:sz w:val="20"/>
                <w:szCs w:val="20"/>
                <w:lang w:val="en-GB"/>
              </w:rPr>
            </w:pPr>
            <w:r w:rsidRPr="00DC2FFD">
              <w:rPr>
                <w:sz w:val="20"/>
                <w:lang w:val="en-GB"/>
              </w:rPr>
              <w:t>0.00</w:t>
            </w:r>
          </w:p>
        </w:tc>
      </w:tr>
      <w:tr w:rsidR="00DC2FFD" w:rsidRPr="00DC2FFD" w14:paraId="092FC52A" w14:textId="77777777" w:rsidTr="00296435">
        <w:tc>
          <w:tcPr>
            <w:tcW w:w="3005" w:type="dxa"/>
          </w:tcPr>
          <w:p w14:paraId="7D16021C" w14:textId="77777777" w:rsidR="00DC2FFD" w:rsidRPr="00DC2FFD" w:rsidRDefault="00DC2FFD" w:rsidP="00DC2FFD">
            <w:pPr>
              <w:spacing w:after="0"/>
              <w:rPr>
                <w:sz w:val="20"/>
                <w:szCs w:val="20"/>
                <w:lang w:val="en-GB"/>
              </w:rPr>
            </w:pPr>
            <w:proofErr w:type="spellStart"/>
            <w:r w:rsidRPr="00DC2FFD">
              <w:rPr>
                <w:sz w:val="20"/>
                <w:lang w:val="en-GB"/>
              </w:rPr>
              <w:t>Bosniaks</w:t>
            </w:r>
            <w:proofErr w:type="spellEnd"/>
          </w:p>
        </w:tc>
        <w:tc>
          <w:tcPr>
            <w:tcW w:w="3005" w:type="dxa"/>
          </w:tcPr>
          <w:p w14:paraId="505BEA33" w14:textId="77777777" w:rsidR="00DC2FFD" w:rsidRPr="00DC2FFD" w:rsidRDefault="00DC2FFD" w:rsidP="00DC2FFD">
            <w:pPr>
              <w:spacing w:after="0"/>
              <w:jc w:val="center"/>
              <w:rPr>
                <w:sz w:val="20"/>
                <w:szCs w:val="20"/>
                <w:lang w:val="en-GB"/>
              </w:rPr>
            </w:pPr>
            <w:r w:rsidRPr="00DC2FFD">
              <w:rPr>
                <w:sz w:val="20"/>
                <w:lang w:val="en-GB"/>
              </w:rPr>
              <w:t>0.04</w:t>
            </w:r>
          </w:p>
        </w:tc>
        <w:tc>
          <w:tcPr>
            <w:tcW w:w="3006" w:type="dxa"/>
          </w:tcPr>
          <w:p w14:paraId="71349472" w14:textId="77777777" w:rsidR="00DC2FFD" w:rsidRPr="00DC2FFD" w:rsidRDefault="00DC2FFD" w:rsidP="00DC2FFD">
            <w:pPr>
              <w:spacing w:after="0"/>
              <w:jc w:val="center"/>
              <w:rPr>
                <w:sz w:val="20"/>
                <w:szCs w:val="20"/>
                <w:lang w:val="en-GB"/>
              </w:rPr>
            </w:pPr>
            <w:r w:rsidRPr="00DC2FFD">
              <w:rPr>
                <w:sz w:val="20"/>
                <w:lang w:val="en-GB"/>
              </w:rPr>
              <w:t>0.00</w:t>
            </w:r>
          </w:p>
        </w:tc>
      </w:tr>
      <w:tr w:rsidR="00DC2FFD" w:rsidRPr="00DC2FFD" w14:paraId="28C67F5D" w14:textId="77777777" w:rsidTr="00296435">
        <w:tc>
          <w:tcPr>
            <w:tcW w:w="3005" w:type="dxa"/>
          </w:tcPr>
          <w:p w14:paraId="08AB9788" w14:textId="77777777" w:rsidR="00DC2FFD" w:rsidRPr="00DC2FFD" w:rsidRDefault="00DC2FFD" w:rsidP="00DC2FFD">
            <w:pPr>
              <w:spacing w:after="0"/>
              <w:rPr>
                <w:sz w:val="20"/>
                <w:szCs w:val="20"/>
                <w:lang w:val="en-GB"/>
              </w:rPr>
            </w:pPr>
            <w:r w:rsidRPr="00DC2FFD">
              <w:rPr>
                <w:sz w:val="20"/>
                <w:lang w:val="en-GB"/>
              </w:rPr>
              <w:t>Bulgarians</w:t>
            </w:r>
          </w:p>
        </w:tc>
        <w:tc>
          <w:tcPr>
            <w:tcW w:w="3005" w:type="dxa"/>
          </w:tcPr>
          <w:p w14:paraId="39E0E385" w14:textId="77777777" w:rsidR="00DC2FFD" w:rsidRPr="00DC2FFD" w:rsidRDefault="00DC2FFD" w:rsidP="00DC2FFD">
            <w:pPr>
              <w:spacing w:after="0"/>
              <w:jc w:val="center"/>
              <w:rPr>
                <w:sz w:val="20"/>
                <w:szCs w:val="20"/>
                <w:lang w:val="en-GB"/>
              </w:rPr>
            </w:pPr>
            <w:r w:rsidRPr="00DC2FFD">
              <w:rPr>
                <w:sz w:val="20"/>
                <w:lang w:val="en-GB"/>
              </w:rPr>
              <w:t>0.08</w:t>
            </w:r>
          </w:p>
        </w:tc>
        <w:tc>
          <w:tcPr>
            <w:tcW w:w="3006" w:type="dxa"/>
          </w:tcPr>
          <w:p w14:paraId="0385381E" w14:textId="77777777" w:rsidR="00DC2FFD" w:rsidRPr="00DC2FFD" w:rsidRDefault="00DC2FFD" w:rsidP="00DC2FFD">
            <w:pPr>
              <w:spacing w:after="0"/>
              <w:jc w:val="center"/>
              <w:rPr>
                <w:sz w:val="20"/>
                <w:szCs w:val="20"/>
                <w:lang w:val="en-GB"/>
              </w:rPr>
            </w:pPr>
            <w:r w:rsidRPr="00DC2FFD">
              <w:rPr>
                <w:sz w:val="20"/>
                <w:lang w:val="en-GB"/>
              </w:rPr>
              <w:t>0.00</w:t>
            </w:r>
          </w:p>
        </w:tc>
      </w:tr>
      <w:tr w:rsidR="00DC2FFD" w:rsidRPr="00DC2FFD" w14:paraId="79BC3BD4" w14:textId="77777777" w:rsidTr="00296435">
        <w:tc>
          <w:tcPr>
            <w:tcW w:w="3005" w:type="dxa"/>
          </w:tcPr>
          <w:p w14:paraId="6210C98E" w14:textId="77777777" w:rsidR="00DC2FFD" w:rsidRPr="00DC2FFD" w:rsidRDefault="00DC2FFD" w:rsidP="00DC2FFD">
            <w:pPr>
              <w:spacing w:after="0"/>
              <w:rPr>
                <w:sz w:val="20"/>
                <w:szCs w:val="20"/>
                <w:lang w:val="en-GB"/>
              </w:rPr>
            </w:pPr>
            <w:proofErr w:type="spellStart"/>
            <w:r w:rsidRPr="00DC2FFD">
              <w:rPr>
                <w:sz w:val="20"/>
                <w:lang w:val="en-GB"/>
              </w:rPr>
              <w:lastRenderedPageBreak/>
              <w:t>Bunjevci</w:t>
            </w:r>
            <w:proofErr w:type="spellEnd"/>
          </w:p>
        </w:tc>
        <w:tc>
          <w:tcPr>
            <w:tcW w:w="3005" w:type="dxa"/>
          </w:tcPr>
          <w:p w14:paraId="39114452" w14:textId="77777777" w:rsidR="00DC2FFD" w:rsidRPr="00DC2FFD" w:rsidRDefault="00DC2FFD" w:rsidP="00DC2FFD">
            <w:pPr>
              <w:spacing w:after="0"/>
              <w:jc w:val="center"/>
              <w:rPr>
                <w:sz w:val="20"/>
                <w:szCs w:val="20"/>
                <w:lang w:val="en-GB"/>
              </w:rPr>
            </w:pPr>
            <w:r w:rsidRPr="00DC2FFD">
              <w:rPr>
                <w:sz w:val="20"/>
                <w:lang w:val="en-GB"/>
              </w:rPr>
              <w:t>0.85</w:t>
            </w:r>
          </w:p>
        </w:tc>
        <w:tc>
          <w:tcPr>
            <w:tcW w:w="3006" w:type="dxa"/>
          </w:tcPr>
          <w:p w14:paraId="6676E1AB" w14:textId="77777777" w:rsidR="00DC2FFD" w:rsidRPr="00DC2FFD" w:rsidRDefault="00DC2FFD" w:rsidP="00DC2FFD">
            <w:pPr>
              <w:spacing w:after="0"/>
              <w:jc w:val="center"/>
              <w:rPr>
                <w:sz w:val="20"/>
                <w:szCs w:val="20"/>
                <w:lang w:val="en-GB"/>
              </w:rPr>
            </w:pPr>
            <w:r w:rsidRPr="00DC2FFD">
              <w:rPr>
                <w:sz w:val="20"/>
                <w:lang w:val="en-GB"/>
              </w:rPr>
              <w:t>0.20</w:t>
            </w:r>
          </w:p>
        </w:tc>
      </w:tr>
      <w:tr w:rsidR="00DC2FFD" w:rsidRPr="00DC2FFD" w14:paraId="43F74069" w14:textId="77777777" w:rsidTr="00296435">
        <w:tc>
          <w:tcPr>
            <w:tcW w:w="3005" w:type="dxa"/>
          </w:tcPr>
          <w:p w14:paraId="455024A2" w14:textId="77777777" w:rsidR="00DC2FFD" w:rsidRPr="00DC2FFD" w:rsidRDefault="00DC2FFD" w:rsidP="00DC2FFD">
            <w:pPr>
              <w:spacing w:after="0"/>
              <w:rPr>
                <w:sz w:val="20"/>
                <w:szCs w:val="20"/>
                <w:lang w:val="en-GB"/>
              </w:rPr>
            </w:pPr>
            <w:proofErr w:type="spellStart"/>
            <w:r w:rsidRPr="00DC2FFD">
              <w:rPr>
                <w:sz w:val="20"/>
                <w:lang w:val="en-GB"/>
              </w:rPr>
              <w:t>Vlachs</w:t>
            </w:r>
            <w:proofErr w:type="spellEnd"/>
          </w:p>
        </w:tc>
        <w:tc>
          <w:tcPr>
            <w:tcW w:w="3005" w:type="dxa"/>
          </w:tcPr>
          <w:p w14:paraId="2E9A34FE" w14:textId="77777777" w:rsidR="00DC2FFD" w:rsidRPr="00DC2FFD" w:rsidRDefault="00DC2FFD" w:rsidP="00DC2FFD">
            <w:pPr>
              <w:spacing w:after="0"/>
              <w:jc w:val="center"/>
              <w:rPr>
                <w:sz w:val="20"/>
                <w:szCs w:val="20"/>
                <w:lang w:val="en-GB"/>
              </w:rPr>
            </w:pPr>
            <w:r w:rsidRPr="00DC2FFD">
              <w:rPr>
                <w:sz w:val="20"/>
                <w:lang w:val="en-GB"/>
              </w:rPr>
              <w:t>0.85</w:t>
            </w:r>
          </w:p>
        </w:tc>
        <w:tc>
          <w:tcPr>
            <w:tcW w:w="3006" w:type="dxa"/>
          </w:tcPr>
          <w:p w14:paraId="6CEFBB74" w14:textId="77777777" w:rsidR="00DC2FFD" w:rsidRPr="00DC2FFD" w:rsidRDefault="00DC2FFD" w:rsidP="00DC2FFD">
            <w:pPr>
              <w:spacing w:after="0"/>
              <w:jc w:val="center"/>
              <w:rPr>
                <w:sz w:val="20"/>
                <w:szCs w:val="20"/>
                <w:lang w:val="en-GB"/>
              </w:rPr>
            </w:pPr>
            <w:r w:rsidRPr="00DC2FFD">
              <w:rPr>
                <w:sz w:val="20"/>
                <w:lang w:val="en-GB"/>
              </w:rPr>
              <w:t>0.00</w:t>
            </w:r>
          </w:p>
        </w:tc>
      </w:tr>
      <w:tr w:rsidR="00DC2FFD" w:rsidRPr="00DC2FFD" w14:paraId="5F464E5A" w14:textId="77777777" w:rsidTr="00296435">
        <w:tc>
          <w:tcPr>
            <w:tcW w:w="3005" w:type="dxa"/>
          </w:tcPr>
          <w:p w14:paraId="7F6ECBF1" w14:textId="77777777" w:rsidR="00DC2FFD" w:rsidRPr="00DC2FFD" w:rsidRDefault="00DC2FFD" w:rsidP="00DC2FFD">
            <w:pPr>
              <w:spacing w:after="0"/>
              <w:rPr>
                <w:sz w:val="20"/>
                <w:szCs w:val="20"/>
                <w:lang w:val="en-GB"/>
              </w:rPr>
            </w:pPr>
            <w:r w:rsidRPr="00DC2FFD">
              <w:rPr>
                <w:sz w:val="20"/>
                <w:lang w:val="en-GB"/>
              </w:rPr>
              <w:t>Hungarians</w:t>
            </w:r>
          </w:p>
        </w:tc>
        <w:tc>
          <w:tcPr>
            <w:tcW w:w="3005" w:type="dxa"/>
          </w:tcPr>
          <w:p w14:paraId="5892C78C" w14:textId="77777777" w:rsidR="00DC2FFD" w:rsidRPr="00DC2FFD" w:rsidRDefault="00DC2FFD" w:rsidP="00DC2FFD">
            <w:pPr>
              <w:spacing w:after="0"/>
              <w:jc w:val="center"/>
              <w:rPr>
                <w:sz w:val="20"/>
                <w:szCs w:val="20"/>
                <w:lang w:val="en-GB"/>
              </w:rPr>
            </w:pPr>
            <w:r w:rsidRPr="00DC2FFD">
              <w:rPr>
                <w:sz w:val="20"/>
                <w:lang w:val="en-GB"/>
              </w:rPr>
              <w:t>13.00</w:t>
            </w:r>
          </w:p>
        </w:tc>
        <w:tc>
          <w:tcPr>
            <w:tcW w:w="3006" w:type="dxa"/>
          </w:tcPr>
          <w:p w14:paraId="11FE2E63" w14:textId="77777777" w:rsidR="00DC2FFD" w:rsidRPr="00DC2FFD" w:rsidRDefault="00DC2FFD" w:rsidP="00DC2FFD">
            <w:pPr>
              <w:spacing w:after="0"/>
              <w:jc w:val="center"/>
              <w:rPr>
                <w:sz w:val="20"/>
                <w:szCs w:val="20"/>
                <w:lang w:val="en-GB"/>
              </w:rPr>
            </w:pPr>
            <w:r w:rsidRPr="00DC2FFD">
              <w:rPr>
                <w:sz w:val="20"/>
                <w:lang w:val="en-GB"/>
              </w:rPr>
              <w:t>4.87</w:t>
            </w:r>
          </w:p>
        </w:tc>
      </w:tr>
      <w:tr w:rsidR="00DC2FFD" w:rsidRPr="00DC2FFD" w14:paraId="11DBFB63" w14:textId="77777777" w:rsidTr="00296435">
        <w:tc>
          <w:tcPr>
            <w:tcW w:w="3005" w:type="dxa"/>
          </w:tcPr>
          <w:p w14:paraId="2738A9FD" w14:textId="77777777" w:rsidR="00DC2FFD" w:rsidRPr="00DC2FFD" w:rsidRDefault="00DC2FFD" w:rsidP="00DC2FFD">
            <w:pPr>
              <w:spacing w:after="0"/>
              <w:rPr>
                <w:sz w:val="20"/>
                <w:szCs w:val="20"/>
                <w:lang w:val="en-GB"/>
              </w:rPr>
            </w:pPr>
            <w:r w:rsidRPr="00DC2FFD">
              <w:rPr>
                <w:sz w:val="20"/>
                <w:lang w:val="en-GB"/>
              </w:rPr>
              <w:t>Macedonians</w:t>
            </w:r>
          </w:p>
        </w:tc>
        <w:tc>
          <w:tcPr>
            <w:tcW w:w="3005" w:type="dxa"/>
          </w:tcPr>
          <w:p w14:paraId="43DE19D7" w14:textId="77777777" w:rsidR="00DC2FFD" w:rsidRPr="00DC2FFD" w:rsidRDefault="00DC2FFD" w:rsidP="00DC2FFD">
            <w:pPr>
              <w:spacing w:after="0"/>
              <w:jc w:val="center"/>
              <w:rPr>
                <w:sz w:val="20"/>
                <w:szCs w:val="20"/>
                <w:lang w:val="en-GB"/>
              </w:rPr>
            </w:pPr>
            <w:r w:rsidRPr="00DC2FFD">
              <w:rPr>
                <w:sz w:val="20"/>
                <w:lang w:val="en-GB"/>
              </w:rPr>
              <w:t>0.54</w:t>
            </w:r>
          </w:p>
        </w:tc>
        <w:tc>
          <w:tcPr>
            <w:tcW w:w="3006" w:type="dxa"/>
          </w:tcPr>
          <w:p w14:paraId="3A921929" w14:textId="77777777" w:rsidR="00DC2FFD" w:rsidRPr="00DC2FFD" w:rsidRDefault="00DC2FFD" w:rsidP="00DC2FFD">
            <w:pPr>
              <w:spacing w:after="0"/>
              <w:jc w:val="center"/>
              <w:rPr>
                <w:sz w:val="20"/>
                <w:szCs w:val="20"/>
                <w:lang w:val="en-GB"/>
              </w:rPr>
            </w:pPr>
            <w:r w:rsidRPr="00DC2FFD">
              <w:rPr>
                <w:sz w:val="20"/>
                <w:lang w:val="en-GB"/>
              </w:rPr>
              <w:t>0.20</w:t>
            </w:r>
          </w:p>
        </w:tc>
      </w:tr>
      <w:tr w:rsidR="00DC2FFD" w:rsidRPr="00DC2FFD" w14:paraId="4C3FA442" w14:textId="77777777" w:rsidTr="00296435">
        <w:tc>
          <w:tcPr>
            <w:tcW w:w="3005" w:type="dxa"/>
          </w:tcPr>
          <w:p w14:paraId="3F47AF00" w14:textId="77777777" w:rsidR="00DC2FFD" w:rsidRPr="00DC2FFD" w:rsidRDefault="00DC2FFD" w:rsidP="00DC2FFD">
            <w:pPr>
              <w:spacing w:after="0"/>
              <w:rPr>
                <w:sz w:val="20"/>
                <w:szCs w:val="20"/>
                <w:lang w:val="en-GB"/>
              </w:rPr>
            </w:pPr>
            <w:r w:rsidRPr="00DC2FFD">
              <w:rPr>
                <w:sz w:val="20"/>
                <w:lang w:val="en-GB"/>
              </w:rPr>
              <w:t>Germans</w:t>
            </w:r>
          </w:p>
        </w:tc>
        <w:tc>
          <w:tcPr>
            <w:tcW w:w="3005" w:type="dxa"/>
          </w:tcPr>
          <w:p w14:paraId="3C116905" w14:textId="77777777" w:rsidR="00DC2FFD" w:rsidRPr="00DC2FFD" w:rsidRDefault="00DC2FFD" w:rsidP="00DC2FFD">
            <w:pPr>
              <w:spacing w:after="0"/>
              <w:jc w:val="center"/>
              <w:rPr>
                <w:sz w:val="20"/>
                <w:szCs w:val="20"/>
                <w:lang w:val="en-GB"/>
              </w:rPr>
            </w:pPr>
            <w:r w:rsidRPr="00DC2FFD">
              <w:rPr>
                <w:sz w:val="20"/>
                <w:lang w:val="en-GB"/>
              </w:rPr>
              <w:t>0.17</w:t>
            </w:r>
          </w:p>
        </w:tc>
        <w:tc>
          <w:tcPr>
            <w:tcW w:w="3006" w:type="dxa"/>
          </w:tcPr>
          <w:p w14:paraId="02F6AC61" w14:textId="77777777" w:rsidR="00DC2FFD" w:rsidRPr="00DC2FFD" w:rsidRDefault="00DC2FFD" w:rsidP="00DC2FFD">
            <w:pPr>
              <w:spacing w:after="0"/>
              <w:jc w:val="center"/>
              <w:rPr>
                <w:sz w:val="20"/>
                <w:szCs w:val="20"/>
                <w:lang w:val="en-GB"/>
              </w:rPr>
            </w:pPr>
            <w:r w:rsidRPr="00DC2FFD">
              <w:rPr>
                <w:sz w:val="20"/>
                <w:lang w:val="en-GB"/>
              </w:rPr>
              <w:t>0.10</w:t>
            </w:r>
          </w:p>
        </w:tc>
      </w:tr>
      <w:tr w:rsidR="00DC2FFD" w:rsidRPr="00DC2FFD" w14:paraId="4AF70DCC" w14:textId="77777777" w:rsidTr="00296435">
        <w:tc>
          <w:tcPr>
            <w:tcW w:w="3005" w:type="dxa"/>
          </w:tcPr>
          <w:p w14:paraId="408D5976" w14:textId="77777777" w:rsidR="00DC2FFD" w:rsidRPr="00DC2FFD" w:rsidRDefault="00DC2FFD" w:rsidP="00DC2FFD">
            <w:pPr>
              <w:spacing w:after="0"/>
              <w:rPr>
                <w:sz w:val="20"/>
                <w:szCs w:val="20"/>
                <w:lang w:val="en-GB"/>
              </w:rPr>
            </w:pPr>
            <w:r w:rsidRPr="00DC2FFD">
              <w:rPr>
                <w:sz w:val="20"/>
                <w:lang w:val="en-GB"/>
              </w:rPr>
              <w:t>Roma</w:t>
            </w:r>
          </w:p>
        </w:tc>
        <w:tc>
          <w:tcPr>
            <w:tcW w:w="3005" w:type="dxa"/>
            <w:vAlign w:val="center"/>
          </w:tcPr>
          <w:p w14:paraId="09ADDA6A" w14:textId="77777777" w:rsidR="00DC2FFD" w:rsidRPr="00DC2FFD" w:rsidRDefault="00DC2FFD" w:rsidP="00DC2FFD">
            <w:pPr>
              <w:spacing w:after="0"/>
              <w:jc w:val="center"/>
              <w:rPr>
                <w:sz w:val="20"/>
                <w:szCs w:val="20"/>
                <w:lang w:val="en-GB"/>
              </w:rPr>
            </w:pPr>
            <w:r w:rsidRPr="00DC2FFD">
              <w:rPr>
                <w:sz w:val="20"/>
                <w:lang w:val="en-GB"/>
              </w:rPr>
              <w:t>2.19</w:t>
            </w:r>
          </w:p>
        </w:tc>
        <w:tc>
          <w:tcPr>
            <w:tcW w:w="3006" w:type="dxa"/>
          </w:tcPr>
          <w:p w14:paraId="6DA0C01D" w14:textId="77777777" w:rsidR="00DC2FFD" w:rsidRPr="00DC2FFD" w:rsidRDefault="00DC2FFD" w:rsidP="00DC2FFD">
            <w:pPr>
              <w:spacing w:after="0"/>
              <w:jc w:val="center"/>
              <w:rPr>
                <w:sz w:val="20"/>
                <w:szCs w:val="20"/>
                <w:lang w:val="en-GB"/>
              </w:rPr>
            </w:pPr>
            <w:r w:rsidRPr="00DC2FFD">
              <w:rPr>
                <w:sz w:val="20"/>
                <w:lang w:val="en-GB"/>
              </w:rPr>
              <w:t>0.51</w:t>
            </w:r>
          </w:p>
        </w:tc>
      </w:tr>
      <w:tr w:rsidR="00DC2FFD" w:rsidRPr="00DC2FFD" w14:paraId="28B51F55" w14:textId="77777777" w:rsidTr="00296435">
        <w:tc>
          <w:tcPr>
            <w:tcW w:w="3005" w:type="dxa"/>
          </w:tcPr>
          <w:p w14:paraId="02D92F4B" w14:textId="77777777" w:rsidR="00DC2FFD" w:rsidRPr="00DC2FFD" w:rsidRDefault="00DC2FFD" w:rsidP="00DC2FFD">
            <w:pPr>
              <w:spacing w:after="0"/>
              <w:rPr>
                <w:sz w:val="20"/>
                <w:szCs w:val="20"/>
                <w:lang w:val="en-GB"/>
              </w:rPr>
            </w:pPr>
            <w:r w:rsidRPr="00DC2FFD">
              <w:rPr>
                <w:sz w:val="20"/>
                <w:lang w:val="en-GB"/>
              </w:rPr>
              <w:t>Romanians</w:t>
            </w:r>
          </w:p>
        </w:tc>
        <w:tc>
          <w:tcPr>
            <w:tcW w:w="3005" w:type="dxa"/>
          </w:tcPr>
          <w:p w14:paraId="60F7FE1A" w14:textId="77777777" w:rsidR="00DC2FFD" w:rsidRPr="00DC2FFD" w:rsidRDefault="00DC2FFD" w:rsidP="00DC2FFD">
            <w:pPr>
              <w:spacing w:after="0"/>
              <w:jc w:val="center"/>
              <w:rPr>
                <w:sz w:val="20"/>
                <w:szCs w:val="20"/>
                <w:lang w:val="en-GB"/>
              </w:rPr>
            </w:pPr>
            <w:r w:rsidRPr="00DC2FFD">
              <w:rPr>
                <w:sz w:val="20"/>
                <w:lang w:val="en-GB"/>
              </w:rPr>
              <w:t>1.32</w:t>
            </w:r>
          </w:p>
        </w:tc>
        <w:tc>
          <w:tcPr>
            <w:tcW w:w="3006" w:type="dxa"/>
          </w:tcPr>
          <w:p w14:paraId="24DC0B95" w14:textId="77777777" w:rsidR="00DC2FFD" w:rsidRPr="00DC2FFD" w:rsidRDefault="00DC2FFD" w:rsidP="00DC2FFD">
            <w:pPr>
              <w:spacing w:after="0"/>
              <w:jc w:val="center"/>
              <w:rPr>
                <w:sz w:val="20"/>
                <w:szCs w:val="20"/>
                <w:lang w:val="en-GB"/>
              </w:rPr>
            </w:pPr>
            <w:r w:rsidRPr="00DC2FFD">
              <w:rPr>
                <w:sz w:val="20"/>
                <w:lang w:val="en-GB"/>
              </w:rPr>
              <w:t>0.91</w:t>
            </w:r>
          </w:p>
        </w:tc>
      </w:tr>
      <w:tr w:rsidR="00DC2FFD" w:rsidRPr="00DC2FFD" w14:paraId="65FCB002" w14:textId="77777777" w:rsidTr="00296435">
        <w:tc>
          <w:tcPr>
            <w:tcW w:w="3005" w:type="dxa"/>
          </w:tcPr>
          <w:p w14:paraId="477FCF4E" w14:textId="77777777" w:rsidR="00DC2FFD" w:rsidRPr="00DC2FFD" w:rsidRDefault="00DC2FFD" w:rsidP="00DC2FFD">
            <w:pPr>
              <w:spacing w:after="0"/>
              <w:rPr>
                <w:sz w:val="20"/>
                <w:szCs w:val="20"/>
                <w:lang w:val="en-GB"/>
              </w:rPr>
            </w:pPr>
            <w:r w:rsidRPr="00DC2FFD">
              <w:rPr>
                <w:sz w:val="20"/>
                <w:lang w:val="en-GB"/>
              </w:rPr>
              <w:t>Russians</w:t>
            </w:r>
          </w:p>
        </w:tc>
        <w:tc>
          <w:tcPr>
            <w:tcW w:w="3005" w:type="dxa"/>
          </w:tcPr>
          <w:p w14:paraId="0D40AB7F" w14:textId="77777777" w:rsidR="00DC2FFD" w:rsidRPr="00DC2FFD" w:rsidRDefault="00DC2FFD" w:rsidP="00DC2FFD">
            <w:pPr>
              <w:spacing w:after="0"/>
              <w:jc w:val="center"/>
              <w:rPr>
                <w:sz w:val="20"/>
                <w:szCs w:val="20"/>
                <w:lang w:val="en-GB"/>
              </w:rPr>
            </w:pPr>
            <w:r w:rsidRPr="00DC2FFD">
              <w:rPr>
                <w:sz w:val="20"/>
                <w:lang w:val="en-GB"/>
              </w:rPr>
              <w:t>0.06</w:t>
            </w:r>
          </w:p>
        </w:tc>
        <w:tc>
          <w:tcPr>
            <w:tcW w:w="3006" w:type="dxa"/>
          </w:tcPr>
          <w:p w14:paraId="04FFD78B" w14:textId="77777777" w:rsidR="00DC2FFD" w:rsidRPr="00DC2FFD" w:rsidRDefault="00DC2FFD" w:rsidP="00DC2FFD">
            <w:pPr>
              <w:spacing w:after="0"/>
              <w:jc w:val="center"/>
              <w:rPr>
                <w:sz w:val="20"/>
                <w:szCs w:val="20"/>
                <w:lang w:val="en-GB"/>
              </w:rPr>
            </w:pPr>
            <w:r w:rsidRPr="00DC2FFD">
              <w:rPr>
                <w:sz w:val="20"/>
                <w:lang w:val="en-GB"/>
              </w:rPr>
              <w:t>0.00</w:t>
            </w:r>
          </w:p>
        </w:tc>
      </w:tr>
      <w:tr w:rsidR="00DC2FFD" w:rsidRPr="00DC2FFD" w14:paraId="3E19ED30" w14:textId="77777777" w:rsidTr="00296435">
        <w:tc>
          <w:tcPr>
            <w:tcW w:w="3005" w:type="dxa"/>
          </w:tcPr>
          <w:p w14:paraId="29F925A1" w14:textId="77777777" w:rsidR="00DC2FFD" w:rsidRPr="00DC2FFD" w:rsidRDefault="00DC2FFD" w:rsidP="00DC2FFD">
            <w:pPr>
              <w:spacing w:after="0"/>
              <w:rPr>
                <w:sz w:val="20"/>
                <w:szCs w:val="20"/>
                <w:lang w:val="en-GB"/>
              </w:rPr>
            </w:pPr>
            <w:proofErr w:type="spellStart"/>
            <w:r w:rsidRPr="00DC2FFD">
              <w:rPr>
                <w:sz w:val="20"/>
                <w:lang w:val="en-GB"/>
              </w:rPr>
              <w:t>Rusyns</w:t>
            </w:r>
            <w:proofErr w:type="spellEnd"/>
          </w:p>
        </w:tc>
        <w:tc>
          <w:tcPr>
            <w:tcW w:w="3005" w:type="dxa"/>
          </w:tcPr>
          <w:p w14:paraId="5625505A" w14:textId="77777777" w:rsidR="00DC2FFD" w:rsidRPr="00DC2FFD" w:rsidRDefault="00DC2FFD" w:rsidP="00DC2FFD">
            <w:pPr>
              <w:spacing w:after="0"/>
              <w:jc w:val="center"/>
              <w:rPr>
                <w:sz w:val="20"/>
                <w:szCs w:val="20"/>
                <w:lang w:val="en-GB"/>
              </w:rPr>
            </w:pPr>
            <w:r w:rsidRPr="00DC2FFD">
              <w:rPr>
                <w:sz w:val="20"/>
                <w:lang w:val="en-GB"/>
              </w:rPr>
              <w:t>0.72</w:t>
            </w:r>
          </w:p>
        </w:tc>
        <w:tc>
          <w:tcPr>
            <w:tcW w:w="3006" w:type="dxa"/>
          </w:tcPr>
          <w:p w14:paraId="708875BE" w14:textId="77777777" w:rsidR="00DC2FFD" w:rsidRPr="00DC2FFD" w:rsidRDefault="00DC2FFD" w:rsidP="00DC2FFD">
            <w:pPr>
              <w:spacing w:after="0"/>
              <w:jc w:val="center"/>
              <w:rPr>
                <w:sz w:val="20"/>
                <w:szCs w:val="20"/>
                <w:lang w:val="en-GB"/>
              </w:rPr>
            </w:pPr>
            <w:r w:rsidRPr="00DC2FFD">
              <w:rPr>
                <w:sz w:val="20"/>
                <w:lang w:val="en-GB"/>
              </w:rPr>
              <w:t>1.42</w:t>
            </w:r>
          </w:p>
        </w:tc>
      </w:tr>
      <w:tr w:rsidR="00DC2FFD" w:rsidRPr="00DC2FFD" w14:paraId="1D70DC0D" w14:textId="77777777" w:rsidTr="00296435">
        <w:tc>
          <w:tcPr>
            <w:tcW w:w="3005" w:type="dxa"/>
          </w:tcPr>
          <w:p w14:paraId="03AD2B53" w14:textId="77777777" w:rsidR="00DC2FFD" w:rsidRPr="00DC2FFD" w:rsidRDefault="00DC2FFD" w:rsidP="00DC2FFD">
            <w:pPr>
              <w:spacing w:after="0"/>
              <w:rPr>
                <w:sz w:val="20"/>
                <w:szCs w:val="20"/>
                <w:lang w:val="en-GB"/>
              </w:rPr>
            </w:pPr>
            <w:r w:rsidRPr="00DC2FFD">
              <w:rPr>
                <w:sz w:val="20"/>
                <w:lang w:val="en-GB"/>
              </w:rPr>
              <w:t>Slovaks</w:t>
            </w:r>
          </w:p>
        </w:tc>
        <w:tc>
          <w:tcPr>
            <w:tcW w:w="3005" w:type="dxa"/>
          </w:tcPr>
          <w:p w14:paraId="2563BD4F" w14:textId="77777777" w:rsidR="00DC2FFD" w:rsidRPr="00DC2FFD" w:rsidRDefault="00DC2FFD" w:rsidP="00DC2FFD">
            <w:pPr>
              <w:spacing w:after="0"/>
              <w:jc w:val="center"/>
              <w:rPr>
                <w:sz w:val="20"/>
                <w:szCs w:val="20"/>
                <w:lang w:val="en-GB"/>
              </w:rPr>
            </w:pPr>
            <w:r w:rsidRPr="00DC2FFD">
              <w:rPr>
                <w:sz w:val="20"/>
                <w:lang w:val="en-GB"/>
              </w:rPr>
              <w:t>2.60</w:t>
            </w:r>
          </w:p>
        </w:tc>
        <w:tc>
          <w:tcPr>
            <w:tcW w:w="3006" w:type="dxa"/>
          </w:tcPr>
          <w:p w14:paraId="7E625557" w14:textId="77777777" w:rsidR="00DC2FFD" w:rsidRPr="00DC2FFD" w:rsidRDefault="00DC2FFD" w:rsidP="00DC2FFD">
            <w:pPr>
              <w:spacing w:after="0"/>
              <w:jc w:val="center"/>
              <w:rPr>
                <w:sz w:val="20"/>
                <w:szCs w:val="20"/>
                <w:lang w:val="en-GB"/>
              </w:rPr>
            </w:pPr>
            <w:r w:rsidRPr="00DC2FFD">
              <w:rPr>
                <w:sz w:val="20"/>
                <w:lang w:val="en-GB"/>
              </w:rPr>
              <w:t>1.62</w:t>
            </w:r>
          </w:p>
        </w:tc>
      </w:tr>
      <w:tr w:rsidR="00DC2FFD" w:rsidRPr="00DC2FFD" w14:paraId="2E302F69" w14:textId="77777777" w:rsidTr="00296435">
        <w:tc>
          <w:tcPr>
            <w:tcW w:w="3005" w:type="dxa"/>
          </w:tcPr>
          <w:p w14:paraId="0DB69280" w14:textId="77777777" w:rsidR="00DC2FFD" w:rsidRPr="00DC2FFD" w:rsidRDefault="00DC2FFD" w:rsidP="00DC2FFD">
            <w:pPr>
              <w:spacing w:after="0"/>
              <w:rPr>
                <w:sz w:val="20"/>
                <w:szCs w:val="20"/>
                <w:lang w:val="en-GB"/>
              </w:rPr>
            </w:pPr>
            <w:r w:rsidRPr="00DC2FFD">
              <w:rPr>
                <w:sz w:val="20"/>
                <w:lang w:val="en-GB"/>
              </w:rPr>
              <w:t>Slovenians</w:t>
            </w:r>
          </w:p>
        </w:tc>
        <w:tc>
          <w:tcPr>
            <w:tcW w:w="3005" w:type="dxa"/>
          </w:tcPr>
          <w:p w14:paraId="301EFFAF" w14:textId="77777777" w:rsidR="00DC2FFD" w:rsidRPr="00DC2FFD" w:rsidRDefault="00DC2FFD" w:rsidP="00DC2FFD">
            <w:pPr>
              <w:spacing w:after="0"/>
              <w:jc w:val="center"/>
              <w:rPr>
                <w:sz w:val="20"/>
                <w:szCs w:val="20"/>
                <w:lang w:val="en-GB"/>
              </w:rPr>
            </w:pPr>
            <w:r w:rsidRPr="00DC2FFD">
              <w:rPr>
                <w:sz w:val="20"/>
                <w:lang w:val="en-GB"/>
              </w:rPr>
              <w:t>0.09</w:t>
            </w:r>
          </w:p>
        </w:tc>
        <w:tc>
          <w:tcPr>
            <w:tcW w:w="3006" w:type="dxa"/>
          </w:tcPr>
          <w:p w14:paraId="3043A57B" w14:textId="77777777" w:rsidR="00DC2FFD" w:rsidRPr="00DC2FFD" w:rsidRDefault="00DC2FFD" w:rsidP="00DC2FFD">
            <w:pPr>
              <w:spacing w:after="0"/>
              <w:jc w:val="center"/>
              <w:rPr>
                <w:sz w:val="20"/>
                <w:szCs w:val="20"/>
                <w:lang w:val="en-GB"/>
              </w:rPr>
            </w:pPr>
            <w:r w:rsidRPr="00DC2FFD">
              <w:rPr>
                <w:sz w:val="20"/>
                <w:lang w:val="en-GB"/>
              </w:rPr>
              <w:t>0.00</w:t>
            </w:r>
          </w:p>
        </w:tc>
      </w:tr>
      <w:tr w:rsidR="00DC2FFD" w:rsidRPr="00DC2FFD" w14:paraId="41C69C48" w14:textId="77777777" w:rsidTr="00296435">
        <w:tc>
          <w:tcPr>
            <w:tcW w:w="3005" w:type="dxa"/>
          </w:tcPr>
          <w:p w14:paraId="09978CD0" w14:textId="77777777" w:rsidR="00DC2FFD" w:rsidRPr="00DC2FFD" w:rsidRDefault="00DC2FFD" w:rsidP="00DC2FFD">
            <w:pPr>
              <w:spacing w:after="0"/>
              <w:rPr>
                <w:sz w:val="20"/>
                <w:szCs w:val="20"/>
                <w:lang w:val="en-GB"/>
              </w:rPr>
            </w:pPr>
            <w:r w:rsidRPr="00DC2FFD">
              <w:rPr>
                <w:sz w:val="20"/>
                <w:lang w:val="en-GB"/>
              </w:rPr>
              <w:t>Ukrainians</w:t>
            </w:r>
          </w:p>
        </w:tc>
        <w:tc>
          <w:tcPr>
            <w:tcW w:w="3005" w:type="dxa"/>
          </w:tcPr>
          <w:p w14:paraId="1601CDD9" w14:textId="77777777" w:rsidR="00DC2FFD" w:rsidRPr="00DC2FFD" w:rsidRDefault="00DC2FFD" w:rsidP="00DC2FFD">
            <w:pPr>
              <w:spacing w:after="0"/>
              <w:jc w:val="center"/>
              <w:rPr>
                <w:sz w:val="20"/>
                <w:szCs w:val="20"/>
                <w:lang w:val="en-GB"/>
              </w:rPr>
            </w:pPr>
            <w:r w:rsidRPr="00DC2FFD">
              <w:rPr>
                <w:sz w:val="20"/>
                <w:lang w:val="en-GB"/>
              </w:rPr>
              <w:t>0.22</w:t>
            </w:r>
          </w:p>
        </w:tc>
        <w:tc>
          <w:tcPr>
            <w:tcW w:w="3006" w:type="dxa"/>
          </w:tcPr>
          <w:p w14:paraId="5E42BFD8" w14:textId="77777777" w:rsidR="00DC2FFD" w:rsidRPr="00DC2FFD" w:rsidRDefault="00DC2FFD" w:rsidP="00DC2FFD">
            <w:pPr>
              <w:spacing w:after="0"/>
              <w:jc w:val="center"/>
              <w:rPr>
                <w:sz w:val="20"/>
                <w:szCs w:val="20"/>
                <w:lang w:val="en-GB"/>
              </w:rPr>
            </w:pPr>
            <w:r w:rsidRPr="00DC2FFD">
              <w:rPr>
                <w:sz w:val="20"/>
                <w:lang w:val="en-GB"/>
              </w:rPr>
              <w:t>0.20</w:t>
            </w:r>
          </w:p>
        </w:tc>
      </w:tr>
      <w:tr w:rsidR="00DC2FFD" w:rsidRPr="00DC2FFD" w14:paraId="0B8692BC" w14:textId="77777777" w:rsidTr="00296435">
        <w:tc>
          <w:tcPr>
            <w:tcW w:w="3005" w:type="dxa"/>
          </w:tcPr>
          <w:p w14:paraId="7B6655B0" w14:textId="77777777" w:rsidR="00DC2FFD" w:rsidRPr="00DC2FFD" w:rsidRDefault="00DC2FFD" w:rsidP="00DC2FFD">
            <w:pPr>
              <w:spacing w:after="0"/>
              <w:rPr>
                <w:sz w:val="20"/>
                <w:szCs w:val="20"/>
                <w:lang w:val="en-GB"/>
              </w:rPr>
            </w:pPr>
            <w:r w:rsidRPr="00DC2FFD">
              <w:rPr>
                <w:sz w:val="20"/>
                <w:lang w:val="en-GB"/>
              </w:rPr>
              <w:t>Croats</w:t>
            </w:r>
          </w:p>
        </w:tc>
        <w:tc>
          <w:tcPr>
            <w:tcW w:w="3005" w:type="dxa"/>
          </w:tcPr>
          <w:p w14:paraId="1FF2317B" w14:textId="77777777" w:rsidR="00DC2FFD" w:rsidRPr="00DC2FFD" w:rsidRDefault="00DC2FFD" w:rsidP="00DC2FFD">
            <w:pPr>
              <w:spacing w:after="0"/>
              <w:jc w:val="center"/>
              <w:rPr>
                <w:sz w:val="20"/>
                <w:szCs w:val="20"/>
                <w:lang w:val="en-GB"/>
              </w:rPr>
            </w:pPr>
            <w:r w:rsidRPr="00DC2FFD">
              <w:rPr>
                <w:sz w:val="20"/>
                <w:lang w:val="en-GB"/>
              </w:rPr>
              <w:t>2.43</w:t>
            </w:r>
          </w:p>
        </w:tc>
        <w:tc>
          <w:tcPr>
            <w:tcW w:w="3006" w:type="dxa"/>
          </w:tcPr>
          <w:p w14:paraId="29610EEE" w14:textId="77777777" w:rsidR="00DC2FFD" w:rsidRPr="00DC2FFD" w:rsidRDefault="00DC2FFD" w:rsidP="00DC2FFD">
            <w:pPr>
              <w:spacing w:after="0"/>
              <w:jc w:val="center"/>
              <w:rPr>
                <w:sz w:val="20"/>
                <w:szCs w:val="20"/>
                <w:lang w:val="en-GB"/>
              </w:rPr>
            </w:pPr>
            <w:r w:rsidRPr="00DC2FFD">
              <w:rPr>
                <w:sz w:val="20"/>
                <w:lang w:val="en-GB"/>
              </w:rPr>
              <w:t>2.13</w:t>
            </w:r>
          </w:p>
        </w:tc>
      </w:tr>
      <w:tr w:rsidR="00DC2FFD" w:rsidRPr="00DC2FFD" w14:paraId="3BF84A4B" w14:textId="77777777" w:rsidTr="00296435">
        <w:tc>
          <w:tcPr>
            <w:tcW w:w="3005" w:type="dxa"/>
          </w:tcPr>
          <w:p w14:paraId="44B7FAB5" w14:textId="77777777" w:rsidR="00DC2FFD" w:rsidRPr="00DC2FFD" w:rsidRDefault="00DC2FFD" w:rsidP="00DC2FFD">
            <w:pPr>
              <w:spacing w:after="0"/>
              <w:rPr>
                <w:sz w:val="20"/>
                <w:szCs w:val="20"/>
                <w:lang w:val="en-GB"/>
              </w:rPr>
            </w:pPr>
            <w:r w:rsidRPr="00DC2FFD">
              <w:rPr>
                <w:sz w:val="20"/>
                <w:lang w:val="en-GB"/>
              </w:rPr>
              <w:t>Montenegrins</w:t>
            </w:r>
          </w:p>
        </w:tc>
        <w:tc>
          <w:tcPr>
            <w:tcW w:w="3005" w:type="dxa"/>
          </w:tcPr>
          <w:p w14:paraId="6119C55F" w14:textId="77777777" w:rsidR="00DC2FFD" w:rsidRPr="00DC2FFD" w:rsidRDefault="00DC2FFD" w:rsidP="00DC2FFD">
            <w:pPr>
              <w:spacing w:after="0"/>
              <w:jc w:val="center"/>
              <w:rPr>
                <w:sz w:val="20"/>
                <w:szCs w:val="20"/>
                <w:lang w:val="en-GB"/>
              </w:rPr>
            </w:pPr>
            <w:r w:rsidRPr="00DC2FFD">
              <w:rPr>
                <w:sz w:val="20"/>
                <w:lang w:val="en-GB"/>
              </w:rPr>
              <w:t>1.15</w:t>
            </w:r>
          </w:p>
        </w:tc>
        <w:tc>
          <w:tcPr>
            <w:tcW w:w="3006" w:type="dxa"/>
          </w:tcPr>
          <w:p w14:paraId="34B5C2A0" w14:textId="77777777" w:rsidR="00DC2FFD" w:rsidRPr="00DC2FFD" w:rsidRDefault="00DC2FFD" w:rsidP="00DC2FFD">
            <w:pPr>
              <w:spacing w:after="0"/>
              <w:jc w:val="center"/>
              <w:rPr>
                <w:sz w:val="20"/>
                <w:szCs w:val="20"/>
                <w:lang w:val="en-GB"/>
              </w:rPr>
            </w:pPr>
            <w:r w:rsidRPr="00DC2FFD">
              <w:rPr>
                <w:sz w:val="20"/>
                <w:lang w:val="en-GB"/>
              </w:rPr>
              <w:t>1.62</w:t>
            </w:r>
          </w:p>
        </w:tc>
      </w:tr>
      <w:tr w:rsidR="00DC2FFD" w:rsidRPr="00DC2FFD" w14:paraId="1B011D46" w14:textId="77777777" w:rsidTr="00296435">
        <w:tc>
          <w:tcPr>
            <w:tcW w:w="3005" w:type="dxa"/>
          </w:tcPr>
          <w:p w14:paraId="3F46F4BD" w14:textId="77777777" w:rsidR="00DC2FFD" w:rsidRPr="00DC2FFD" w:rsidRDefault="00DC2FFD" w:rsidP="00DC2FFD">
            <w:pPr>
              <w:spacing w:after="0"/>
              <w:rPr>
                <w:sz w:val="20"/>
                <w:szCs w:val="20"/>
                <w:lang w:val="en-GB"/>
              </w:rPr>
            </w:pPr>
            <w:r w:rsidRPr="00DC2FFD">
              <w:rPr>
                <w:sz w:val="20"/>
                <w:lang w:val="en-GB"/>
              </w:rPr>
              <w:t>undeclared</w:t>
            </w:r>
          </w:p>
        </w:tc>
        <w:tc>
          <w:tcPr>
            <w:tcW w:w="3005" w:type="dxa"/>
          </w:tcPr>
          <w:p w14:paraId="2027DA2B" w14:textId="77777777" w:rsidR="00DC2FFD" w:rsidRPr="00DC2FFD" w:rsidRDefault="00DC2FFD" w:rsidP="00DC2FFD">
            <w:pPr>
              <w:spacing w:after="0"/>
              <w:jc w:val="center"/>
              <w:rPr>
                <w:sz w:val="20"/>
                <w:szCs w:val="20"/>
                <w:lang w:val="en-GB"/>
              </w:rPr>
            </w:pPr>
            <w:r w:rsidRPr="00DC2FFD">
              <w:rPr>
                <w:sz w:val="20"/>
                <w:lang w:val="en-GB"/>
              </w:rPr>
              <w:t>4.19</w:t>
            </w:r>
          </w:p>
        </w:tc>
        <w:tc>
          <w:tcPr>
            <w:tcW w:w="3006" w:type="dxa"/>
          </w:tcPr>
          <w:p w14:paraId="33E95F7D" w14:textId="77777777" w:rsidR="00DC2FFD" w:rsidRPr="00DC2FFD" w:rsidRDefault="00DC2FFD" w:rsidP="00DC2FFD">
            <w:pPr>
              <w:spacing w:after="0"/>
              <w:jc w:val="center"/>
              <w:rPr>
                <w:sz w:val="20"/>
                <w:szCs w:val="20"/>
                <w:lang w:val="en-GB"/>
              </w:rPr>
            </w:pPr>
            <w:r w:rsidRPr="00DC2FFD">
              <w:rPr>
                <w:sz w:val="20"/>
                <w:lang w:val="en-GB"/>
              </w:rPr>
              <w:t>12.18</w:t>
            </w:r>
          </w:p>
        </w:tc>
      </w:tr>
    </w:tbl>
    <w:p w14:paraId="14CCB843" w14:textId="77777777" w:rsidR="00DC2FFD" w:rsidRPr="00DC2FFD" w:rsidRDefault="00DC2FFD" w:rsidP="00DC2FFD">
      <w:pPr>
        <w:widowControl w:val="0"/>
        <w:tabs>
          <w:tab w:val="left" w:pos="3154"/>
        </w:tabs>
        <w:spacing w:after="0" w:line="266" w:lineRule="auto"/>
        <w:jc w:val="both"/>
        <w:rPr>
          <w:highlight w:val="yellow"/>
          <w:lang w:val="en-GB"/>
        </w:rPr>
      </w:pPr>
    </w:p>
    <w:p w14:paraId="0CC58DCD" w14:textId="77777777" w:rsidR="00DC2FFD" w:rsidRPr="00DC2FFD" w:rsidRDefault="00DC2FFD" w:rsidP="00DC2FFD">
      <w:pPr>
        <w:widowControl w:val="0"/>
        <w:spacing w:after="0" w:line="266" w:lineRule="auto"/>
        <w:jc w:val="both"/>
        <w:rPr>
          <w:sz w:val="24"/>
          <w:szCs w:val="24"/>
          <w:lang w:val="en-GB"/>
        </w:rPr>
      </w:pPr>
      <w:r w:rsidRPr="00DC2FFD">
        <w:rPr>
          <w:sz w:val="24"/>
          <w:lang w:val="en-GB"/>
        </w:rPr>
        <w:tab/>
        <w:t xml:space="preserve">For the purpose of finding the best solutions concerning higher representation of persons belonging to the Albanian national minority in State authorities, the Ministry of Human and Minority Rights and Social Dialogue, in collaboration with the Government of Serbia Coordination Body for the Municipalities of </w:t>
      </w:r>
      <w:proofErr w:type="spellStart"/>
      <w:r w:rsidRPr="00DC2FFD">
        <w:rPr>
          <w:sz w:val="24"/>
          <w:lang w:val="en-GB"/>
        </w:rPr>
        <w:t>Preševo</w:t>
      </w:r>
      <w:proofErr w:type="spellEnd"/>
      <w:r w:rsidRPr="00DC2FFD">
        <w:rPr>
          <w:sz w:val="24"/>
          <w:lang w:val="en-GB"/>
        </w:rPr>
        <w:t xml:space="preserve">, </w:t>
      </w:r>
      <w:proofErr w:type="spellStart"/>
      <w:r w:rsidRPr="00DC2FFD">
        <w:rPr>
          <w:sz w:val="24"/>
          <w:lang w:val="en-GB"/>
        </w:rPr>
        <w:t>Bujanovac</w:t>
      </w:r>
      <w:proofErr w:type="spellEnd"/>
      <w:r w:rsidRPr="00DC2FFD">
        <w:rPr>
          <w:sz w:val="24"/>
          <w:lang w:val="en-GB"/>
        </w:rPr>
        <w:t xml:space="preserve"> and </w:t>
      </w:r>
      <w:proofErr w:type="spellStart"/>
      <w:r w:rsidRPr="00DC2FFD">
        <w:rPr>
          <w:sz w:val="24"/>
          <w:lang w:val="en-GB"/>
        </w:rPr>
        <w:t>Medvedja</w:t>
      </w:r>
      <w:proofErr w:type="spellEnd"/>
      <w:r w:rsidRPr="00DC2FFD">
        <w:rPr>
          <w:sz w:val="24"/>
          <w:lang w:val="en-GB"/>
        </w:rPr>
        <w:t xml:space="preserve"> - CB's Office. Organised a social dialogue in </w:t>
      </w:r>
      <w:proofErr w:type="spellStart"/>
      <w:r w:rsidRPr="00DC2FFD">
        <w:rPr>
          <w:sz w:val="24"/>
          <w:lang w:val="en-GB"/>
        </w:rPr>
        <w:t>Bujanovac</w:t>
      </w:r>
      <w:proofErr w:type="spellEnd"/>
      <w:r w:rsidRPr="00DC2FFD">
        <w:rPr>
          <w:sz w:val="24"/>
          <w:lang w:val="en-GB"/>
        </w:rPr>
        <w:t xml:space="preserve"> on 11 March 2022, on the topic of the integration of the representation of persons belonging to the Albanian national minority in State institutions at the local level. As a result of the social dialogue which had been held between the representatives of state authorities and the National Council of the Albanian National Minority, a Working Group was created in order to develop a plan with short-term, medium-term and long-term objectives with a view to achieving higher integration of persons belonging to the Albanian national minority into State institutions at the local level. Participants in the activity of the Working Group include representatives of the Ministry of Human and Minority Rights and Social Dialogue, Ministry of Justice, Ministry of Health, Ministry of Labour, Employment and Social Affairs, Ministry of Construction, Transport and Infrastructure, National Council of the Albanian National Minority, Government of Serbia Coordination Body for the Municipalities of </w:t>
      </w:r>
      <w:proofErr w:type="spellStart"/>
      <w:r w:rsidRPr="00DC2FFD">
        <w:rPr>
          <w:sz w:val="24"/>
          <w:lang w:val="en-GB"/>
        </w:rPr>
        <w:t>Preševo</w:t>
      </w:r>
      <w:proofErr w:type="spellEnd"/>
      <w:r w:rsidRPr="00DC2FFD">
        <w:rPr>
          <w:sz w:val="24"/>
          <w:lang w:val="en-GB"/>
        </w:rPr>
        <w:t xml:space="preserve">, </w:t>
      </w:r>
      <w:proofErr w:type="spellStart"/>
      <w:r w:rsidRPr="00DC2FFD">
        <w:rPr>
          <w:sz w:val="24"/>
          <w:lang w:val="en-GB"/>
        </w:rPr>
        <w:t>Bujanovac</w:t>
      </w:r>
      <w:proofErr w:type="spellEnd"/>
      <w:r w:rsidRPr="00DC2FFD">
        <w:rPr>
          <w:sz w:val="24"/>
          <w:lang w:val="en-GB"/>
        </w:rPr>
        <w:t xml:space="preserve"> and </w:t>
      </w:r>
      <w:proofErr w:type="spellStart"/>
      <w:r w:rsidRPr="00DC2FFD">
        <w:rPr>
          <w:sz w:val="24"/>
          <w:lang w:val="en-GB"/>
        </w:rPr>
        <w:t>Medvedja</w:t>
      </w:r>
      <w:proofErr w:type="spellEnd"/>
      <w:r w:rsidRPr="00DC2FFD">
        <w:rPr>
          <w:sz w:val="24"/>
          <w:lang w:val="en-GB"/>
        </w:rPr>
        <w:t xml:space="preserve"> - CB's Office. Representatives of the OSCE Mission in Serbia attend meetings of the Working Group as observers. The contents of the first strategic document concerning the systemic monitoring of the integration of persons belonging to the Albanian national minority into State institutions at the local level will be aligned with the defined measures and objectives in the Action Plan for the exercise of the rights of national minorities.</w:t>
      </w:r>
    </w:p>
    <w:p w14:paraId="11DDB270" w14:textId="77777777" w:rsidR="00DC2FFD" w:rsidRPr="00DC2FFD" w:rsidRDefault="00DC2FFD" w:rsidP="00DC2FFD">
      <w:pPr>
        <w:widowControl w:val="0"/>
        <w:spacing w:after="0" w:line="266" w:lineRule="auto"/>
        <w:jc w:val="both"/>
        <w:rPr>
          <w:sz w:val="24"/>
          <w:szCs w:val="24"/>
          <w:lang w:val="en-GB"/>
        </w:rPr>
      </w:pPr>
      <w:r w:rsidRPr="00DC2FFD">
        <w:rPr>
          <w:sz w:val="24"/>
          <w:lang w:val="en-GB"/>
        </w:rPr>
        <w:tab/>
        <w:t xml:space="preserve">The Ministry of Public Administration and Local Self-Government, in accordance with the obligation stipulated in the Action Plan for Chapter 23, developed an Impact Assessment of the application of by-laws adopted on the basis of the Law on the Employees in Autonomous Provinces and Local Self-Government Units (LSGUs). The objective of this assessment is to determine if provisions of the Law on the Employees in Autonomous Provinces and Local Self-Government Units, as well as by-laws adopted for the purpose of the implementation of this Law, are directly applied. For the purposes of the implementation of this assessment, the Ministry sent a letter to all local self-government units (145), of which 100 LSGUs (68.96%) sent their answers. Of the total number of LGSUs, one of the languages and scripts of national minorities was introduced in official use, either throughout its territory or in a part of it, in 43 </w:t>
      </w:r>
      <w:r w:rsidRPr="00DC2FFD">
        <w:rPr>
          <w:sz w:val="24"/>
          <w:lang w:val="en-GB"/>
        </w:rPr>
        <w:lastRenderedPageBreak/>
        <w:t>LSGUs, of which 40 LSGs sent their answers, which makes up 93.02%, a satisfactory result for assessment.</w:t>
      </w:r>
    </w:p>
    <w:p w14:paraId="011338AD" w14:textId="77777777" w:rsidR="00DC2FFD" w:rsidRPr="00DC2FFD" w:rsidRDefault="00DC2FFD" w:rsidP="00DC2FFD">
      <w:pPr>
        <w:widowControl w:val="0"/>
        <w:spacing w:after="0" w:line="266" w:lineRule="auto"/>
        <w:ind w:firstLine="720"/>
        <w:jc w:val="both"/>
        <w:rPr>
          <w:sz w:val="24"/>
          <w:szCs w:val="24"/>
          <w:lang w:val="en-GB"/>
        </w:rPr>
      </w:pPr>
      <w:r w:rsidRPr="00DC2FFD">
        <w:rPr>
          <w:sz w:val="24"/>
          <w:lang w:val="en-GB"/>
        </w:rPr>
        <w:t>An analysis of data obtained from the answers to the questionnaire may lead to the conclusion that local self-government units, as a rule, apply by-laws adopted for the purpose of the implementation of these regulations which prescribe affirmative measures aimed at contributing to a more adequate representation of persons belonging to national minorities among the employees in the bodies of autonomous provinces and LSGUs.</w:t>
      </w:r>
    </w:p>
    <w:p w14:paraId="5971EAFC" w14:textId="77777777" w:rsidR="00DC2FFD" w:rsidRPr="00DC2FFD" w:rsidRDefault="00DC2FFD" w:rsidP="00DC2FFD">
      <w:pPr>
        <w:widowControl w:val="0"/>
        <w:spacing w:after="0" w:line="266" w:lineRule="auto"/>
        <w:ind w:firstLine="720"/>
        <w:jc w:val="both"/>
        <w:rPr>
          <w:sz w:val="24"/>
          <w:szCs w:val="24"/>
          <w:lang w:val="en-GB"/>
        </w:rPr>
      </w:pPr>
      <w:r w:rsidRPr="00DC2FFD">
        <w:rPr>
          <w:sz w:val="24"/>
          <w:lang w:val="en-GB"/>
        </w:rPr>
        <w:t xml:space="preserve">The analysis showed that in 28 LSGUs, of 40 LSGUs which had sent their answers to the questionnaire, and in which the language and script of a national minority is in official use, the rulebook on the organisation and systematisation of job positions determines the job position(s) for which the knowledge of the language and script of a national minority which is in official use, is a special requirement (70%), which is a considerable percentage, particularly because only 3 LSGUs (6.98%) which have the language and script of a national minority in the official use in its territory did not send their answers to the questionnaire. </w:t>
      </w:r>
    </w:p>
    <w:p w14:paraId="0250B0D9" w14:textId="77777777" w:rsidR="00DC2FFD" w:rsidRPr="00DC2FFD" w:rsidRDefault="00DC2FFD" w:rsidP="00DC2FFD">
      <w:pPr>
        <w:widowControl w:val="0"/>
        <w:spacing w:after="0" w:line="266" w:lineRule="auto"/>
        <w:ind w:firstLine="720"/>
        <w:jc w:val="both"/>
        <w:rPr>
          <w:sz w:val="24"/>
          <w:szCs w:val="24"/>
          <w:lang w:val="en-GB"/>
        </w:rPr>
      </w:pPr>
      <w:r w:rsidRPr="00DC2FFD">
        <w:rPr>
          <w:sz w:val="24"/>
          <w:lang w:val="en-GB"/>
        </w:rPr>
        <w:t xml:space="preserve">As regards the analysis of the application of the Regulation on the implementation of the internal and public competition for filling job vacancies in autonomous provinces and local self-government units, the conclusion may be drawn that the provisions of this Regulation directly apply in the implementation of affirmative measures in the LSGUs which establish the need for adequate representation. Namely, the analysis showed that, of 36 LSGUs which sent their answer to the question above, 16 LSGUs gave an affirmative answer (44.44%), while 20 LSGUs gave a negative answer (55.56%). </w:t>
      </w:r>
    </w:p>
    <w:p w14:paraId="6C9D37F7" w14:textId="77777777" w:rsidR="00DC2FFD" w:rsidRPr="00DC2FFD" w:rsidRDefault="00DC2FFD" w:rsidP="00DC2FFD">
      <w:pPr>
        <w:widowControl w:val="0"/>
        <w:spacing w:after="0" w:line="266" w:lineRule="auto"/>
        <w:ind w:firstLine="720"/>
        <w:jc w:val="both"/>
        <w:rPr>
          <w:sz w:val="24"/>
          <w:szCs w:val="24"/>
          <w:lang w:val="en-GB"/>
        </w:rPr>
      </w:pPr>
      <w:r w:rsidRPr="00DC2FFD">
        <w:rPr>
          <w:sz w:val="24"/>
          <w:lang w:val="en-GB"/>
        </w:rPr>
        <w:t xml:space="preserve">The analysis shows that reasons for an incomplete application of this Regulation are, first and foremost, the prohibition of employment in the public sector, which has been introduced by the  Law on the Method of Determining the Maximum Number of Public Sector Employees, which has ceased to apply on 31 December 2019, and continued with the limitation prescribed by the law governing the budget system, as it is necessary to obtain an approval of the Committee for granting approvals for new employment and additional work engagements for each new employment. </w:t>
      </w:r>
    </w:p>
    <w:p w14:paraId="6678F558" w14:textId="77777777" w:rsidR="00DC2FFD" w:rsidRPr="00DC2FFD" w:rsidRDefault="00DC2FFD" w:rsidP="00DC2FFD">
      <w:pPr>
        <w:widowControl w:val="0"/>
        <w:spacing w:after="0" w:line="266" w:lineRule="auto"/>
        <w:ind w:firstLine="720"/>
        <w:jc w:val="both"/>
        <w:rPr>
          <w:sz w:val="24"/>
          <w:szCs w:val="24"/>
          <w:lang w:val="en-GB"/>
        </w:rPr>
      </w:pPr>
      <w:r w:rsidRPr="00DC2FFD">
        <w:rPr>
          <w:sz w:val="24"/>
          <w:lang w:val="en-GB"/>
        </w:rPr>
        <w:t>In addition, a number of LSGUs has an adequate representation of persons belonging to national minorities in the bodies of LSGUs, and, in that regard, there is no need to apply affirmative measures prescribed in the regulations. Also, one of the major reasons why LSGUs fail to undertake prescribed affirmative measures is an insufficient percentage of employees who have declared their national affiliation (it is necessary that at least 30% of the total number of employees declare their national affiliation), which is a precondition for a proper application of the above regulations which prescribe affirmative measures for the employment of persons belonging to national minorities. The analysis also resulted in recommendations to LSGUs to improve the application of the above regulations.</w:t>
      </w:r>
    </w:p>
    <w:p w14:paraId="4969100D" w14:textId="77777777" w:rsidR="00DC2FFD" w:rsidRPr="00DC2FFD" w:rsidRDefault="00DC2FFD" w:rsidP="00DC2FFD">
      <w:pPr>
        <w:widowControl w:val="0"/>
        <w:tabs>
          <w:tab w:val="left" w:pos="3154"/>
        </w:tabs>
        <w:spacing w:after="0" w:line="266" w:lineRule="auto"/>
        <w:jc w:val="both"/>
        <w:rPr>
          <w:highlight w:val="yellow"/>
          <w:lang w:val="en-GB"/>
        </w:rPr>
      </w:pPr>
    </w:p>
    <w:p w14:paraId="5E99AFD1" w14:textId="77777777" w:rsidR="00DC2FFD" w:rsidRPr="00DC2FFD" w:rsidRDefault="00DC2FFD" w:rsidP="00DC2FFD">
      <w:pPr>
        <w:keepNext/>
        <w:spacing w:after="0" w:line="240" w:lineRule="auto"/>
        <w:outlineLvl w:val="0"/>
        <w:rPr>
          <w:rFonts w:eastAsia="Times New Roman"/>
          <w:b/>
          <w:sz w:val="24"/>
          <w:szCs w:val="24"/>
          <w:lang w:val="en-GB"/>
        </w:rPr>
      </w:pPr>
      <w:bookmarkStart w:id="6" w:name="_Toc112932707"/>
      <w:r w:rsidRPr="00DC2FFD">
        <w:rPr>
          <w:rFonts w:eastAsia="Times New Roman"/>
          <w:b/>
          <w:sz w:val="24"/>
          <w:szCs w:val="24"/>
          <w:lang w:val="en-GB"/>
        </w:rPr>
        <w:t>IV Further measures which have been undertaken for improvement of the implementation of the Framework Convention</w:t>
      </w:r>
      <w:bookmarkEnd w:id="6"/>
    </w:p>
    <w:p w14:paraId="48FAD0BF" w14:textId="77777777" w:rsidR="00DC2FFD" w:rsidRPr="00DC2FFD" w:rsidRDefault="00DC2FFD" w:rsidP="00DC2FFD">
      <w:pPr>
        <w:rPr>
          <w:lang w:val="sr-Cyrl-CS"/>
        </w:rPr>
      </w:pPr>
    </w:p>
    <w:p w14:paraId="592717D6" w14:textId="77777777" w:rsidR="00DC2FFD" w:rsidRPr="00DC2FFD" w:rsidRDefault="00DC2FFD" w:rsidP="00DC2FFD">
      <w:pPr>
        <w:spacing w:after="0"/>
        <w:jc w:val="both"/>
        <w:rPr>
          <w:b/>
          <w:sz w:val="24"/>
          <w:szCs w:val="24"/>
          <w:lang w:val="en-GB"/>
        </w:rPr>
      </w:pPr>
      <w:r w:rsidRPr="00DC2FFD">
        <w:rPr>
          <w:b/>
          <w:sz w:val="24"/>
          <w:lang w:val="en-GB"/>
        </w:rPr>
        <w:t>a) Measures undertaken for the implementation of the recommendations contained in Part 2 — Further Recommendations of the Committee of Ministers Resolution</w:t>
      </w:r>
    </w:p>
    <w:p w14:paraId="4BCA4E86" w14:textId="77777777" w:rsidR="00DC2FFD" w:rsidRPr="00DC2FFD" w:rsidRDefault="00DC2FFD" w:rsidP="00DC2FFD">
      <w:pPr>
        <w:spacing w:after="0"/>
        <w:jc w:val="both"/>
        <w:rPr>
          <w:sz w:val="24"/>
          <w:szCs w:val="24"/>
          <w:lang w:val="sr-Cyrl-CS"/>
        </w:rPr>
      </w:pPr>
    </w:p>
    <w:p w14:paraId="2B334618" w14:textId="5FF60C43" w:rsidR="00DC2FFD" w:rsidRPr="00DC2FFD" w:rsidRDefault="00DC2FFD" w:rsidP="00DC2FFD">
      <w:pPr>
        <w:spacing w:after="0"/>
        <w:jc w:val="both"/>
        <w:rPr>
          <w:i/>
          <w:sz w:val="24"/>
          <w:szCs w:val="24"/>
          <w:lang w:val="en-GB"/>
        </w:rPr>
      </w:pPr>
      <w:r w:rsidRPr="00DC2FFD">
        <w:rPr>
          <w:i/>
          <w:sz w:val="24"/>
          <w:lang w:val="en-GB"/>
        </w:rPr>
        <w:lastRenderedPageBreak/>
        <w:t>6</w:t>
      </w:r>
      <w:r w:rsidR="006D4E3D">
        <w:rPr>
          <w:i/>
          <w:sz w:val="24"/>
          <w:lang w:val="en-GB"/>
        </w:rPr>
        <w:t>.</w:t>
      </w:r>
      <w:r w:rsidRPr="00DC2FFD">
        <w:rPr>
          <w:i/>
          <w:sz w:val="24"/>
          <w:lang w:val="en-GB"/>
        </w:rPr>
        <w:t xml:space="preserve"> Launch an information campaign well ahead of the next census, targeting specifically persons belonging to national minorities, raising their awareness about their interests in participating in the census, including on multiple affiliation, and about the advantages of participating in the census, about multiple affiliation, and about their respective rights, with a view to successfully combining the protection and promotion of minority rights with the collection of reliable information about the ethnic composition of the population.</w:t>
      </w:r>
    </w:p>
    <w:p w14:paraId="6914D145" w14:textId="77777777" w:rsidR="00DC2FFD" w:rsidRPr="00DC2FFD" w:rsidRDefault="00DC2FFD" w:rsidP="00DC2FFD">
      <w:pPr>
        <w:spacing w:after="0"/>
        <w:jc w:val="both"/>
        <w:rPr>
          <w:i/>
          <w:sz w:val="24"/>
          <w:szCs w:val="24"/>
          <w:lang w:val="sr-Cyrl-RS"/>
        </w:rPr>
      </w:pPr>
    </w:p>
    <w:p w14:paraId="5EAD3A01" w14:textId="77777777" w:rsidR="00DC2FFD" w:rsidRPr="00DC2FFD" w:rsidRDefault="00DC2FFD" w:rsidP="00DC2FFD">
      <w:pPr>
        <w:spacing w:after="0"/>
        <w:ind w:firstLine="720"/>
        <w:jc w:val="both"/>
        <w:rPr>
          <w:sz w:val="24"/>
          <w:szCs w:val="24"/>
          <w:lang w:val="en-GB"/>
        </w:rPr>
      </w:pPr>
      <w:r w:rsidRPr="00DC2FFD">
        <w:rPr>
          <w:sz w:val="24"/>
          <w:lang w:val="en-GB"/>
        </w:rPr>
        <w:t xml:space="preserve">The population, households and housing censuses in the Republic of Serbia have been, due to the unfavourable epidemiological situation caused by the COVID-19 pandemic, postponed for October 2022. This has resulted in a postponement of a considerable number of preparatory activities, including activities relating to the media campaign. </w:t>
      </w:r>
    </w:p>
    <w:p w14:paraId="36970E75" w14:textId="77777777" w:rsidR="00DC2FFD" w:rsidRPr="00DC2FFD" w:rsidRDefault="00DC2FFD" w:rsidP="00DC2FFD">
      <w:pPr>
        <w:spacing w:after="0"/>
        <w:ind w:firstLine="720"/>
        <w:jc w:val="both"/>
        <w:rPr>
          <w:sz w:val="24"/>
          <w:szCs w:val="24"/>
          <w:lang w:val="en-GB"/>
        </w:rPr>
      </w:pPr>
      <w:r w:rsidRPr="00DC2FFD">
        <w:rPr>
          <w:sz w:val="24"/>
          <w:lang w:val="en-GB"/>
        </w:rPr>
        <w:t>The Statistical Office of the Republic of Serbia, from financial resources allocated for the Census, hired a specialised agency to prepare and implement the media campaign. The campaign for the 2022 Census will, similarly to the previous census, be uniform and in Serbian at the national level, while promotional materials for use at the local level (billboards, flyers etc.) will be translated to languages of national minorities. One of the promotional channels is the specialised website of the Census, which will contain all relevant information on the importance of the census, method of collection and use of census data, protection of census data, content of census questionnaire, opportunities for participation in the census, etc. The complete contents of the census website will be available in Serbian (in Cyrillic and Latin scripts) and in English, while methodological explanations, census questionnaires, public calls and other materials of importance for national minorities will be also available in languages of national minorities. In addition, the promotion of the census and raising awareness of citizens on the importance of collecting census data is to also be implemented through public statements of relevant persons from various social spheres, through printed and electronic media or through lectures, forums etc., which may be an opportunity for persons belonging to national minorities to address their target groups and emphasise the importance of census data for exercising the rights of national minorities. Also, national councils will organise special gatherings for the purpose of promotion of the census, and the Institute is open for helping everyone by delegating their representatives.</w:t>
      </w:r>
    </w:p>
    <w:p w14:paraId="5C126D07" w14:textId="77777777" w:rsidR="00DC2FFD" w:rsidRPr="00DC2FFD" w:rsidRDefault="00DC2FFD" w:rsidP="00DC2FFD">
      <w:pPr>
        <w:spacing w:after="0"/>
        <w:ind w:firstLine="720"/>
        <w:jc w:val="both"/>
        <w:rPr>
          <w:sz w:val="24"/>
          <w:szCs w:val="24"/>
          <w:lang w:val="en-GB"/>
        </w:rPr>
      </w:pPr>
      <w:r w:rsidRPr="00DC2FFD">
        <w:rPr>
          <w:sz w:val="24"/>
          <w:lang w:val="en-GB"/>
        </w:rPr>
        <w:t xml:space="preserve">The promotion of the census and the campaign for informing persons belonging to national minorities on all relevant aspects of the implementation of the census, possibilities of participating in the data collection, importance of the action and the rights and freedoms of persons belonging to national minorities, was launched by the Institute considerably before the start of the official media campaign - during Q4 2021. In collaboration with OSCE, three workshops were implemented, where parents of children who use the services of a shelter, primarily persons belonging to the Roma national minority, learned about the fundamental characteristics and importance of the census. In addition, a meeting was held in Novi </w:t>
      </w:r>
      <w:proofErr w:type="spellStart"/>
      <w:r w:rsidRPr="00DC2FFD">
        <w:rPr>
          <w:sz w:val="24"/>
          <w:lang w:val="en-GB"/>
        </w:rPr>
        <w:t>Pazar</w:t>
      </w:r>
      <w:proofErr w:type="spellEnd"/>
      <w:r w:rsidRPr="00DC2FFD">
        <w:rPr>
          <w:sz w:val="24"/>
          <w:lang w:val="en-GB"/>
        </w:rPr>
        <w:t xml:space="preserve">, organised by the National Council of the </w:t>
      </w:r>
      <w:proofErr w:type="spellStart"/>
      <w:r w:rsidRPr="00DC2FFD">
        <w:rPr>
          <w:sz w:val="24"/>
          <w:lang w:val="en-GB"/>
        </w:rPr>
        <w:t>Bosniak</w:t>
      </w:r>
      <w:proofErr w:type="spellEnd"/>
      <w:r w:rsidRPr="00DC2FFD">
        <w:rPr>
          <w:sz w:val="24"/>
          <w:lang w:val="en-GB"/>
        </w:rPr>
        <w:t xml:space="preserve"> National Minority, where talks were conducted with persons belonging to the </w:t>
      </w:r>
      <w:proofErr w:type="spellStart"/>
      <w:r w:rsidRPr="00DC2FFD">
        <w:rPr>
          <w:sz w:val="24"/>
          <w:lang w:val="en-GB"/>
        </w:rPr>
        <w:t>Bosniak</w:t>
      </w:r>
      <w:proofErr w:type="spellEnd"/>
      <w:r w:rsidRPr="00DC2FFD">
        <w:rPr>
          <w:sz w:val="24"/>
          <w:lang w:val="en-GB"/>
        </w:rPr>
        <w:t xml:space="preserve"> national minority from multiple local self-government units, about the importance of the census, method of collecting census data, and other matters of importance for the implementation of the census. All national councils have been informed on the fact that representatives of the Institute are available to participate in all </w:t>
      </w:r>
      <w:r w:rsidRPr="00DC2FFD">
        <w:rPr>
          <w:sz w:val="24"/>
          <w:lang w:val="en-GB"/>
        </w:rPr>
        <w:lastRenderedPageBreak/>
        <w:t>workshops, forums and meetings organised by the national councils for the purpose of informing persons belonging to national minorities in the best possible manner.</w:t>
      </w:r>
    </w:p>
    <w:p w14:paraId="49ED8D2B" w14:textId="77777777" w:rsidR="00DC2FFD" w:rsidRPr="00DC2FFD" w:rsidRDefault="00DC2FFD" w:rsidP="00DC2FFD">
      <w:pPr>
        <w:spacing w:after="0"/>
        <w:ind w:firstLine="720"/>
        <w:jc w:val="both"/>
        <w:rPr>
          <w:sz w:val="24"/>
          <w:szCs w:val="24"/>
          <w:lang w:val="en-GB"/>
        </w:rPr>
      </w:pPr>
      <w:r w:rsidRPr="00DC2FFD">
        <w:rPr>
          <w:sz w:val="24"/>
          <w:lang w:val="en-GB"/>
        </w:rPr>
        <w:t>The official media promotion of the census will start in May 2022, when the Institute will launch the implementation of a single national campaign intended for persons belonging to national minorities. The Ministry of Human and Minority Rights and Social Dialogue is expected to prepare special information campaign in languages and scripts of national minorities in accordance with the operational plan of the Institute’s media campaign.</w:t>
      </w:r>
    </w:p>
    <w:p w14:paraId="394D8C7A" w14:textId="77777777" w:rsidR="00DC2FFD" w:rsidRPr="00DC2FFD" w:rsidRDefault="00DC2FFD" w:rsidP="00DC2FFD">
      <w:pPr>
        <w:spacing w:after="0"/>
        <w:ind w:firstLine="720"/>
        <w:jc w:val="both"/>
        <w:rPr>
          <w:sz w:val="24"/>
          <w:szCs w:val="24"/>
          <w:lang w:val="sr-Cyrl-RS"/>
        </w:rPr>
      </w:pPr>
    </w:p>
    <w:p w14:paraId="6F1306B3" w14:textId="394B678E" w:rsidR="00DC2FFD" w:rsidRPr="00DC2FFD" w:rsidRDefault="00DC2FFD" w:rsidP="00DC2FFD">
      <w:pPr>
        <w:spacing w:after="0"/>
        <w:jc w:val="both"/>
        <w:rPr>
          <w:i/>
          <w:sz w:val="24"/>
          <w:szCs w:val="24"/>
          <w:lang w:val="en-GB"/>
        </w:rPr>
      </w:pPr>
      <w:r w:rsidRPr="00DC2FFD">
        <w:rPr>
          <w:i/>
          <w:sz w:val="24"/>
          <w:lang w:val="en-GB"/>
        </w:rPr>
        <w:t>7</w:t>
      </w:r>
      <w:r w:rsidR="006D4E3D">
        <w:rPr>
          <w:i/>
          <w:sz w:val="24"/>
          <w:lang w:val="en-GB"/>
        </w:rPr>
        <w:t>.</w:t>
      </w:r>
      <w:r w:rsidRPr="00DC2FFD">
        <w:rPr>
          <w:i/>
          <w:sz w:val="24"/>
          <w:lang w:val="en-GB"/>
        </w:rPr>
        <w:t xml:space="preserve"> Ensure effective participation of persons belonging to national minorities in the design of the census methodology and in the organisation and operation of such processes, including as enumerators; make all information on the census methodology and the aim of data collection available in the languages of national minorities.</w:t>
      </w:r>
    </w:p>
    <w:p w14:paraId="47F4EDD3" w14:textId="77777777" w:rsidR="00DC2FFD" w:rsidRPr="00DC2FFD" w:rsidRDefault="00DC2FFD" w:rsidP="00DC2FFD">
      <w:pPr>
        <w:spacing w:after="0"/>
        <w:jc w:val="both"/>
        <w:rPr>
          <w:i/>
          <w:sz w:val="24"/>
          <w:szCs w:val="24"/>
          <w:lang w:val="sr-Cyrl-RS"/>
        </w:rPr>
      </w:pPr>
    </w:p>
    <w:p w14:paraId="1A54879A" w14:textId="77777777" w:rsidR="00DC2FFD" w:rsidRPr="00DC2FFD" w:rsidRDefault="00DC2FFD" w:rsidP="00DC2FFD">
      <w:pPr>
        <w:spacing w:after="0"/>
        <w:ind w:firstLine="720"/>
        <w:jc w:val="both"/>
        <w:rPr>
          <w:sz w:val="24"/>
          <w:szCs w:val="24"/>
          <w:lang w:val="en-GB"/>
        </w:rPr>
      </w:pPr>
      <w:r w:rsidRPr="00DC2FFD">
        <w:rPr>
          <w:sz w:val="24"/>
          <w:lang w:val="en-GB"/>
        </w:rPr>
        <w:t>The census methodology for the 2022 Census is fully in accordance with the international recommendations jointly prepared by UNECE and Eurostat, and adopted by the Conference of European Statisticians,</w:t>
      </w:r>
      <w:r w:rsidRPr="00DC2FFD">
        <w:rPr>
          <w:sz w:val="24"/>
          <w:szCs w:val="24"/>
          <w:vertAlign w:val="superscript"/>
          <w:lang w:val="sr-Cyrl-RS"/>
        </w:rPr>
        <w:footnoteReference w:id="48"/>
      </w:r>
      <w:r w:rsidRPr="00DC2FFD">
        <w:rPr>
          <w:sz w:val="24"/>
          <w:lang w:val="en-GB"/>
        </w:rPr>
        <w:t xml:space="preserve"> as well as with the Regulations of the European Commission. Framework Regulation (EC)763/2008, Commission Implementing Regulation (EU) 2017/543, Commission Regulation (EU) 2017/712, Commission Implementing Regulation (EU) 2017/881 etc.). </w:t>
      </w:r>
    </w:p>
    <w:p w14:paraId="37E2F184" w14:textId="77777777" w:rsidR="00DC2FFD" w:rsidRPr="00DC2FFD" w:rsidRDefault="00DC2FFD" w:rsidP="00DC2FFD">
      <w:pPr>
        <w:spacing w:after="0"/>
        <w:ind w:firstLine="720"/>
        <w:jc w:val="both"/>
        <w:rPr>
          <w:sz w:val="24"/>
          <w:szCs w:val="24"/>
          <w:lang w:val="en-GB"/>
        </w:rPr>
      </w:pPr>
      <w:r w:rsidRPr="00DC2FFD">
        <w:rPr>
          <w:sz w:val="24"/>
          <w:lang w:val="en-GB"/>
        </w:rPr>
        <w:t>All information on the 2022 Census which are of special importance for the national minorities, including methodological explanations, census questionnaires and information on the importance of the census, method and objective of data collection, method of use and protection of census data, etc., will be available on the census website and in the languages of national minorities,</w:t>
      </w:r>
      <w:r w:rsidRPr="00DC2FFD">
        <w:rPr>
          <w:lang w:val="en-GB"/>
        </w:rPr>
        <w:t xml:space="preserve"> </w:t>
      </w:r>
      <w:r w:rsidRPr="00DC2FFD">
        <w:rPr>
          <w:sz w:val="24"/>
          <w:lang w:val="en-GB"/>
        </w:rPr>
        <w:t xml:space="preserve">The Statistical Office of the Republic of Serbia organised and financed the translation of census questionnaires in 13 languages of national minorities (Albanian, Bosnian, Bulgarian, </w:t>
      </w:r>
      <w:proofErr w:type="spellStart"/>
      <w:r w:rsidRPr="00DC2FFD">
        <w:rPr>
          <w:sz w:val="24"/>
          <w:lang w:val="en-GB"/>
        </w:rPr>
        <w:t>Bunjevac</w:t>
      </w:r>
      <w:proofErr w:type="spellEnd"/>
      <w:r w:rsidRPr="00DC2FFD">
        <w:rPr>
          <w:sz w:val="24"/>
          <w:lang w:val="en-GB"/>
        </w:rPr>
        <w:t xml:space="preserve">, Vlach, Hungarian, Macedonian, Roma, Romanian, </w:t>
      </w:r>
      <w:proofErr w:type="spellStart"/>
      <w:r w:rsidRPr="00DC2FFD">
        <w:rPr>
          <w:sz w:val="24"/>
          <w:lang w:val="en-GB"/>
        </w:rPr>
        <w:t>Ruthenian</w:t>
      </w:r>
      <w:proofErr w:type="spellEnd"/>
      <w:r w:rsidRPr="00DC2FFD">
        <w:rPr>
          <w:sz w:val="24"/>
          <w:lang w:val="en-GB"/>
        </w:rPr>
        <w:t xml:space="preserve">, Slovak, Croatian and Montenegrin). The selected languages of minorities were those meeting the following criteria: that there are at least 10,000 persons belonging to the national minority, according to the 2011 Census data, that it has an established national council, and that the language and script are standardised. The process of translation was organised in such a manner that the Institute, after the ques had been translated by translators chosen by the national councils, placed the translation in the form of a questionnaire, which was verified by the national councils, which was followed by the Institute printing the Multilingual Collection of </w:t>
      </w:r>
      <w:proofErr w:type="gramStart"/>
      <w:r w:rsidRPr="00DC2FFD">
        <w:rPr>
          <w:sz w:val="24"/>
          <w:lang w:val="en-GB"/>
        </w:rPr>
        <w:t>Questionnaires,  which</w:t>
      </w:r>
      <w:proofErr w:type="gramEnd"/>
      <w:r w:rsidRPr="00DC2FFD">
        <w:rPr>
          <w:sz w:val="24"/>
          <w:lang w:val="en-GB"/>
        </w:rPr>
        <w:t>, in addition to the above languages, also contains questionnaires in Serbian (Cyrillic and Latin script) and English. Census-takers shall carry this Collection on site, in order for interviewees to read the questions which they have to answer in their mother tongue. In addition, the Institute, in collaboration with OSCE, organised the translation in seven more languages of national minorities (Greek, German, Polish, Russian, Slovenian, Ukrainian and Czech), which will result in census questionnaires being available at the census website in 20 languages of national minorities. Also, the competition will be translated to languages of national minorities.</w:t>
      </w:r>
    </w:p>
    <w:p w14:paraId="1858353D" w14:textId="77777777" w:rsidR="00DC2FFD" w:rsidRPr="00DC2FFD" w:rsidRDefault="00DC2FFD" w:rsidP="00DC2FFD">
      <w:pPr>
        <w:spacing w:after="0"/>
        <w:ind w:firstLine="720"/>
        <w:jc w:val="both"/>
        <w:rPr>
          <w:sz w:val="24"/>
          <w:szCs w:val="24"/>
          <w:lang w:val="en-GB"/>
        </w:rPr>
      </w:pPr>
      <w:r w:rsidRPr="00DC2FFD">
        <w:rPr>
          <w:sz w:val="24"/>
          <w:lang w:val="en-GB"/>
        </w:rPr>
        <w:lastRenderedPageBreak/>
        <w:t xml:space="preserve">The Statistical Office of the Republic of Serbia has, for many years, been closely cooperating with representatives of national minorities and State authorities and organisation handling the affairs of national minorities, during the preparations and implementation of the census. </w:t>
      </w:r>
    </w:p>
    <w:p w14:paraId="0AFF284D" w14:textId="77777777" w:rsidR="00DC2FFD" w:rsidRPr="00DC2FFD" w:rsidRDefault="00DC2FFD" w:rsidP="00DC2FFD">
      <w:pPr>
        <w:spacing w:after="0"/>
        <w:ind w:firstLine="720"/>
        <w:jc w:val="both"/>
        <w:rPr>
          <w:sz w:val="24"/>
          <w:szCs w:val="24"/>
          <w:lang w:val="en-GB"/>
        </w:rPr>
      </w:pPr>
      <w:r w:rsidRPr="00DC2FFD">
        <w:rPr>
          <w:sz w:val="24"/>
          <w:lang w:val="en-GB"/>
        </w:rPr>
        <w:t>During 2019, consultations were held with various EU experts with the objective of a more efficient preparation and implementation of the census and assessment of its conformity with the European statistical standards. During the mission of a communication expert, meetings were also attended by representatives of national councils of national minorities and non-governmental organisations which handle Roma affairs.</w:t>
      </w:r>
    </w:p>
    <w:p w14:paraId="79B9BBDB" w14:textId="77777777" w:rsidR="00DC2FFD" w:rsidRPr="00DC2FFD" w:rsidRDefault="00DC2FFD" w:rsidP="00DC2FFD">
      <w:pPr>
        <w:spacing w:after="0"/>
        <w:ind w:firstLine="720"/>
        <w:jc w:val="both"/>
        <w:rPr>
          <w:sz w:val="24"/>
          <w:szCs w:val="24"/>
          <w:lang w:val="en-GB"/>
        </w:rPr>
      </w:pPr>
      <w:r w:rsidRPr="00DC2FFD">
        <w:rPr>
          <w:sz w:val="24"/>
          <w:lang w:val="en-GB"/>
        </w:rPr>
        <w:t>In February 2020, representatives of the Coordination of National Councils of National Minorities participated in the consultations “Towards the Census”, organised by the Institute, where the Law on Census was presented,</w:t>
      </w:r>
      <w:r w:rsidRPr="00DC2FFD">
        <w:rPr>
          <w:sz w:val="24"/>
          <w:szCs w:val="24"/>
          <w:vertAlign w:val="superscript"/>
          <w:lang w:val="sr-Cyrl-RS"/>
        </w:rPr>
        <w:footnoteReference w:id="49"/>
      </w:r>
      <w:r w:rsidRPr="00DC2FFD">
        <w:rPr>
          <w:sz w:val="24"/>
          <w:lang w:val="en-GB"/>
        </w:rPr>
        <w:t xml:space="preserve"> together with the contents of census questionnaires. In 2020, multiple meetings were held with representatives of the National Council of the Roma National Minority for the purpose of reaching an agreement on the organisation and method of implementing the census of the Roma population living in informal and substandard settlements.</w:t>
      </w:r>
      <w:r w:rsidRPr="00DC2FFD">
        <w:rPr>
          <w:lang w:val="en-GB"/>
        </w:rPr>
        <w:t xml:space="preserve"> </w:t>
      </w:r>
      <w:r w:rsidRPr="00DC2FFD">
        <w:rPr>
          <w:sz w:val="24"/>
          <w:lang w:val="en-GB"/>
        </w:rPr>
        <w:t xml:space="preserve">Also, at the meeting with representatives of the National Council of the </w:t>
      </w:r>
      <w:proofErr w:type="spellStart"/>
      <w:r w:rsidRPr="00DC2FFD">
        <w:rPr>
          <w:sz w:val="24"/>
          <w:lang w:val="en-GB"/>
        </w:rPr>
        <w:t>Bosniak</w:t>
      </w:r>
      <w:proofErr w:type="spellEnd"/>
      <w:r w:rsidRPr="00DC2FFD">
        <w:rPr>
          <w:sz w:val="24"/>
          <w:lang w:val="en-GB"/>
        </w:rPr>
        <w:t xml:space="preserve"> National Minority, there was a conversation about the conditions for applying to work on the census and the method of selection of candidates for instructors </w:t>
      </w:r>
      <w:proofErr w:type="gramStart"/>
      <w:r w:rsidRPr="00DC2FFD">
        <w:rPr>
          <w:sz w:val="24"/>
          <w:lang w:val="en-GB"/>
        </w:rPr>
        <w:t>and  census</w:t>
      </w:r>
      <w:proofErr w:type="gramEnd"/>
      <w:r w:rsidRPr="00DC2FFD">
        <w:rPr>
          <w:sz w:val="24"/>
          <w:lang w:val="en-GB"/>
        </w:rPr>
        <w:t>-takers.</w:t>
      </w:r>
    </w:p>
    <w:p w14:paraId="6568AF00" w14:textId="5ECD7BFC" w:rsidR="00DC2FFD" w:rsidRPr="00DC2FFD" w:rsidRDefault="00DC2FFD" w:rsidP="00DC2FFD">
      <w:pPr>
        <w:spacing w:after="0"/>
        <w:ind w:firstLine="720"/>
        <w:jc w:val="both"/>
        <w:rPr>
          <w:color w:val="FF0000"/>
          <w:sz w:val="24"/>
          <w:szCs w:val="24"/>
          <w:lang w:val="en-GB"/>
        </w:rPr>
      </w:pPr>
      <w:r w:rsidRPr="00DC2FFD">
        <w:rPr>
          <w:sz w:val="24"/>
          <w:lang w:val="en-GB"/>
        </w:rPr>
        <w:t xml:space="preserve">The Institute creates a census committee in every municipality and recruits instructors and census-takers to implement the census at the local level. Candidates who will work on the census are selected on the basis of pre-defined, uniform and publicly available criteria and procedures. All participants are recruited from the local population. Thus, representation of persons belonging to national minorities is ensured in multi-ethnic environments. At the specialised website of the Census in languages of national minorities, there are also notifications on the method and deadlines for candidates to apply. For implementing the census in substandard Roma settlements, Roma people who live in those settlements are recruited as additional assistants. In addition, it is planned that, similarly to the previous census, in certain municipalities with multi-ethnic populations, the census committees, which implement organisational and logistical tasks at the local level, should also include a representative of the Coordination of National Councils of National Minorities. </w:t>
      </w:r>
    </w:p>
    <w:p w14:paraId="7C0E894F" w14:textId="77777777" w:rsidR="00DC2FFD" w:rsidRPr="00DC2FFD" w:rsidRDefault="00DC2FFD" w:rsidP="00DC2FFD">
      <w:pPr>
        <w:spacing w:after="0"/>
        <w:ind w:firstLine="720"/>
        <w:jc w:val="both"/>
        <w:rPr>
          <w:sz w:val="24"/>
          <w:szCs w:val="24"/>
          <w:lang w:val="en-GB"/>
        </w:rPr>
      </w:pPr>
      <w:r w:rsidRPr="00DC2FFD">
        <w:rPr>
          <w:sz w:val="24"/>
          <w:lang w:val="en-GB"/>
        </w:rPr>
        <w:t xml:space="preserve">For the purpose of more effective inclusion of persons belonging to national minorities into the preparation and organisation of the population, household and housing </w:t>
      </w:r>
      <w:proofErr w:type="gramStart"/>
      <w:r w:rsidRPr="00DC2FFD">
        <w:rPr>
          <w:sz w:val="24"/>
          <w:lang w:val="en-GB"/>
        </w:rPr>
        <w:t>census,  in</w:t>
      </w:r>
      <w:proofErr w:type="gramEnd"/>
      <w:r w:rsidRPr="00DC2FFD">
        <w:rPr>
          <w:sz w:val="24"/>
          <w:lang w:val="en-GB"/>
        </w:rPr>
        <w:t xml:space="preserve"> March 2021, in collaboration with the Coordination of National Councils of National Minorities, the Working Group for coordination of census activities relating to matters of importance for national minorities was created. The Working Group consists of, in addition to four representatives of the Statistical Office of the Republic of Serbia, three representatives of the Coordination (from three national councils) and one representative of the Ministry of Human and Minority Rights and Social Dialogue.</w:t>
      </w:r>
    </w:p>
    <w:p w14:paraId="54B694A2" w14:textId="77777777" w:rsidR="00DC2FFD" w:rsidRPr="00DC2FFD" w:rsidRDefault="00DC2FFD" w:rsidP="00DC2FFD">
      <w:pPr>
        <w:spacing w:after="0"/>
        <w:ind w:firstLine="720"/>
        <w:jc w:val="both"/>
        <w:rPr>
          <w:sz w:val="24"/>
          <w:szCs w:val="24"/>
          <w:lang w:val="en-GB"/>
        </w:rPr>
      </w:pPr>
      <w:r w:rsidRPr="00DC2FFD">
        <w:rPr>
          <w:sz w:val="24"/>
          <w:lang w:val="en-GB"/>
        </w:rPr>
        <w:t>The main duties of the Working Group are as follows:</w:t>
      </w:r>
    </w:p>
    <w:p w14:paraId="7B70EB48" w14:textId="77777777" w:rsidR="00DC2FFD" w:rsidRPr="00DC2FFD" w:rsidRDefault="00DC2FFD" w:rsidP="00DC2FFD">
      <w:pPr>
        <w:spacing w:after="0"/>
        <w:ind w:firstLine="720"/>
        <w:jc w:val="both"/>
        <w:rPr>
          <w:sz w:val="24"/>
          <w:szCs w:val="24"/>
          <w:lang w:val="en-GB"/>
        </w:rPr>
      </w:pPr>
      <w:r w:rsidRPr="00DC2FFD">
        <w:rPr>
          <w:sz w:val="24"/>
          <w:lang w:val="en-GB"/>
        </w:rPr>
        <w:t>- defining the areas of cooperation with national councils of national minorities as regards census activities, at the national and level locals;</w:t>
      </w:r>
    </w:p>
    <w:p w14:paraId="35FF2098" w14:textId="77777777" w:rsidR="00DC2FFD" w:rsidRPr="00DC2FFD" w:rsidRDefault="00DC2FFD" w:rsidP="00DC2FFD">
      <w:pPr>
        <w:spacing w:after="0"/>
        <w:ind w:firstLine="720"/>
        <w:jc w:val="both"/>
        <w:rPr>
          <w:sz w:val="24"/>
          <w:szCs w:val="24"/>
          <w:lang w:val="en-GB"/>
        </w:rPr>
      </w:pPr>
      <w:r w:rsidRPr="00DC2FFD">
        <w:rPr>
          <w:sz w:val="24"/>
          <w:lang w:val="en-GB"/>
        </w:rPr>
        <w:lastRenderedPageBreak/>
        <w:t>- recognising potential challenges and defining activities which may reduce the risk impact on the implementation of census activities;</w:t>
      </w:r>
    </w:p>
    <w:p w14:paraId="17922F61" w14:textId="77777777" w:rsidR="00DC2FFD" w:rsidRPr="00DC2FFD" w:rsidRDefault="00DC2FFD" w:rsidP="00DC2FFD">
      <w:pPr>
        <w:spacing w:after="0"/>
        <w:ind w:firstLine="720"/>
        <w:jc w:val="both"/>
        <w:rPr>
          <w:sz w:val="24"/>
          <w:szCs w:val="24"/>
          <w:lang w:val="en-GB"/>
        </w:rPr>
      </w:pPr>
      <w:r w:rsidRPr="00DC2FFD">
        <w:rPr>
          <w:sz w:val="24"/>
          <w:lang w:val="en-GB"/>
        </w:rPr>
        <w:t xml:space="preserve">- organising activities relating to the translation of census materials to languages of national minorities; </w:t>
      </w:r>
    </w:p>
    <w:p w14:paraId="5E304CA4" w14:textId="309A6C7A" w:rsidR="00DC2FFD" w:rsidRPr="00DC2FFD" w:rsidRDefault="00DC2FFD" w:rsidP="00DC2FFD">
      <w:pPr>
        <w:spacing w:after="0"/>
        <w:ind w:firstLine="720"/>
        <w:jc w:val="both"/>
        <w:rPr>
          <w:sz w:val="24"/>
          <w:szCs w:val="24"/>
          <w:lang w:val="en-GB"/>
        </w:rPr>
      </w:pPr>
      <w:r w:rsidRPr="00DC2FFD">
        <w:rPr>
          <w:sz w:val="24"/>
          <w:lang w:val="en-GB"/>
        </w:rPr>
        <w:t>- defining the method of promotion of the importance of the census for persons belonging to national minorities;</w:t>
      </w:r>
    </w:p>
    <w:p w14:paraId="7DF91674" w14:textId="77777777" w:rsidR="00DC2FFD" w:rsidRPr="00DC2FFD" w:rsidRDefault="00DC2FFD" w:rsidP="00DC2FFD">
      <w:pPr>
        <w:spacing w:after="0"/>
        <w:ind w:firstLine="720"/>
        <w:jc w:val="both"/>
        <w:rPr>
          <w:sz w:val="24"/>
          <w:szCs w:val="24"/>
          <w:lang w:val="en-GB"/>
        </w:rPr>
      </w:pPr>
      <w:r w:rsidRPr="00DC2FFD">
        <w:rPr>
          <w:sz w:val="24"/>
          <w:lang w:val="en-GB"/>
        </w:rPr>
        <w:t xml:space="preserve">- coordination of activities for the promotion of the census </w:t>
      </w:r>
      <w:proofErr w:type="gramStart"/>
      <w:r w:rsidRPr="00DC2FFD">
        <w:rPr>
          <w:sz w:val="24"/>
          <w:lang w:val="en-GB"/>
        </w:rPr>
        <w:t>and  activities</w:t>
      </w:r>
      <w:proofErr w:type="gramEnd"/>
      <w:r w:rsidRPr="00DC2FFD">
        <w:rPr>
          <w:sz w:val="24"/>
          <w:lang w:val="en-GB"/>
        </w:rPr>
        <w:t xml:space="preserve"> of translation and distribution of promotional materials;</w:t>
      </w:r>
    </w:p>
    <w:p w14:paraId="57DF490A" w14:textId="77777777" w:rsidR="00DC2FFD" w:rsidRPr="00DC2FFD" w:rsidRDefault="00DC2FFD" w:rsidP="00DC2FFD">
      <w:pPr>
        <w:spacing w:after="0"/>
        <w:ind w:firstLine="720"/>
        <w:jc w:val="both"/>
        <w:rPr>
          <w:sz w:val="24"/>
          <w:szCs w:val="24"/>
          <w:lang w:val="en-GB"/>
        </w:rPr>
      </w:pPr>
      <w:r w:rsidRPr="00DC2FFD">
        <w:rPr>
          <w:sz w:val="24"/>
          <w:lang w:val="en-GB"/>
        </w:rPr>
        <w:t xml:space="preserve">- other activities of importance for a proper implementation of the census.  </w:t>
      </w:r>
    </w:p>
    <w:p w14:paraId="2C01E9DD" w14:textId="77777777" w:rsidR="00DC2FFD" w:rsidRPr="00DC2FFD" w:rsidRDefault="00DC2FFD" w:rsidP="00DC2FFD">
      <w:pPr>
        <w:spacing w:after="0"/>
        <w:ind w:firstLine="720"/>
        <w:jc w:val="both"/>
        <w:rPr>
          <w:sz w:val="24"/>
          <w:szCs w:val="24"/>
          <w:lang w:val="sr-Cyrl-RS"/>
        </w:rPr>
      </w:pPr>
    </w:p>
    <w:p w14:paraId="607585F8" w14:textId="77777777" w:rsidR="00DC2FFD" w:rsidRPr="00DC2FFD" w:rsidRDefault="00DC2FFD" w:rsidP="00DC2FFD">
      <w:pPr>
        <w:spacing w:after="0"/>
        <w:ind w:firstLine="720"/>
        <w:jc w:val="both"/>
        <w:rPr>
          <w:sz w:val="24"/>
          <w:szCs w:val="24"/>
          <w:lang w:val="en-GB"/>
        </w:rPr>
      </w:pPr>
      <w:r w:rsidRPr="00DC2FFD">
        <w:rPr>
          <w:sz w:val="24"/>
          <w:lang w:val="en-GB"/>
        </w:rPr>
        <w:t xml:space="preserve">In line with the positive experience from the previous </w:t>
      </w:r>
      <w:proofErr w:type="gramStart"/>
      <w:r w:rsidRPr="00DC2FFD">
        <w:rPr>
          <w:sz w:val="24"/>
          <w:lang w:val="en-GB"/>
        </w:rPr>
        <w:t>census,  the</w:t>
      </w:r>
      <w:proofErr w:type="gramEnd"/>
      <w:r w:rsidRPr="00DC2FFD">
        <w:rPr>
          <w:sz w:val="24"/>
          <w:lang w:val="en-GB"/>
        </w:rPr>
        <w:t xml:space="preserve"> Working Group agreed that 88 representatives of the Coordination of National Councils of National Minorities shall be included in the census committees in local self-government units with a nationally diverse population (74 census committees).</w:t>
      </w:r>
    </w:p>
    <w:p w14:paraId="17A16E43" w14:textId="77777777" w:rsidR="00DC2FFD" w:rsidRPr="00DC2FFD" w:rsidRDefault="00DC2FFD" w:rsidP="00DC2FFD">
      <w:pPr>
        <w:spacing w:after="0"/>
        <w:ind w:firstLine="720"/>
        <w:jc w:val="both"/>
        <w:rPr>
          <w:sz w:val="24"/>
          <w:szCs w:val="24"/>
          <w:lang w:val="en-GB"/>
        </w:rPr>
      </w:pPr>
      <w:r w:rsidRPr="00DC2FFD">
        <w:rPr>
          <w:sz w:val="24"/>
          <w:lang w:val="en-GB"/>
        </w:rPr>
        <w:t>In addition, assistant census-takers are to be recruited for support during with the census in substandard settlements, in collaboration with the National Council of the Roma National Minority.</w:t>
      </w:r>
    </w:p>
    <w:p w14:paraId="270FBAC9" w14:textId="77777777" w:rsidR="00DC2FFD" w:rsidRPr="00DC2FFD" w:rsidRDefault="00DC2FFD" w:rsidP="00DC2FFD">
      <w:pPr>
        <w:spacing w:after="0"/>
        <w:ind w:firstLine="720"/>
        <w:jc w:val="both"/>
        <w:rPr>
          <w:sz w:val="24"/>
          <w:szCs w:val="24"/>
          <w:lang w:val="en-GB"/>
        </w:rPr>
      </w:pPr>
      <w:r w:rsidRPr="00DC2FFD">
        <w:rPr>
          <w:sz w:val="24"/>
          <w:lang w:val="en-GB"/>
        </w:rPr>
        <w:t xml:space="preserve">The National Council of the </w:t>
      </w:r>
      <w:proofErr w:type="spellStart"/>
      <w:r w:rsidRPr="00DC2FFD">
        <w:rPr>
          <w:sz w:val="24"/>
          <w:lang w:val="en-GB"/>
        </w:rPr>
        <w:t>Bosniak</w:t>
      </w:r>
      <w:proofErr w:type="spellEnd"/>
      <w:r w:rsidRPr="00DC2FFD">
        <w:rPr>
          <w:sz w:val="24"/>
          <w:lang w:val="en-GB"/>
        </w:rPr>
        <w:t xml:space="preserve"> National Minority states, in the written contribution for this report, that the representative of this Council is included in the activity of the Working Group for coordination of census activities relating to matters of importance for national minorities, created by the Statistical Office of the Republic of Serbia. This Council states that any declaration in terms of ethnicity might, through the method of multiple affiliation, weaken the rights of the </w:t>
      </w:r>
      <w:proofErr w:type="spellStart"/>
      <w:r w:rsidRPr="00DC2FFD">
        <w:rPr>
          <w:sz w:val="24"/>
          <w:lang w:val="en-GB"/>
        </w:rPr>
        <w:t>Bosniak</w:t>
      </w:r>
      <w:proofErr w:type="spellEnd"/>
      <w:r w:rsidRPr="00DC2FFD">
        <w:rPr>
          <w:sz w:val="24"/>
          <w:lang w:val="en-GB"/>
        </w:rPr>
        <w:t xml:space="preserve"> national community and reinforce their assimilation. </w:t>
      </w:r>
    </w:p>
    <w:p w14:paraId="217D7E93" w14:textId="77777777" w:rsidR="00DC2FFD" w:rsidRPr="00DC2FFD" w:rsidRDefault="00DC2FFD" w:rsidP="00DC2FFD">
      <w:pPr>
        <w:spacing w:after="0"/>
        <w:jc w:val="both"/>
        <w:rPr>
          <w:sz w:val="24"/>
          <w:szCs w:val="24"/>
          <w:lang w:val="sr-Cyrl-RS"/>
        </w:rPr>
      </w:pPr>
    </w:p>
    <w:p w14:paraId="666D80CD" w14:textId="155E3DA2" w:rsidR="00DC2FFD" w:rsidRPr="00DC2FFD" w:rsidRDefault="00DC2FFD" w:rsidP="00DC2FFD">
      <w:pPr>
        <w:spacing w:after="0"/>
        <w:jc w:val="both"/>
        <w:rPr>
          <w:i/>
          <w:sz w:val="24"/>
          <w:szCs w:val="24"/>
          <w:lang w:val="en-GB"/>
        </w:rPr>
      </w:pPr>
      <w:r w:rsidRPr="00DC2FFD">
        <w:rPr>
          <w:i/>
          <w:sz w:val="24"/>
          <w:lang w:val="en-GB"/>
        </w:rPr>
        <w:t>8</w:t>
      </w:r>
      <w:r w:rsidR="006D4E3D">
        <w:rPr>
          <w:i/>
          <w:sz w:val="24"/>
          <w:lang w:val="en-GB"/>
        </w:rPr>
        <w:t>.</w:t>
      </w:r>
      <w:r w:rsidRPr="00DC2FFD">
        <w:rPr>
          <w:i/>
          <w:sz w:val="24"/>
          <w:lang w:val="en-GB"/>
        </w:rPr>
        <w:t xml:space="preserve"> Ensure that the right of persons belonging to national minorities to establish religious institutions, organisations or associations is effectively guaranteed in law as well as in practice, </w:t>
      </w:r>
      <w:proofErr w:type="gramStart"/>
      <w:r w:rsidRPr="00DC2FFD">
        <w:rPr>
          <w:i/>
          <w:sz w:val="24"/>
          <w:lang w:val="en-GB"/>
        </w:rPr>
        <w:t>including  by</w:t>
      </w:r>
      <w:proofErr w:type="gramEnd"/>
      <w:r w:rsidRPr="00DC2FFD">
        <w:rPr>
          <w:i/>
          <w:sz w:val="24"/>
          <w:lang w:val="en-GB"/>
        </w:rPr>
        <w:t xml:space="preserve">  ensuring  that  legal  provisions  governing  religious  communities  do  not  allow  for discrimination, including against those of a numerically smaller size, in particular with regard to access to legal personality or tax status.</w:t>
      </w:r>
    </w:p>
    <w:p w14:paraId="11F3298B" w14:textId="77777777" w:rsidR="00DC2FFD" w:rsidRPr="00DC2FFD" w:rsidRDefault="00DC2FFD" w:rsidP="00DC2FFD">
      <w:pPr>
        <w:spacing w:after="0"/>
        <w:jc w:val="both"/>
        <w:rPr>
          <w:i/>
          <w:sz w:val="24"/>
          <w:szCs w:val="24"/>
          <w:lang w:val="sr-Cyrl-RS"/>
        </w:rPr>
      </w:pPr>
    </w:p>
    <w:p w14:paraId="388D70A5" w14:textId="776E1F35" w:rsidR="00DC2FFD" w:rsidRPr="00DC2FFD" w:rsidRDefault="00DC2FFD" w:rsidP="00DC2FFD">
      <w:pPr>
        <w:spacing w:after="0"/>
        <w:ind w:firstLine="720"/>
        <w:jc w:val="both"/>
        <w:rPr>
          <w:sz w:val="24"/>
          <w:szCs w:val="24"/>
          <w:lang w:val="en-GB"/>
        </w:rPr>
      </w:pPr>
      <w:r w:rsidRPr="00DC2FFD">
        <w:rPr>
          <w:sz w:val="24"/>
          <w:lang w:val="en-GB"/>
        </w:rPr>
        <w:t>The Law on Churches and Religious Communities</w:t>
      </w:r>
      <w:r w:rsidRPr="00DC2FFD">
        <w:rPr>
          <w:sz w:val="24"/>
          <w:szCs w:val="24"/>
          <w:vertAlign w:val="superscript"/>
          <w:lang w:val="sr-Cyrl-RS"/>
        </w:rPr>
        <w:footnoteReference w:id="50"/>
      </w:r>
      <w:r w:rsidRPr="00DC2FFD">
        <w:rPr>
          <w:sz w:val="24"/>
          <w:lang w:val="en-GB"/>
        </w:rPr>
        <w:t xml:space="preserve"> establishes that “citizens have the freedom of association and public gathering for the purpose of expressing their religious affiliation in accordance with the Constitution and the law”, as well as that they have the “freedom of joining churches and religious communities in accordance with the law”. In that regard, it is clear that the right of persons belonging to national minorities to establish religious institutions, organisations or association is effectively guaranteed by the law. In practice, there are churches and religious communities in the Republic Serbia whose members are mostly persons belonging to national minorities, such as the Roman Catholic Church, Protestant churches, the Islamic Community of Serbia, the Islamic Community in Serbia, the Jewish Community, etc. This is in accordance with the cited Law, i.e., provisions which guarantee them an autonomous status in relation to state authorities, enjoyment and exercise of the right </w:t>
      </w:r>
      <w:r w:rsidRPr="00DC2FFD">
        <w:rPr>
          <w:sz w:val="24"/>
          <w:lang w:val="en-GB"/>
        </w:rPr>
        <w:lastRenderedPageBreak/>
        <w:t>to establish religious institutions, organisations and associations. In the Republic of Serbia, associations “Maria” and “Caritas” act within the Roman Catholic Church, “</w:t>
      </w:r>
      <w:proofErr w:type="spellStart"/>
      <w:r w:rsidRPr="00DC2FFD">
        <w:rPr>
          <w:sz w:val="24"/>
          <w:lang w:val="en-GB"/>
        </w:rPr>
        <w:t>Gajret</w:t>
      </w:r>
      <w:proofErr w:type="spellEnd"/>
      <w:r w:rsidRPr="00DC2FFD">
        <w:rPr>
          <w:sz w:val="24"/>
          <w:lang w:val="en-GB"/>
        </w:rPr>
        <w:t>” within the Islamic Community of Serbia, “Ecumenical Humanitarian Organization (EHO)” within the Protestant Reformist Churches, “Chabad Serbia” within the Jewish Community, etc.</w:t>
      </w:r>
    </w:p>
    <w:p w14:paraId="252737CB" w14:textId="00A7A259" w:rsidR="00DC2FFD" w:rsidRPr="00DC2FFD" w:rsidRDefault="00DC2FFD" w:rsidP="00DC2FFD">
      <w:pPr>
        <w:spacing w:after="0"/>
        <w:ind w:firstLine="720"/>
        <w:jc w:val="both"/>
        <w:rPr>
          <w:sz w:val="24"/>
          <w:szCs w:val="24"/>
          <w:lang w:val="en-GB"/>
        </w:rPr>
      </w:pPr>
      <w:r w:rsidRPr="00DC2FFD">
        <w:rPr>
          <w:sz w:val="24"/>
          <w:lang w:val="en-GB"/>
        </w:rPr>
        <w:t>Also, the Law on the Prohibition of Discrimination explicitly prescribes the prohibition of religious discrimination, which entails a conduct in contravention to the principle of free expression of faith or belief, i.e., “if an individual or a group of persons is denied the right to acquire,</w:t>
      </w:r>
      <w:r w:rsidR="002A6770">
        <w:rPr>
          <w:sz w:val="24"/>
          <w:lang w:val="en-GB"/>
        </w:rPr>
        <w:t xml:space="preserve"> </w:t>
      </w:r>
      <w:r w:rsidRPr="00DC2FFD">
        <w:rPr>
          <w:sz w:val="24"/>
          <w:lang w:val="en-GB"/>
        </w:rPr>
        <w:t>maintain, express and change faith or beliefs”, or “the right to express, be it privately or publicly, or act in</w:t>
      </w:r>
      <w:r w:rsidR="002A6770">
        <w:rPr>
          <w:sz w:val="24"/>
          <w:lang w:val="en-GB"/>
        </w:rPr>
        <w:t xml:space="preserve"> </w:t>
      </w:r>
      <w:r w:rsidRPr="00DC2FFD">
        <w:rPr>
          <w:sz w:val="24"/>
          <w:lang w:val="en-GB"/>
        </w:rPr>
        <w:t xml:space="preserve">accordance with his/her beliefs”. It also prohibits discrimination “against national minorities and their members on the grounds of religious affiliation, ethnic origin, religious beliefs and language”. </w:t>
      </w:r>
    </w:p>
    <w:p w14:paraId="346EB2A5" w14:textId="77777777" w:rsidR="006D4E3D" w:rsidRDefault="00DC2FFD" w:rsidP="00DC2FFD">
      <w:pPr>
        <w:spacing w:after="0"/>
        <w:ind w:firstLine="720"/>
        <w:jc w:val="both"/>
        <w:rPr>
          <w:sz w:val="24"/>
          <w:lang w:val="en-GB"/>
        </w:rPr>
      </w:pPr>
      <w:r w:rsidRPr="00DC2FFD">
        <w:rPr>
          <w:sz w:val="24"/>
          <w:lang w:val="en-GB"/>
        </w:rPr>
        <w:t>The Criminal Code</w:t>
      </w:r>
      <w:r w:rsidRPr="00DC2FFD">
        <w:rPr>
          <w:sz w:val="24"/>
          <w:szCs w:val="24"/>
          <w:vertAlign w:val="superscript"/>
          <w:lang w:val="sr-Cyrl-RS"/>
        </w:rPr>
        <w:footnoteReference w:id="51"/>
      </w:r>
      <w:r w:rsidRPr="00DC2FFD">
        <w:rPr>
          <w:sz w:val="24"/>
          <w:lang w:val="en-GB"/>
        </w:rPr>
        <w:t xml:space="preserve"> defines and prescribes numerous criminal acts as regards violation of the freedom of expression of faith, or discrimination on the grounds of religion,</w:t>
      </w:r>
      <w:r w:rsidRPr="00DC2FFD">
        <w:rPr>
          <w:i/>
          <w:iCs/>
          <w:sz w:val="24"/>
          <w:lang w:val="en-GB"/>
        </w:rPr>
        <w:t xml:space="preserve"> inter alia</w:t>
      </w:r>
      <w:r w:rsidRPr="00DC2FFD">
        <w:rPr>
          <w:sz w:val="24"/>
          <w:lang w:val="en-GB"/>
        </w:rPr>
        <w:t>, “violation of the freedom of religion and performing religious service,” for which the perpetrator “shall be punished with a fine or imprisonment up to one year”, “ruining the reputation for racial, religious, ethnic or other affiliation” for which the perpetrator “shall be punished with a fine or imprisonment up to one year”, and “instigating national, racial or religious hatred or intolerance among the peoples and ethnic communities living in Serbia” for which the perpetrator “shall be punished by imprisonmen</w:t>
      </w:r>
      <w:r w:rsidR="006D4E3D">
        <w:rPr>
          <w:sz w:val="24"/>
          <w:lang w:val="en-GB"/>
        </w:rPr>
        <w:t>t of six months to five years”.</w:t>
      </w:r>
    </w:p>
    <w:p w14:paraId="0CE93E67" w14:textId="4E0517CB" w:rsidR="00DC2FFD" w:rsidRPr="00DC2FFD" w:rsidRDefault="00DC2FFD" w:rsidP="00DC2FFD">
      <w:pPr>
        <w:spacing w:after="0"/>
        <w:ind w:firstLine="720"/>
        <w:jc w:val="both"/>
        <w:rPr>
          <w:sz w:val="24"/>
          <w:szCs w:val="24"/>
          <w:lang w:val="en-GB"/>
        </w:rPr>
      </w:pPr>
      <w:r w:rsidRPr="00DC2FFD">
        <w:rPr>
          <w:sz w:val="24"/>
          <w:lang w:val="en-GB"/>
        </w:rPr>
        <w:t xml:space="preserve">Legal provisions contained in the Law on Churches and Religious Communities, which regulates religious communities, do not allow any form of discrimination. The data that, since the adoption of the Law on Churches and Religious Communities (2006), as many as 27 new religious entities have been registered in the Republic of Serbia, which shows to which extent regulations and religious policy are of a liberal nature, even compared to many countries of the European Union. This connection cannot be denied by a simple distinction in terms and a differently prescribed procedure for gaining the legal personality for “traditional” and “non-traditional” religious entities. Namely, it is fully logical and justified that the competent State authority, in accordance with Article 18 of the Law, a religious entity which wants to be registered for the first time (“non-traditional”), and, unlike those who are only re-entered in the Register (“traditional”), request the “Decision on the establishment of a religious organisation with signatures and identification numbers of documents of at least 0.001% of adult citizens of Serbia or persons with a domicile in Serbia...”, “Statute or another document of a religious organisation...”, “overview of religious teachings, service and goals...”, and “data on permanent revenues of a religious organisation”. In 2006, at the time of the adoption of the Law on Churches and Religious Communities, it was not necessary to request such data again from the Serbian Orthodox Church, Roman Catholic Church, Protestant churches, Islamic Community or the Jewish Community (the “traditional” religious entities), as they have a “centuries-old historical continuity and legal personality” in Serbia “in accordance with special Laws”, as far back as 1929, 1939 and 1931. Note that the existence and actions by any religious entity in the Republic of Serbia is not dependant on its registration. This not only provides an opportunity to gain legal personality, which is a necessary assumption for the participation in legal </w:t>
      </w:r>
      <w:r w:rsidRPr="00DC2FFD">
        <w:rPr>
          <w:sz w:val="24"/>
          <w:lang w:val="en-GB"/>
        </w:rPr>
        <w:lastRenderedPageBreak/>
        <w:t>transactions and enjoyment of certain benefits, for example, gaining financial assistance from the state.</w:t>
      </w:r>
    </w:p>
    <w:p w14:paraId="6B0BAE23" w14:textId="755A040B" w:rsidR="00DC2FFD" w:rsidRPr="00DC2FFD" w:rsidRDefault="00DC2FFD" w:rsidP="00DC2FFD">
      <w:pPr>
        <w:spacing w:after="0"/>
        <w:ind w:firstLine="720"/>
        <w:jc w:val="both"/>
        <w:rPr>
          <w:sz w:val="24"/>
          <w:szCs w:val="24"/>
          <w:lang w:val="en-GB"/>
        </w:rPr>
      </w:pPr>
      <w:r w:rsidRPr="00DC2FFD">
        <w:rPr>
          <w:sz w:val="24"/>
          <w:lang w:val="en-GB"/>
        </w:rPr>
        <w:t>The fact that the legal order of the Republic of Serbia ensures the prohibition of the discrimination of religious institutions, organisations or associations which are smaller in numbers, both in terms of access to legal personality, and in terms of the tax status, is expressly reflected in the fact that the Value Added Tax Law</w:t>
      </w:r>
      <w:r w:rsidRPr="00DC2FFD">
        <w:rPr>
          <w:sz w:val="24"/>
          <w:szCs w:val="24"/>
          <w:vertAlign w:val="superscript"/>
          <w:lang w:val="sr-Cyrl-RS"/>
        </w:rPr>
        <w:footnoteReference w:id="52"/>
      </w:r>
      <w:r w:rsidRPr="00DC2FFD">
        <w:rPr>
          <w:sz w:val="24"/>
          <w:lang w:val="en-GB"/>
        </w:rPr>
        <w:t xml:space="preserve"> clearly prescribes that all registered churches and religious communities shall be exempt from the value added tax in case of activities of providing “services of religious nature”. Thus, in this case, too, there is no substantial practical discrimination of religious entities (“traditional” and “non-traditional” ones) in the Republic of Serbia.</w:t>
      </w:r>
    </w:p>
    <w:p w14:paraId="3A2461D0" w14:textId="77777777" w:rsidR="00DC2FFD" w:rsidRPr="00DC2FFD" w:rsidRDefault="00DC2FFD" w:rsidP="00DC2FFD">
      <w:pPr>
        <w:spacing w:after="0"/>
        <w:jc w:val="both"/>
        <w:rPr>
          <w:sz w:val="24"/>
          <w:szCs w:val="24"/>
          <w:lang w:val="sr-Cyrl-RS"/>
        </w:rPr>
      </w:pPr>
    </w:p>
    <w:p w14:paraId="20C92E06" w14:textId="067A0FC1" w:rsidR="00DC2FFD" w:rsidRPr="00DC2FFD" w:rsidRDefault="00DC2FFD" w:rsidP="00DC2FFD">
      <w:pPr>
        <w:spacing w:after="0"/>
        <w:jc w:val="both"/>
        <w:rPr>
          <w:i/>
          <w:sz w:val="24"/>
          <w:szCs w:val="24"/>
          <w:lang w:val="en-GB"/>
        </w:rPr>
      </w:pPr>
      <w:r w:rsidRPr="00DC2FFD">
        <w:rPr>
          <w:i/>
          <w:sz w:val="24"/>
          <w:lang w:val="en-GB"/>
        </w:rPr>
        <w:t>9</w:t>
      </w:r>
      <w:r w:rsidR="006D4E3D">
        <w:rPr>
          <w:i/>
          <w:sz w:val="24"/>
          <w:lang w:val="en-GB"/>
        </w:rPr>
        <w:t>.</w:t>
      </w:r>
      <w:r w:rsidRPr="00DC2FFD">
        <w:rPr>
          <w:i/>
          <w:sz w:val="24"/>
          <w:lang w:val="en-GB"/>
        </w:rPr>
        <w:t xml:space="preserve"> Closely monitor the impact of the privatisation process on minority </w:t>
      </w:r>
      <w:proofErr w:type="gramStart"/>
      <w:r w:rsidRPr="00DC2FFD">
        <w:rPr>
          <w:i/>
          <w:sz w:val="24"/>
          <w:lang w:val="en-GB"/>
        </w:rPr>
        <w:t>media  and</w:t>
      </w:r>
      <w:proofErr w:type="gramEnd"/>
      <w:r w:rsidRPr="00DC2FFD">
        <w:rPr>
          <w:i/>
          <w:sz w:val="24"/>
          <w:lang w:val="en-GB"/>
        </w:rPr>
        <w:t xml:space="preserve"> commission a comprehensive and independent study on this subject; take the necessary measures to ensure editorial independence of private and public minority media, including those owned by political representatives of the national minorities.</w:t>
      </w:r>
    </w:p>
    <w:p w14:paraId="60F75E44" w14:textId="77777777" w:rsidR="00DC2FFD" w:rsidRPr="00DC2FFD" w:rsidRDefault="00DC2FFD" w:rsidP="00DC2FFD">
      <w:pPr>
        <w:spacing w:after="0"/>
        <w:jc w:val="both"/>
        <w:rPr>
          <w:i/>
          <w:sz w:val="24"/>
          <w:szCs w:val="24"/>
          <w:highlight w:val="yellow"/>
          <w:lang w:val="sr-Cyrl-RS"/>
        </w:rPr>
      </w:pPr>
    </w:p>
    <w:p w14:paraId="0CE8387D" w14:textId="7DB1A6EF" w:rsidR="00DC2FFD" w:rsidRPr="00DC2FFD" w:rsidRDefault="00DC2FFD" w:rsidP="00DC2FFD">
      <w:pPr>
        <w:spacing w:after="0"/>
        <w:ind w:firstLine="720"/>
        <w:jc w:val="both"/>
        <w:rPr>
          <w:sz w:val="24"/>
          <w:szCs w:val="24"/>
          <w:lang w:val="en-GB"/>
        </w:rPr>
      </w:pPr>
      <w:r w:rsidRPr="00DC2FFD">
        <w:rPr>
          <w:sz w:val="24"/>
          <w:lang w:val="en-GB"/>
        </w:rPr>
        <w:t xml:space="preserve">The process of privatisation, as an integral part of the media reform launched over ten years ago, was completed during the reporting period. Due to a fear that the process of privatisation might result in the extinction of media which broadcast their programme in languages of national minorities, the impact of this process has been continuously monitored, both by the state and by other relevant actors in the field of information, </w:t>
      </w:r>
      <w:proofErr w:type="gramStart"/>
      <w:r w:rsidRPr="00DC2FFD">
        <w:rPr>
          <w:sz w:val="24"/>
          <w:lang w:val="en-GB"/>
        </w:rPr>
        <w:t>primarily  associations</w:t>
      </w:r>
      <w:proofErr w:type="gramEnd"/>
      <w:r w:rsidRPr="00DC2FFD">
        <w:rPr>
          <w:sz w:val="24"/>
          <w:lang w:val="en-GB"/>
        </w:rPr>
        <w:t xml:space="preserve"> of journalists and media experts. In that regard, a number of independent surveys and publications which, fully or partially, address that topic, were published over the previous few years. For instance, within the framework of the project "Multilingual media - three years after privatization",</w:t>
      </w:r>
      <w:r w:rsidRPr="00DC2FFD">
        <w:rPr>
          <w:sz w:val="24"/>
          <w:szCs w:val="24"/>
          <w:vertAlign w:val="superscript"/>
          <w:lang w:val="sr-Cyrl-RS"/>
        </w:rPr>
        <w:footnoteReference w:id="53"/>
      </w:r>
      <w:r w:rsidRPr="00DC2FFD">
        <w:rPr>
          <w:sz w:val="24"/>
          <w:lang w:val="en-GB"/>
        </w:rPr>
        <w:t xml:space="preserve"> a survey on effects of the privatisation to the sustainability and operation of multilingual media as published in December 2018 - dealing with issues such as, whether privatised media still have programmes in minority languages and to what extent, whether there have been any changes in the number of employees compared to 2016, when the previous survey was conducted, what the financial situation of the media is like, and whether project co-financing helps the sustainability of the programme in minority languages. The general conclusion of the survey above is that the position of privatised minority media has not significantly changed since 2016.</w:t>
      </w:r>
      <w:r w:rsidRPr="00DC2FFD">
        <w:rPr>
          <w:sz w:val="24"/>
          <w:szCs w:val="24"/>
          <w:vertAlign w:val="superscript"/>
          <w:lang w:val="sr-Cyrl-RS"/>
        </w:rPr>
        <w:footnoteReference w:id="54"/>
      </w:r>
      <w:r w:rsidRPr="00DC2FFD">
        <w:rPr>
          <w:sz w:val="24"/>
          <w:lang w:val="en-GB"/>
        </w:rPr>
        <w:t xml:space="preserve"> Also, the study “Media in languages of national minorities - research and analysis”,</w:t>
      </w:r>
      <w:r w:rsidRPr="00DC2FFD">
        <w:rPr>
          <w:sz w:val="24"/>
          <w:szCs w:val="24"/>
          <w:vertAlign w:val="superscript"/>
          <w:lang w:val="sr-Cyrl-RS"/>
        </w:rPr>
        <w:footnoteReference w:id="55"/>
      </w:r>
      <w:r w:rsidRPr="00DC2FFD">
        <w:rPr>
          <w:sz w:val="24"/>
          <w:lang w:val="en-GB"/>
        </w:rPr>
        <w:t xml:space="preserve"> was published in late 2020, an supported by the OSCE Mission in Serbia. Inter alia, it presents data on media which have media contents in minority languages, both in terms of the language of a national minority, and in terms of the type of media (radio, television, Internet and the press). According to the result of that survey, there are 163 media </w:t>
      </w:r>
      <w:r w:rsidRPr="00DC2FFD">
        <w:rPr>
          <w:sz w:val="24"/>
          <w:lang w:val="en-GB"/>
        </w:rPr>
        <w:lastRenderedPageBreak/>
        <w:t>in the Republic of Serbia which broadcast fully or partially in languages of national minorities. These are media published by national councils of national minorities, and privately owned media, including media of civil society organisations.</w:t>
      </w:r>
      <w:r w:rsidRPr="00DC2FFD">
        <w:rPr>
          <w:sz w:val="24"/>
          <w:szCs w:val="24"/>
          <w:vertAlign w:val="superscript"/>
          <w:lang w:val="sr-Cyrl-RS"/>
        </w:rPr>
        <w:footnoteReference w:id="56"/>
      </w:r>
      <w:r w:rsidRPr="00DC2FFD">
        <w:rPr>
          <w:sz w:val="24"/>
          <w:lang w:val="en-GB"/>
        </w:rPr>
        <w:t xml:space="preserve"> The public policy of the Republic of Serbia, embodied by the Strategy for the Development of Public Information System in the Republic of Serbia for the period 2020-2025, the results of this and other surveys, as well as the fact that an accelerated technological development inevitably poses the question of elaborating the possibilities for larger exploitation of the potentials of social networks and other platforms in information in minority languages, lead to the conclusion that the topics of the “developed study” on the privatisation of media in the context of the exercise of minority rights has been largely outdated.</w:t>
      </w:r>
    </w:p>
    <w:p w14:paraId="43CBC876" w14:textId="77777777" w:rsidR="00DC2FFD" w:rsidRPr="00DC2FFD" w:rsidRDefault="00DC2FFD" w:rsidP="00DC2FFD">
      <w:pPr>
        <w:spacing w:after="0"/>
        <w:jc w:val="both"/>
        <w:rPr>
          <w:sz w:val="24"/>
          <w:szCs w:val="24"/>
          <w:lang w:val="en-GB"/>
        </w:rPr>
      </w:pPr>
      <w:r w:rsidRPr="00DC2FFD">
        <w:rPr>
          <w:sz w:val="24"/>
          <w:lang w:val="en-GB"/>
        </w:rPr>
        <w:tab/>
        <w:t xml:space="preserve">The financial independence of media is one of the preconditions for ensuring independent editorial policy of the media. The media reform, which was legally shaped by the 2014 laws, consisted in the fact that the state had abandoned the ownership of the media, </w:t>
      </w:r>
      <w:r w:rsidRPr="00DC2FFD">
        <w:rPr>
          <w:i/>
          <w:iCs/>
          <w:sz w:val="24"/>
          <w:lang w:val="en-GB"/>
        </w:rPr>
        <w:t>inter alia</w:t>
      </w:r>
      <w:r w:rsidRPr="00DC2FFD">
        <w:rPr>
          <w:sz w:val="24"/>
          <w:lang w:val="en-GB"/>
        </w:rPr>
        <w:t>, with the objective of reducing any kind of impact on the functioning and operation of the media. In accordance with the applicable legal solutions, the state intervenes in the media sphere in order to ensure quality information, free of political, economic and other influences, to citizens, including persons belonging to national minorities, through open competitions for co-financing. In addition, as regards the economic status of minority media, it should be noted that contents of such media are not commercial in nature, where through open competitions for financing is an important source of income for such media and their financial sustainability in the circumstances of a free market competition. Within the framework of the project “Open Data - a Tool for Better Project Co-Financing of Media Content”, executed by the Institute for Sustainable Communities in collaboration with the OSCE Mission in Serbia and the Ministry of Culture and Information, data were published which has been obtained in the open competition procedure for co-financing, which had been implemented by the public authorities at all levels from early 2015 to December 2021.  The data do not include so-called individual allowances, i.e., financial resources allocated by a decision of the executive of the authority competent for public information affairs, without any public competition. As regards minority contents of private media, including the media of civil society organisations, data indicate that there was a slight increase of the amount of financial resources allocated for such content in the reporting period. Minority contents in 2017 were co-financed in the total amount of 763,658 EUR. In 2021, more specifically until December 2021, the total amount allocated for such contents through project co-financing was 841,669 EUR.</w:t>
      </w:r>
      <w:r w:rsidRPr="00DC2FFD">
        <w:rPr>
          <w:sz w:val="24"/>
          <w:szCs w:val="24"/>
          <w:vertAlign w:val="superscript"/>
          <w:lang w:val="sr-Cyrl-RS"/>
        </w:rPr>
        <w:footnoteReference w:id="57"/>
      </w:r>
      <w:r w:rsidRPr="00DC2FFD">
        <w:rPr>
          <w:sz w:val="24"/>
          <w:lang w:val="en-GB"/>
        </w:rPr>
        <w:t xml:space="preserve">  </w:t>
      </w:r>
    </w:p>
    <w:p w14:paraId="7BD6216B" w14:textId="17DAB279" w:rsidR="00DC2FFD" w:rsidRPr="00DC2FFD" w:rsidRDefault="00DC2FFD" w:rsidP="00DC2FFD">
      <w:pPr>
        <w:spacing w:after="0"/>
        <w:jc w:val="both"/>
        <w:rPr>
          <w:sz w:val="24"/>
          <w:szCs w:val="24"/>
          <w:lang w:val="en-GB"/>
        </w:rPr>
      </w:pPr>
      <w:r w:rsidRPr="00DC2FFD">
        <w:rPr>
          <w:sz w:val="24"/>
          <w:lang w:val="en-GB"/>
        </w:rPr>
        <w:tab/>
        <w:t xml:space="preserve">Ensuring a sustainable editorial independence of media is a challenge for the majority of democratic countries, even the most developed ones with the so-called tradition of a high level of media freedoms. The competent authorities of the Republic of Serbia are re-stating their position that it is appropriate to further improve the mechanisms for protection of the editorial independence of media, in such a manner as not to violate the principle of media autonomy, which arises from Article 10 of the European Convention for the Protection of Human Rights and Fundamental Freedoms. In addition to respecting the independence of </w:t>
      </w:r>
      <w:r w:rsidRPr="00DC2FFD">
        <w:rPr>
          <w:sz w:val="24"/>
          <w:lang w:val="en-GB"/>
        </w:rPr>
        <w:lastRenderedPageBreak/>
        <w:t>media, as regards media whose indirect founders are national councils of national minorities, the state must take care to observe the minority self-government which is guaranteed by the Constitution, laws and ratified international treaties. The Action Plan for the implementation of the Strategy for the Development of Public Information System in the Republic of Serbia</w:t>
      </w:r>
      <w:r w:rsidRPr="00DC2FFD">
        <w:rPr>
          <w:sz w:val="24"/>
          <w:szCs w:val="24"/>
          <w:vertAlign w:val="superscript"/>
          <w:lang w:val="sr-Cyrl-RS"/>
        </w:rPr>
        <w:footnoteReference w:id="58"/>
      </w:r>
      <w:r w:rsidRPr="00DC2FFD">
        <w:rPr>
          <w:sz w:val="24"/>
          <w:lang w:val="en-GB"/>
        </w:rPr>
        <w:t xml:space="preserve"> provides for an amendment of the  Law on Public Information and Media, in order to establish the guarantees of the editorial independence of media whose founders are national councils of national minorities. Nevertheless, amendments to the law are not a necessary condition for establishing guarantees of the editorial independence of media with the publishers of media whose founders are national councils of national minorities, i.e., developing an internal document which would serve as the basis for further regulation of relations between the founder/owner of the media themselves, whose development at this time depends only on the will of the founders (national council of a national minority). In that regard, there is a positive example of a 2019 pilot project, within which the Institution for Journalism and Publishing “</w:t>
      </w:r>
      <w:proofErr w:type="spellStart"/>
      <w:r w:rsidRPr="00DC2FFD">
        <w:rPr>
          <w:sz w:val="24"/>
          <w:lang w:val="en-GB"/>
        </w:rPr>
        <w:t>Rusk</w:t>
      </w:r>
      <w:r w:rsidR="006D4E3D">
        <w:rPr>
          <w:sz w:val="24"/>
          <w:lang w:val="en-GB"/>
        </w:rPr>
        <w:t>e</w:t>
      </w:r>
      <w:proofErr w:type="spellEnd"/>
      <w:r w:rsidRPr="00DC2FFD">
        <w:rPr>
          <w:sz w:val="24"/>
          <w:lang w:val="en-GB"/>
        </w:rPr>
        <w:t xml:space="preserve"> </w:t>
      </w:r>
      <w:proofErr w:type="spellStart"/>
      <w:r w:rsidRPr="00DC2FFD">
        <w:rPr>
          <w:sz w:val="24"/>
          <w:lang w:val="en-GB"/>
        </w:rPr>
        <w:t>slovo</w:t>
      </w:r>
      <w:proofErr w:type="spellEnd"/>
      <w:r w:rsidRPr="00DC2FFD">
        <w:rPr>
          <w:sz w:val="24"/>
          <w:lang w:val="en-GB"/>
        </w:rPr>
        <w:t xml:space="preserve">” and the National Council of the </w:t>
      </w:r>
      <w:proofErr w:type="spellStart"/>
      <w:r w:rsidRPr="00DC2FFD">
        <w:rPr>
          <w:sz w:val="24"/>
          <w:lang w:val="en-GB"/>
        </w:rPr>
        <w:t>Ruthenian</w:t>
      </w:r>
      <w:proofErr w:type="spellEnd"/>
      <w:r w:rsidRPr="00DC2FFD">
        <w:rPr>
          <w:sz w:val="24"/>
          <w:lang w:val="en-GB"/>
        </w:rPr>
        <w:t xml:space="preserve"> National Minority, with the mediation of the Independent Journalists' Association of </w:t>
      </w:r>
      <w:proofErr w:type="spellStart"/>
      <w:r w:rsidRPr="00DC2FFD">
        <w:rPr>
          <w:sz w:val="24"/>
          <w:lang w:val="en-GB"/>
        </w:rPr>
        <w:t>Vojvodina</w:t>
      </w:r>
      <w:proofErr w:type="spellEnd"/>
      <w:r w:rsidRPr="00DC2FFD">
        <w:rPr>
          <w:sz w:val="24"/>
          <w:lang w:val="en-GB"/>
        </w:rPr>
        <w:t xml:space="preserve"> and the OSCE Mission in Serbia, developed a self-regulating mechanism which will ensure internal procedures, rules and index for improving the editorial independence and media professionalism in the Institution for Journalism and Publishing “</w:t>
      </w:r>
      <w:proofErr w:type="spellStart"/>
      <w:r w:rsidRPr="00DC2FFD">
        <w:rPr>
          <w:sz w:val="24"/>
          <w:lang w:val="en-GB"/>
        </w:rPr>
        <w:t>Rusk</w:t>
      </w:r>
      <w:r w:rsidR="006D4E3D">
        <w:rPr>
          <w:sz w:val="24"/>
          <w:lang w:val="en-GB"/>
        </w:rPr>
        <w:t>e</w:t>
      </w:r>
      <w:proofErr w:type="spellEnd"/>
      <w:r w:rsidRPr="00DC2FFD">
        <w:rPr>
          <w:sz w:val="24"/>
          <w:lang w:val="en-GB"/>
        </w:rPr>
        <w:t xml:space="preserve"> </w:t>
      </w:r>
      <w:proofErr w:type="spellStart"/>
      <w:r w:rsidRPr="00DC2FFD">
        <w:rPr>
          <w:sz w:val="24"/>
          <w:lang w:val="en-GB"/>
        </w:rPr>
        <w:t>slovo</w:t>
      </w:r>
      <w:proofErr w:type="spellEnd"/>
      <w:r w:rsidRPr="00DC2FFD">
        <w:rPr>
          <w:sz w:val="24"/>
          <w:lang w:val="en-GB"/>
        </w:rPr>
        <w:t>”. This publishing house has expressed its readiness to share its knowledge and experience with other minority media which have been founded by national councils of national minorities.</w:t>
      </w:r>
    </w:p>
    <w:p w14:paraId="60CCFBCE" w14:textId="77777777" w:rsidR="00DC2FFD" w:rsidRPr="00DC2FFD" w:rsidRDefault="00DC2FFD" w:rsidP="00DC2FFD">
      <w:pPr>
        <w:spacing w:after="0"/>
        <w:jc w:val="both"/>
        <w:rPr>
          <w:i/>
          <w:sz w:val="24"/>
          <w:szCs w:val="24"/>
          <w:lang w:val="sr-Cyrl-RS"/>
        </w:rPr>
      </w:pPr>
    </w:p>
    <w:p w14:paraId="32E50A71" w14:textId="60B27285" w:rsidR="00DC2FFD" w:rsidRPr="00DC2FFD" w:rsidRDefault="00DC2FFD" w:rsidP="00DC2FFD">
      <w:pPr>
        <w:spacing w:after="0"/>
        <w:jc w:val="both"/>
        <w:rPr>
          <w:i/>
          <w:sz w:val="24"/>
          <w:szCs w:val="24"/>
          <w:lang w:val="en-GB"/>
        </w:rPr>
      </w:pPr>
      <w:r w:rsidRPr="00DC2FFD">
        <w:rPr>
          <w:i/>
          <w:sz w:val="24"/>
          <w:lang w:val="en-GB"/>
        </w:rPr>
        <w:t>10</w:t>
      </w:r>
      <w:r w:rsidR="006D4E3D">
        <w:rPr>
          <w:i/>
          <w:sz w:val="24"/>
          <w:lang w:val="en-GB"/>
        </w:rPr>
        <w:t>.</w:t>
      </w:r>
      <w:r w:rsidRPr="00DC2FFD">
        <w:rPr>
          <w:i/>
          <w:sz w:val="24"/>
          <w:lang w:val="en-GB"/>
        </w:rPr>
        <w:t xml:space="preserve"> In areas traditionally inhabited by persons belonging to national minorities or where they live in substantial numbers, collect data on the number of minority languages spoken by civil servants in State, provincial and local administrations and, in light of such data, take the necessary measures including adequate training targeting persons belonging to the national minorities to ensure that the number of minority languages spoken by civil servants in State, provincial and local administrations corresponds to the greatest possible  extent to the proportion of the population speaking minority languages; inform all persons belonging to national minorities, in the areas concerned, that they are entitled to use their minority language in contacts with the State, provincial and local administration; commission a study in order to evaluate the level of implementation of the legal provisions on the official use of minority languages and ensure that in all municipalities where the legal requirements are met minority languages are effectively in official use.</w:t>
      </w:r>
    </w:p>
    <w:p w14:paraId="17CE6D84" w14:textId="77777777" w:rsidR="00DC2FFD" w:rsidRPr="00DC2FFD" w:rsidRDefault="00DC2FFD" w:rsidP="00DC2FFD">
      <w:pPr>
        <w:spacing w:after="0"/>
        <w:jc w:val="both"/>
        <w:rPr>
          <w:i/>
          <w:sz w:val="24"/>
          <w:szCs w:val="24"/>
          <w:lang w:val="sr-Cyrl-RS"/>
        </w:rPr>
      </w:pPr>
    </w:p>
    <w:p w14:paraId="654C19F9" w14:textId="77777777" w:rsidR="00DC2FFD" w:rsidRPr="00DC2FFD" w:rsidRDefault="00DC2FFD" w:rsidP="00DC2FFD">
      <w:pPr>
        <w:spacing w:after="0"/>
        <w:jc w:val="both"/>
        <w:rPr>
          <w:i/>
          <w:sz w:val="24"/>
          <w:szCs w:val="24"/>
          <w:lang w:val="en-GB"/>
        </w:rPr>
      </w:pPr>
      <w:r w:rsidRPr="00DC2FFD">
        <w:rPr>
          <w:i/>
          <w:sz w:val="24"/>
          <w:lang w:val="en-GB"/>
        </w:rPr>
        <w:t xml:space="preserve">Data collection, incentives and trainings </w:t>
      </w:r>
    </w:p>
    <w:p w14:paraId="338D4810" w14:textId="77777777" w:rsidR="00DC2FFD" w:rsidRPr="00DC2FFD" w:rsidRDefault="00DC2FFD" w:rsidP="00DC2FFD">
      <w:pPr>
        <w:spacing w:after="0"/>
        <w:jc w:val="both"/>
        <w:rPr>
          <w:i/>
          <w:sz w:val="24"/>
          <w:szCs w:val="24"/>
          <w:lang w:val="sr-Cyrl-RS"/>
        </w:rPr>
      </w:pPr>
    </w:p>
    <w:p w14:paraId="4E126926" w14:textId="77777777" w:rsidR="00DC2FFD" w:rsidRPr="00DC2FFD" w:rsidRDefault="00DC2FFD" w:rsidP="00DC2FFD">
      <w:pPr>
        <w:spacing w:after="0"/>
        <w:ind w:firstLine="720"/>
        <w:jc w:val="both"/>
        <w:rPr>
          <w:sz w:val="24"/>
          <w:szCs w:val="24"/>
          <w:lang w:val="en-GB"/>
        </w:rPr>
      </w:pPr>
      <w:r w:rsidRPr="00DC2FFD">
        <w:rPr>
          <w:sz w:val="24"/>
          <w:lang w:val="en-GB"/>
        </w:rPr>
        <w:t xml:space="preserve">The database, which also includes the data on the number of minority languages spoken by the employees in the provincial and local administration in the territory of the Autonomous Province of </w:t>
      </w:r>
      <w:proofErr w:type="spellStart"/>
      <w:r w:rsidRPr="00DC2FFD">
        <w:rPr>
          <w:sz w:val="24"/>
          <w:lang w:val="en-GB"/>
        </w:rPr>
        <w:t>Vojvodina</w:t>
      </w:r>
      <w:proofErr w:type="spellEnd"/>
      <w:r w:rsidRPr="00DC2FFD">
        <w:rPr>
          <w:sz w:val="24"/>
          <w:lang w:val="en-GB"/>
        </w:rPr>
        <w:t>, is available at the website of the Provincial Secretariat for Education, Regulations, Administration and National Minorities – National Communities.</w:t>
      </w:r>
      <w:r w:rsidRPr="00DC2FFD">
        <w:rPr>
          <w:sz w:val="24"/>
          <w:szCs w:val="24"/>
          <w:vertAlign w:val="superscript"/>
          <w:lang w:val="sr-Cyrl-RS"/>
        </w:rPr>
        <w:footnoteReference w:id="59"/>
      </w:r>
      <w:r w:rsidRPr="00DC2FFD">
        <w:rPr>
          <w:sz w:val="24"/>
          <w:lang w:val="en-GB"/>
        </w:rPr>
        <w:t xml:space="preserve"> The database has been created on the basis of a poll which is implemented by the Secretariat every year. </w:t>
      </w:r>
      <w:r w:rsidRPr="00DC2FFD">
        <w:rPr>
          <w:sz w:val="24"/>
          <w:lang w:val="en-GB"/>
        </w:rPr>
        <w:lastRenderedPageBreak/>
        <w:t xml:space="preserve">Issues included in the poll concern, </w:t>
      </w:r>
      <w:r w:rsidRPr="00DC2FFD">
        <w:rPr>
          <w:i/>
          <w:iCs/>
          <w:sz w:val="24"/>
          <w:lang w:val="en-GB"/>
        </w:rPr>
        <w:t>inter alia</w:t>
      </w:r>
      <w:r w:rsidRPr="00DC2FFD">
        <w:rPr>
          <w:sz w:val="24"/>
          <w:lang w:val="en-GB"/>
        </w:rPr>
        <w:t xml:space="preserve">: mother tongue of the employees; language in which the employed persons acquired their elementary and secondary education; number of employed persons who speak the language of national minority which is in official use; total number of job positions for which it is required to speak the language of a national minority, in accordance with the act on systematisation; funds allocated by the Secretariat in the previous period in competitions for the improvement of multilingualism in the territory of the Autonomous Province of </w:t>
      </w:r>
      <w:proofErr w:type="spellStart"/>
      <w:r w:rsidRPr="00DC2FFD">
        <w:rPr>
          <w:sz w:val="24"/>
          <w:lang w:val="en-GB"/>
        </w:rPr>
        <w:t>Vojvodina</w:t>
      </w:r>
      <w:proofErr w:type="spellEnd"/>
      <w:r w:rsidRPr="00DC2FFD">
        <w:rPr>
          <w:sz w:val="24"/>
          <w:lang w:val="en-GB"/>
        </w:rPr>
        <w:t xml:space="preserve">; in what manner the parties are enabled to use the language of a national minority which is in official use; availability of forms and other templates which are used by the parties in languages of national minorities which are in official use, etc. </w:t>
      </w:r>
    </w:p>
    <w:p w14:paraId="3358C0C1" w14:textId="77777777" w:rsidR="00DC2FFD" w:rsidRPr="00DC2FFD" w:rsidRDefault="00DC2FFD" w:rsidP="00DC2FFD">
      <w:pPr>
        <w:spacing w:after="0"/>
        <w:ind w:firstLine="720"/>
        <w:jc w:val="both"/>
        <w:rPr>
          <w:sz w:val="24"/>
          <w:szCs w:val="24"/>
          <w:lang w:val="en-GB"/>
        </w:rPr>
      </w:pPr>
      <w:r w:rsidRPr="00DC2FFD">
        <w:rPr>
          <w:sz w:val="24"/>
          <w:lang w:val="en-GB"/>
        </w:rPr>
        <w:t xml:space="preserve">According to the data from this database, of a total of 45 local self-government units in the territory of the Autonomous Province of </w:t>
      </w:r>
      <w:proofErr w:type="spellStart"/>
      <w:r w:rsidRPr="00DC2FFD">
        <w:rPr>
          <w:sz w:val="24"/>
          <w:lang w:val="en-GB"/>
        </w:rPr>
        <w:t>Vojvodina</w:t>
      </w:r>
      <w:proofErr w:type="spellEnd"/>
      <w:r w:rsidRPr="00DC2FFD">
        <w:rPr>
          <w:sz w:val="24"/>
          <w:lang w:val="en-GB"/>
        </w:rPr>
        <w:t xml:space="preserve">, the act on the systematisation of job positions provides for job positions in 23 local self-government units in the territory of the Autonomous Province of </w:t>
      </w:r>
      <w:proofErr w:type="spellStart"/>
      <w:r w:rsidRPr="00DC2FFD">
        <w:rPr>
          <w:sz w:val="24"/>
          <w:lang w:val="en-GB"/>
        </w:rPr>
        <w:t>Vojvodina</w:t>
      </w:r>
      <w:proofErr w:type="spellEnd"/>
      <w:r w:rsidRPr="00DC2FFD">
        <w:rPr>
          <w:sz w:val="24"/>
          <w:lang w:val="en-GB"/>
        </w:rPr>
        <w:t xml:space="preserve"> for which it is required to speak the language of a national minority which is in official use. On the other hand, in 23 authorities, organisations and agencies of the AP </w:t>
      </w:r>
      <w:proofErr w:type="spellStart"/>
      <w:r w:rsidRPr="00DC2FFD">
        <w:rPr>
          <w:sz w:val="24"/>
          <w:lang w:val="en-GB"/>
        </w:rPr>
        <w:t>Vojvodina</w:t>
      </w:r>
      <w:proofErr w:type="spellEnd"/>
      <w:r w:rsidRPr="00DC2FFD">
        <w:rPr>
          <w:sz w:val="24"/>
          <w:lang w:val="en-GB"/>
        </w:rPr>
        <w:t>, such a requirement does not exist for certain job positions in four authorities.</w:t>
      </w:r>
    </w:p>
    <w:p w14:paraId="6EE77FCE" w14:textId="77777777" w:rsidR="00DC2FFD" w:rsidRPr="00DC2FFD" w:rsidRDefault="00DC2FFD" w:rsidP="00DC2FFD">
      <w:pPr>
        <w:spacing w:after="0"/>
        <w:ind w:firstLine="720"/>
        <w:jc w:val="both"/>
        <w:rPr>
          <w:rFonts w:eastAsia="Times New Roman"/>
          <w:bCs/>
          <w:sz w:val="24"/>
          <w:szCs w:val="24"/>
          <w:lang w:val="en-GB"/>
        </w:rPr>
      </w:pPr>
      <w:r w:rsidRPr="00DC2FFD">
        <w:rPr>
          <w:sz w:val="24"/>
          <w:lang w:val="en-GB"/>
        </w:rPr>
        <w:t xml:space="preserve">The total number of employees in the public administration in the territory of AP </w:t>
      </w:r>
      <w:proofErr w:type="spellStart"/>
      <w:r w:rsidRPr="00DC2FFD">
        <w:rPr>
          <w:sz w:val="24"/>
          <w:lang w:val="en-GB"/>
        </w:rPr>
        <w:t>Vojvodina</w:t>
      </w:r>
      <w:proofErr w:type="spellEnd"/>
      <w:r w:rsidRPr="00DC2FFD">
        <w:rPr>
          <w:sz w:val="24"/>
          <w:lang w:val="en-GB"/>
        </w:rPr>
        <w:t xml:space="preserve"> is 6,774 (authorities of local self-government units - 5,594, authorities of AP </w:t>
      </w:r>
      <w:proofErr w:type="spellStart"/>
      <w:r w:rsidRPr="00DC2FFD">
        <w:rPr>
          <w:sz w:val="24"/>
          <w:lang w:val="en-GB"/>
        </w:rPr>
        <w:t>Vojvodina</w:t>
      </w:r>
      <w:proofErr w:type="spellEnd"/>
      <w:r w:rsidRPr="00DC2FFD">
        <w:rPr>
          <w:sz w:val="24"/>
          <w:lang w:val="en-GB"/>
        </w:rPr>
        <w:t xml:space="preserve"> - 1,180). The tables below contain relevant data.</w:t>
      </w:r>
    </w:p>
    <w:p w14:paraId="421EFDEB" w14:textId="77777777" w:rsidR="00DC2FFD" w:rsidRPr="00DC2FFD" w:rsidRDefault="00DC2FFD" w:rsidP="00DC2FFD">
      <w:pPr>
        <w:spacing w:after="0"/>
        <w:rPr>
          <w:rFonts w:eastAsia="Times New Roman"/>
          <w:bCs/>
          <w:sz w:val="24"/>
          <w:szCs w:val="24"/>
          <w:lang w:val="sr-Cyrl-RS" w:eastAsia="en-GB"/>
        </w:rPr>
      </w:pPr>
    </w:p>
    <w:p w14:paraId="39FFF26B" w14:textId="77777777" w:rsidR="00DC2FFD" w:rsidRPr="00DC2FFD" w:rsidRDefault="00DC2FFD" w:rsidP="00DC2FFD">
      <w:pPr>
        <w:spacing w:after="0" w:line="240" w:lineRule="auto"/>
        <w:ind w:left="2880"/>
        <w:rPr>
          <w:rFonts w:eastAsia="Times New Roman"/>
          <w:sz w:val="20"/>
          <w:szCs w:val="20"/>
          <w:lang w:val="en-GB"/>
        </w:rPr>
      </w:pPr>
      <w:r w:rsidRPr="00DC2FFD">
        <w:rPr>
          <w:sz w:val="20"/>
          <w:lang w:val="en-GB"/>
        </w:rPr>
        <w:t xml:space="preserve">       Mother tongue of the employees</w:t>
      </w:r>
    </w:p>
    <w:tbl>
      <w:tblPr>
        <w:tblStyle w:val="TableGrid"/>
        <w:tblW w:w="0" w:type="auto"/>
        <w:tblInd w:w="1832" w:type="dxa"/>
        <w:tblLook w:val="04A0" w:firstRow="1" w:lastRow="0" w:firstColumn="1" w:lastColumn="0" w:noHBand="0" w:noVBand="1"/>
      </w:tblPr>
      <w:tblGrid>
        <w:gridCol w:w="2676"/>
        <w:gridCol w:w="2676"/>
      </w:tblGrid>
      <w:tr w:rsidR="00DC2FFD" w:rsidRPr="00DC2FFD" w14:paraId="5F28B991" w14:textId="77777777" w:rsidTr="00296435">
        <w:trPr>
          <w:trHeight w:val="245"/>
        </w:trPr>
        <w:tc>
          <w:tcPr>
            <w:tcW w:w="2676" w:type="dxa"/>
          </w:tcPr>
          <w:p w14:paraId="2B03C8BE" w14:textId="77777777" w:rsidR="00DC2FFD" w:rsidRPr="00DC2FFD" w:rsidRDefault="00DC2FFD" w:rsidP="00DC2FFD">
            <w:pPr>
              <w:spacing w:after="0"/>
              <w:rPr>
                <w:sz w:val="20"/>
                <w:szCs w:val="20"/>
                <w:lang w:val="en-GB"/>
              </w:rPr>
            </w:pPr>
            <w:r w:rsidRPr="00DC2FFD">
              <w:rPr>
                <w:sz w:val="20"/>
                <w:lang w:val="en-GB"/>
              </w:rPr>
              <w:t>Serbian language</w:t>
            </w:r>
          </w:p>
        </w:tc>
        <w:tc>
          <w:tcPr>
            <w:tcW w:w="2676" w:type="dxa"/>
          </w:tcPr>
          <w:p w14:paraId="4B38DAA5" w14:textId="77777777" w:rsidR="00DC2FFD" w:rsidRPr="00DC2FFD" w:rsidRDefault="00DC2FFD" w:rsidP="00DC2FFD">
            <w:pPr>
              <w:spacing w:after="0"/>
              <w:rPr>
                <w:sz w:val="20"/>
                <w:szCs w:val="20"/>
                <w:lang w:val="en-GB"/>
              </w:rPr>
            </w:pPr>
            <w:r w:rsidRPr="00DC2FFD">
              <w:rPr>
                <w:sz w:val="20"/>
                <w:lang w:val="en-GB"/>
              </w:rPr>
              <w:t>5,270 (77,8%)</w:t>
            </w:r>
          </w:p>
        </w:tc>
      </w:tr>
      <w:tr w:rsidR="00DC2FFD" w:rsidRPr="00DC2FFD" w14:paraId="56BE4774" w14:textId="77777777" w:rsidTr="00296435">
        <w:trPr>
          <w:trHeight w:val="245"/>
        </w:trPr>
        <w:tc>
          <w:tcPr>
            <w:tcW w:w="2676" w:type="dxa"/>
          </w:tcPr>
          <w:p w14:paraId="3863D069" w14:textId="77777777" w:rsidR="00DC2FFD" w:rsidRPr="00DC2FFD" w:rsidRDefault="00DC2FFD" w:rsidP="00DC2FFD">
            <w:pPr>
              <w:spacing w:after="0"/>
              <w:rPr>
                <w:sz w:val="20"/>
                <w:szCs w:val="20"/>
                <w:lang w:val="en-GB"/>
              </w:rPr>
            </w:pPr>
            <w:r w:rsidRPr="00DC2FFD">
              <w:rPr>
                <w:sz w:val="20"/>
                <w:lang w:val="en-GB"/>
              </w:rPr>
              <w:t>Hungarian language</w:t>
            </w:r>
          </w:p>
        </w:tc>
        <w:tc>
          <w:tcPr>
            <w:tcW w:w="2676" w:type="dxa"/>
          </w:tcPr>
          <w:p w14:paraId="683F12BA" w14:textId="77777777" w:rsidR="00DC2FFD" w:rsidRPr="00DC2FFD" w:rsidRDefault="00DC2FFD" w:rsidP="00DC2FFD">
            <w:pPr>
              <w:spacing w:after="0"/>
              <w:rPr>
                <w:sz w:val="20"/>
                <w:szCs w:val="20"/>
                <w:lang w:val="en-GB"/>
              </w:rPr>
            </w:pPr>
            <w:r w:rsidRPr="00DC2FFD">
              <w:rPr>
                <w:sz w:val="20"/>
                <w:lang w:val="en-GB"/>
              </w:rPr>
              <w:t>613 (9,05%)</w:t>
            </w:r>
          </w:p>
        </w:tc>
      </w:tr>
      <w:tr w:rsidR="00DC2FFD" w:rsidRPr="00DC2FFD" w14:paraId="5A327F99" w14:textId="77777777" w:rsidTr="00296435">
        <w:trPr>
          <w:trHeight w:val="245"/>
        </w:trPr>
        <w:tc>
          <w:tcPr>
            <w:tcW w:w="2676" w:type="dxa"/>
          </w:tcPr>
          <w:p w14:paraId="5CC81DD5" w14:textId="77777777" w:rsidR="00DC2FFD" w:rsidRPr="00DC2FFD" w:rsidRDefault="00DC2FFD" w:rsidP="00DC2FFD">
            <w:pPr>
              <w:spacing w:after="0"/>
              <w:rPr>
                <w:sz w:val="20"/>
                <w:szCs w:val="20"/>
                <w:lang w:val="en-GB"/>
              </w:rPr>
            </w:pPr>
            <w:r w:rsidRPr="00DC2FFD">
              <w:rPr>
                <w:sz w:val="20"/>
                <w:lang w:val="en-GB"/>
              </w:rPr>
              <w:t>other</w:t>
            </w:r>
          </w:p>
        </w:tc>
        <w:tc>
          <w:tcPr>
            <w:tcW w:w="2676" w:type="dxa"/>
          </w:tcPr>
          <w:p w14:paraId="042D556A" w14:textId="77777777" w:rsidR="00DC2FFD" w:rsidRPr="00DC2FFD" w:rsidRDefault="00DC2FFD" w:rsidP="00DC2FFD">
            <w:pPr>
              <w:spacing w:after="0"/>
              <w:rPr>
                <w:sz w:val="20"/>
                <w:szCs w:val="20"/>
                <w:lang w:val="en-GB"/>
              </w:rPr>
            </w:pPr>
            <w:r w:rsidRPr="00DC2FFD">
              <w:rPr>
                <w:sz w:val="20"/>
                <w:lang w:val="en-GB"/>
              </w:rPr>
              <w:t>443 (6,54%)</w:t>
            </w:r>
          </w:p>
        </w:tc>
      </w:tr>
      <w:tr w:rsidR="00DC2FFD" w:rsidRPr="00DC2FFD" w14:paraId="631A75D7" w14:textId="77777777" w:rsidTr="00296435">
        <w:trPr>
          <w:trHeight w:val="245"/>
        </w:trPr>
        <w:tc>
          <w:tcPr>
            <w:tcW w:w="2676" w:type="dxa"/>
          </w:tcPr>
          <w:p w14:paraId="5E560458" w14:textId="77777777" w:rsidR="00DC2FFD" w:rsidRPr="00DC2FFD" w:rsidRDefault="00DC2FFD" w:rsidP="00DC2FFD">
            <w:pPr>
              <w:spacing w:after="0"/>
              <w:rPr>
                <w:sz w:val="20"/>
                <w:szCs w:val="20"/>
                <w:lang w:val="en-GB"/>
              </w:rPr>
            </w:pPr>
            <w:r w:rsidRPr="00DC2FFD">
              <w:rPr>
                <w:sz w:val="20"/>
                <w:lang w:val="en-GB"/>
              </w:rPr>
              <w:t>undeclared</w:t>
            </w:r>
          </w:p>
        </w:tc>
        <w:tc>
          <w:tcPr>
            <w:tcW w:w="2676" w:type="dxa"/>
          </w:tcPr>
          <w:p w14:paraId="24F19629" w14:textId="77777777" w:rsidR="00DC2FFD" w:rsidRPr="00DC2FFD" w:rsidRDefault="00DC2FFD" w:rsidP="00DC2FFD">
            <w:pPr>
              <w:spacing w:after="0"/>
              <w:rPr>
                <w:sz w:val="20"/>
                <w:szCs w:val="20"/>
                <w:lang w:val="en-GB"/>
              </w:rPr>
            </w:pPr>
            <w:r w:rsidRPr="00DC2FFD">
              <w:rPr>
                <w:sz w:val="20"/>
                <w:lang w:val="en-GB"/>
              </w:rPr>
              <w:t>176 (2,6%)</w:t>
            </w:r>
          </w:p>
        </w:tc>
      </w:tr>
      <w:tr w:rsidR="00DC2FFD" w:rsidRPr="00DC2FFD" w14:paraId="66ABB89E" w14:textId="77777777" w:rsidTr="00296435">
        <w:trPr>
          <w:trHeight w:val="245"/>
        </w:trPr>
        <w:tc>
          <w:tcPr>
            <w:tcW w:w="2676" w:type="dxa"/>
          </w:tcPr>
          <w:p w14:paraId="092795DF" w14:textId="77777777" w:rsidR="00DC2FFD" w:rsidRPr="00DC2FFD" w:rsidRDefault="00DC2FFD" w:rsidP="00DC2FFD">
            <w:pPr>
              <w:spacing w:after="0"/>
              <w:rPr>
                <w:sz w:val="20"/>
                <w:szCs w:val="20"/>
                <w:lang w:val="en-GB"/>
              </w:rPr>
            </w:pPr>
            <w:r w:rsidRPr="00DC2FFD">
              <w:rPr>
                <w:sz w:val="20"/>
                <w:lang w:val="en-GB"/>
              </w:rPr>
              <w:t>Slovak language</w:t>
            </w:r>
          </w:p>
        </w:tc>
        <w:tc>
          <w:tcPr>
            <w:tcW w:w="2676" w:type="dxa"/>
          </w:tcPr>
          <w:p w14:paraId="4EAD3A8B" w14:textId="77777777" w:rsidR="00DC2FFD" w:rsidRPr="00DC2FFD" w:rsidRDefault="00DC2FFD" w:rsidP="00DC2FFD">
            <w:pPr>
              <w:spacing w:after="0"/>
              <w:rPr>
                <w:sz w:val="20"/>
                <w:szCs w:val="20"/>
                <w:lang w:val="en-GB"/>
              </w:rPr>
            </w:pPr>
            <w:r w:rsidRPr="00DC2FFD">
              <w:rPr>
                <w:sz w:val="20"/>
                <w:lang w:val="en-GB"/>
              </w:rPr>
              <w:t>122 (1,8%)</w:t>
            </w:r>
          </w:p>
        </w:tc>
      </w:tr>
      <w:tr w:rsidR="00DC2FFD" w:rsidRPr="00DC2FFD" w14:paraId="40F8E865" w14:textId="77777777" w:rsidTr="00296435">
        <w:trPr>
          <w:trHeight w:val="245"/>
        </w:trPr>
        <w:tc>
          <w:tcPr>
            <w:tcW w:w="2676" w:type="dxa"/>
          </w:tcPr>
          <w:p w14:paraId="64D6623C" w14:textId="77777777" w:rsidR="00DC2FFD" w:rsidRPr="00DC2FFD" w:rsidRDefault="00DC2FFD" w:rsidP="00DC2FFD">
            <w:pPr>
              <w:spacing w:after="0"/>
              <w:rPr>
                <w:sz w:val="20"/>
                <w:szCs w:val="20"/>
                <w:lang w:val="en-GB"/>
              </w:rPr>
            </w:pPr>
            <w:r w:rsidRPr="00DC2FFD">
              <w:rPr>
                <w:sz w:val="20"/>
                <w:lang w:val="en-GB"/>
              </w:rPr>
              <w:t>Romanian language</w:t>
            </w:r>
          </w:p>
        </w:tc>
        <w:tc>
          <w:tcPr>
            <w:tcW w:w="2676" w:type="dxa"/>
          </w:tcPr>
          <w:p w14:paraId="0F8373AA" w14:textId="77777777" w:rsidR="00DC2FFD" w:rsidRPr="00DC2FFD" w:rsidRDefault="00DC2FFD" w:rsidP="00DC2FFD">
            <w:pPr>
              <w:spacing w:after="0"/>
              <w:rPr>
                <w:sz w:val="20"/>
                <w:szCs w:val="20"/>
                <w:lang w:val="en-GB"/>
              </w:rPr>
            </w:pPr>
            <w:r w:rsidRPr="00DC2FFD">
              <w:rPr>
                <w:sz w:val="20"/>
                <w:lang w:val="en-GB"/>
              </w:rPr>
              <w:t>72 (1,06%)</w:t>
            </w:r>
          </w:p>
        </w:tc>
      </w:tr>
      <w:tr w:rsidR="00DC2FFD" w:rsidRPr="00DC2FFD" w14:paraId="2E3360BD" w14:textId="77777777" w:rsidTr="00296435">
        <w:trPr>
          <w:trHeight w:val="245"/>
        </w:trPr>
        <w:tc>
          <w:tcPr>
            <w:tcW w:w="2676" w:type="dxa"/>
          </w:tcPr>
          <w:p w14:paraId="27F847E7" w14:textId="77777777" w:rsidR="00DC2FFD" w:rsidRPr="00DC2FFD" w:rsidRDefault="00DC2FFD" w:rsidP="00DC2FFD">
            <w:pPr>
              <w:spacing w:after="0"/>
              <w:rPr>
                <w:sz w:val="20"/>
                <w:szCs w:val="20"/>
                <w:lang w:val="en-GB"/>
              </w:rPr>
            </w:pPr>
            <w:r w:rsidRPr="00DC2FFD">
              <w:rPr>
                <w:sz w:val="20"/>
                <w:lang w:val="en-GB"/>
              </w:rPr>
              <w:t>Croatian language</w:t>
            </w:r>
          </w:p>
        </w:tc>
        <w:tc>
          <w:tcPr>
            <w:tcW w:w="2676" w:type="dxa"/>
          </w:tcPr>
          <w:p w14:paraId="7AEB4141" w14:textId="77777777" w:rsidR="00DC2FFD" w:rsidRPr="00DC2FFD" w:rsidRDefault="00DC2FFD" w:rsidP="00DC2FFD">
            <w:pPr>
              <w:spacing w:after="0"/>
              <w:rPr>
                <w:sz w:val="20"/>
                <w:szCs w:val="20"/>
                <w:lang w:val="en-GB"/>
              </w:rPr>
            </w:pPr>
            <w:r w:rsidRPr="00DC2FFD">
              <w:rPr>
                <w:sz w:val="20"/>
                <w:lang w:val="en-GB"/>
              </w:rPr>
              <w:t>36 (0,53%)</w:t>
            </w:r>
          </w:p>
        </w:tc>
      </w:tr>
      <w:tr w:rsidR="00DC2FFD" w:rsidRPr="00DC2FFD" w14:paraId="637DDD7B" w14:textId="77777777" w:rsidTr="00296435">
        <w:trPr>
          <w:trHeight w:val="245"/>
        </w:trPr>
        <w:tc>
          <w:tcPr>
            <w:tcW w:w="2676" w:type="dxa"/>
          </w:tcPr>
          <w:p w14:paraId="0412EB89" w14:textId="77777777" w:rsidR="00DC2FFD" w:rsidRPr="00DC2FFD" w:rsidRDefault="00DC2FFD" w:rsidP="00DC2FFD">
            <w:pPr>
              <w:spacing w:after="0"/>
              <w:rPr>
                <w:sz w:val="20"/>
                <w:szCs w:val="20"/>
                <w:lang w:val="en-GB"/>
              </w:rPr>
            </w:pPr>
            <w:proofErr w:type="spellStart"/>
            <w:r w:rsidRPr="00DC2FFD">
              <w:rPr>
                <w:sz w:val="20"/>
                <w:lang w:val="en-GB"/>
              </w:rPr>
              <w:t>Ruthenian</w:t>
            </w:r>
            <w:proofErr w:type="spellEnd"/>
            <w:r w:rsidRPr="00DC2FFD">
              <w:rPr>
                <w:sz w:val="20"/>
                <w:lang w:val="en-GB"/>
              </w:rPr>
              <w:t xml:space="preserve"> language</w:t>
            </w:r>
          </w:p>
        </w:tc>
        <w:tc>
          <w:tcPr>
            <w:tcW w:w="2676" w:type="dxa"/>
          </w:tcPr>
          <w:p w14:paraId="64E29513" w14:textId="77777777" w:rsidR="00DC2FFD" w:rsidRPr="00DC2FFD" w:rsidRDefault="00DC2FFD" w:rsidP="00DC2FFD">
            <w:pPr>
              <w:spacing w:after="0"/>
              <w:rPr>
                <w:sz w:val="20"/>
                <w:szCs w:val="20"/>
                <w:lang w:val="en-GB"/>
              </w:rPr>
            </w:pPr>
            <w:r w:rsidRPr="00DC2FFD">
              <w:rPr>
                <w:sz w:val="20"/>
                <w:lang w:val="en-GB"/>
              </w:rPr>
              <w:t>29 (0,43%)</w:t>
            </w:r>
          </w:p>
        </w:tc>
      </w:tr>
      <w:tr w:rsidR="00DC2FFD" w:rsidRPr="00DC2FFD" w14:paraId="2F6988BF" w14:textId="77777777" w:rsidTr="00296435">
        <w:trPr>
          <w:trHeight w:val="245"/>
        </w:trPr>
        <w:tc>
          <w:tcPr>
            <w:tcW w:w="2676" w:type="dxa"/>
          </w:tcPr>
          <w:p w14:paraId="6EA6A0E1" w14:textId="77777777" w:rsidR="00DC2FFD" w:rsidRPr="00DC2FFD" w:rsidRDefault="00DC2FFD" w:rsidP="00DC2FFD">
            <w:pPr>
              <w:spacing w:after="0"/>
              <w:rPr>
                <w:sz w:val="20"/>
                <w:szCs w:val="20"/>
                <w:lang w:val="en-GB"/>
              </w:rPr>
            </w:pPr>
            <w:r w:rsidRPr="00DC2FFD">
              <w:rPr>
                <w:sz w:val="20"/>
                <w:lang w:val="en-GB"/>
              </w:rPr>
              <w:t>Montenegrin language</w:t>
            </w:r>
          </w:p>
        </w:tc>
        <w:tc>
          <w:tcPr>
            <w:tcW w:w="2676" w:type="dxa"/>
          </w:tcPr>
          <w:p w14:paraId="0976D8D8" w14:textId="77777777" w:rsidR="00DC2FFD" w:rsidRPr="00DC2FFD" w:rsidRDefault="00DC2FFD" w:rsidP="00DC2FFD">
            <w:pPr>
              <w:spacing w:after="0"/>
              <w:rPr>
                <w:sz w:val="20"/>
                <w:szCs w:val="20"/>
                <w:lang w:val="en-GB"/>
              </w:rPr>
            </w:pPr>
            <w:r w:rsidRPr="00DC2FFD">
              <w:rPr>
                <w:sz w:val="20"/>
                <w:lang w:val="en-GB"/>
              </w:rPr>
              <w:t>13 (0,19%)</w:t>
            </w:r>
          </w:p>
        </w:tc>
      </w:tr>
    </w:tbl>
    <w:p w14:paraId="7EAFDCA7" w14:textId="77777777" w:rsidR="00DC2FFD" w:rsidRPr="00DC2FFD" w:rsidRDefault="00DC2FFD" w:rsidP="00DC2FFD">
      <w:pPr>
        <w:spacing w:after="0" w:line="240" w:lineRule="auto"/>
        <w:ind w:left="720" w:firstLine="720"/>
        <w:rPr>
          <w:rFonts w:eastAsia="Times New Roman"/>
          <w:bCs/>
          <w:sz w:val="20"/>
          <w:szCs w:val="20"/>
          <w:lang w:val="sr-Cyrl-RS" w:eastAsia="en-GB"/>
        </w:rPr>
      </w:pPr>
    </w:p>
    <w:p w14:paraId="3BB0E7A2" w14:textId="05D8AC05" w:rsidR="00DC2FFD" w:rsidRPr="00DC2FFD" w:rsidRDefault="00DC2FFD" w:rsidP="006D4E3D">
      <w:pPr>
        <w:spacing w:after="0" w:line="240" w:lineRule="auto"/>
        <w:ind w:firstLine="720"/>
        <w:rPr>
          <w:rFonts w:eastAsia="Times New Roman"/>
          <w:bCs/>
          <w:sz w:val="20"/>
          <w:szCs w:val="20"/>
          <w:lang w:val="en-GB"/>
        </w:rPr>
      </w:pPr>
      <w:r w:rsidRPr="00DC2FFD">
        <w:rPr>
          <w:sz w:val="20"/>
          <w:lang w:val="en-GB"/>
        </w:rPr>
        <w:t>Language in which the employed persons acquired their elementary and secondary education</w:t>
      </w:r>
    </w:p>
    <w:tbl>
      <w:tblPr>
        <w:tblStyle w:val="TableGrid"/>
        <w:tblW w:w="0" w:type="auto"/>
        <w:tblInd w:w="1832" w:type="dxa"/>
        <w:tblLook w:val="04A0" w:firstRow="1" w:lastRow="0" w:firstColumn="1" w:lastColumn="0" w:noHBand="0" w:noVBand="1"/>
      </w:tblPr>
      <w:tblGrid>
        <w:gridCol w:w="2676"/>
        <w:gridCol w:w="2676"/>
      </w:tblGrid>
      <w:tr w:rsidR="00DC2FFD" w:rsidRPr="00DC2FFD" w14:paraId="5FBC9D6E" w14:textId="77777777" w:rsidTr="00296435">
        <w:trPr>
          <w:trHeight w:val="245"/>
        </w:trPr>
        <w:tc>
          <w:tcPr>
            <w:tcW w:w="2676" w:type="dxa"/>
          </w:tcPr>
          <w:p w14:paraId="0CB2FA29" w14:textId="77777777" w:rsidR="00DC2FFD" w:rsidRPr="00DC2FFD" w:rsidRDefault="00DC2FFD" w:rsidP="00DC2FFD">
            <w:pPr>
              <w:spacing w:after="0"/>
              <w:rPr>
                <w:sz w:val="20"/>
                <w:szCs w:val="20"/>
                <w:lang w:val="en-GB"/>
              </w:rPr>
            </w:pPr>
            <w:r w:rsidRPr="00DC2FFD">
              <w:rPr>
                <w:sz w:val="20"/>
                <w:lang w:val="en-GB"/>
              </w:rPr>
              <w:t>Serbian language</w:t>
            </w:r>
          </w:p>
        </w:tc>
        <w:tc>
          <w:tcPr>
            <w:tcW w:w="2676" w:type="dxa"/>
          </w:tcPr>
          <w:p w14:paraId="4933B53C" w14:textId="77777777" w:rsidR="00DC2FFD" w:rsidRPr="00DC2FFD" w:rsidRDefault="00DC2FFD" w:rsidP="00DC2FFD">
            <w:pPr>
              <w:spacing w:after="0"/>
              <w:rPr>
                <w:sz w:val="20"/>
                <w:szCs w:val="20"/>
                <w:lang w:val="en-GB"/>
              </w:rPr>
            </w:pPr>
            <w:r w:rsidRPr="00DC2FFD">
              <w:rPr>
                <w:sz w:val="20"/>
                <w:lang w:val="en-GB"/>
              </w:rPr>
              <w:t>5,643 (83,3%)</w:t>
            </w:r>
          </w:p>
        </w:tc>
      </w:tr>
      <w:tr w:rsidR="00DC2FFD" w:rsidRPr="00DC2FFD" w14:paraId="51889BC3" w14:textId="77777777" w:rsidTr="00296435">
        <w:trPr>
          <w:trHeight w:val="245"/>
        </w:trPr>
        <w:tc>
          <w:tcPr>
            <w:tcW w:w="2676" w:type="dxa"/>
          </w:tcPr>
          <w:p w14:paraId="61F06E9C" w14:textId="77777777" w:rsidR="00DC2FFD" w:rsidRPr="00DC2FFD" w:rsidRDefault="00DC2FFD" w:rsidP="00DC2FFD">
            <w:pPr>
              <w:spacing w:after="0"/>
              <w:rPr>
                <w:sz w:val="20"/>
                <w:szCs w:val="20"/>
                <w:lang w:val="en-GB"/>
              </w:rPr>
            </w:pPr>
            <w:r w:rsidRPr="00DC2FFD">
              <w:rPr>
                <w:sz w:val="20"/>
                <w:lang w:val="en-GB"/>
              </w:rPr>
              <w:t>Hungarian language</w:t>
            </w:r>
          </w:p>
        </w:tc>
        <w:tc>
          <w:tcPr>
            <w:tcW w:w="2676" w:type="dxa"/>
          </w:tcPr>
          <w:p w14:paraId="5FD034DB" w14:textId="77777777" w:rsidR="00DC2FFD" w:rsidRPr="00DC2FFD" w:rsidRDefault="00DC2FFD" w:rsidP="00DC2FFD">
            <w:pPr>
              <w:spacing w:after="0"/>
              <w:rPr>
                <w:sz w:val="20"/>
                <w:szCs w:val="20"/>
                <w:lang w:val="en-GB"/>
              </w:rPr>
            </w:pPr>
            <w:r w:rsidRPr="00DC2FFD">
              <w:rPr>
                <w:sz w:val="20"/>
                <w:lang w:val="en-GB"/>
              </w:rPr>
              <w:t>503 (7,43%)</w:t>
            </w:r>
          </w:p>
        </w:tc>
      </w:tr>
      <w:tr w:rsidR="00DC2FFD" w:rsidRPr="00DC2FFD" w14:paraId="37216A0D" w14:textId="77777777" w:rsidTr="00296435">
        <w:trPr>
          <w:trHeight w:val="245"/>
        </w:trPr>
        <w:tc>
          <w:tcPr>
            <w:tcW w:w="2676" w:type="dxa"/>
          </w:tcPr>
          <w:p w14:paraId="00CC5864" w14:textId="77777777" w:rsidR="00DC2FFD" w:rsidRPr="00DC2FFD" w:rsidRDefault="00DC2FFD" w:rsidP="00DC2FFD">
            <w:pPr>
              <w:spacing w:after="0"/>
              <w:rPr>
                <w:sz w:val="20"/>
                <w:szCs w:val="20"/>
                <w:lang w:val="en-GB"/>
              </w:rPr>
            </w:pPr>
            <w:r w:rsidRPr="00DC2FFD">
              <w:rPr>
                <w:sz w:val="20"/>
                <w:lang w:val="en-GB"/>
              </w:rPr>
              <w:t>other</w:t>
            </w:r>
          </w:p>
        </w:tc>
        <w:tc>
          <w:tcPr>
            <w:tcW w:w="2676" w:type="dxa"/>
          </w:tcPr>
          <w:p w14:paraId="3A67B1EB" w14:textId="77777777" w:rsidR="00DC2FFD" w:rsidRPr="00DC2FFD" w:rsidRDefault="00DC2FFD" w:rsidP="00DC2FFD">
            <w:pPr>
              <w:spacing w:after="0"/>
              <w:rPr>
                <w:sz w:val="20"/>
                <w:szCs w:val="20"/>
                <w:lang w:val="en-GB"/>
              </w:rPr>
            </w:pPr>
            <w:r w:rsidRPr="00DC2FFD">
              <w:rPr>
                <w:sz w:val="20"/>
                <w:lang w:val="en-GB"/>
              </w:rPr>
              <w:t>442 (6,52%)</w:t>
            </w:r>
          </w:p>
        </w:tc>
      </w:tr>
      <w:tr w:rsidR="00DC2FFD" w:rsidRPr="00DC2FFD" w14:paraId="1B1F0BF7" w14:textId="77777777" w:rsidTr="00296435">
        <w:trPr>
          <w:trHeight w:val="245"/>
        </w:trPr>
        <w:tc>
          <w:tcPr>
            <w:tcW w:w="2676" w:type="dxa"/>
          </w:tcPr>
          <w:p w14:paraId="17EE4653" w14:textId="77777777" w:rsidR="00DC2FFD" w:rsidRPr="00DC2FFD" w:rsidRDefault="00DC2FFD" w:rsidP="00DC2FFD">
            <w:pPr>
              <w:spacing w:after="0"/>
              <w:rPr>
                <w:sz w:val="20"/>
                <w:szCs w:val="20"/>
                <w:lang w:val="en-GB"/>
              </w:rPr>
            </w:pPr>
            <w:r w:rsidRPr="00DC2FFD">
              <w:rPr>
                <w:sz w:val="20"/>
                <w:lang w:val="en-GB"/>
              </w:rPr>
              <w:t>Slovak language</w:t>
            </w:r>
          </w:p>
        </w:tc>
        <w:tc>
          <w:tcPr>
            <w:tcW w:w="2676" w:type="dxa"/>
          </w:tcPr>
          <w:p w14:paraId="2B0C8A36" w14:textId="77777777" w:rsidR="00DC2FFD" w:rsidRPr="00DC2FFD" w:rsidRDefault="00DC2FFD" w:rsidP="00DC2FFD">
            <w:pPr>
              <w:spacing w:after="0"/>
              <w:rPr>
                <w:sz w:val="20"/>
                <w:szCs w:val="20"/>
                <w:lang w:val="en-GB"/>
              </w:rPr>
            </w:pPr>
            <w:r w:rsidRPr="00DC2FFD">
              <w:rPr>
                <w:sz w:val="20"/>
                <w:lang w:val="en-GB"/>
              </w:rPr>
              <w:t>89 (1,31%)</w:t>
            </w:r>
          </w:p>
        </w:tc>
      </w:tr>
      <w:tr w:rsidR="00DC2FFD" w:rsidRPr="00DC2FFD" w14:paraId="609BB09B" w14:textId="77777777" w:rsidTr="00296435">
        <w:trPr>
          <w:trHeight w:val="245"/>
        </w:trPr>
        <w:tc>
          <w:tcPr>
            <w:tcW w:w="2676" w:type="dxa"/>
          </w:tcPr>
          <w:p w14:paraId="111ACE1D" w14:textId="77777777" w:rsidR="00DC2FFD" w:rsidRPr="00DC2FFD" w:rsidRDefault="00DC2FFD" w:rsidP="00DC2FFD">
            <w:pPr>
              <w:spacing w:after="0"/>
              <w:rPr>
                <w:sz w:val="20"/>
                <w:szCs w:val="20"/>
                <w:lang w:val="en-GB"/>
              </w:rPr>
            </w:pPr>
            <w:r w:rsidRPr="00DC2FFD">
              <w:rPr>
                <w:sz w:val="20"/>
                <w:lang w:val="en-GB"/>
              </w:rPr>
              <w:t>Romanian language</w:t>
            </w:r>
          </w:p>
        </w:tc>
        <w:tc>
          <w:tcPr>
            <w:tcW w:w="2676" w:type="dxa"/>
          </w:tcPr>
          <w:p w14:paraId="4C61D7AC" w14:textId="77777777" w:rsidR="00DC2FFD" w:rsidRPr="00DC2FFD" w:rsidRDefault="00DC2FFD" w:rsidP="00DC2FFD">
            <w:pPr>
              <w:spacing w:after="0"/>
              <w:rPr>
                <w:sz w:val="20"/>
                <w:szCs w:val="20"/>
                <w:lang w:val="en-GB"/>
              </w:rPr>
            </w:pPr>
            <w:r w:rsidRPr="00DC2FFD">
              <w:rPr>
                <w:sz w:val="20"/>
                <w:lang w:val="en-GB"/>
              </w:rPr>
              <w:t>45 (0,66%)</w:t>
            </w:r>
          </w:p>
        </w:tc>
      </w:tr>
      <w:tr w:rsidR="00DC2FFD" w:rsidRPr="00DC2FFD" w14:paraId="5558EF3A" w14:textId="77777777" w:rsidTr="00296435">
        <w:trPr>
          <w:trHeight w:val="245"/>
        </w:trPr>
        <w:tc>
          <w:tcPr>
            <w:tcW w:w="2676" w:type="dxa"/>
          </w:tcPr>
          <w:p w14:paraId="4FD32351" w14:textId="77777777" w:rsidR="00DC2FFD" w:rsidRPr="00DC2FFD" w:rsidRDefault="00DC2FFD" w:rsidP="00DC2FFD">
            <w:pPr>
              <w:spacing w:after="0"/>
              <w:rPr>
                <w:sz w:val="20"/>
                <w:szCs w:val="20"/>
                <w:lang w:val="en-GB"/>
              </w:rPr>
            </w:pPr>
            <w:r w:rsidRPr="00DC2FFD">
              <w:rPr>
                <w:sz w:val="20"/>
                <w:lang w:val="en-GB"/>
              </w:rPr>
              <w:t>Croatian language</w:t>
            </w:r>
          </w:p>
        </w:tc>
        <w:tc>
          <w:tcPr>
            <w:tcW w:w="2676" w:type="dxa"/>
          </w:tcPr>
          <w:p w14:paraId="71FEC1AD" w14:textId="77777777" w:rsidR="00DC2FFD" w:rsidRPr="00DC2FFD" w:rsidRDefault="00DC2FFD" w:rsidP="00DC2FFD">
            <w:pPr>
              <w:spacing w:after="0"/>
              <w:rPr>
                <w:sz w:val="20"/>
                <w:szCs w:val="20"/>
                <w:lang w:val="en-GB"/>
              </w:rPr>
            </w:pPr>
            <w:r w:rsidRPr="00DC2FFD">
              <w:rPr>
                <w:sz w:val="20"/>
                <w:lang w:val="en-GB"/>
              </w:rPr>
              <w:t>24 (0,35%)</w:t>
            </w:r>
          </w:p>
        </w:tc>
      </w:tr>
      <w:tr w:rsidR="00DC2FFD" w:rsidRPr="00DC2FFD" w14:paraId="4709D727" w14:textId="77777777" w:rsidTr="00296435">
        <w:trPr>
          <w:trHeight w:val="245"/>
        </w:trPr>
        <w:tc>
          <w:tcPr>
            <w:tcW w:w="2676" w:type="dxa"/>
          </w:tcPr>
          <w:p w14:paraId="4FDE54C4" w14:textId="77777777" w:rsidR="00DC2FFD" w:rsidRPr="00DC2FFD" w:rsidRDefault="00DC2FFD" w:rsidP="00DC2FFD">
            <w:pPr>
              <w:spacing w:after="0"/>
              <w:rPr>
                <w:sz w:val="20"/>
                <w:szCs w:val="20"/>
                <w:lang w:val="en-GB"/>
              </w:rPr>
            </w:pPr>
            <w:r w:rsidRPr="00DC2FFD">
              <w:rPr>
                <w:sz w:val="20"/>
                <w:lang w:val="en-GB"/>
              </w:rPr>
              <w:t>undeclared</w:t>
            </w:r>
          </w:p>
        </w:tc>
        <w:tc>
          <w:tcPr>
            <w:tcW w:w="2676" w:type="dxa"/>
          </w:tcPr>
          <w:p w14:paraId="1F66D519" w14:textId="77777777" w:rsidR="00DC2FFD" w:rsidRPr="00DC2FFD" w:rsidRDefault="00DC2FFD" w:rsidP="00DC2FFD">
            <w:pPr>
              <w:spacing w:after="0"/>
              <w:rPr>
                <w:sz w:val="20"/>
                <w:szCs w:val="20"/>
                <w:lang w:val="en-GB"/>
              </w:rPr>
            </w:pPr>
            <w:r w:rsidRPr="00DC2FFD">
              <w:rPr>
                <w:sz w:val="20"/>
                <w:lang w:val="en-GB"/>
              </w:rPr>
              <w:t>13 (0,19%)</w:t>
            </w:r>
          </w:p>
        </w:tc>
      </w:tr>
      <w:tr w:rsidR="00DC2FFD" w:rsidRPr="00DC2FFD" w14:paraId="17D21F21" w14:textId="77777777" w:rsidTr="00296435">
        <w:trPr>
          <w:trHeight w:val="245"/>
        </w:trPr>
        <w:tc>
          <w:tcPr>
            <w:tcW w:w="2676" w:type="dxa"/>
          </w:tcPr>
          <w:p w14:paraId="5F8FE069" w14:textId="77777777" w:rsidR="00DC2FFD" w:rsidRPr="00DC2FFD" w:rsidRDefault="00DC2FFD" w:rsidP="00DC2FFD">
            <w:pPr>
              <w:spacing w:after="0"/>
              <w:rPr>
                <w:sz w:val="20"/>
                <w:szCs w:val="20"/>
                <w:lang w:val="en-GB"/>
              </w:rPr>
            </w:pPr>
            <w:proofErr w:type="spellStart"/>
            <w:r w:rsidRPr="00DC2FFD">
              <w:rPr>
                <w:sz w:val="20"/>
                <w:lang w:val="en-GB"/>
              </w:rPr>
              <w:t>Ruthenian</w:t>
            </w:r>
            <w:proofErr w:type="spellEnd"/>
            <w:r w:rsidRPr="00DC2FFD">
              <w:rPr>
                <w:sz w:val="20"/>
                <w:lang w:val="en-GB"/>
              </w:rPr>
              <w:t xml:space="preserve"> language</w:t>
            </w:r>
          </w:p>
        </w:tc>
        <w:tc>
          <w:tcPr>
            <w:tcW w:w="2676" w:type="dxa"/>
          </w:tcPr>
          <w:p w14:paraId="2DA115E8" w14:textId="77777777" w:rsidR="00DC2FFD" w:rsidRPr="00DC2FFD" w:rsidRDefault="00DC2FFD" w:rsidP="00DC2FFD">
            <w:pPr>
              <w:spacing w:after="0"/>
              <w:rPr>
                <w:sz w:val="20"/>
                <w:szCs w:val="20"/>
                <w:lang w:val="en-GB"/>
              </w:rPr>
            </w:pPr>
            <w:r w:rsidRPr="00DC2FFD">
              <w:rPr>
                <w:sz w:val="20"/>
                <w:lang w:val="en-GB"/>
              </w:rPr>
              <w:t>11 (0,16%)</w:t>
            </w:r>
          </w:p>
        </w:tc>
      </w:tr>
      <w:tr w:rsidR="00DC2FFD" w:rsidRPr="00DC2FFD" w14:paraId="08DBE8C7" w14:textId="77777777" w:rsidTr="00296435">
        <w:trPr>
          <w:trHeight w:val="245"/>
        </w:trPr>
        <w:tc>
          <w:tcPr>
            <w:tcW w:w="2676" w:type="dxa"/>
          </w:tcPr>
          <w:p w14:paraId="7300F127" w14:textId="77777777" w:rsidR="00DC2FFD" w:rsidRPr="00DC2FFD" w:rsidRDefault="00DC2FFD" w:rsidP="00DC2FFD">
            <w:pPr>
              <w:spacing w:after="0"/>
              <w:rPr>
                <w:sz w:val="20"/>
                <w:szCs w:val="20"/>
                <w:lang w:val="en-GB"/>
              </w:rPr>
            </w:pPr>
            <w:r w:rsidRPr="00DC2FFD">
              <w:rPr>
                <w:sz w:val="20"/>
                <w:lang w:val="en-GB"/>
              </w:rPr>
              <w:t>Montenegrin language</w:t>
            </w:r>
          </w:p>
        </w:tc>
        <w:tc>
          <w:tcPr>
            <w:tcW w:w="2676" w:type="dxa"/>
          </w:tcPr>
          <w:p w14:paraId="06305FE8" w14:textId="77777777" w:rsidR="00DC2FFD" w:rsidRPr="00DC2FFD" w:rsidRDefault="00DC2FFD" w:rsidP="00DC2FFD">
            <w:pPr>
              <w:spacing w:after="0"/>
              <w:rPr>
                <w:sz w:val="20"/>
                <w:szCs w:val="20"/>
                <w:lang w:val="en-GB"/>
              </w:rPr>
            </w:pPr>
            <w:r w:rsidRPr="00DC2FFD">
              <w:rPr>
                <w:sz w:val="20"/>
                <w:lang w:val="en-GB"/>
              </w:rPr>
              <w:t>4 (0,06%)</w:t>
            </w:r>
          </w:p>
        </w:tc>
      </w:tr>
    </w:tbl>
    <w:p w14:paraId="777DD52F" w14:textId="77777777" w:rsidR="00DC2FFD" w:rsidRPr="00DC2FFD" w:rsidRDefault="00DC2FFD" w:rsidP="00DC2FFD">
      <w:pPr>
        <w:spacing w:after="0" w:line="240" w:lineRule="auto"/>
        <w:rPr>
          <w:rFonts w:eastAsia="Times New Roman"/>
          <w:b/>
          <w:bCs/>
          <w:sz w:val="24"/>
          <w:szCs w:val="24"/>
          <w:lang w:val="en-GB" w:eastAsia="en-GB"/>
        </w:rPr>
      </w:pPr>
    </w:p>
    <w:p w14:paraId="31686370" w14:textId="4615413C" w:rsidR="00DC2FFD" w:rsidRPr="00DC2FFD" w:rsidRDefault="006D4E3D" w:rsidP="00DC2FFD">
      <w:pPr>
        <w:spacing w:after="0" w:line="240" w:lineRule="auto"/>
        <w:ind w:firstLine="720"/>
        <w:rPr>
          <w:rFonts w:eastAsia="Times New Roman"/>
          <w:bCs/>
          <w:color w:val="222222"/>
          <w:sz w:val="20"/>
          <w:szCs w:val="20"/>
          <w:lang w:val="en-GB"/>
        </w:rPr>
      </w:pPr>
      <w:r>
        <w:rPr>
          <w:color w:val="222222"/>
          <w:sz w:val="20"/>
          <w:lang w:val="en-GB"/>
        </w:rPr>
        <w:t xml:space="preserve">  </w:t>
      </w:r>
      <w:r>
        <w:rPr>
          <w:color w:val="222222"/>
          <w:sz w:val="20"/>
          <w:lang w:val="en-GB"/>
        </w:rPr>
        <w:tab/>
      </w:r>
      <w:r w:rsidR="00DC2FFD" w:rsidRPr="00DC2FFD">
        <w:rPr>
          <w:color w:val="222222"/>
          <w:sz w:val="20"/>
          <w:lang w:val="en-GB"/>
        </w:rPr>
        <w:t xml:space="preserve">Number of employed persons who speak the language of national minority </w:t>
      </w:r>
    </w:p>
    <w:p w14:paraId="0CBB80CE" w14:textId="77777777" w:rsidR="00DC2FFD" w:rsidRPr="00DC2FFD" w:rsidRDefault="00DC2FFD" w:rsidP="00DC2FFD">
      <w:pPr>
        <w:spacing w:after="0" w:line="240" w:lineRule="auto"/>
        <w:ind w:left="2880"/>
        <w:rPr>
          <w:rFonts w:eastAsia="Times New Roman"/>
          <w:bCs/>
          <w:color w:val="222222"/>
          <w:sz w:val="20"/>
          <w:szCs w:val="20"/>
          <w:lang w:val="en-GB"/>
        </w:rPr>
      </w:pPr>
      <w:r w:rsidRPr="00DC2FFD">
        <w:rPr>
          <w:color w:val="222222"/>
          <w:sz w:val="20"/>
          <w:lang w:val="en-GB"/>
        </w:rPr>
        <w:t xml:space="preserve">      which is in official use</w:t>
      </w:r>
    </w:p>
    <w:tbl>
      <w:tblPr>
        <w:tblStyle w:val="TableGrid"/>
        <w:tblW w:w="0" w:type="auto"/>
        <w:tblInd w:w="1832" w:type="dxa"/>
        <w:tblLook w:val="04A0" w:firstRow="1" w:lastRow="0" w:firstColumn="1" w:lastColumn="0" w:noHBand="0" w:noVBand="1"/>
      </w:tblPr>
      <w:tblGrid>
        <w:gridCol w:w="2676"/>
        <w:gridCol w:w="2676"/>
      </w:tblGrid>
      <w:tr w:rsidR="00DC2FFD" w:rsidRPr="00DC2FFD" w14:paraId="43AE5053" w14:textId="77777777" w:rsidTr="00296435">
        <w:trPr>
          <w:trHeight w:val="245"/>
        </w:trPr>
        <w:tc>
          <w:tcPr>
            <w:tcW w:w="2676" w:type="dxa"/>
          </w:tcPr>
          <w:p w14:paraId="10490C65" w14:textId="77777777" w:rsidR="00DC2FFD" w:rsidRPr="00DC2FFD" w:rsidRDefault="00DC2FFD" w:rsidP="00DC2FFD">
            <w:pPr>
              <w:spacing w:after="0"/>
              <w:rPr>
                <w:sz w:val="20"/>
                <w:szCs w:val="20"/>
                <w:lang w:val="en-GB"/>
              </w:rPr>
            </w:pPr>
            <w:r w:rsidRPr="00DC2FFD">
              <w:rPr>
                <w:sz w:val="20"/>
                <w:lang w:val="en-GB"/>
              </w:rPr>
              <w:t>Hungarian language</w:t>
            </w:r>
          </w:p>
        </w:tc>
        <w:tc>
          <w:tcPr>
            <w:tcW w:w="2676" w:type="dxa"/>
          </w:tcPr>
          <w:p w14:paraId="5D6D42F3" w14:textId="77777777" w:rsidR="00DC2FFD" w:rsidRPr="00DC2FFD" w:rsidRDefault="00DC2FFD" w:rsidP="00DC2FFD">
            <w:pPr>
              <w:spacing w:after="0"/>
              <w:rPr>
                <w:sz w:val="20"/>
                <w:szCs w:val="20"/>
                <w:lang w:val="en-GB"/>
              </w:rPr>
            </w:pPr>
            <w:r w:rsidRPr="00DC2FFD">
              <w:rPr>
                <w:sz w:val="20"/>
                <w:lang w:val="en-GB"/>
              </w:rPr>
              <w:t>813</w:t>
            </w:r>
          </w:p>
        </w:tc>
      </w:tr>
      <w:tr w:rsidR="00DC2FFD" w:rsidRPr="00DC2FFD" w14:paraId="05460376" w14:textId="77777777" w:rsidTr="00296435">
        <w:trPr>
          <w:trHeight w:val="245"/>
        </w:trPr>
        <w:tc>
          <w:tcPr>
            <w:tcW w:w="2676" w:type="dxa"/>
          </w:tcPr>
          <w:p w14:paraId="114C5726" w14:textId="77777777" w:rsidR="00DC2FFD" w:rsidRPr="00DC2FFD" w:rsidRDefault="00DC2FFD" w:rsidP="00DC2FFD">
            <w:pPr>
              <w:spacing w:after="0"/>
              <w:rPr>
                <w:sz w:val="20"/>
                <w:szCs w:val="20"/>
                <w:lang w:val="en-GB"/>
              </w:rPr>
            </w:pPr>
            <w:r w:rsidRPr="00DC2FFD">
              <w:rPr>
                <w:sz w:val="20"/>
                <w:lang w:val="en-GB"/>
              </w:rPr>
              <w:t>Croatian language</w:t>
            </w:r>
          </w:p>
        </w:tc>
        <w:tc>
          <w:tcPr>
            <w:tcW w:w="2676" w:type="dxa"/>
          </w:tcPr>
          <w:p w14:paraId="38B7FBDC" w14:textId="77777777" w:rsidR="00DC2FFD" w:rsidRPr="00DC2FFD" w:rsidRDefault="00DC2FFD" w:rsidP="00DC2FFD">
            <w:pPr>
              <w:spacing w:after="0"/>
              <w:rPr>
                <w:sz w:val="20"/>
                <w:szCs w:val="20"/>
                <w:lang w:val="en-GB"/>
              </w:rPr>
            </w:pPr>
            <w:r w:rsidRPr="00DC2FFD">
              <w:rPr>
                <w:sz w:val="20"/>
                <w:lang w:val="en-GB"/>
              </w:rPr>
              <w:t>310</w:t>
            </w:r>
          </w:p>
        </w:tc>
      </w:tr>
      <w:tr w:rsidR="00DC2FFD" w:rsidRPr="00DC2FFD" w14:paraId="5C97DEB5" w14:textId="77777777" w:rsidTr="00296435">
        <w:trPr>
          <w:trHeight w:val="245"/>
        </w:trPr>
        <w:tc>
          <w:tcPr>
            <w:tcW w:w="2676" w:type="dxa"/>
          </w:tcPr>
          <w:p w14:paraId="69FF85DB" w14:textId="77777777" w:rsidR="00DC2FFD" w:rsidRPr="00DC2FFD" w:rsidRDefault="00DC2FFD" w:rsidP="00DC2FFD">
            <w:pPr>
              <w:spacing w:after="0"/>
              <w:rPr>
                <w:sz w:val="20"/>
                <w:szCs w:val="20"/>
                <w:lang w:val="en-GB"/>
              </w:rPr>
            </w:pPr>
            <w:r w:rsidRPr="00DC2FFD">
              <w:rPr>
                <w:sz w:val="20"/>
                <w:lang w:val="en-GB"/>
              </w:rPr>
              <w:t>Slovak language</w:t>
            </w:r>
          </w:p>
        </w:tc>
        <w:tc>
          <w:tcPr>
            <w:tcW w:w="2676" w:type="dxa"/>
          </w:tcPr>
          <w:p w14:paraId="0ABF010C" w14:textId="77777777" w:rsidR="00DC2FFD" w:rsidRPr="00DC2FFD" w:rsidRDefault="00DC2FFD" w:rsidP="00DC2FFD">
            <w:pPr>
              <w:spacing w:after="0"/>
              <w:rPr>
                <w:sz w:val="20"/>
                <w:szCs w:val="20"/>
                <w:lang w:val="en-GB"/>
              </w:rPr>
            </w:pPr>
            <w:r w:rsidRPr="00DC2FFD">
              <w:rPr>
                <w:sz w:val="20"/>
                <w:lang w:val="en-GB"/>
              </w:rPr>
              <w:t>147</w:t>
            </w:r>
          </w:p>
        </w:tc>
      </w:tr>
      <w:tr w:rsidR="00DC2FFD" w:rsidRPr="00DC2FFD" w14:paraId="288190DA" w14:textId="77777777" w:rsidTr="00296435">
        <w:trPr>
          <w:trHeight w:val="245"/>
        </w:trPr>
        <w:tc>
          <w:tcPr>
            <w:tcW w:w="2676" w:type="dxa"/>
          </w:tcPr>
          <w:p w14:paraId="4947AC2E" w14:textId="77777777" w:rsidR="00DC2FFD" w:rsidRPr="00DC2FFD" w:rsidRDefault="00DC2FFD" w:rsidP="00DC2FFD">
            <w:pPr>
              <w:spacing w:after="0"/>
              <w:rPr>
                <w:sz w:val="20"/>
                <w:szCs w:val="20"/>
                <w:lang w:val="en-GB"/>
              </w:rPr>
            </w:pPr>
            <w:r w:rsidRPr="00DC2FFD">
              <w:rPr>
                <w:sz w:val="20"/>
                <w:lang w:val="en-GB"/>
              </w:rPr>
              <w:t>Romanian language</w:t>
            </w:r>
          </w:p>
        </w:tc>
        <w:tc>
          <w:tcPr>
            <w:tcW w:w="2676" w:type="dxa"/>
          </w:tcPr>
          <w:p w14:paraId="5DA5462A" w14:textId="77777777" w:rsidR="00DC2FFD" w:rsidRPr="00DC2FFD" w:rsidRDefault="00DC2FFD" w:rsidP="00DC2FFD">
            <w:pPr>
              <w:spacing w:after="0"/>
              <w:rPr>
                <w:sz w:val="20"/>
                <w:szCs w:val="20"/>
                <w:lang w:val="en-GB"/>
              </w:rPr>
            </w:pPr>
            <w:r w:rsidRPr="00DC2FFD">
              <w:rPr>
                <w:sz w:val="20"/>
                <w:lang w:val="en-GB"/>
              </w:rPr>
              <w:t>65</w:t>
            </w:r>
          </w:p>
        </w:tc>
      </w:tr>
      <w:tr w:rsidR="00DC2FFD" w:rsidRPr="00DC2FFD" w14:paraId="624A3D01" w14:textId="77777777" w:rsidTr="00296435">
        <w:trPr>
          <w:trHeight w:val="245"/>
        </w:trPr>
        <w:tc>
          <w:tcPr>
            <w:tcW w:w="2676" w:type="dxa"/>
          </w:tcPr>
          <w:p w14:paraId="0D9EBBA3" w14:textId="77777777" w:rsidR="00DC2FFD" w:rsidRPr="00DC2FFD" w:rsidRDefault="00DC2FFD" w:rsidP="00DC2FFD">
            <w:pPr>
              <w:spacing w:after="0"/>
              <w:rPr>
                <w:sz w:val="20"/>
                <w:szCs w:val="20"/>
                <w:lang w:val="en-GB"/>
              </w:rPr>
            </w:pPr>
            <w:r w:rsidRPr="00DC2FFD">
              <w:rPr>
                <w:sz w:val="20"/>
                <w:lang w:val="en-GB"/>
              </w:rPr>
              <w:lastRenderedPageBreak/>
              <w:t>Montenegrin language</w:t>
            </w:r>
          </w:p>
        </w:tc>
        <w:tc>
          <w:tcPr>
            <w:tcW w:w="2676" w:type="dxa"/>
          </w:tcPr>
          <w:p w14:paraId="1D9117C9" w14:textId="77777777" w:rsidR="00DC2FFD" w:rsidRPr="00DC2FFD" w:rsidRDefault="00DC2FFD" w:rsidP="00DC2FFD">
            <w:pPr>
              <w:spacing w:after="0"/>
              <w:rPr>
                <w:sz w:val="20"/>
                <w:szCs w:val="20"/>
                <w:lang w:val="en-GB"/>
              </w:rPr>
            </w:pPr>
            <w:r w:rsidRPr="00DC2FFD">
              <w:rPr>
                <w:sz w:val="20"/>
                <w:lang w:val="en-GB"/>
              </w:rPr>
              <w:t>46</w:t>
            </w:r>
          </w:p>
        </w:tc>
      </w:tr>
      <w:tr w:rsidR="00DC2FFD" w:rsidRPr="00DC2FFD" w14:paraId="538D310D" w14:textId="77777777" w:rsidTr="00296435">
        <w:trPr>
          <w:trHeight w:val="245"/>
        </w:trPr>
        <w:tc>
          <w:tcPr>
            <w:tcW w:w="2676" w:type="dxa"/>
          </w:tcPr>
          <w:p w14:paraId="5513380A" w14:textId="77777777" w:rsidR="00DC2FFD" w:rsidRPr="00DC2FFD" w:rsidRDefault="00DC2FFD" w:rsidP="00DC2FFD">
            <w:pPr>
              <w:spacing w:after="0"/>
              <w:rPr>
                <w:sz w:val="20"/>
                <w:szCs w:val="20"/>
                <w:lang w:val="en-GB"/>
              </w:rPr>
            </w:pPr>
            <w:proofErr w:type="spellStart"/>
            <w:r w:rsidRPr="00DC2FFD">
              <w:rPr>
                <w:sz w:val="20"/>
                <w:lang w:val="en-GB"/>
              </w:rPr>
              <w:t>Ruthenian</w:t>
            </w:r>
            <w:proofErr w:type="spellEnd"/>
            <w:r w:rsidRPr="00DC2FFD">
              <w:rPr>
                <w:sz w:val="20"/>
                <w:lang w:val="en-GB"/>
              </w:rPr>
              <w:t xml:space="preserve"> language</w:t>
            </w:r>
          </w:p>
        </w:tc>
        <w:tc>
          <w:tcPr>
            <w:tcW w:w="2676" w:type="dxa"/>
          </w:tcPr>
          <w:p w14:paraId="5D59A7F4" w14:textId="77777777" w:rsidR="00DC2FFD" w:rsidRPr="00DC2FFD" w:rsidRDefault="00DC2FFD" w:rsidP="00DC2FFD">
            <w:pPr>
              <w:spacing w:after="0"/>
              <w:rPr>
                <w:sz w:val="20"/>
                <w:szCs w:val="20"/>
                <w:lang w:val="en-GB"/>
              </w:rPr>
            </w:pPr>
            <w:r w:rsidRPr="00DC2FFD">
              <w:rPr>
                <w:sz w:val="20"/>
                <w:lang w:val="en-GB"/>
              </w:rPr>
              <w:t>40</w:t>
            </w:r>
          </w:p>
        </w:tc>
      </w:tr>
      <w:tr w:rsidR="00DC2FFD" w:rsidRPr="00DC2FFD" w14:paraId="66CB099E" w14:textId="77777777" w:rsidTr="00296435">
        <w:trPr>
          <w:trHeight w:val="245"/>
        </w:trPr>
        <w:tc>
          <w:tcPr>
            <w:tcW w:w="2676" w:type="dxa"/>
          </w:tcPr>
          <w:p w14:paraId="6A9FB1C3" w14:textId="77777777" w:rsidR="00DC2FFD" w:rsidRPr="00DC2FFD" w:rsidRDefault="00DC2FFD" w:rsidP="00DC2FFD">
            <w:pPr>
              <w:spacing w:after="0"/>
              <w:rPr>
                <w:sz w:val="20"/>
                <w:szCs w:val="20"/>
                <w:lang w:val="en-GB"/>
              </w:rPr>
            </w:pPr>
            <w:r w:rsidRPr="00DC2FFD">
              <w:rPr>
                <w:sz w:val="20"/>
                <w:lang w:val="en-GB"/>
              </w:rPr>
              <w:t>other</w:t>
            </w:r>
          </w:p>
        </w:tc>
        <w:tc>
          <w:tcPr>
            <w:tcW w:w="2676" w:type="dxa"/>
          </w:tcPr>
          <w:p w14:paraId="0B737137" w14:textId="77777777" w:rsidR="00DC2FFD" w:rsidRPr="00DC2FFD" w:rsidRDefault="00DC2FFD" w:rsidP="00DC2FFD">
            <w:pPr>
              <w:spacing w:after="0"/>
              <w:rPr>
                <w:sz w:val="20"/>
                <w:szCs w:val="20"/>
                <w:lang w:val="en-GB"/>
              </w:rPr>
            </w:pPr>
            <w:r w:rsidRPr="00DC2FFD">
              <w:rPr>
                <w:sz w:val="20"/>
                <w:lang w:val="en-GB"/>
              </w:rPr>
              <w:t>19</w:t>
            </w:r>
          </w:p>
        </w:tc>
      </w:tr>
    </w:tbl>
    <w:p w14:paraId="163CECE9" w14:textId="77777777" w:rsidR="00DC2FFD" w:rsidRPr="00DC2FFD" w:rsidRDefault="00DC2FFD" w:rsidP="00DC2FFD">
      <w:pPr>
        <w:spacing w:after="0" w:line="240" w:lineRule="auto"/>
        <w:rPr>
          <w:rFonts w:ascii="Tahoma" w:eastAsia="Times New Roman" w:hAnsi="Tahoma" w:cs="Tahoma"/>
          <w:b/>
          <w:bCs/>
          <w:color w:val="222222"/>
          <w:sz w:val="20"/>
          <w:szCs w:val="20"/>
          <w:lang w:val="en-GB" w:eastAsia="en-GB"/>
        </w:rPr>
      </w:pPr>
    </w:p>
    <w:p w14:paraId="3A595972" w14:textId="77777777" w:rsidR="00DC2FFD" w:rsidRPr="00DC2FFD" w:rsidRDefault="00DC2FFD" w:rsidP="00DC2FFD">
      <w:pPr>
        <w:spacing w:after="0"/>
        <w:ind w:firstLine="720"/>
        <w:jc w:val="both"/>
        <w:rPr>
          <w:sz w:val="24"/>
          <w:szCs w:val="24"/>
          <w:lang w:val="en-GB"/>
        </w:rPr>
      </w:pPr>
      <w:r w:rsidRPr="00DC2FFD">
        <w:rPr>
          <w:sz w:val="24"/>
          <w:lang w:val="en-GB"/>
        </w:rPr>
        <w:t>Other than the data contained in the Fourth State Report relating to the number of civil servants who speak minority languages, the then Office for Human and Minority Rights continued to collect appropriate data in the reporting period. For the purposes of developing a special study which would be a result of the cooperation between the Office for Human and Minority Rights of the Government of the Republic of Serbia and the OSCE Mission in the Republic of Serbia, and whose main purpose is to serve as a guide for the application of regulations which govern the matter of the use of languages and scripts of national minorities in local self-government units (LSGUs) in the Republic of Serbia, an extensive questionnaire has been created, which has been distributed to all local self-government units in the Republic of Serbia (which will be discussed further at appropriate times).</w:t>
      </w:r>
    </w:p>
    <w:p w14:paraId="10C94A1A" w14:textId="77777777" w:rsidR="00DC2FFD" w:rsidRPr="00DC2FFD" w:rsidRDefault="00DC2FFD" w:rsidP="00DC2FFD">
      <w:pPr>
        <w:spacing w:after="0"/>
        <w:ind w:firstLine="720"/>
        <w:jc w:val="both"/>
        <w:rPr>
          <w:sz w:val="24"/>
          <w:szCs w:val="24"/>
          <w:lang w:val="en-GB"/>
        </w:rPr>
      </w:pPr>
      <w:r w:rsidRPr="00DC2FFD">
        <w:rPr>
          <w:sz w:val="24"/>
          <w:lang w:val="en-GB"/>
        </w:rPr>
        <w:t>Of the total of 172 LSGUs, and urban municipalities to which this questionnaire has been sent, the official use of the languages and scripts of national minorities exist in 54. Answers have been sent by 32 LSGUs where the official use of the languages and scripts of national minorities exists (50.26%), of which 27 LSGUs are those where the official use of the languages and scripts covers their entire territory.</w:t>
      </w:r>
    </w:p>
    <w:p w14:paraId="152C7933" w14:textId="04F4F435" w:rsidR="00DC2FFD" w:rsidRPr="00DC2FFD" w:rsidRDefault="00DC2FFD" w:rsidP="00DC2FFD">
      <w:pPr>
        <w:spacing w:after="0"/>
        <w:ind w:firstLine="720"/>
        <w:jc w:val="both"/>
        <w:rPr>
          <w:sz w:val="24"/>
          <w:szCs w:val="24"/>
          <w:lang w:val="en-GB"/>
        </w:rPr>
      </w:pPr>
      <w:r w:rsidRPr="00DC2FFD">
        <w:rPr>
          <w:sz w:val="24"/>
          <w:lang w:val="en-GB"/>
        </w:rPr>
        <w:t>The first set of questions in the questionnaire concern personnel capacities of LSGUs. The question whether the systematisation of job positions in the administration prescribes that speaking one of the languages of national minorities which are in official use is required for the job, 17 LSGUs answered affirmatively, which is 53.12 % of the total number of LSGUs where the language and script of the national minority is in official use and which have sent their answers. The requirement to speak one of the languages of national minorities which are in official use due to the systematisation of job positions in the administration, is not prescribed in 15 LSGUs, i.e., 46.87%, where the language and script of a national minority is in official use and which have sent their answers. The records on mother tongues of employees in the administration are kept by 20 LSGUs, i.e., 62.5 %, while 12 LSGUs, i.e., 37.5% of LSGUs which have sent their answers to this questionnaire and where languages and scripts of national minorities are in official use, do not keep such records.</w:t>
      </w:r>
    </w:p>
    <w:p w14:paraId="66326461" w14:textId="77777777" w:rsidR="00DC2FFD" w:rsidRPr="00DC2FFD" w:rsidRDefault="00DC2FFD" w:rsidP="00DC2FFD">
      <w:pPr>
        <w:spacing w:after="0"/>
        <w:ind w:firstLine="720"/>
        <w:jc w:val="both"/>
        <w:rPr>
          <w:sz w:val="24"/>
          <w:szCs w:val="24"/>
          <w:lang w:val="en-GB"/>
        </w:rPr>
      </w:pPr>
      <w:r w:rsidRPr="00DC2FFD">
        <w:rPr>
          <w:sz w:val="24"/>
          <w:lang w:val="en-GB"/>
        </w:rPr>
        <w:t xml:space="preserve">The National Council of the </w:t>
      </w:r>
      <w:proofErr w:type="spellStart"/>
      <w:r w:rsidRPr="00DC2FFD">
        <w:rPr>
          <w:sz w:val="24"/>
          <w:lang w:val="en-GB"/>
        </w:rPr>
        <w:t>Bosniak</w:t>
      </w:r>
      <w:proofErr w:type="spellEnd"/>
      <w:r w:rsidRPr="00DC2FFD">
        <w:rPr>
          <w:sz w:val="24"/>
          <w:lang w:val="en-GB"/>
        </w:rPr>
        <w:t xml:space="preserve"> National Minority states, in a written contribution for this report, that there are no records on the number of civil servants in State or local administration speak the Bosnian language, and that no support measures are being undertaken, nor are training being implemented for the use of the Bosnian language.</w:t>
      </w:r>
    </w:p>
    <w:p w14:paraId="3641C8B0" w14:textId="77777777" w:rsidR="00DC2FFD" w:rsidRPr="00DC2FFD" w:rsidRDefault="00DC2FFD" w:rsidP="00DC2FFD">
      <w:pPr>
        <w:spacing w:after="0"/>
        <w:ind w:firstLine="720"/>
        <w:jc w:val="both"/>
        <w:rPr>
          <w:sz w:val="24"/>
          <w:szCs w:val="24"/>
          <w:lang w:val="en-GB"/>
        </w:rPr>
      </w:pPr>
      <w:r w:rsidRPr="00DC2FFD">
        <w:rPr>
          <w:sz w:val="24"/>
          <w:lang w:val="en-GB"/>
        </w:rPr>
        <w:t xml:space="preserve">Through an Open Competition for allocation of budgetary means to authorities and organisations in the Autonomous Province of </w:t>
      </w:r>
      <w:proofErr w:type="spellStart"/>
      <w:r w:rsidRPr="00DC2FFD">
        <w:rPr>
          <w:sz w:val="24"/>
          <w:lang w:val="en-GB"/>
        </w:rPr>
        <w:t>Vojvodina</w:t>
      </w:r>
      <w:proofErr w:type="spellEnd"/>
      <w:r w:rsidRPr="00DC2FFD">
        <w:rPr>
          <w:sz w:val="24"/>
          <w:lang w:val="en-GB"/>
        </w:rPr>
        <w:t xml:space="preserve"> with the officially use of the language and script of national minorities/national communities, the Provincial Secretariat for Education, Regulations, Administration and National Minorities – National </w:t>
      </w:r>
      <w:proofErr w:type="gramStart"/>
      <w:r w:rsidRPr="00DC2FFD">
        <w:rPr>
          <w:sz w:val="24"/>
          <w:lang w:val="en-GB"/>
        </w:rPr>
        <w:t>Communities  allocates</w:t>
      </w:r>
      <w:proofErr w:type="gramEnd"/>
      <w:r w:rsidRPr="00DC2FFD">
        <w:rPr>
          <w:sz w:val="24"/>
          <w:lang w:val="en-GB"/>
        </w:rPr>
        <w:t xml:space="preserve"> funds from the budget of AP </w:t>
      </w:r>
      <w:proofErr w:type="spellStart"/>
      <w:r w:rsidRPr="00DC2FFD">
        <w:rPr>
          <w:sz w:val="24"/>
          <w:lang w:val="en-GB"/>
        </w:rPr>
        <w:t>Vojvodina</w:t>
      </w:r>
      <w:proofErr w:type="spellEnd"/>
      <w:r w:rsidRPr="00DC2FFD">
        <w:rPr>
          <w:sz w:val="24"/>
          <w:lang w:val="en-GB"/>
        </w:rPr>
        <w:t xml:space="preserve"> for the improvement of the official use of languages and scripts of national minorities. Funds are allocated to authorities of local self-government units whose statute defines the official use of languages and scripts of national minorities and to local communities in the territories of towns and municipalities, as well as other authorities, organisations, agencies and institutions which are beneficiaries of budgetary </w:t>
      </w:r>
      <w:r w:rsidRPr="00DC2FFD">
        <w:rPr>
          <w:sz w:val="24"/>
          <w:lang w:val="en-GB"/>
        </w:rPr>
        <w:lastRenderedPageBreak/>
        <w:t xml:space="preserve">resources and which have the seat in the territory of a local self-government (schools, public enterprises etc.). Funds are, </w:t>
      </w:r>
      <w:r w:rsidRPr="00DC2FFD">
        <w:rPr>
          <w:i/>
          <w:iCs/>
          <w:sz w:val="24"/>
          <w:lang w:val="en-GB"/>
        </w:rPr>
        <w:t>inter alia</w:t>
      </w:r>
      <w:r w:rsidRPr="00DC2FFD">
        <w:rPr>
          <w:sz w:val="24"/>
          <w:lang w:val="en-GB"/>
        </w:rPr>
        <w:t xml:space="preserve">, allocated for the development of a system of electronic administration for multilingual conditions. </w:t>
      </w:r>
    </w:p>
    <w:p w14:paraId="14BCCD8D" w14:textId="77777777" w:rsidR="00DC2FFD" w:rsidRPr="00DC2FFD" w:rsidRDefault="00DC2FFD" w:rsidP="00DC2FFD">
      <w:pPr>
        <w:spacing w:after="0"/>
        <w:ind w:firstLine="720"/>
        <w:jc w:val="both"/>
        <w:rPr>
          <w:sz w:val="24"/>
          <w:szCs w:val="24"/>
          <w:lang w:val="en-GB"/>
        </w:rPr>
      </w:pPr>
      <w:r w:rsidRPr="00DC2FFD">
        <w:rPr>
          <w:sz w:val="24"/>
          <w:lang w:val="en-GB"/>
        </w:rPr>
        <w:t xml:space="preserve">In addition to the </w:t>
      </w:r>
      <w:proofErr w:type="gramStart"/>
      <w:r w:rsidRPr="00DC2FFD">
        <w:rPr>
          <w:sz w:val="24"/>
          <w:lang w:val="en-GB"/>
        </w:rPr>
        <w:t>above:,</w:t>
      </w:r>
      <w:proofErr w:type="gramEnd"/>
      <w:r w:rsidRPr="00DC2FFD">
        <w:rPr>
          <w:sz w:val="24"/>
          <w:lang w:val="en-GB"/>
        </w:rPr>
        <w:t xml:space="preserve"> the Secretariat also organises examinations in foreign languages and language of national minorities for activities in the administration bodies and issues certificates of the knowledge of a foreign language/language of a national minority. Until 2020, the Secretariat used to also organise seminars in terminology and language in the field of law in languages of national minorities. The first seminar on the official use of the Hungarian language in administration bodies and judiciary was organised in 2003. Due to the wide interest, the seminar has been regularly taking place each year since. The objective of these seminars is professional development of persons who possess knowledge of the Hungarian language, who are employed in administration bodies or in the judiciary, and who conduct proceedings and/or communicate with parties in that language The first such seminar in Romanian was organised in 2004. </w:t>
      </w:r>
    </w:p>
    <w:p w14:paraId="2A2643E2" w14:textId="77777777" w:rsidR="00DC2FFD" w:rsidRPr="00DC2FFD" w:rsidRDefault="00DC2FFD" w:rsidP="00DC2FFD">
      <w:pPr>
        <w:spacing w:after="0"/>
        <w:ind w:firstLine="720"/>
        <w:jc w:val="both"/>
        <w:rPr>
          <w:sz w:val="24"/>
          <w:szCs w:val="24"/>
          <w:lang w:val="en-GB"/>
        </w:rPr>
      </w:pPr>
      <w:r w:rsidRPr="00DC2FFD">
        <w:rPr>
          <w:sz w:val="24"/>
          <w:lang w:val="en-GB"/>
        </w:rPr>
        <w:t>The Human Resource Management Service of the Provincial Government, within the framework of its General Training Programme in the field of professional development and development of language competences, organises training in languages of national minorities, whose objective is to make trainees able to use languages of national minorities, where the identified target group are all employees in provincial authorities.  According to the data of the Service for 2011-2014, there were 10 trainees who had completed their training in Hungarian. In the period 2015-2018, to training was organised, due to the low interest of potential trainees. In 2019, training in Hungarian was organised for 6 trainees. In 2020 and 2021, no training was organised due to the epidemiological reasons. In addition to the opportunities for the Service to organise the trainings in all languages of national minorities which are in official use in provincial bodies, the training is also organised just for Hungarian, and not each year, due to the low interest of potential trainees. The use of this opportunity for free education of persons employed in provincial bodies increases the language capacity and quality of personnel in provincial bodies.</w:t>
      </w:r>
    </w:p>
    <w:p w14:paraId="19070EA5" w14:textId="77777777" w:rsidR="00DC2FFD" w:rsidRPr="00DC2FFD" w:rsidRDefault="00DC2FFD" w:rsidP="00DC2FFD">
      <w:pPr>
        <w:spacing w:after="0"/>
        <w:ind w:firstLine="720"/>
        <w:jc w:val="both"/>
        <w:rPr>
          <w:sz w:val="24"/>
          <w:szCs w:val="24"/>
          <w:lang w:val="en-GB"/>
        </w:rPr>
      </w:pPr>
      <w:r w:rsidRPr="00DC2FFD">
        <w:rPr>
          <w:sz w:val="24"/>
          <w:lang w:val="en-GB"/>
        </w:rPr>
        <w:t xml:space="preserve">Similar measures are also undertaken at the State level. Each year, the National Academy for Public Administration develops programmes for professional development of employees in State bodies and local self-government units. These programmes include trainings in the protection of human rights. </w:t>
      </w:r>
    </w:p>
    <w:p w14:paraId="3EC985BE" w14:textId="32FE1F9C" w:rsidR="00DC2FFD" w:rsidRPr="00DC2FFD" w:rsidRDefault="00DC2FFD" w:rsidP="00DC2FFD">
      <w:pPr>
        <w:spacing w:after="0"/>
        <w:ind w:firstLine="720"/>
        <w:jc w:val="both"/>
        <w:rPr>
          <w:sz w:val="24"/>
          <w:szCs w:val="24"/>
          <w:lang w:val="en-GB"/>
        </w:rPr>
      </w:pPr>
      <w:r w:rsidRPr="00DC2FFD">
        <w:rPr>
          <w:sz w:val="24"/>
          <w:lang w:val="en-GB"/>
        </w:rPr>
        <w:t>Professional development of employees in local self-governments is based on the following training programmes: General Training Programme, Programme for the training of executives and special training programmes in accordance with the specific needs from the scope and purview of local self-government units. General Training Programme for employees in local self-government units is adopted each year by the Government, upon a proposal of the National Academy for Public Administration, in accordance with the law. This programme, within the framework of the General Training Programme of continued professional development, includes,</w:t>
      </w:r>
      <w:r w:rsidRPr="00DC2FFD">
        <w:rPr>
          <w:i/>
          <w:iCs/>
          <w:sz w:val="24"/>
          <w:lang w:val="en-GB"/>
        </w:rPr>
        <w:t xml:space="preserve"> inter alia</w:t>
      </w:r>
      <w:r w:rsidRPr="00DC2FFD">
        <w:rPr>
          <w:sz w:val="24"/>
          <w:lang w:val="en-GB"/>
        </w:rPr>
        <w:t xml:space="preserve">, the field of professional development called Development of language competences, within which, with a view to training employees to use languages of national minorities, training programmes are defined for learning languages of national minorities, namely: Hungarian and Albanian language (levels A1, A2, N1 and B2 of the Common European Framework of Reference for Languages) Also, with a view to improving </w:t>
      </w:r>
      <w:r w:rsidRPr="00DC2FFD">
        <w:rPr>
          <w:sz w:val="24"/>
          <w:lang w:val="en-GB"/>
        </w:rPr>
        <w:lastRenderedPageBreak/>
        <w:t xml:space="preserve">the knowledge of Serbian for employed persons belonging to national minorities in local self-government units so they would actively use the language in their working environment, the possibility to learn Serbian is also provided for (levels B1, B2 and C1 of the Common European Framework of Reference for Languages). </w:t>
      </w:r>
    </w:p>
    <w:p w14:paraId="541C8D88" w14:textId="77777777" w:rsidR="00DC2FFD" w:rsidRPr="00DC2FFD" w:rsidRDefault="00DC2FFD" w:rsidP="00DC2FFD">
      <w:pPr>
        <w:spacing w:after="0"/>
        <w:ind w:firstLine="720"/>
        <w:jc w:val="both"/>
        <w:rPr>
          <w:sz w:val="24"/>
          <w:szCs w:val="24"/>
          <w:lang w:val="en-GB"/>
        </w:rPr>
      </w:pPr>
      <w:r w:rsidRPr="00DC2FFD">
        <w:rPr>
          <w:sz w:val="24"/>
          <w:lang w:val="en-GB"/>
        </w:rPr>
        <w:t>Also, in accordance with this law, local self-government units adopt special programmes for professional development, on the basis of a previously conducted analysis of needs for professional development, with a view to raising the level of knowledge and skills of employees in certain job positions or type of jobs from the original scope and purview of the local self-government units.</w:t>
      </w:r>
    </w:p>
    <w:p w14:paraId="666E8D7E" w14:textId="77777777" w:rsidR="00DC2FFD" w:rsidRPr="00DC2FFD" w:rsidRDefault="00DC2FFD" w:rsidP="00DC2FFD">
      <w:pPr>
        <w:spacing w:after="0"/>
        <w:ind w:firstLine="720"/>
        <w:jc w:val="both"/>
        <w:rPr>
          <w:sz w:val="24"/>
          <w:szCs w:val="24"/>
          <w:lang w:val="en-GB"/>
        </w:rPr>
      </w:pPr>
      <w:r w:rsidRPr="00DC2FFD">
        <w:rPr>
          <w:sz w:val="24"/>
          <w:lang w:val="en-GB"/>
        </w:rPr>
        <w:t xml:space="preserve">The 2021 General Training Programme for Civil Servants provides for the training in Rights of Persons Belonging to National Minorities. Also, the online training in Rights of persons belonging to minorities with an emphasis on the official use of languages and scripts of national minorities is available at the LMS platform of the Academy. In collaboration with OSCE, another advanced online training, which will also concern the official use of languages and scripts of national minorities, is under development.  </w:t>
      </w:r>
    </w:p>
    <w:p w14:paraId="3A371AFA" w14:textId="77777777" w:rsidR="00DC2FFD" w:rsidRPr="00DC2FFD" w:rsidRDefault="00DC2FFD" w:rsidP="00DC2FFD">
      <w:pPr>
        <w:spacing w:after="0"/>
        <w:ind w:firstLine="720"/>
        <w:jc w:val="both"/>
        <w:rPr>
          <w:sz w:val="24"/>
          <w:szCs w:val="24"/>
          <w:lang w:val="en-GB"/>
        </w:rPr>
      </w:pPr>
      <w:r w:rsidRPr="00DC2FFD">
        <w:rPr>
          <w:sz w:val="24"/>
          <w:lang w:val="en-GB"/>
        </w:rPr>
        <w:t>The 2021 General Training Programme for Employees in Local Self-Government Units, within its thematic area Development of language competences, provides for training in Hungarian and Albanian (levels A1, A2, B1, B2). The 2021 Sectoral Programme of continued professional development for Employees in Local Self-Government Units provides for the training Exercise of the rights of persons belonging to national minorities in local self-government units.</w:t>
      </w:r>
    </w:p>
    <w:p w14:paraId="656CEF9F" w14:textId="77777777" w:rsidR="00736E42" w:rsidRPr="00D62D04" w:rsidRDefault="00736E42" w:rsidP="00736E42">
      <w:pPr>
        <w:spacing w:after="0"/>
        <w:jc w:val="both"/>
        <w:rPr>
          <w:sz w:val="24"/>
          <w:szCs w:val="24"/>
          <w:lang w:val="en-GB"/>
        </w:rPr>
      </w:pPr>
    </w:p>
    <w:p w14:paraId="1F318C5E" w14:textId="77777777" w:rsidR="009C5E17" w:rsidRPr="00DC2FFD" w:rsidRDefault="009370A0" w:rsidP="00736E42">
      <w:pPr>
        <w:spacing w:after="0"/>
        <w:jc w:val="both"/>
        <w:rPr>
          <w:i/>
          <w:sz w:val="24"/>
          <w:szCs w:val="24"/>
          <w:lang w:val="en-GB"/>
        </w:rPr>
      </w:pPr>
      <w:r w:rsidRPr="00DC2FFD">
        <w:rPr>
          <w:i/>
          <w:sz w:val="24"/>
          <w:szCs w:val="24"/>
          <w:lang w:val="en-GB"/>
        </w:rPr>
        <w:t xml:space="preserve">Informing members of minorities, studies on the implementation of legal provisions and effective use of languages in official use </w:t>
      </w:r>
    </w:p>
    <w:p w14:paraId="4AE2B150" w14:textId="77777777" w:rsidR="009C5E17" w:rsidRPr="00D62D04" w:rsidRDefault="009C5E17" w:rsidP="00736E42">
      <w:pPr>
        <w:spacing w:after="0"/>
        <w:jc w:val="both"/>
        <w:rPr>
          <w:sz w:val="24"/>
          <w:szCs w:val="24"/>
          <w:highlight w:val="cyan"/>
          <w:lang w:val="en-GB"/>
        </w:rPr>
      </w:pPr>
    </w:p>
    <w:p w14:paraId="75B9289E" w14:textId="5A7DA7A2" w:rsidR="008D753F" w:rsidRPr="00D62D04" w:rsidRDefault="008D753F" w:rsidP="008D753F">
      <w:pPr>
        <w:spacing w:after="0"/>
        <w:ind w:firstLine="720"/>
        <w:jc w:val="both"/>
        <w:rPr>
          <w:sz w:val="24"/>
          <w:szCs w:val="24"/>
          <w:lang w:val="en-GB"/>
        </w:rPr>
      </w:pPr>
      <w:r w:rsidRPr="00D62D04">
        <w:rPr>
          <w:sz w:val="24"/>
          <w:szCs w:val="24"/>
          <w:lang w:val="en-GB"/>
        </w:rPr>
        <w:t xml:space="preserve">Informing members of national minorities about their right to use their minority language in communication with the state, provincial and local administration is carried out in different manners, most often through information boards and other notices for clients, through the websites of relevant authorities, organisations and services, as well as through information booklets on their work, which must be published on their websites. </w:t>
      </w:r>
      <w:r w:rsidR="006F5253" w:rsidRPr="00D62D04">
        <w:rPr>
          <w:sz w:val="24"/>
          <w:szCs w:val="24"/>
          <w:lang w:val="en-GB"/>
        </w:rPr>
        <w:t>In fact</w:t>
      </w:r>
      <w:r w:rsidRPr="00D62D04">
        <w:rPr>
          <w:sz w:val="24"/>
          <w:szCs w:val="24"/>
          <w:lang w:val="en-GB"/>
        </w:rPr>
        <w:t xml:space="preserve">, according to the Decree on </w:t>
      </w:r>
      <w:r w:rsidR="006F5253" w:rsidRPr="00D62D04">
        <w:rPr>
          <w:sz w:val="24"/>
          <w:szCs w:val="24"/>
          <w:lang w:val="en-GB"/>
        </w:rPr>
        <w:t>More Specific</w:t>
      </w:r>
      <w:r w:rsidRPr="00D62D04">
        <w:rPr>
          <w:sz w:val="24"/>
          <w:szCs w:val="24"/>
          <w:lang w:val="en-GB"/>
        </w:rPr>
        <w:t xml:space="preserve"> </w:t>
      </w:r>
      <w:r w:rsidR="006F5253" w:rsidRPr="00D62D04">
        <w:rPr>
          <w:sz w:val="24"/>
          <w:szCs w:val="24"/>
          <w:lang w:val="en-GB"/>
        </w:rPr>
        <w:t>Requirements</w:t>
      </w:r>
      <w:r w:rsidRPr="00D62D04">
        <w:rPr>
          <w:sz w:val="24"/>
          <w:szCs w:val="24"/>
          <w:lang w:val="en-GB"/>
        </w:rPr>
        <w:t xml:space="preserve"> for the </w:t>
      </w:r>
      <w:r w:rsidR="006F5253" w:rsidRPr="00D62D04">
        <w:rPr>
          <w:sz w:val="24"/>
          <w:szCs w:val="24"/>
          <w:lang w:val="en-GB"/>
        </w:rPr>
        <w:t>Development</w:t>
      </w:r>
      <w:r w:rsidRPr="00D62D04">
        <w:rPr>
          <w:sz w:val="24"/>
          <w:szCs w:val="24"/>
          <w:lang w:val="en-GB"/>
        </w:rPr>
        <w:t xml:space="preserve"> and </w:t>
      </w:r>
      <w:r w:rsidR="00210282" w:rsidRPr="00D62D04">
        <w:rPr>
          <w:sz w:val="24"/>
          <w:szCs w:val="24"/>
          <w:lang w:val="en-GB"/>
        </w:rPr>
        <w:t xml:space="preserve">Implementation of </w:t>
      </w:r>
      <w:r w:rsidRPr="00D62D04">
        <w:rPr>
          <w:sz w:val="24"/>
          <w:szCs w:val="24"/>
          <w:lang w:val="en-GB"/>
        </w:rPr>
        <w:t xml:space="preserve">the </w:t>
      </w:r>
      <w:r w:rsidR="006F5253" w:rsidRPr="00D62D04">
        <w:rPr>
          <w:sz w:val="24"/>
          <w:szCs w:val="24"/>
          <w:lang w:val="en-GB"/>
        </w:rPr>
        <w:t>W</w:t>
      </w:r>
      <w:r w:rsidRPr="00D62D04">
        <w:rPr>
          <w:sz w:val="24"/>
          <w:szCs w:val="24"/>
          <w:lang w:val="en-GB"/>
        </w:rPr>
        <w:t xml:space="preserve">eb </w:t>
      </w:r>
      <w:r w:rsidR="006F5253" w:rsidRPr="00D62D04">
        <w:rPr>
          <w:sz w:val="24"/>
          <w:szCs w:val="24"/>
          <w:lang w:val="en-GB"/>
        </w:rPr>
        <w:t>P</w:t>
      </w:r>
      <w:r w:rsidRPr="00D62D04">
        <w:rPr>
          <w:sz w:val="24"/>
          <w:szCs w:val="24"/>
          <w:lang w:val="en-GB"/>
        </w:rPr>
        <w:t xml:space="preserve">resentation of </w:t>
      </w:r>
      <w:r w:rsidR="000D2712" w:rsidRPr="00D62D04">
        <w:rPr>
          <w:sz w:val="24"/>
          <w:szCs w:val="24"/>
          <w:lang w:val="en-GB"/>
        </w:rPr>
        <w:t>A</w:t>
      </w:r>
      <w:r w:rsidRPr="00D62D04">
        <w:rPr>
          <w:sz w:val="24"/>
          <w:szCs w:val="24"/>
          <w:lang w:val="en-GB"/>
        </w:rPr>
        <w:t>uthorities</w:t>
      </w:r>
      <w:r w:rsidR="000D2712" w:rsidRPr="00D62D04">
        <w:rPr>
          <w:rStyle w:val="FootnoteReference"/>
          <w:sz w:val="24"/>
          <w:szCs w:val="24"/>
          <w:lang w:val="en-GB"/>
        </w:rPr>
        <w:footnoteReference w:id="60"/>
      </w:r>
      <w:r w:rsidRPr="00D62D04">
        <w:rPr>
          <w:sz w:val="24"/>
          <w:szCs w:val="24"/>
          <w:lang w:val="en-GB"/>
        </w:rPr>
        <w:t xml:space="preserve">, which regulates the </w:t>
      </w:r>
      <w:r w:rsidR="000D2712" w:rsidRPr="00D62D04">
        <w:rPr>
          <w:sz w:val="24"/>
          <w:szCs w:val="24"/>
          <w:lang w:val="en-GB"/>
        </w:rPr>
        <w:t xml:space="preserve">development and </w:t>
      </w:r>
      <w:r w:rsidR="00210282" w:rsidRPr="00D62D04">
        <w:rPr>
          <w:sz w:val="24"/>
          <w:szCs w:val="24"/>
          <w:lang w:val="en-GB"/>
        </w:rPr>
        <w:t xml:space="preserve">implementation of </w:t>
      </w:r>
      <w:r w:rsidRPr="00D62D04">
        <w:rPr>
          <w:sz w:val="24"/>
          <w:szCs w:val="24"/>
          <w:lang w:val="en-GB"/>
        </w:rPr>
        <w:t xml:space="preserve"> web presentations of state </w:t>
      </w:r>
      <w:r w:rsidR="00210282" w:rsidRPr="00D62D04">
        <w:rPr>
          <w:sz w:val="24"/>
          <w:szCs w:val="24"/>
          <w:lang w:val="en-GB"/>
        </w:rPr>
        <w:t>authorities</w:t>
      </w:r>
      <w:r w:rsidRPr="00D62D04">
        <w:rPr>
          <w:sz w:val="24"/>
          <w:szCs w:val="24"/>
          <w:lang w:val="en-GB"/>
        </w:rPr>
        <w:t xml:space="preserve"> and organi</w:t>
      </w:r>
      <w:r w:rsidR="00210282" w:rsidRPr="00D62D04">
        <w:rPr>
          <w:sz w:val="24"/>
          <w:szCs w:val="24"/>
          <w:lang w:val="en-GB"/>
        </w:rPr>
        <w:t>s</w:t>
      </w:r>
      <w:r w:rsidRPr="00D62D04">
        <w:rPr>
          <w:sz w:val="24"/>
          <w:szCs w:val="24"/>
          <w:lang w:val="en-GB"/>
        </w:rPr>
        <w:t>ations, bodies and organi</w:t>
      </w:r>
      <w:r w:rsidR="00210282" w:rsidRPr="00D62D04">
        <w:rPr>
          <w:sz w:val="24"/>
          <w:szCs w:val="24"/>
          <w:lang w:val="en-GB"/>
        </w:rPr>
        <w:t>s</w:t>
      </w:r>
      <w:r w:rsidRPr="00D62D04">
        <w:rPr>
          <w:sz w:val="24"/>
          <w:szCs w:val="24"/>
          <w:lang w:val="en-GB"/>
        </w:rPr>
        <w:t>ations of provincial autonomy, bodies and organi</w:t>
      </w:r>
      <w:r w:rsidR="00210282" w:rsidRPr="00D62D04">
        <w:rPr>
          <w:sz w:val="24"/>
          <w:szCs w:val="24"/>
          <w:lang w:val="en-GB"/>
        </w:rPr>
        <w:t>s</w:t>
      </w:r>
      <w:r w:rsidRPr="00D62D04">
        <w:rPr>
          <w:sz w:val="24"/>
          <w:szCs w:val="24"/>
          <w:lang w:val="en-GB"/>
        </w:rPr>
        <w:t xml:space="preserve">ations of local self-government units, institutions, public companies, special bodies </w:t>
      </w:r>
      <w:r w:rsidR="00210282" w:rsidRPr="00D62D04">
        <w:rPr>
          <w:sz w:val="24"/>
          <w:szCs w:val="24"/>
          <w:lang w:val="en-GB"/>
        </w:rPr>
        <w:t>performing</w:t>
      </w:r>
      <w:r w:rsidRPr="00D62D04">
        <w:rPr>
          <w:sz w:val="24"/>
          <w:szCs w:val="24"/>
          <w:lang w:val="en-GB"/>
        </w:rPr>
        <w:t xml:space="preserve"> the regulatory function </w:t>
      </w:r>
      <w:r w:rsidR="00E71F70" w:rsidRPr="00D62D04">
        <w:rPr>
          <w:sz w:val="24"/>
          <w:szCs w:val="24"/>
          <w:lang w:val="en-GB"/>
        </w:rPr>
        <w:t>and</w:t>
      </w:r>
      <w:r w:rsidRPr="00D62D04">
        <w:rPr>
          <w:sz w:val="24"/>
          <w:szCs w:val="24"/>
          <w:lang w:val="en-GB"/>
        </w:rPr>
        <w:t xml:space="preserve"> legal and natural </w:t>
      </w:r>
      <w:r w:rsidR="00E71F70" w:rsidRPr="00D62D04">
        <w:rPr>
          <w:sz w:val="24"/>
          <w:szCs w:val="24"/>
          <w:lang w:val="en-GB"/>
        </w:rPr>
        <w:t>entities entrusted with public powers.</w:t>
      </w:r>
      <w:r w:rsidRPr="00D62D04">
        <w:rPr>
          <w:sz w:val="24"/>
          <w:szCs w:val="24"/>
          <w:lang w:val="en-GB"/>
        </w:rPr>
        <w:t xml:space="preserve"> </w:t>
      </w:r>
      <w:r w:rsidR="00E71F70" w:rsidRPr="00D62D04">
        <w:rPr>
          <w:sz w:val="24"/>
          <w:szCs w:val="24"/>
          <w:lang w:val="en-GB"/>
        </w:rPr>
        <w:t>T</w:t>
      </w:r>
      <w:r w:rsidRPr="00D62D04">
        <w:rPr>
          <w:sz w:val="24"/>
          <w:szCs w:val="24"/>
          <w:lang w:val="en-GB"/>
        </w:rPr>
        <w:t xml:space="preserve">he aforementioned entities are obliged to create a web presentation in the language and script that are in </w:t>
      </w:r>
      <w:r w:rsidR="00B32265" w:rsidRPr="00D62D04">
        <w:rPr>
          <w:sz w:val="24"/>
          <w:szCs w:val="24"/>
          <w:lang w:val="en-GB"/>
        </w:rPr>
        <w:t xml:space="preserve">the </w:t>
      </w:r>
      <w:r w:rsidRPr="00D62D04">
        <w:rPr>
          <w:sz w:val="24"/>
          <w:szCs w:val="24"/>
          <w:lang w:val="en-GB"/>
        </w:rPr>
        <w:t xml:space="preserve">official use in accordance with the regulation governing the official use of languages and scripts. Also, according to the Instructions for the </w:t>
      </w:r>
      <w:r w:rsidR="00B32265" w:rsidRPr="00D62D04">
        <w:rPr>
          <w:sz w:val="24"/>
          <w:szCs w:val="24"/>
          <w:lang w:val="en-GB"/>
        </w:rPr>
        <w:t>P</w:t>
      </w:r>
      <w:r w:rsidRPr="00D62D04">
        <w:rPr>
          <w:sz w:val="24"/>
          <w:szCs w:val="24"/>
          <w:lang w:val="en-GB"/>
        </w:rPr>
        <w:t xml:space="preserve">reparation and </w:t>
      </w:r>
      <w:r w:rsidR="00B32265" w:rsidRPr="00D62D04">
        <w:rPr>
          <w:sz w:val="24"/>
          <w:szCs w:val="24"/>
          <w:lang w:val="en-GB"/>
        </w:rPr>
        <w:t>P</w:t>
      </w:r>
      <w:r w:rsidRPr="00D62D04">
        <w:rPr>
          <w:sz w:val="24"/>
          <w:szCs w:val="24"/>
          <w:lang w:val="en-GB"/>
        </w:rPr>
        <w:t xml:space="preserve">ublication of </w:t>
      </w:r>
      <w:r w:rsidR="00B32265" w:rsidRPr="00D62D04">
        <w:rPr>
          <w:sz w:val="24"/>
          <w:szCs w:val="24"/>
          <w:lang w:val="en-GB"/>
        </w:rPr>
        <w:t>Information Booklets</w:t>
      </w:r>
      <w:r w:rsidRPr="00D62D04">
        <w:rPr>
          <w:sz w:val="24"/>
          <w:szCs w:val="24"/>
          <w:lang w:val="en-GB"/>
        </w:rPr>
        <w:t xml:space="preserve"> on </w:t>
      </w:r>
      <w:r w:rsidR="00B32265" w:rsidRPr="00D62D04">
        <w:rPr>
          <w:sz w:val="24"/>
          <w:szCs w:val="24"/>
          <w:lang w:val="en-GB"/>
        </w:rPr>
        <w:t>W</w:t>
      </w:r>
      <w:r w:rsidRPr="00D62D04">
        <w:rPr>
          <w:sz w:val="24"/>
          <w:szCs w:val="24"/>
          <w:lang w:val="en-GB"/>
        </w:rPr>
        <w:t>ork</w:t>
      </w:r>
      <w:r w:rsidR="00B32265" w:rsidRPr="00D62D04">
        <w:rPr>
          <w:rStyle w:val="FootnoteReference"/>
          <w:sz w:val="24"/>
          <w:szCs w:val="24"/>
          <w:lang w:val="en-GB"/>
        </w:rPr>
        <w:footnoteReference w:id="61"/>
      </w:r>
      <w:r w:rsidR="00B32265" w:rsidRPr="00D62D04">
        <w:rPr>
          <w:sz w:val="24"/>
          <w:szCs w:val="24"/>
          <w:lang w:val="en-GB"/>
        </w:rPr>
        <w:t xml:space="preserve"> pertaining</w:t>
      </w:r>
      <w:r w:rsidRPr="00D62D04">
        <w:rPr>
          <w:sz w:val="24"/>
          <w:szCs w:val="24"/>
          <w:lang w:val="en-GB"/>
        </w:rPr>
        <w:t xml:space="preserve"> to state </w:t>
      </w:r>
      <w:r w:rsidR="00B32265" w:rsidRPr="00D62D04">
        <w:rPr>
          <w:sz w:val="24"/>
          <w:szCs w:val="24"/>
          <w:lang w:val="en-GB"/>
        </w:rPr>
        <w:t>authorities</w:t>
      </w:r>
      <w:r w:rsidRPr="00D62D04">
        <w:rPr>
          <w:sz w:val="24"/>
          <w:szCs w:val="24"/>
          <w:lang w:val="en-GB"/>
        </w:rPr>
        <w:t>, bodies of territorial autonomy, local self-government bodies and organi</w:t>
      </w:r>
      <w:r w:rsidR="00B32265" w:rsidRPr="00D62D04">
        <w:rPr>
          <w:sz w:val="24"/>
          <w:szCs w:val="24"/>
          <w:lang w:val="en-GB"/>
        </w:rPr>
        <w:t>s</w:t>
      </w:r>
      <w:r w:rsidRPr="00D62D04">
        <w:rPr>
          <w:sz w:val="24"/>
          <w:szCs w:val="24"/>
          <w:lang w:val="en-GB"/>
        </w:rPr>
        <w:t xml:space="preserve">ations entrusted with the exercise of public powers, the aforementioned entities </w:t>
      </w:r>
      <w:r w:rsidR="00B32265" w:rsidRPr="00D62D04">
        <w:rPr>
          <w:sz w:val="24"/>
          <w:szCs w:val="24"/>
          <w:lang w:val="en-GB"/>
        </w:rPr>
        <w:t xml:space="preserve">shall </w:t>
      </w:r>
      <w:r w:rsidRPr="00D62D04">
        <w:rPr>
          <w:sz w:val="24"/>
          <w:szCs w:val="24"/>
          <w:lang w:val="en-GB"/>
        </w:rPr>
        <w:lastRenderedPageBreak/>
        <w:t>prepare informa</w:t>
      </w:r>
      <w:r w:rsidR="00B32265" w:rsidRPr="00D62D04">
        <w:rPr>
          <w:sz w:val="24"/>
          <w:szCs w:val="24"/>
          <w:lang w:val="en-GB"/>
        </w:rPr>
        <w:t xml:space="preserve">tion booklets </w:t>
      </w:r>
      <w:r w:rsidRPr="00D62D04">
        <w:rPr>
          <w:sz w:val="24"/>
          <w:szCs w:val="24"/>
          <w:lang w:val="en-GB"/>
        </w:rPr>
        <w:t xml:space="preserve">in the languages of national minorities that are in official use in the territory that includes their </w:t>
      </w:r>
      <w:r w:rsidR="00B32265" w:rsidRPr="00D62D04">
        <w:rPr>
          <w:sz w:val="24"/>
          <w:szCs w:val="24"/>
          <w:lang w:val="en-GB"/>
        </w:rPr>
        <w:t>seat</w:t>
      </w:r>
      <w:r w:rsidRPr="00D62D04">
        <w:rPr>
          <w:sz w:val="24"/>
          <w:szCs w:val="24"/>
          <w:lang w:val="en-GB"/>
        </w:rPr>
        <w:t xml:space="preserve">. The information </w:t>
      </w:r>
      <w:r w:rsidR="006517E0" w:rsidRPr="00D62D04">
        <w:rPr>
          <w:sz w:val="24"/>
          <w:szCs w:val="24"/>
          <w:lang w:val="en-GB"/>
        </w:rPr>
        <w:t>booklet</w:t>
      </w:r>
      <w:r w:rsidRPr="00D62D04">
        <w:rPr>
          <w:sz w:val="24"/>
          <w:szCs w:val="24"/>
          <w:lang w:val="en-GB"/>
        </w:rPr>
        <w:t xml:space="preserve"> in the language of the national minority </w:t>
      </w:r>
      <w:r w:rsidR="007444B5" w:rsidRPr="00D62D04">
        <w:rPr>
          <w:sz w:val="24"/>
          <w:szCs w:val="24"/>
          <w:lang w:val="en-GB"/>
        </w:rPr>
        <w:t>shall be</w:t>
      </w:r>
      <w:r w:rsidRPr="00D62D04">
        <w:rPr>
          <w:sz w:val="24"/>
          <w:szCs w:val="24"/>
          <w:lang w:val="en-GB"/>
        </w:rPr>
        <w:t xml:space="preserve"> published </w:t>
      </w:r>
      <w:r w:rsidR="007444B5" w:rsidRPr="00D62D04">
        <w:rPr>
          <w:sz w:val="24"/>
          <w:szCs w:val="24"/>
          <w:lang w:val="en-GB"/>
        </w:rPr>
        <w:t>i</w:t>
      </w:r>
      <w:r w:rsidRPr="00D62D04">
        <w:rPr>
          <w:sz w:val="24"/>
          <w:szCs w:val="24"/>
          <w:lang w:val="en-GB"/>
        </w:rPr>
        <w:t>n the version of the web-presentation that was created in the language of that national minority. If there is no version of the web-presentation in the language of the national minority, the informa</w:t>
      </w:r>
      <w:r w:rsidR="007444B5" w:rsidRPr="00D62D04">
        <w:rPr>
          <w:sz w:val="24"/>
          <w:szCs w:val="24"/>
          <w:lang w:val="en-GB"/>
        </w:rPr>
        <w:t>tion booklet</w:t>
      </w:r>
      <w:r w:rsidRPr="00D62D04">
        <w:rPr>
          <w:sz w:val="24"/>
          <w:szCs w:val="24"/>
          <w:lang w:val="en-GB"/>
        </w:rPr>
        <w:t xml:space="preserve"> prepared in the language of the national minority </w:t>
      </w:r>
      <w:r w:rsidR="007444B5" w:rsidRPr="00D62D04">
        <w:rPr>
          <w:sz w:val="24"/>
          <w:szCs w:val="24"/>
          <w:lang w:val="en-GB"/>
        </w:rPr>
        <w:t>shall be</w:t>
      </w:r>
      <w:r w:rsidRPr="00D62D04">
        <w:rPr>
          <w:sz w:val="24"/>
          <w:szCs w:val="24"/>
          <w:lang w:val="en-GB"/>
        </w:rPr>
        <w:t xml:space="preserve"> published </w:t>
      </w:r>
      <w:r w:rsidR="007444B5" w:rsidRPr="00D62D04">
        <w:rPr>
          <w:sz w:val="24"/>
          <w:szCs w:val="24"/>
          <w:lang w:val="en-GB"/>
        </w:rPr>
        <w:t>i</w:t>
      </w:r>
      <w:r w:rsidRPr="00D62D04">
        <w:rPr>
          <w:sz w:val="24"/>
          <w:szCs w:val="24"/>
          <w:lang w:val="en-GB"/>
        </w:rPr>
        <w:t>n the Serbian version of the web-presentation.</w:t>
      </w:r>
    </w:p>
    <w:p w14:paraId="5B583E71" w14:textId="03E728F3" w:rsidR="00820D20" w:rsidRPr="00D62D04" w:rsidRDefault="00820D20" w:rsidP="00B46F8C">
      <w:pPr>
        <w:spacing w:after="0"/>
        <w:ind w:firstLine="720"/>
        <w:jc w:val="both"/>
        <w:rPr>
          <w:sz w:val="24"/>
          <w:szCs w:val="24"/>
          <w:lang w:val="en-GB"/>
        </w:rPr>
      </w:pPr>
      <w:r w:rsidRPr="00D62D04">
        <w:rPr>
          <w:sz w:val="24"/>
          <w:szCs w:val="24"/>
          <w:lang w:val="en-GB"/>
        </w:rPr>
        <w:t xml:space="preserve">In the reporting period, several studies were conducted on the implementation of legal provisions on the right of members of national minorities to use their minority language in communication with the public, provincial and local administration. As part of the "Strengthening the Protection of National Minorities in Serbia" project, which is </w:t>
      </w:r>
      <w:r w:rsidR="004976AD" w:rsidRPr="00D62D04">
        <w:rPr>
          <w:sz w:val="24"/>
          <w:szCs w:val="24"/>
          <w:lang w:val="en-GB"/>
        </w:rPr>
        <w:t xml:space="preserve">a </w:t>
      </w:r>
      <w:r w:rsidRPr="00D62D04">
        <w:rPr>
          <w:sz w:val="24"/>
          <w:szCs w:val="24"/>
          <w:lang w:val="en-GB"/>
        </w:rPr>
        <w:t>part of the joint program</w:t>
      </w:r>
      <w:r w:rsidR="004976AD" w:rsidRPr="00D62D04">
        <w:rPr>
          <w:sz w:val="24"/>
          <w:szCs w:val="24"/>
          <w:lang w:val="en-GB"/>
        </w:rPr>
        <w:t>me</w:t>
      </w:r>
      <w:r w:rsidRPr="00D62D04">
        <w:rPr>
          <w:sz w:val="24"/>
          <w:szCs w:val="24"/>
          <w:lang w:val="en-GB"/>
        </w:rPr>
        <w:t xml:space="preserve"> of the European Union/Council of Europe </w:t>
      </w:r>
      <w:r w:rsidR="004976AD" w:rsidRPr="00D62D04">
        <w:rPr>
          <w:sz w:val="24"/>
          <w:szCs w:val="24"/>
          <w:lang w:val="en-GB"/>
        </w:rPr>
        <w:t xml:space="preserve">entitled </w:t>
      </w:r>
      <w:r w:rsidRPr="00D62D04">
        <w:rPr>
          <w:sz w:val="24"/>
          <w:szCs w:val="24"/>
          <w:lang w:val="en-GB"/>
        </w:rPr>
        <w:t xml:space="preserve">"Horizontal Facility for the Western Balkans and Turkey", implemented in the period from 2016 to 2018, an independent consultant issued </w:t>
      </w:r>
      <w:r w:rsidR="004976AD" w:rsidRPr="00D62D04">
        <w:rPr>
          <w:sz w:val="24"/>
          <w:szCs w:val="24"/>
          <w:lang w:val="en-GB"/>
        </w:rPr>
        <w:t xml:space="preserve">the </w:t>
      </w:r>
      <w:r w:rsidRPr="00D62D04">
        <w:rPr>
          <w:sz w:val="24"/>
          <w:szCs w:val="24"/>
          <w:lang w:val="en-GB"/>
        </w:rPr>
        <w:t xml:space="preserve">" Report on the </w:t>
      </w:r>
      <w:r w:rsidR="004976AD" w:rsidRPr="00D62D04">
        <w:rPr>
          <w:sz w:val="24"/>
          <w:szCs w:val="24"/>
          <w:lang w:val="en-GB"/>
        </w:rPr>
        <w:t>U</w:t>
      </w:r>
      <w:r w:rsidRPr="00D62D04">
        <w:rPr>
          <w:sz w:val="24"/>
          <w:szCs w:val="24"/>
          <w:lang w:val="en-GB"/>
        </w:rPr>
        <w:t xml:space="preserve">se of </w:t>
      </w:r>
      <w:r w:rsidR="004976AD" w:rsidRPr="00D62D04">
        <w:rPr>
          <w:sz w:val="24"/>
          <w:szCs w:val="24"/>
          <w:lang w:val="en-GB"/>
        </w:rPr>
        <w:t>L</w:t>
      </w:r>
      <w:r w:rsidRPr="00D62D04">
        <w:rPr>
          <w:sz w:val="24"/>
          <w:szCs w:val="24"/>
          <w:lang w:val="en-GB"/>
        </w:rPr>
        <w:t xml:space="preserve">anguages of </w:t>
      </w:r>
      <w:r w:rsidR="004976AD" w:rsidRPr="00D62D04">
        <w:rPr>
          <w:sz w:val="24"/>
          <w:szCs w:val="24"/>
          <w:lang w:val="en-GB"/>
        </w:rPr>
        <w:t>N</w:t>
      </w:r>
      <w:r w:rsidRPr="00D62D04">
        <w:rPr>
          <w:sz w:val="24"/>
          <w:szCs w:val="24"/>
          <w:lang w:val="en-GB"/>
        </w:rPr>
        <w:t xml:space="preserve">ational </w:t>
      </w:r>
      <w:r w:rsidR="004976AD" w:rsidRPr="00D62D04">
        <w:rPr>
          <w:sz w:val="24"/>
          <w:szCs w:val="24"/>
          <w:lang w:val="en-GB"/>
        </w:rPr>
        <w:t>M</w:t>
      </w:r>
      <w:r w:rsidRPr="00D62D04">
        <w:rPr>
          <w:sz w:val="24"/>
          <w:szCs w:val="24"/>
          <w:lang w:val="en-GB"/>
        </w:rPr>
        <w:t xml:space="preserve">inorities in </w:t>
      </w:r>
      <w:r w:rsidR="00860EF0" w:rsidRPr="00D62D04">
        <w:rPr>
          <w:sz w:val="24"/>
          <w:szCs w:val="24"/>
          <w:lang w:val="en-GB"/>
        </w:rPr>
        <w:t>Communication</w:t>
      </w:r>
      <w:r w:rsidRPr="00D62D04">
        <w:rPr>
          <w:sz w:val="24"/>
          <w:szCs w:val="24"/>
          <w:lang w:val="en-GB"/>
        </w:rPr>
        <w:t xml:space="preserve"> with </w:t>
      </w:r>
      <w:r w:rsidR="004976AD" w:rsidRPr="00D62D04">
        <w:rPr>
          <w:sz w:val="24"/>
          <w:szCs w:val="24"/>
          <w:lang w:val="en-GB"/>
        </w:rPr>
        <w:t>S</w:t>
      </w:r>
      <w:r w:rsidRPr="00D62D04">
        <w:rPr>
          <w:sz w:val="24"/>
          <w:szCs w:val="24"/>
          <w:lang w:val="en-GB"/>
        </w:rPr>
        <w:t xml:space="preserve">tate </w:t>
      </w:r>
      <w:r w:rsidR="004976AD" w:rsidRPr="00D62D04">
        <w:rPr>
          <w:sz w:val="24"/>
          <w:szCs w:val="24"/>
          <w:lang w:val="en-GB"/>
        </w:rPr>
        <w:t>A</w:t>
      </w:r>
      <w:r w:rsidRPr="00D62D04">
        <w:rPr>
          <w:sz w:val="24"/>
          <w:szCs w:val="24"/>
          <w:lang w:val="en-GB"/>
        </w:rPr>
        <w:t xml:space="preserve">uthorities". This report states that the </w:t>
      </w:r>
      <w:r w:rsidRPr="00D62D04">
        <w:rPr>
          <w:i/>
          <w:sz w:val="24"/>
          <w:szCs w:val="24"/>
          <w:lang w:val="en-GB"/>
        </w:rPr>
        <w:t>analysis and previous pr</w:t>
      </w:r>
      <w:r w:rsidR="004976AD" w:rsidRPr="00D62D04">
        <w:rPr>
          <w:i/>
          <w:sz w:val="24"/>
          <w:szCs w:val="24"/>
          <w:lang w:val="en-GB"/>
        </w:rPr>
        <w:t>ofessional and supervisory work activities</w:t>
      </w:r>
      <w:r w:rsidRPr="00D62D04">
        <w:rPr>
          <w:i/>
          <w:sz w:val="24"/>
          <w:szCs w:val="24"/>
          <w:lang w:val="en-GB"/>
        </w:rPr>
        <w:t xml:space="preserve"> lead to the conclusion that the Serbian legal framework in </w:t>
      </w:r>
      <w:r w:rsidR="004976AD" w:rsidRPr="00D62D04">
        <w:rPr>
          <w:i/>
          <w:sz w:val="24"/>
          <w:szCs w:val="24"/>
          <w:lang w:val="en-GB"/>
        </w:rPr>
        <w:t xml:space="preserve">terms of </w:t>
      </w:r>
      <w:r w:rsidRPr="00D62D04">
        <w:rPr>
          <w:i/>
          <w:sz w:val="24"/>
          <w:szCs w:val="24"/>
          <w:lang w:val="en-GB"/>
        </w:rPr>
        <w:t xml:space="preserve">minority rights in general, and in particular in </w:t>
      </w:r>
      <w:r w:rsidR="004976AD" w:rsidRPr="00D62D04">
        <w:rPr>
          <w:i/>
          <w:sz w:val="24"/>
          <w:szCs w:val="24"/>
          <w:lang w:val="en-GB"/>
        </w:rPr>
        <w:t>terms of</w:t>
      </w:r>
      <w:r w:rsidRPr="00D62D04">
        <w:rPr>
          <w:i/>
          <w:sz w:val="24"/>
          <w:szCs w:val="24"/>
          <w:lang w:val="en-GB"/>
        </w:rPr>
        <w:t xml:space="preserve"> the use of the language of national minorities in dealings with the administration, is quite advanced, complex and demanding</w:t>
      </w:r>
      <w:r w:rsidRPr="00D62D04">
        <w:rPr>
          <w:sz w:val="24"/>
          <w:szCs w:val="24"/>
          <w:lang w:val="en-GB"/>
        </w:rPr>
        <w:t xml:space="preserve">, but also states that there is a lot of room for improvement. Based on the recommendations from the aforementioned report and the adopted amended legislative framework, the Ministry of </w:t>
      </w:r>
      <w:r w:rsidR="004976AD" w:rsidRPr="00D62D04">
        <w:rPr>
          <w:sz w:val="24"/>
          <w:szCs w:val="24"/>
          <w:lang w:val="en-GB"/>
        </w:rPr>
        <w:t>Public</w:t>
      </w:r>
      <w:r w:rsidRPr="00D62D04">
        <w:rPr>
          <w:sz w:val="24"/>
          <w:szCs w:val="24"/>
          <w:lang w:val="en-GB"/>
        </w:rPr>
        <w:t xml:space="preserve"> Administration and Local Self-Government sent a</w:t>
      </w:r>
      <w:r w:rsidR="004976AD" w:rsidRPr="00D62D04">
        <w:rPr>
          <w:sz w:val="24"/>
          <w:szCs w:val="24"/>
          <w:lang w:val="en-GB"/>
        </w:rPr>
        <w:t>n official</w:t>
      </w:r>
      <w:r w:rsidRPr="00D62D04">
        <w:rPr>
          <w:sz w:val="24"/>
          <w:szCs w:val="24"/>
          <w:lang w:val="en-GB"/>
        </w:rPr>
        <w:t xml:space="preserve"> letter to the local self-government units with a proposal for measures that they could take to make minority languages more visible and more widely used.</w:t>
      </w:r>
    </w:p>
    <w:p w14:paraId="6360576E" w14:textId="77777777" w:rsidR="00860EF0" w:rsidRPr="00D62D04" w:rsidRDefault="00860EF0" w:rsidP="00B46F8C">
      <w:pPr>
        <w:spacing w:after="0"/>
        <w:ind w:firstLine="720"/>
        <w:jc w:val="both"/>
        <w:rPr>
          <w:sz w:val="24"/>
          <w:szCs w:val="24"/>
          <w:lang w:val="en-GB"/>
        </w:rPr>
      </w:pPr>
      <w:r w:rsidRPr="00D62D04">
        <w:rPr>
          <w:sz w:val="24"/>
          <w:szCs w:val="24"/>
          <w:lang w:val="en-GB"/>
        </w:rPr>
        <w:t xml:space="preserve">Within the same project, "Analysis of the Normative Framework on the Use of Languages of National Minorities in Communication with State Authorities" was prepared. In addition, in order to present the news </w:t>
      </w:r>
      <w:r w:rsidR="00311C3D" w:rsidRPr="00D62D04">
        <w:rPr>
          <w:sz w:val="24"/>
          <w:szCs w:val="24"/>
          <w:lang w:val="en-GB"/>
        </w:rPr>
        <w:t>regarding</w:t>
      </w:r>
      <w:r w:rsidRPr="00D62D04">
        <w:rPr>
          <w:sz w:val="24"/>
          <w:szCs w:val="24"/>
          <w:lang w:val="en-GB"/>
        </w:rPr>
        <w:t xml:space="preserve"> the official use of minority languages and scripts in </w:t>
      </w:r>
      <w:r w:rsidR="00311C3D" w:rsidRPr="00D62D04">
        <w:rPr>
          <w:sz w:val="24"/>
          <w:szCs w:val="24"/>
          <w:lang w:val="en-GB"/>
        </w:rPr>
        <w:t xml:space="preserve">the </w:t>
      </w:r>
      <w:r w:rsidRPr="00D62D04">
        <w:rPr>
          <w:sz w:val="24"/>
          <w:szCs w:val="24"/>
          <w:lang w:val="en-GB"/>
        </w:rPr>
        <w:t>light of amendments to the legal regime that were adopted in 2018, round tables were organi</w:t>
      </w:r>
      <w:r w:rsidR="00311C3D" w:rsidRPr="00D62D04">
        <w:rPr>
          <w:sz w:val="24"/>
          <w:szCs w:val="24"/>
          <w:lang w:val="en-GB"/>
        </w:rPr>
        <w:t>s</w:t>
      </w:r>
      <w:r w:rsidRPr="00D62D04">
        <w:rPr>
          <w:sz w:val="24"/>
          <w:szCs w:val="24"/>
          <w:lang w:val="en-GB"/>
        </w:rPr>
        <w:t>ed within the project, in cooperation with five municipalities</w:t>
      </w:r>
      <w:r w:rsidR="00311C3D" w:rsidRPr="00D62D04">
        <w:rPr>
          <w:sz w:val="24"/>
          <w:szCs w:val="24"/>
          <w:lang w:val="en-GB"/>
        </w:rPr>
        <w:t xml:space="preserve"> (</w:t>
      </w:r>
      <w:proofErr w:type="spellStart"/>
      <w:r w:rsidR="00311C3D" w:rsidRPr="00D62D04">
        <w:rPr>
          <w:sz w:val="24"/>
          <w:szCs w:val="24"/>
          <w:lang w:val="en-GB"/>
        </w:rPr>
        <w:t>Bosilegrad</w:t>
      </w:r>
      <w:proofErr w:type="spellEnd"/>
      <w:r w:rsidR="00311C3D" w:rsidRPr="00D62D04">
        <w:rPr>
          <w:sz w:val="24"/>
          <w:szCs w:val="24"/>
          <w:lang w:val="en-GB"/>
        </w:rPr>
        <w:t xml:space="preserve">, </w:t>
      </w:r>
      <w:proofErr w:type="spellStart"/>
      <w:r w:rsidR="00311C3D" w:rsidRPr="00D62D04">
        <w:rPr>
          <w:sz w:val="24"/>
          <w:szCs w:val="24"/>
          <w:lang w:val="en-GB"/>
        </w:rPr>
        <w:t>Bujanovac</w:t>
      </w:r>
      <w:proofErr w:type="spellEnd"/>
      <w:r w:rsidR="00311C3D" w:rsidRPr="00D62D04">
        <w:rPr>
          <w:sz w:val="24"/>
          <w:szCs w:val="24"/>
          <w:lang w:val="en-GB"/>
        </w:rPr>
        <w:t xml:space="preserve">, </w:t>
      </w:r>
      <w:proofErr w:type="spellStart"/>
      <w:r w:rsidR="00311C3D" w:rsidRPr="00D62D04">
        <w:rPr>
          <w:sz w:val="24"/>
          <w:szCs w:val="24"/>
          <w:lang w:val="en-GB"/>
        </w:rPr>
        <w:t>Vranje</w:t>
      </w:r>
      <w:proofErr w:type="spellEnd"/>
      <w:r w:rsidRPr="00D62D04">
        <w:rPr>
          <w:sz w:val="24"/>
          <w:szCs w:val="24"/>
          <w:lang w:val="en-GB"/>
        </w:rPr>
        <w:t xml:space="preserve">, </w:t>
      </w:r>
      <w:proofErr w:type="spellStart"/>
      <w:r w:rsidRPr="00D62D04">
        <w:rPr>
          <w:sz w:val="24"/>
          <w:szCs w:val="24"/>
          <w:lang w:val="en-GB"/>
        </w:rPr>
        <w:t>Medveđa</w:t>
      </w:r>
      <w:proofErr w:type="spellEnd"/>
      <w:r w:rsidRPr="00D62D04">
        <w:rPr>
          <w:sz w:val="24"/>
          <w:szCs w:val="24"/>
          <w:lang w:val="en-GB"/>
        </w:rPr>
        <w:t xml:space="preserve"> and </w:t>
      </w:r>
      <w:proofErr w:type="spellStart"/>
      <w:r w:rsidRPr="00D62D04">
        <w:rPr>
          <w:sz w:val="24"/>
          <w:szCs w:val="24"/>
          <w:lang w:val="en-GB"/>
        </w:rPr>
        <w:t>Sombor</w:t>
      </w:r>
      <w:proofErr w:type="spellEnd"/>
      <w:r w:rsidRPr="00D62D04">
        <w:rPr>
          <w:sz w:val="24"/>
          <w:szCs w:val="24"/>
          <w:lang w:val="en-GB"/>
        </w:rPr>
        <w:t>), with the participation of representatives of city/municipal administrations, councils for inter-ethnic relations, national councils of national minorities and the non-governmental sector.</w:t>
      </w:r>
    </w:p>
    <w:p w14:paraId="020703C3" w14:textId="6D219174" w:rsidR="00B000DC" w:rsidRPr="00D62D04" w:rsidRDefault="00B000DC" w:rsidP="00B46F8C">
      <w:pPr>
        <w:spacing w:after="0"/>
        <w:ind w:firstLine="720"/>
        <w:jc w:val="both"/>
        <w:rPr>
          <w:sz w:val="24"/>
          <w:szCs w:val="24"/>
          <w:lang w:val="en-GB"/>
        </w:rPr>
      </w:pPr>
      <w:r w:rsidRPr="00D62D04">
        <w:rPr>
          <w:sz w:val="24"/>
          <w:szCs w:val="24"/>
          <w:lang w:val="en-GB"/>
        </w:rPr>
        <w:t>The joint publication/handbook entitled "Introduction to Exercising the Right to the Official Use of Languages and Scripts of National Minorities"</w:t>
      </w:r>
      <w:r w:rsidR="006A6C4F" w:rsidRPr="00D62D04">
        <w:rPr>
          <w:rStyle w:val="FootnoteReference"/>
          <w:sz w:val="24"/>
          <w:szCs w:val="24"/>
          <w:lang w:val="en-GB"/>
        </w:rPr>
        <w:footnoteReference w:id="62"/>
      </w:r>
      <w:r w:rsidRPr="00D62D04">
        <w:rPr>
          <w:sz w:val="24"/>
          <w:szCs w:val="24"/>
          <w:lang w:val="en-GB"/>
        </w:rPr>
        <w:t xml:space="preserve"> prepared by the Ministry of Public Administration and Local Self-Government, the </w:t>
      </w:r>
      <w:r w:rsidR="006A6C4F" w:rsidRPr="00D62D04">
        <w:rPr>
          <w:sz w:val="24"/>
          <w:szCs w:val="24"/>
          <w:lang w:val="en-GB"/>
        </w:rPr>
        <w:t xml:space="preserve">National </w:t>
      </w:r>
      <w:r w:rsidRPr="00D62D04">
        <w:rPr>
          <w:sz w:val="24"/>
          <w:szCs w:val="24"/>
          <w:lang w:val="en-GB"/>
        </w:rPr>
        <w:t>Secretariat for Legislation, the Protector of Citizens and the Council of Europe was presented at the round tables. The publication is intended for employees in local self-government</w:t>
      </w:r>
      <w:r w:rsidR="006A6C4F" w:rsidRPr="00D62D04">
        <w:rPr>
          <w:sz w:val="24"/>
          <w:szCs w:val="24"/>
          <w:lang w:val="en-GB"/>
        </w:rPr>
        <w:t xml:space="preserve"> unit</w:t>
      </w:r>
      <w:r w:rsidRPr="00D62D04">
        <w:rPr>
          <w:sz w:val="24"/>
          <w:szCs w:val="24"/>
          <w:lang w:val="en-GB"/>
        </w:rPr>
        <w:t xml:space="preserve">s and </w:t>
      </w:r>
      <w:r w:rsidR="006A6C4F" w:rsidRPr="00D62D04">
        <w:rPr>
          <w:sz w:val="24"/>
          <w:szCs w:val="24"/>
          <w:lang w:val="en-GB"/>
        </w:rPr>
        <w:t>it gives overview of the</w:t>
      </w:r>
      <w:r w:rsidRPr="00D62D04">
        <w:rPr>
          <w:sz w:val="24"/>
          <w:szCs w:val="24"/>
          <w:lang w:val="en-GB"/>
        </w:rPr>
        <w:t xml:space="preserve"> legal </w:t>
      </w:r>
      <w:r w:rsidR="006A6C4F" w:rsidRPr="00D62D04">
        <w:rPr>
          <w:sz w:val="24"/>
          <w:szCs w:val="24"/>
          <w:lang w:val="en-GB"/>
        </w:rPr>
        <w:t>novelties</w:t>
      </w:r>
      <w:r w:rsidRPr="00D62D04">
        <w:rPr>
          <w:sz w:val="24"/>
          <w:szCs w:val="24"/>
          <w:lang w:val="en-GB"/>
        </w:rPr>
        <w:t xml:space="preserve"> in the field of official use of languages and scripts of national minorities</w:t>
      </w:r>
      <w:r w:rsidR="006A6C4F" w:rsidRPr="00D62D04">
        <w:rPr>
          <w:sz w:val="24"/>
          <w:szCs w:val="24"/>
          <w:lang w:val="en-GB"/>
        </w:rPr>
        <w:t>.</w:t>
      </w:r>
      <w:r w:rsidRPr="00D62D04">
        <w:rPr>
          <w:sz w:val="24"/>
          <w:szCs w:val="24"/>
          <w:lang w:val="en-GB"/>
        </w:rPr>
        <w:t xml:space="preserve"> </w:t>
      </w:r>
      <w:r w:rsidR="006A6C4F" w:rsidRPr="00D62D04">
        <w:rPr>
          <w:sz w:val="24"/>
          <w:szCs w:val="24"/>
          <w:lang w:val="en-GB"/>
        </w:rPr>
        <w:t xml:space="preserve">It </w:t>
      </w:r>
      <w:r w:rsidRPr="00D62D04">
        <w:rPr>
          <w:sz w:val="24"/>
          <w:szCs w:val="24"/>
          <w:lang w:val="en-GB"/>
        </w:rPr>
        <w:t xml:space="preserve">aims to help municipal/city administrations in improving the implementation of the amended legal framework that regulates the </w:t>
      </w:r>
      <w:r w:rsidR="006A6C4F" w:rsidRPr="00D62D04">
        <w:rPr>
          <w:sz w:val="24"/>
          <w:szCs w:val="24"/>
          <w:lang w:val="en-GB"/>
        </w:rPr>
        <w:t>status</w:t>
      </w:r>
      <w:r w:rsidRPr="00D62D04">
        <w:rPr>
          <w:sz w:val="24"/>
          <w:szCs w:val="24"/>
          <w:lang w:val="en-GB"/>
        </w:rPr>
        <w:t xml:space="preserve"> of national councils of national minorities, protection of rights and freedoms of national minorities and the official use of languages and scripts, and in accordance with the provisions and recommendations of the Framework Convention for the Protection of National Minorities and the European Charter on Regional or Minority </w:t>
      </w:r>
      <w:r w:rsidRPr="00D62D04">
        <w:rPr>
          <w:sz w:val="24"/>
          <w:szCs w:val="24"/>
          <w:lang w:val="en-GB"/>
        </w:rPr>
        <w:lastRenderedPageBreak/>
        <w:t xml:space="preserve">Languages, as well as good international practice. The Ministry of </w:t>
      </w:r>
      <w:r w:rsidR="006A6C4F" w:rsidRPr="00D62D04">
        <w:rPr>
          <w:sz w:val="24"/>
          <w:szCs w:val="24"/>
          <w:lang w:val="en-GB"/>
        </w:rPr>
        <w:t>Public</w:t>
      </w:r>
      <w:r w:rsidRPr="00D62D04">
        <w:rPr>
          <w:sz w:val="24"/>
          <w:szCs w:val="24"/>
          <w:lang w:val="en-GB"/>
        </w:rPr>
        <w:t xml:space="preserve"> Administration and Local Self-Government submitted the aforementioned </w:t>
      </w:r>
      <w:r w:rsidR="006A6C4F" w:rsidRPr="00D62D04">
        <w:rPr>
          <w:sz w:val="24"/>
          <w:szCs w:val="24"/>
          <w:lang w:val="en-GB"/>
        </w:rPr>
        <w:t>textbook</w:t>
      </w:r>
      <w:r w:rsidRPr="00D62D04">
        <w:rPr>
          <w:sz w:val="24"/>
          <w:szCs w:val="24"/>
          <w:lang w:val="en-GB"/>
        </w:rPr>
        <w:t xml:space="preserve"> to city/municipal administrations.</w:t>
      </w:r>
    </w:p>
    <w:p w14:paraId="6227F96C" w14:textId="561A9229" w:rsidR="00A509E5" w:rsidRPr="00D62D04" w:rsidRDefault="00A509E5" w:rsidP="00B46F8C">
      <w:pPr>
        <w:spacing w:after="0"/>
        <w:ind w:firstLine="720"/>
        <w:jc w:val="both"/>
        <w:rPr>
          <w:sz w:val="24"/>
          <w:szCs w:val="24"/>
          <w:lang w:val="en-GB"/>
        </w:rPr>
      </w:pPr>
      <w:r w:rsidRPr="00D62D04">
        <w:rPr>
          <w:sz w:val="24"/>
          <w:szCs w:val="24"/>
          <w:lang w:val="en-GB"/>
        </w:rPr>
        <w:t xml:space="preserve">Also, as mentioned, in cooperation with the OSCE Mission in the Republic of Serbia, an analysis was prepared on the "Use of Languages and Scripts of National Minorities in Local Self-Government Units in the Republic of Serbia". The main purpose of this analysis is to serve as a guide for the application of the regulations governing the use of languages ​​and scripts of national minorities in local self-government units in the Republic of Serbia, or rather to improve the use of languages and </w:t>
      </w:r>
      <w:r w:rsidR="007124DF" w:rsidRPr="00D62D04">
        <w:rPr>
          <w:sz w:val="24"/>
          <w:szCs w:val="24"/>
          <w:lang w:val="en-GB"/>
        </w:rPr>
        <w:t>scripts</w:t>
      </w:r>
      <w:r w:rsidRPr="00D62D04">
        <w:rPr>
          <w:sz w:val="24"/>
          <w:szCs w:val="24"/>
          <w:lang w:val="en-GB"/>
        </w:rPr>
        <w:t xml:space="preserve"> </w:t>
      </w:r>
      <w:r w:rsidR="007124DF" w:rsidRPr="00D62D04">
        <w:rPr>
          <w:sz w:val="24"/>
          <w:szCs w:val="24"/>
          <w:lang w:val="en-GB"/>
        </w:rPr>
        <w:t>of</w:t>
      </w:r>
      <w:r w:rsidRPr="00D62D04">
        <w:rPr>
          <w:sz w:val="24"/>
          <w:szCs w:val="24"/>
          <w:lang w:val="en-GB"/>
        </w:rPr>
        <w:t xml:space="preserve"> national minorities by the authorities of local self-government units.</w:t>
      </w:r>
    </w:p>
    <w:p w14:paraId="32989D2C" w14:textId="77777777" w:rsidR="00112D92" w:rsidRPr="00D62D04" w:rsidRDefault="00112D92" w:rsidP="00112D92">
      <w:pPr>
        <w:spacing w:after="0"/>
        <w:ind w:firstLine="720"/>
        <w:jc w:val="both"/>
        <w:rPr>
          <w:sz w:val="24"/>
          <w:szCs w:val="24"/>
          <w:lang w:val="en-GB"/>
        </w:rPr>
      </w:pPr>
      <w:r w:rsidRPr="00D62D04">
        <w:rPr>
          <w:sz w:val="24"/>
          <w:szCs w:val="24"/>
          <w:lang w:val="en-GB"/>
        </w:rPr>
        <w:t>In addition, the Protector of Citizens prepared a Special Report on the Official Use of the Albanian Language and Script, a Special Report on the Official Use of the Hungarian Language and Script, and a Special Report on the Official Use of the Bulgarian Language and Script, and each of the reports was translated into the language of the national minority it refers to.</w:t>
      </w:r>
      <w:r w:rsidRPr="00D62D04">
        <w:rPr>
          <w:rStyle w:val="FootnoteReference"/>
          <w:sz w:val="24"/>
          <w:szCs w:val="24"/>
          <w:lang w:val="en-GB"/>
        </w:rPr>
        <w:footnoteReference w:id="63"/>
      </w:r>
    </w:p>
    <w:p w14:paraId="23D271E9" w14:textId="5466009A" w:rsidR="00112D92" w:rsidRPr="00D62D04" w:rsidRDefault="00112D92" w:rsidP="00112D92">
      <w:pPr>
        <w:spacing w:after="0"/>
        <w:ind w:firstLine="720"/>
        <w:jc w:val="both"/>
        <w:rPr>
          <w:sz w:val="24"/>
          <w:szCs w:val="24"/>
          <w:lang w:val="en-GB"/>
        </w:rPr>
      </w:pPr>
      <w:r w:rsidRPr="00D62D04">
        <w:rPr>
          <w:sz w:val="24"/>
          <w:szCs w:val="24"/>
          <w:lang w:val="en-GB"/>
        </w:rPr>
        <w:t xml:space="preserve">In 2018, the provincial ombudsman conducted a study on </w:t>
      </w:r>
      <w:r w:rsidR="00D20031" w:rsidRPr="00D62D04">
        <w:rPr>
          <w:sz w:val="24"/>
          <w:szCs w:val="24"/>
          <w:lang w:val="en-GB"/>
        </w:rPr>
        <w:t xml:space="preserve">the </w:t>
      </w:r>
      <w:r w:rsidRPr="00D62D04">
        <w:rPr>
          <w:sz w:val="24"/>
          <w:szCs w:val="24"/>
          <w:lang w:val="en-GB"/>
        </w:rPr>
        <w:t xml:space="preserve">"Knowledge of </w:t>
      </w:r>
      <w:r w:rsidR="00D20031" w:rsidRPr="00D62D04">
        <w:rPr>
          <w:sz w:val="24"/>
          <w:szCs w:val="24"/>
          <w:lang w:val="en-GB"/>
        </w:rPr>
        <w:t>L</w:t>
      </w:r>
      <w:r w:rsidRPr="00D62D04">
        <w:rPr>
          <w:sz w:val="24"/>
          <w:szCs w:val="24"/>
          <w:lang w:val="en-GB"/>
        </w:rPr>
        <w:t xml:space="preserve">anguages and </w:t>
      </w:r>
      <w:r w:rsidR="00D20031" w:rsidRPr="00D62D04">
        <w:rPr>
          <w:sz w:val="24"/>
          <w:szCs w:val="24"/>
          <w:lang w:val="en-GB"/>
        </w:rPr>
        <w:t>S</w:t>
      </w:r>
      <w:r w:rsidRPr="00D62D04">
        <w:rPr>
          <w:sz w:val="24"/>
          <w:szCs w:val="24"/>
          <w:lang w:val="en-GB"/>
        </w:rPr>
        <w:t xml:space="preserve">cripts of </w:t>
      </w:r>
      <w:r w:rsidR="00D20031" w:rsidRPr="00D62D04">
        <w:rPr>
          <w:sz w:val="24"/>
          <w:szCs w:val="24"/>
          <w:lang w:val="en-GB"/>
        </w:rPr>
        <w:t>N</w:t>
      </w:r>
      <w:r w:rsidRPr="00D62D04">
        <w:rPr>
          <w:sz w:val="24"/>
          <w:szCs w:val="24"/>
          <w:lang w:val="en-GB"/>
        </w:rPr>
        <w:t xml:space="preserve">ational </w:t>
      </w:r>
      <w:r w:rsidR="00D20031" w:rsidRPr="00D62D04">
        <w:rPr>
          <w:sz w:val="24"/>
          <w:szCs w:val="24"/>
          <w:lang w:val="en-GB"/>
        </w:rPr>
        <w:t>M</w:t>
      </w:r>
      <w:r w:rsidRPr="00D62D04">
        <w:rPr>
          <w:sz w:val="24"/>
          <w:szCs w:val="24"/>
          <w:lang w:val="en-GB"/>
        </w:rPr>
        <w:t xml:space="preserve">inorities in </w:t>
      </w:r>
      <w:r w:rsidR="00D20031" w:rsidRPr="00D62D04">
        <w:rPr>
          <w:sz w:val="24"/>
          <w:szCs w:val="24"/>
          <w:lang w:val="en-GB"/>
        </w:rPr>
        <w:t>O</w:t>
      </w:r>
      <w:r w:rsidRPr="00D62D04">
        <w:rPr>
          <w:sz w:val="24"/>
          <w:szCs w:val="24"/>
          <w:lang w:val="en-GB"/>
        </w:rPr>
        <w:t xml:space="preserve">fficial </w:t>
      </w:r>
      <w:r w:rsidR="00D20031" w:rsidRPr="00D62D04">
        <w:rPr>
          <w:sz w:val="24"/>
          <w:szCs w:val="24"/>
          <w:lang w:val="en-GB"/>
        </w:rPr>
        <w:t>U</w:t>
      </w:r>
      <w:r w:rsidRPr="00D62D04">
        <w:rPr>
          <w:sz w:val="24"/>
          <w:szCs w:val="24"/>
          <w:lang w:val="en-GB"/>
        </w:rPr>
        <w:t xml:space="preserve">se in </w:t>
      </w:r>
      <w:r w:rsidR="00D20031" w:rsidRPr="00D62D04">
        <w:rPr>
          <w:sz w:val="24"/>
          <w:szCs w:val="24"/>
          <w:lang w:val="en-GB"/>
        </w:rPr>
        <w:t>P</w:t>
      </w:r>
      <w:r w:rsidRPr="00D62D04">
        <w:rPr>
          <w:sz w:val="24"/>
          <w:szCs w:val="24"/>
          <w:lang w:val="en-GB"/>
        </w:rPr>
        <w:t xml:space="preserve">rovincial </w:t>
      </w:r>
      <w:r w:rsidR="00D20031" w:rsidRPr="00D62D04">
        <w:rPr>
          <w:sz w:val="24"/>
          <w:szCs w:val="24"/>
          <w:lang w:val="en-GB"/>
        </w:rPr>
        <w:t>A</w:t>
      </w:r>
      <w:r w:rsidRPr="00D62D04">
        <w:rPr>
          <w:sz w:val="24"/>
          <w:szCs w:val="24"/>
          <w:lang w:val="en-GB"/>
        </w:rPr>
        <w:t xml:space="preserve">dministration </w:t>
      </w:r>
      <w:r w:rsidR="00D20031" w:rsidRPr="00D62D04">
        <w:rPr>
          <w:sz w:val="24"/>
          <w:szCs w:val="24"/>
          <w:lang w:val="en-GB"/>
        </w:rPr>
        <w:t>B</w:t>
      </w:r>
      <w:r w:rsidRPr="00D62D04">
        <w:rPr>
          <w:sz w:val="24"/>
          <w:szCs w:val="24"/>
          <w:lang w:val="en-GB"/>
        </w:rPr>
        <w:t>odies"</w:t>
      </w:r>
      <w:r w:rsidR="00D20031" w:rsidRPr="00D62D04">
        <w:rPr>
          <w:rStyle w:val="FootnoteReference"/>
          <w:sz w:val="24"/>
          <w:szCs w:val="24"/>
          <w:lang w:val="en-GB"/>
        </w:rPr>
        <w:footnoteReference w:id="64"/>
      </w:r>
      <w:r w:rsidRPr="00D62D04">
        <w:rPr>
          <w:sz w:val="24"/>
          <w:szCs w:val="24"/>
          <w:lang w:val="en-GB"/>
        </w:rPr>
        <w:t xml:space="preserve">, while in 2019, a study was prepared on </w:t>
      </w:r>
      <w:r w:rsidR="00D20031" w:rsidRPr="00D62D04">
        <w:rPr>
          <w:sz w:val="24"/>
          <w:szCs w:val="24"/>
          <w:lang w:val="en-GB"/>
        </w:rPr>
        <w:t xml:space="preserve">the </w:t>
      </w:r>
      <w:r w:rsidRPr="00D62D04">
        <w:rPr>
          <w:sz w:val="24"/>
          <w:szCs w:val="24"/>
          <w:lang w:val="en-GB"/>
        </w:rPr>
        <w:t xml:space="preserve">"Use of </w:t>
      </w:r>
      <w:r w:rsidR="00D20031" w:rsidRPr="00D62D04">
        <w:rPr>
          <w:sz w:val="24"/>
          <w:szCs w:val="24"/>
          <w:lang w:val="en-GB"/>
        </w:rPr>
        <w:t>L</w:t>
      </w:r>
      <w:r w:rsidRPr="00D62D04">
        <w:rPr>
          <w:sz w:val="24"/>
          <w:szCs w:val="24"/>
          <w:lang w:val="en-GB"/>
        </w:rPr>
        <w:t xml:space="preserve">anguages and </w:t>
      </w:r>
      <w:r w:rsidR="00D20031" w:rsidRPr="00D62D04">
        <w:rPr>
          <w:sz w:val="24"/>
          <w:szCs w:val="24"/>
          <w:lang w:val="en-GB"/>
        </w:rPr>
        <w:t>S</w:t>
      </w:r>
      <w:r w:rsidRPr="00D62D04">
        <w:rPr>
          <w:sz w:val="24"/>
          <w:szCs w:val="24"/>
          <w:lang w:val="en-GB"/>
        </w:rPr>
        <w:t xml:space="preserve">cripts of </w:t>
      </w:r>
      <w:r w:rsidR="00D20031" w:rsidRPr="00D62D04">
        <w:rPr>
          <w:sz w:val="24"/>
          <w:szCs w:val="24"/>
          <w:lang w:val="en-GB"/>
        </w:rPr>
        <w:t>N</w:t>
      </w:r>
      <w:r w:rsidRPr="00D62D04">
        <w:rPr>
          <w:sz w:val="24"/>
          <w:szCs w:val="24"/>
          <w:lang w:val="en-GB"/>
        </w:rPr>
        <w:t xml:space="preserve">ational </w:t>
      </w:r>
      <w:r w:rsidR="00D20031" w:rsidRPr="00D62D04">
        <w:rPr>
          <w:sz w:val="24"/>
          <w:szCs w:val="24"/>
          <w:lang w:val="en-GB"/>
        </w:rPr>
        <w:t>M</w:t>
      </w:r>
      <w:r w:rsidRPr="00D62D04">
        <w:rPr>
          <w:sz w:val="24"/>
          <w:szCs w:val="24"/>
          <w:lang w:val="en-GB"/>
        </w:rPr>
        <w:t xml:space="preserve">inorities in </w:t>
      </w:r>
      <w:r w:rsidR="00D20031" w:rsidRPr="00D62D04">
        <w:rPr>
          <w:sz w:val="24"/>
          <w:szCs w:val="24"/>
          <w:lang w:val="en-GB"/>
        </w:rPr>
        <w:t>C</w:t>
      </w:r>
      <w:r w:rsidRPr="00D62D04">
        <w:rPr>
          <w:sz w:val="24"/>
          <w:szCs w:val="24"/>
          <w:lang w:val="en-GB"/>
        </w:rPr>
        <w:t xml:space="preserve">ourts and </w:t>
      </w:r>
      <w:r w:rsidR="00D20031" w:rsidRPr="00D62D04">
        <w:rPr>
          <w:sz w:val="24"/>
          <w:szCs w:val="24"/>
          <w:lang w:val="en-GB"/>
        </w:rPr>
        <w:t>P</w:t>
      </w:r>
      <w:r w:rsidRPr="00D62D04">
        <w:rPr>
          <w:sz w:val="24"/>
          <w:szCs w:val="24"/>
          <w:lang w:val="en-GB"/>
        </w:rPr>
        <w:t xml:space="preserve">rosecutor's </w:t>
      </w:r>
      <w:r w:rsidR="00D20031" w:rsidRPr="00D62D04">
        <w:rPr>
          <w:sz w:val="24"/>
          <w:szCs w:val="24"/>
          <w:lang w:val="en-GB"/>
        </w:rPr>
        <w:t>O</w:t>
      </w:r>
      <w:r w:rsidRPr="00D62D04">
        <w:rPr>
          <w:sz w:val="24"/>
          <w:szCs w:val="24"/>
          <w:lang w:val="en-GB"/>
        </w:rPr>
        <w:t>ffices in the Republic of Serbia".</w:t>
      </w:r>
      <w:r w:rsidR="00D20031" w:rsidRPr="00D62D04">
        <w:rPr>
          <w:rStyle w:val="FootnoteReference"/>
          <w:sz w:val="24"/>
          <w:szCs w:val="24"/>
          <w:lang w:val="en-GB"/>
        </w:rPr>
        <w:footnoteReference w:id="65"/>
      </w:r>
    </w:p>
    <w:p w14:paraId="5B68B1B6" w14:textId="473D7E38" w:rsidR="0064271C" w:rsidRPr="00D62D04" w:rsidRDefault="0064271C" w:rsidP="00E9510C">
      <w:pPr>
        <w:spacing w:after="0"/>
        <w:ind w:firstLine="720"/>
        <w:jc w:val="both"/>
        <w:rPr>
          <w:sz w:val="24"/>
          <w:szCs w:val="24"/>
          <w:lang w:val="en-GB"/>
        </w:rPr>
      </w:pPr>
      <w:r w:rsidRPr="00D62D04">
        <w:rPr>
          <w:sz w:val="24"/>
          <w:szCs w:val="24"/>
          <w:lang w:val="en-GB"/>
        </w:rPr>
        <w:t>The effective use of minority languages in all municipalities, in which the legal conditions are met, is achieved in all forms of official use, which will be discussed in more detail in the corresponding parts of the Report. However, certain problems have been observed in practice. The existing problems are mainly related to insufficient financial resources and insufficient capacities in terms of knowledge of minority languages of officers in public authorities, insufficient knowledge and use of their rights when it comes to members of national minorities, as well as the widespread attitude that the use of minority languages actually slows down, that is, makes it impossible to conduct the procedure effectively.</w:t>
      </w:r>
    </w:p>
    <w:p w14:paraId="5A768A8D" w14:textId="77777777" w:rsidR="00FA673E" w:rsidRPr="00D62D04" w:rsidRDefault="00FA673E" w:rsidP="00E9510C">
      <w:pPr>
        <w:spacing w:after="0"/>
        <w:ind w:firstLine="720"/>
        <w:jc w:val="both"/>
        <w:rPr>
          <w:sz w:val="24"/>
          <w:szCs w:val="24"/>
          <w:lang w:val="en-GB"/>
        </w:rPr>
      </w:pPr>
      <w:r w:rsidRPr="00D62D04">
        <w:rPr>
          <w:sz w:val="24"/>
          <w:szCs w:val="24"/>
          <w:lang w:val="en-GB"/>
        </w:rPr>
        <w:t xml:space="preserve">On the other hand, it must be noted that the increase in professional capacities and the role of national councils in these processes further encouraged members of national minorities to use their rights referring to the use of their language and script, even in some proceedings before state authorities in which such requests were very rare. Also, the state has on several occasions undertaken activities aimed primarily at municipal administrations in terms of presentation and affirmation of the abovementioned rights. In addition, by passing several regulations - and above all the Law on Employees in Autonomous Provinces and Local Self-Government Units - the state enabled the employment of staff who speak minority languages, which is a necessary prerequisite for improving the relations of authorities, primarily local authorities, with clients belonging to </w:t>
      </w:r>
      <w:r w:rsidR="00442865" w:rsidRPr="00D62D04">
        <w:rPr>
          <w:sz w:val="24"/>
          <w:szCs w:val="24"/>
          <w:lang w:val="en-GB"/>
        </w:rPr>
        <w:t xml:space="preserve">a </w:t>
      </w:r>
      <w:r w:rsidRPr="00D62D04">
        <w:rPr>
          <w:sz w:val="24"/>
          <w:szCs w:val="24"/>
          <w:lang w:val="en-GB"/>
        </w:rPr>
        <w:t>national minority.</w:t>
      </w:r>
    </w:p>
    <w:p w14:paraId="10AE3198" w14:textId="6DFD2B62" w:rsidR="00195F53" w:rsidRPr="00D62D04" w:rsidRDefault="00195F53" w:rsidP="00E9510C">
      <w:pPr>
        <w:spacing w:after="0"/>
        <w:ind w:firstLine="720"/>
        <w:jc w:val="both"/>
        <w:rPr>
          <w:sz w:val="24"/>
          <w:szCs w:val="24"/>
          <w:lang w:val="en-GB"/>
        </w:rPr>
      </w:pPr>
      <w:r w:rsidRPr="00D62D04">
        <w:rPr>
          <w:sz w:val="24"/>
          <w:szCs w:val="24"/>
          <w:lang w:val="en-GB"/>
        </w:rPr>
        <w:t xml:space="preserve">Problems in practice also arise due to the fact that the laws regulating procedures (administrative, criminal, litigation and non-litigation proceedings) have not been translated into all languages of national minorities in official use, so it is difficult to implement such procedures by employees in the administration and judiciary. Also, important material laws in </w:t>
      </w:r>
      <w:r w:rsidRPr="00D62D04">
        <w:rPr>
          <w:sz w:val="24"/>
          <w:szCs w:val="24"/>
          <w:lang w:val="en-GB"/>
        </w:rPr>
        <w:lastRenderedPageBreak/>
        <w:t>the field of criminal and civil law are not available in all languages of national minorities in official use. In this regard, it is important to point out that the amendments to the Law on National Councils of National Minorities</w:t>
      </w:r>
      <w:r w:rsidRPr="00D62D04">
        <w:rPr>
          <w:rStyle w:val="FootnoteReference"/>
          <w:sz w:val="24"/>
          <w:szCs w:val="24"/>
          <w:lang w:val="en-GB"/>
        </w:rPr>
        <w:footnoteReference w:id="66"/>
      </w:r>
      <w:r w:rsidRPr="00D62D04">
        <w:rPr>
          <w:sz w:val="24"/>
          <w:szCs w:val="24"/>
          <w:lang w:val="en-GB"/>
        </w:rPr>
        <w:t xml:space="preserve"> foresee a new authorisation for national councils - to initiate the publication of the most important laws of the Republic of Serbia in the language of the national minority that is in official use and to provide professional and other assistance, in accordance with their possibilities, in the translation process. Since the introduction of such authority of the national councils in the legal system of the Republic of Serbia, there have been no initiatives originating from the national councils for the translation of any law. The lack of legal texts in minority languages significantly affects the practical exercise of the language rights of members of national minorities, especially in administrative procedures and other actions with the administration.</w:t>
      </w:r>
    </w:p>
    <w:p w14:paraId="05B15D0E" w14:textId="77777777" w:rsidR="00E72ED5" w:rsidRPr="00D62D04" w:rsidRDefault="00E72ED5" w:rsidP="00E72ED5">
      <w:pPr>
        <w:spacing w:after="0"/>
        <w:jc w:val="both"/>
        <w:rPr>
          <w:i/>
          <w:sz w:val="24"/>
          <w:szCs w:val="24"/>
          <w:highlight w:val="cyan"/>
          <w:lang w:val="en-GB"/>
        </w:rPr>
      </w:pPr>
    </w:p>
    <w:p w14:paraId="004B847B" w14:textId="77777777" w:rsidR="00BB04BC" w:rsidRPr="00D62D04" w:rsidRDefault="00E72ED5" w:rsidP="00E72ED5">
      <w:pPr>
        <w:spacing w:after="0"/>
        <w:jc w:val="both"/>
        <w:rPr>
          <w:i/>
          <w:sz w:val="24"/>
          <w:szCs w:val="24"/>
          <w:lang w:val="en-GB"/>
        </w:rPr>
      </w:pPr>
      <w:r w:rsidRPr="00D62D04">
        <w:rPr>
          <w:i/>
          <w:sz w:val="24"/>
          <w:szCs w:val="24"/>
          <w:lang w:val="en-GB"/>
        </w:rPr>
        <w:t xml:space="preserve">11. </w:t>
      </w:r>
      <w:r w:rsidR="00BB04BC" w:rsidRPr="00D62D04">
        <w:rPr>
          <w:i/>
          <w:sz w:val="24"/>
          <w:szCs w:val="24"/>
          <w:lang w:val="en-GB"/>
        </w:rPr>
        <w:t>Increase the availability and quality of teaching in the state language, including when it is taught as a second language, through a balanced approach that includes parallel measures for the protection and promotion of minority languages, and continue with the further development of teaching material in minority languages.</w:t>
      </w:r>
    </w:p>
    <w:p w14:paraId="6C262478" w14:textId="77777777" w:rsidR="00E72ED5" w:rsidRPr="00D62D04" w:rsidRDefault="00E72ED5" w:rsidP="00E72ED5">
      <w:pPr>
        <w:spacing w:after="0"/>
        <w:jc w:val="both"/>
        <w:rPr>
          <w:i/>
          <w:sz w:val="24"/>
          <w:szCs w:val="24"/>
          <w:highlight w:val="cyan"/>
          <w:lang w:val="en-GB"/>
        </w:rPr>
      </w:pPr>
    </w:p>
    <w:p w14:paraId="0E51FBDF" w14:textId="2476534D" w:rsidR="00083EFA" w:rsidRPr="00D62D04" w:rsidRDefault="00083EFA" w:rsidP="00E72ED5">
      <w:pPr>
        <w:spacing w:after="0"/>
        <w:ind w:firstLine="720"/>
        <w:jc w:val="both"/>
        <w:rPr>
          <w:sz w:val="24"/>
          <w:szCs w:val="24"/>
          <w:lang w:val="en-GB"/>
        </w:rPr>
      </w:pPr>
      <w:r w:rsidRPr="00D62D04">
        <w:rPr>
          <w:sz w:val="24"/>
          <w:szCs w:val="24"/>
          <w:lang w:val="en-GB"/>
        </w:rPr>
        <w:t xml:space="preserve">The Ministry of Education, Science and Technological Development is actively working to improve the availability and quality of education for members of national minorities in the Republic of Serbia, fully respecting international standards in this area. With the aim of improving the quality of education for students who complete their entire education in their mother tongue, which is the language of a national minority, and attend the compulsory course of </w:t>
      </w:r>
      <w:r w:rsidR="00EA2993" w:rsidRPr="00D62D04">
        <w:rPr>
          <w:sz w:val="24"/>
          <w:szCs w:val="24"/>
          <w:lang w:val="en-GB"/>
        </w:rPr>
        <w:t>Serbian as Non-Native Language</w:t>
      </w:r>
      <w:r w:rsidRPr="00D62D04">
        <w:rPr>
          <w:sz w:val="24"/>
          <w:szCs w:val="24"/>
          <w:lang w:val="en-GB"/>
        </w:rPr>
        <w:t xml:space="preserve">, the Ministry adopted a new curriculum for the course of </w:t>
      </w:r>
      <w:r w:rsidR="00EA2993" w:rsidRPr="00D62D04">
        <w:rPr>
          <w:sz w:val="24"/>
          <w:szCs w:val="24"/>
          <w:lang w:val="en-GB"/>
        </w:rPr>
        <w:t>Serbian as Non-Native Language</w:t>
      </w:r>
      <w:r w:rsidRPr="00D62D04">
        <w:rPr>
          <w:sz w:val="24"/>
          <w:szCs w:val="24"/>
          <w:lang w:val="en-GB"/>
        </w:rPr>
        <w:t xml:space="preserve">, which consists of two programmes : Programme A - for students whose mother tongue belongs to non-Slavic </w:t>
      </w:r>
      <w:proofErr w:type="spellStart"/>
      <w:r w:rsidRPr="00D62D04">
        <w:rPr>
          <w:sz w:val="24"/>
          <w:szCs w:val="24"/>
          <w:lang w:val="en-GB"/>
        </w:rPr>
        <w:t>languagesand</w:t>
      </w:r>
      <w:proofErr w:type="spellEnd"/>
      <w:r w:rsidRPr="00D62D04">
        <w:rPr>
          <w:sz w:val="24"/>
          <w:szCs w:val="24"/>
          <w:lang w:val="en-GB"/>
        </w:rPr>
        <w:t xml:space="preserve"> who live in homogeneous environments (basic standard level); Programme B - for students whose mother tongue belongs to the Slavic languages and who live in multinational environments (intermediate-advanced standard level). A series of training</w:t>
      </w:r>
      <w:r w:rsidR="00783F94" w:rsidRPr="00D62D04">
        <w:rPr>
          <w:sz w:val="24"/>
          <w:szCs w:val="24"/>
          <w:lang w:val="en-GB"/>
        </w:rPr>
        <w:t xml:space="preserve"> </w:t>
      </w:r>
      <w:r w:rsidRPr="00D62D04">
        <w:rPr>
          <w:sz w:val="24"/>
          <w:szCs w:val="24"/>
          <w:lang w:val="en-GB"/>
        </w:rPr>
        <w:t>s</w:t>
      </w:r>
      <w:r w:rsidR="00783F94" w:rsidRPr="00D62D04">
        <w:rPr>
          <w:sz w:val="24"/>
          <w:szCs w:val="24"/>
          <w:lang w:val="en-GB"/>
        </w:rPr>
        <w:t>essions</w:t>
      </w:r>
      <w:r w:rsidRPr="00D62D04">
        <w:rPr>
          <w:sz w:val="24"/>
          <w:szCs w:val="24"/>
          <w:lang w:val="en-GB"/>
        </w:rPr>
        <w:t xml:space="preserve"> for the implementation of the new curriculum were implemented, which included all teachers who teach this </w:t>
      </w:r>
      <w:r w:rsidR="00783F94" w:rsidRPr="00D62D04">
        <w:rPr>
          <w:sz w:val="24"/>
          <w:szCs w:val="24"/>
          <w:lang w:val="en-GB"/>
        </w:rPr>
        <w:t>course</w:t>
      </w:r>
      <w:r w:rsidRPr="00D62D04">
        <w:rPr>
          <w:sz w:val="24"/>
          <w:szCs w:val="24"/>
          <w:lang w:val="en-GB"/>
        </w:rPr>
        <w:t xml:space="preserve">. The document General </w:t>
      </w:r>
      <w:r w:rsidR="002B5F30" w:rsidRPr="00D62D04">
        <w:rPr>
          <w:sz w:val="24"/>
          <w:szCs w:val="24"/>
          <w:lang w:val="en-GB"/>
        </w:rPr>
        <w:t>A</w:t>
      </w:r>
      <w:r w:rsidRPr="00D62D04">
        <w:rPr>
          <w:sz w:val="24"/>
          <w:szCs w:val="24"/>
          <w:lang w:val="en-GB"/>
        </w:rPr>
        <w:t xml:space="preserve">chievement </w:t>
      </w:r>
      <w:r w:rsidR="002B5F30" w:rsidRPr="00D62D04">
        <w:rPr>
          <w:sz w:val="24"/>
          <w:szCs w:val="24"/>
          <w:lang w:val="en-GB"/>
        </w:rPr>
        <w:t>S</w:t>
      </w:r>
      <w:r w:rsidRPr="00D62D04">
        <w:rPr>
          <w:sz w:val="24"/>
          <w:szCs w:val="24"/>
          <w:lang w:val="en-GB"/>
        </w:rPr>
        <w:t xml:space="preserve">tandards for the </w:t>
      </w:r>
      <w:r w:rsidR="002B5F30" w:rsidRPr="00D62D04">
        <w:rPr>
          <w:sz w:val="24"/>
          <w:szCs w:val="24"/>
          <w:lang w:val="en-GB"/>
        </w:rPr>
        <w:t>course</w:t>
      </w:r>
      <w:r w:rsidRPr="00D62D04">
        <w:rPr>
          <w:sz w:val="24"/>
          <w:szCs w:val="24"/>
          <w:lang w:val="en-GB"/>
        </w:rPr>
        <w:t xml:space="preserve"> of Serbian as a </w:t>
      </w:r>
      <w:r w:rsidR="002B5F30" w:rsidRPr="00D62D04">
        <w:rPr>
          <w:sz w:val="24"/>
          <w:szCs w:val="24"/>
          <w:lang w:val="en-GB"/>
        </w:rPr>
        <w:t>N</w:t>
      </w:r>
      <w:r w:rsidRPr="00D62D04">
        <w:rPr>
          <w:sz w:val="24"/>
          <w:szCs w:val="24"/>
          <w:lang w:val="en-GB"/>
        </w:rPr>
        <w:t>on-</w:t>
      </w:r>
      <w:r w:rsidR="002B5F30" w:rsidRPr="00D62D04">
        <w:rPr>
          <w:sz w:val="24"/>
          <w:szCs w:val="24"/>
          <w:lang w:val="en-GB"/>
        </w:rPr>
        <w:t>N</w:t>
      </w:r>
      <w:r w:rsidRPr="00D62D04">
        <w:rPr>
          <w:sz w:val="24"/>
          <w:szCs w:val="24"/>
          <w:lang w:val="en-GB"/>
        </w:rPr>
        <w:t xml:space="preserve">ative </w:t>
      </w:r>
      <w:r w:rsidR="002B5F30" w:rsidRPr="00D62D04">
        <w:rPr>
          <w:sz w:val="24"/>
          <w:szCs w:val="24"/>
          <w:lang w:val="en-GB"/>
        </w:rPr>
        <w:t>L</w:t>
      </w:r>
      <w:r w:rsidRPr="00D62D04">
        <w:rPr>
          <w:sz w:val="24"/>
          <w:szCs w:val="24"/>
          <w:lang w:val="en-GB"/>
        </w:rPr>
        <w:t xml:space="preserve">anguage for the </w:t>
      </w:r>
      <w:r w:rsidR="002B5F30" w:rsidRPr="00D62D04">
        <w:rPr>
          <w:sz w:val="24"/>
          <w:szCs w:val="24"/>
          <w:lang w:val="en-GB"/>
        </w:rPr>
        <w:t>E</w:t>
      </w:r>
      <w:r w:rsidRPr="00D62D04">
        <w:rPr>
          <w:sz w:val="24"/>
          <w:szCs w:val="24"/>
          <w:lang w:val="en-GB"/>
        </w:rPr>
        <w:t xml:space="preserve">nd of the </w:t>
      </w:r>
      <w:r w:rsidR="002B5F30" w:rsidRPr="00D62D04">
        <w:rPr>
          <w:sz w:val="24"/>
          <w:szCs w:val="24"/>
          <w:lang w:val="en-GB"/>
        </w:rPr>
        <w:t>F</w:t>
      </w:r>
      <w:r w:rsidRPr="00D62D04">
        <w:rPr>
          <w:sz w:val="24"/>
          <w:szCs w:val="24"/>
          <w:lang w:val="en-GB"/>
        </w:rPr>
        <w:t xml:space="preserve">irst and </w:t>
      </w:r>
      <w:r w:rsidR="002B5F30" w:rsidRPr="00D62D04">
        <w:rPr>
          <w:sz w:val="24"/>
          <w:szCs w:val="24"/>
          <w:lang w:val="en-GB"/>
        </w:rPr>
        <w:t>S</w:t>
      </w:r>
      <w:r w:rsidRPr="00D62D04">
        <w:rPr>
          <w:sz w:val="24"/>
          <w:szCs w:val="24"/>
          <w:lang w:val="en-GB"/>
        </w:rPr>
        <w:t xml:space="preserve">econd </w:t>
      </w:r>
      <w:r w:rsidR="002B5F30" w:rsidRPr="00D62D04">
        <w:rPr>
          <w:sz w:val="24"/>
          <w:szCs w:val="24"/>
          <w:lang w:val="en-GB"/>
        </w:rPr>
        <w:t>C</w:t>
      </w:r>
      <w:r w:rsidRPr="00D62D04">
        <w:rPr>
          <w:sz w:val="24"/>
          <w:szCs w:val="24"/>
          <w:lang w:val="en-GB"/>
        </w:rPr>
        <w:t xml:space="preserve">ycles of </w:t>
      </w:r>
      <w:r w:rsidR="002B5F30" w:rsidRPr="00D62D04">
        <w:rPr>
          <w:sz w:val="24"/>
          <w:szCs w:val="24"/>
          <w:lang w:val="en-GB"/>
        </w:rPr>
        <w:t>C</w:t>
      </w:r>
      <w:r w:rsidRPr="00D62D04">
        <w:rPr>
          <w:sz w:val="24"/>
          <w:szCs w:val="24"/>
          <w:lang w:val="en-GB"/>
        </w:rPr>
        <w:t xml:space="preserve">ompulsory </w:t>
      </w:r>
      <w:r w:rsidR="002B5F30" w:rsidRPr="00D62D04">
        <w:rPr>
          <w:sz w:val="24"/>
          <w:szCs w:val="24"/>
          <w:lang w:val="en-GB"/>
        </w:rPr>
        <w:t>E</w:t>
      </w:r>
      <w:r w:rsidRPr="00D62D04">
        <w:rPr>
          <w:sz w:val="24"/>
          <w:szCs w:val="24"/>
          <w:lang w:val="en-GB"/>
        </w:rPr>
        <w:t xml:space="preserve">ducation, </w:t>
      </w:r>
      <w:r w:rsidR="002B5F30" w:rsidRPr="00D62D04">
        <w:rPr>
          <w:sz w:val="24"/>
          <w:szCs w:val="24"/>
          <w:lang w:val="en-GB"/>
        </w:rPr>
        <w:t>G</w:t>
      </w:r>
      <w:r w:rsidRPr="00D62D04">
        <w:rPr>
          <w:sz w:val="24"/>
          <w:szCs w:val="24"/>
          <w:lang w:val="en-GB"/>
        </w:rPr>
        <w:t xml:space="preserve">eneral </w:t>
      </w:r>
      <w:r w:rsidR="002B5F30" w:rsidRPr="00D62D04">
        <w:rPr>
          <w:sz w:val="24"/>
          <w:szCs w:val="24"/>
          <w:lang w:val="en-GB"/>
        </w:rPr>
        <w:t>S</w:t>
      </w:r>
      <w:r w:rsidRPr="00D62D04">
        <w:rPr>
          <w:sz w:val="24"/>
          <w:szCs w:val="24"/>
          <w:lang w:val="en-GB"/>
        </w:rPr>
        <w:t xml:space="preserve">econdary </w:t>
      </w:r>
      <w:r w:rsidR="002B5F30" w:rsidRPr="00D62D04">
        <w:rPr>
          <w:sz w:val="24"/>
          <w:szCs w:val="24"/>
          <w:lang w:val="en-GB"/>
        </w:rPr>
        <w:t>E</w:t>
      </w:r>
      <w:r w:rsidRPr="00D62D04">
        <w:rPr>
          <w:sz w:val="24"/>
          <w:szCs w:val="24"/>
          <w:lang w:val="en-GB"/>
        </w:rPr>
        <w:t xml:space="preserve">ducation and </w:t>
      </w:r>
      <w:r w:rsidR="002B5F30" w:rsidRPr="00D62D04">
        <w:rPr>
          <w:sz w:val="24"/>
          <w:szCs w:val="24"/>
          <w:lang w:val="en-GB"/>
        </w:rPr>
        <w:t>P</w:t>
      </w:r>
      <w:r w:rsidRPr="00D62D04">
        <w:rPr>
          <w:sz w:val="24"/>
          <w:szCs w:val="24"/>
          <w:lang w:val="en-GB"/>
        </w:rPr>
        <w:t xml:space="preserve">rimary </w:t>
      </w:r>
      <w:r w:rsidR="002B5F30" w:rsidRPr="00D62D04">
        <w:rPr>
          <w:sz w:val="24"/>
          <w:szCs w:val="24"/>
          <w:lang w:val="en-GB"/>
        </w:rPr>
        <w:t>E</w:t>
      </w:r>
      <w:r w:rsidRPr="00D62D04">
        <w:rPr>
          <w:sz w:val="24"/>
          <w:szCs w:val="24"/>
          <w:lang w:val="en-GB"/>
        </w:rPr>
        <w:t xml:space="preserve">ducation for </w:t>
      </w:r>
      <w:r w:rsidR="002B5F30" w:rsidRPr="00D62D04">
        <w:rPr>
          <w:sz w:val="24"/>
          <w:szCs w:val="24"/>
          <w:lang w:val="en-GB"/>
        </w:rPr>
        <w:t>A</w:t>
      </w:r>
      <w:r w:rsidRPr="00D62D04">
        <w:rPr>
          <w:sz w:val="24"/>
          <w:szCs w:val="24"/>
          <w:lang w:val="en-GB"/>
        </w:rPr>
        <w:t xml:space="preserve">dults was also adopted. The </w:t>
      </w:r>
      <w:r w:rsidR="002B5F30" w:rsidRPr="00D62D04">
        <w:rPr>
          <w:sz w:val="24"/>
          <w:szCs w:val="24"/>
          <w:lang w:val="en-GB"/>
        </w:rPr>
        <w:t>course</w:t>
      </w:r>
      <w:r w:rsidRPr="00D62D04">
        <w:rPr>
          <w:sz w:val="24"/>
          <w:szCs w:val="24"/>
          <w:lang w:val="en-GB"/>
        </w:rPr>
        <w:t xml:space="preserve"> is </w:t>
      </w:r>
      <w:r w:rsidR="00A36088" w:rsidRPr="00D62D04">
        <w:rPr>
          <w:sz w:val="24"/>
          <w:szCs w:val="24"/>
          <w:lang w:val="en-GB"/>
        </w:rPr>
        <w:t>carried out</w:t>
      </w:r>
      <w:r w:rsidRPr="00D62D04">
        <w:rPr>
          <w:sz w:val="24"/>
          <w:szCs w:val="24"/>
          <w:lang w:val="en-GB"/>
        </w:rPr>
        <w:t xml:space="preserve"> by three classes per week.</w:t>
      </w:r>
    </w:p>
    <w:p w14:paraId="7A3847A4" w14:textId="205E514C" w:rsidR="004C39BB" w:rsidRPr="00D62D04" w:rsidRDefault="004C39BB" w:rsidP="00E72ED5">
      <w:pPr>
        <w:spacing w:after="0"/>
        <w:ind w:firstLine="720"/>
        <w:jc w:val="both"/>
        <w:rPr>
          <w:sz w:val="24"/>
          <w:szCs w:val="24"/>
          <w:lang w:val="en-GB"/>
        </w:rPr>
      </w:pPr>
      <w:r w:rsidRPr="00D62D04">
        <w:rPr>
          <w:sz w:val="24"/>
          <w:szCs w:val="24"/>
          <w:lang w:val="en-GB"/>
        </w:rPr>
        <w:t xml:space="preserve">An example of good practice was introduced through the project entitled "Implementation of Recommendations for Improving the Teaching of Serbian as a Non-Native Language in Primary Schools in </w:t>
      </w:r>
      <w:proofErr w:type="spellStart"/>
      <w:r w:rsidRPr="00D62D04">
        <w:rPr>
          <w:sz w:val="24"/>
          <w:szCs w:val="24"/>
          <w:lang w:val="en-GB"/>
        </w:rPr>
        <w:t>Preševo</w:t>
      </w:r>
      <w:proofErr w:type="spellEnd"/>
      <w:r w:rsidRPr="00D62D04">
        <w:rPr>
          <w:sz w:val="24"/>
          <w:szCs w:val="24"/>
          <w:lang w:val="en-GB"/>
        </w:rPr>
        <w:t xml:space="preserve">, </w:t>
      </w:r>
      <w:proofErr w:type="spellStart"/>
      <w:r w:rsidRPr="00D62D04">
        <w:rPr>
          <w:sz w:val="24"/>
          <w:szCs w:val="24"/>
          <w:lang w:val="en-GB"/>
        </w:rPr>
        <w:t>Bujanovac</w:t>
      </w:r>
      <w:proofErr w:type="spellEnd"/>
      <w:r w:rsidRPr="00D62D04">
        <w:rPr>
          <w:sz w:val="24"/>
          <w:szCs w:val="24"/>
          <w:lang w:val="en-GB"/>
        </w:rPr>
        <w:t xml:space="preserve"> and </w:t>
      </w:r>
      <w:proofErr w:type="spellStart"/>
      <w:r w:rsidRPr="00D62D04">
        <w:rPr>
          <w:sz w:val="24"/>
          <w:szCs w:val="24"/>
          <w:lang w:val="en-GB"/>
        </w:rPr>
        <w:t>Medveđa</w:t>
      </w:r>
      <w:proofErr w:type="spellEnd"/>
      <w:r w:rsidRPr="00D62D04">
        <w:rPr>
          <w:sz w:val="24"/>
          <w:szCs w:val="24"/>
          <w:lang w:val="en-GB"/>
        </w:rPr>
        <w:t xml:space="preserve">" by hiring assistants for the Serbian language in schools where teaching is carried out in the Albanian language. With the support of the project entitled "Promotion of Diversity and Equality in Serbia", implemented with the support of the Council of Europe, this school year, as in previous years, six teaching assistants were hired. In schools that are part of the long-term project, a greater interest of students in learning Serbian, their progress in language skills, motivation to participate in class and in extracurricular activities was observed. Knowledge testing of primary school students </w:t>
      </w:r>
      <w:r w:rsidRPr="00D62D04">
        <w:rPr>
          <w:sz w:val="24"/>
          <w:szCs w:val="24"/>
          <w:lang w:val="en-GB"/>
        </w:rPr>
        <w:lastRenderedPageBreak/>
        <w:t xml:space="preserve">in </w:t>
      </w:r>
      <w:proofErr w:type="spellStart"/>
      <w:r w:rsidRPr="00D62D04">
        <w:rPr>
          <w:sz w:val="24"/>
          <w:szCs w:val="24"/>
          <w:lang w:val="en-GB"/>
        </w:rPr>
        <w:t>Preševo</w:t>
      </w:r>
      <w:proofErr w:type="spellEnd"/>
      <w:r w:rsidRPr="00D62D04">
        <w:rPr>
          <w:sz w:val="24"/>
          <w:szCs w:val="24"/>
          <w:lang w:val="en-GB"/>
        </w:rPr>
        <w:t xml:space="preserve"> and </w:t>
      </w:r>
      <w:proofErr w:type="spellStart"/>
      <w:r w:rsidRPr="00D62D04">
        <w:rPr>
          <w:sz w:val="24"/>
          <w:szCs w:val="24"/>
          <w:lang w:val="en-GB"/>
        </w:rPr>
        <w:t>Bujanovac</w:t>
      </w:r>
      <w:proofErr w:type="spellEnd"/>
      <w:r w:rsidRPr="00D62D04">
        <w:rPr>
          <w:sz w:val="24"/>
          <w:szCs w:val="24"/>
          <w:lang w:val="en-GB"/>
        </w:rPr>
        <w:t xml:space="preserve">, as a follow-up to the performance of teachers and assistants in the course of </w:t>
      </w:r>
      <w:r w:rsidR="00EA2993" w:rsidRPr="00D62D04">
        <w:rPr>
          <w:sz w:val="24"/>
          <w:szCs w:val="24"/>
          <w:lang w:val="en-GB"/>
        </w:rPr>
        <w:t>Serbian as Non-Native Language</w:t>
      </w:r>
      <w:r w:rsidRPr="00D62D04">
        <w:rPr>
          <w:sz w:val="24"/>
          <w:szCs w:val="24"/>
          <w:lang w:val="en-GB"/>
        </w:rPr>
        <w:t>, showed that students who had the support of Serbian language assistants, in addition to teachers, achieved a significantly better average result.</w:t>
      </w:r>
    </w:p>
    <w:p w14:paraId="5C21502B" w14:textId="77777777" w:rsidR="00333925" w:rsidRPr="00D62D04" w:rsidRDefault="00333925" w:rsidP="00E72ED5">
      <w:pPr>
        <w:spacing w:after="0"/>
        <w:ind w:firstLine="720"/>
        <w:jc w:val="both"/>
        <w:rPr>
          <w:sz w:val="24"/>
          <w:szCs w:val="24"/>
          <w:lang w:val="en-GB"/>
        </w:rPr>
      </w:pPr>
      <w:r w:rsidRPr="00D62D04">
        <w:rPr>
          <w:sz w:val="24"/>
          <w:szCs w:val="24"/>
          <w:lang w:val="en-GB"/>
        </w:rPr>
        <w:t xml:space="preserve">A good example is the organisation of a public presentation of selected works from the "Examples of Successful Extracurricular Activities" competition, among which were those that encourage the learning of Serbian as a non-native language. The Institute for the Improvement of Education carries out the monitoring of this programme and analyses the reviewed student tests, with the aim of improving the teaching and learning process and raising the level of teaching quality of </w:t>
      </w:r>
      <w:r w:rsidR="00F0661D" w:rsidRPr="00D62D04">
        <w:rPr>
          <w:sz w:val="24"/>
          <w:szCs w:val="24"/>
          <w:lang w:val="en-GB"/>
        </w:rPr>
        <w:t>Serbian as Non-Native Language</w:t>
      </w:r>
      <w:r w:rsidRPr="00D62D04">
        <w:rPr>
          <w:sz w:val="24"/>
          <w:szCs w:val="24"/>
          <w:lang w:val="en-GB"/>
        </w:rPr>
        <w:t>. Teachers who teach that subject are provided with Teacher Training for the implementation of the teaching and learning programme for the course of Serbian as a non-native language for the first and second cycle of compulsory education and general secondary education, and the next round of training is also planned. Handbooks</w:t>
      </w:r>
      <w:r w:rsidRPr="00D62D04">
        <w:rPr>
          <w:rStyle w:val="FootnoteReference"/>
          <w:sz w:val="24"/>
          <w:szCs w:val="24"/>
          <w:lang w:val="en-GB"/>
        </w:rPr>
        <w:footnoteReference w:id="67"/>
      </w:r>
      <w:r w:rsidRPr="00D62D04">
        <w:rPr>
          <w:sz w:val="24"/>
          <w:szCs w:val="24"/>
          <w:lang w:val="en-GB"/>
        </w:rPr>
        <w:t xml:space="preserve"> containing recommended lexicon for the course of </w:t>
      </w:r>
      <w:r w:rsidR="00F0661D" w:rsidRPr="00D62D04">
        <w:rPr>
          <w:sz w:val="24"/>
          <w:szCs w:val="24"/>
          <w:lang w:val="en-GB"/>
        </w:rPr>
        <w:t>Serbian as Non-Native Language</w:t>
      </w:r>
      <w:r w:rsidRPr="00D62D04">
        <w:rPr>
          <w:sz w:val="24"/>
          <w:szCs w:val="24"/>
          <w:lang w:val="en-GB"/>
        </w:rPr>
        <w:t xml:space="preserve"> have also been prepared. For students belonging to national minorities, returnees after readmission, who do not speak the Serbian language, a special programme of the course of Serbian as a </w:t>
      </w:r>
      <w:r w:rsidR="00F0661D" w:rsidRPr="00D62D04">
        <w:rPr>
          <w:sz w:val="24"/>
          <w:szCs w:val="24"/>
          <w:lang w:val="en-GB"/>
        </w:rPr>
        <w:t>F</w:t>
      </w:r>
      <w:r w:rsidRPr="00D62D04">
        <w:rPr>
          <w:sz w:val="24"/>
          <w:szCs w:val="24"/>
          <w:lang w:val="en-GB"/>
        </w:rPr>
        <w:t xml:space="preserve">oreign </w:t>
      </w:r>
      <w:r w:rsidR="00F0661D" w:rsidRPr="00D62D04">
        <w:rPr>
          <w:sz w:val="24"/>
          <w:szCs w:val="24"/>
          <w:lang w:val="en-GB"/>
        </w:rPr>
        <w:t>L</w:t>
      </w:r>
      <w:r w:rsidRPr="00D62D04">
        <w:rPr>
          <w:sz w:val="24"/>
          <w:szCs w:val="24"/>
          <w:lang w:val="en-GB"/>
        </w:rPr>
        <w:t xml:space="preserve">anguage has been prepared. Standards of </w:t>
      </w:r>
      <w:r w:rsidR="00D206FF" w:rsidRPr="00D62D04">
        <w:rPr>
          <w:sz w:val="24"/>
          <w:szCs w:val="24"/>
          <w:lang w:val="en-GB"/>
        </w:rPr>
        <w:t>academic</w:t>
      </w:r>
      <w:r w:rsidRPr="00D62D04">
        <w:rPr>
          <w:sz w:val="24"/>
          <w:szCs w:val="24"/>
          <w:lang w:val="en-GB"/>
        </w:rPr>
        <w:t xml:space="preserve"> achievements for all levels of learning were developed for this </w:t>
      </w:r>
      <w:r w:rsidR="00D206FF" w:rsidRPr="00D62D04">
        <w:rPr>
          <w:sz w:val="24"/>
          <w:szCs w:val="24"/>
          <w:lang w:val="en-GB"/>
        </w:rPr>
        <w:t>course</w:t>
      </w:r>
      <w:r w:rsidRPr="00D62D04">
        <w:rPr>
          <w:sz w:val="24"/>
          <w:szCs w:val="24"/>
          <w:lang w:val="en-GB"/>
        </w:rPr>
        <w:t xml:space="preserve">, and a </w:t>
      </w:r>
      <w:r w:rsidR="00D206FF" w:rsidRPr="00D62D04">
        <w:rPr>
          <w:sz w:val="24"/>
          <w:szCs w:val="24"/>
          <w:lang w:val="en-GB"/>
        </w:rPr>
        <w:t>handbook</w:t>
      </w:r>
      <w:r w:rsidRPr="00D62D04">
        <w:rPr>
          <w:sz w:val="24"/>
          <w:szCs w:val="24"/>
          <w:lang w:val="en-GB"/>
        </w:rPr>
        <w:t xml:space="preserve"> was created for teachers who encounter students </w:t>
      </w:r>
      <w:r w:rsidR="00D206FF" w:rsidRPr="00D62D04">
        <w:rPr>
          <w:sz w:val="24"/>
          <w:szCs w:val="24"/>
          <w:lang w:val="en-GB"/>
        </w:rPr>
        <w:t xml:space="preserve">in their work </w:t>
      </w:r>
      <w:r w:rsidRPr="00D62D04">
        <w:rPr>
          <w:sz w:val="24"/>
          <w:szCs w:val="24"/>
          <w:lang w:val="en-GB"/>
        </w:rPr>
        <w:t xml:space="preserve">whose native language is </w:t>
      </w:r>
      <w:r w:rsidR="00D206FF" w:rsidRPr="00D62D04">
        <w:rPr>
          <w:sz w:val="24"/>
          <w:szCs w:val="24"/>
          <w:lang w:val="en-GB"/>
        </w:rPr>
        <w:t xml:space="preserve">not </w:t>
      </w:r>
      <w:r w:rsidRPr="00D62D04">
        <w:rPr>
          <w:sz w:val="24"/>
          <w:szCs w:val="24"/>
          <w:lang w:val="en-GB"/>
        </w:rPr>
        <w:t xml:space="preserve">Serbian. As a special form of support, training was provided under the </w:t>
      </w:r>
      <w:r w:rsidR="008637DF" w:rsidRPr="00D62D04">
        <w:rPr>
          <w:sz w:val="24"/>
          <w:szCs w:val="24"/>
          <w:lang w:val="en-GB"/>
        </w:rPr>
        <w:t>title</w:t>
      </w:r>
      <w:r w:rsidRPr="00D62D04">
        <w:rPr>
          <w:sz w:val="24"/>
          <w:szCs w:val="24"/>
          <w:lang w:val="en-GB"/>
        </w:rPr>
        <w:t xml:space="preserve"> Teacher Training Program</w:t>
      </w:r>
      <w:r w:rsidR="008637DF" w:rsidRPr="00D62D04">
        <w:rPr>
          <w:sz w:val="24"/>
          <w:szCs w:val="24"/>
          <w:lang w:val="en-GB"/>
        </w:rPr>
        <w:t>me</w:t>
      </w:r>
      <w:r w:rsidRPr="00D62D04">
        <w:rPr>
          <w:sz w:val="24"/>
          <w:szCs w:val="24"/>
          <w:lang w:val="en-GB"/>
        </w:rPr>
        <w:t xml:space="preserve"> for the Implementation of the Standards and Teaching and Learning Program</w:t>
      </w:r>
      <w:r w:rsidR="008637DF" w:rsidRPr="00D62D04">
        <w:rPr>
          <w:sz w:val="24"/>
          <w:szCs w:val="24"/>
          <w:lang w:val="en-GB"/>
        </w:rPr>
        <w:t>me</w:t>
      </w:r>
      <w:r w:rsidRPr="00D62D04">
        <w:rPr>
          <w:sz w:val="24"/>
          <w:szCs w:val="24"/>
          <w:lang w:val="en-GB"/>
        </w:rPr>
        <w:t xml:space="preserve"> for Serbian as a Foreign Language, which will continue during the current school year. The website of the Institute for the Improvement of Education and Training contains all relevant documents, information, tools and resources that provide support in improving teaching practice to teachers who teach in the languages ​​of national minorities, to teachers who teach </w:t>
      </w:r>
      <w:r w:rsidR="00F0661D" w:rsidRPr="00D62D04">
        <w:rPr>
          <w:sz w:val="24"/>
          <w:szCs w:val="24"/>
          <w:lang w:val="en-GB"/>
        </w:rPr>
        <w:t>Serbian as Non-Native Language</w:t>
      </w:r>
      <w:r w:rsidRPr="00D62D04">
        <w:rPr>
          <w:sz w:val="24"/>
          <w:szCs w:val="24"/>
          <w:lang w:val="en-GB"/>
        </w:rPr>
        <w:t xml:space="preserve"> and Serbian as a </w:t>
      </w:r>
      <w:r w:rsidR="00F0661D" w:rsidRPr="00D62D04">
        <w:rPr>
          <w:sz w:val="24"/>
          <w:szCs w:val="24"/>
          <w:lang w:val="en-GB"/>
        </w:rPr>
        <w:t>F</w:t>
      </w:r>
      <w:r w:rsidRPr="00D62D04">
        <w:rPr>
          <w:sz w:val="24"/>
          <w:szCs w:val="24"/>
          <w:lang w:val="en-GB"/>
        </w:rPr>
        <w:t xml:space="preserve">oreign </w:t>
      </w:r>
      <w:r w:rsidR="00F0661D" w:rsidRPr="00D62D04">
        <w:rPr>
          <w:sz w:val="24"/>
          <w:szCs w:val="24"/>
          <w:lang w:val="en-GB"/>
        </w:rPr>
        <w:t>L</w:t>
      </w:r>
      <w:r w:rsidRPr="00D62D04">
        <w:rPr>
          <w:sz w:val="24"/>
          <w:szCs w:val="24"/>
          <w:lang w:val="en-GB"/>
        </w:rPr>
        <w:t>anguage.</w:t>
      </w:r>
    </w:p>
    <w:p w14:paraId="050D698D" w14:textId="5D619757" w:rsidR="003D65C6" w:rsidRPr="00D62D04" w:rsidRDefault="003D65C6" w:rsidP="003D65C6">
      <w:pPr>
        <w:spacing w:after="0"/>
        <w:ind w:firstLine="720"/>
        <w:jc w:val="both"/>
        <w:rPr>
          <w:sz w:val="24"/>
          <w:szCs w:val="24"/>
          <w:lang w:val="en-GB"/>
        </w:rPr>
      </w:pPr>
      <w:r w:rsidRPr="00D62D04">
        <w:rPr>
          <w:sz w:val="24"/>
          <w:szCs w:val="24"/>
          <w:lang w:val="en-GB"/>
        </w:rPr>
        <w:t xml:space="preserve">Bearing in mind the organisation of teaching according to the hybrid model, and in certain periods distance teaching, the Ministry, together with the OSCE Mission and with the significant support of educational advisers who reviewed the produced educational material, recorded 300 online lessons for the compulsory course of Serbian as a non-native language, according to models A and B, for students who attend classes in one of the 8 languages of national minorities. Filming was conducted in Subotica and </w:t>
      </w:r>
      <w:proofErr w:type="spellStart"/>
      <w:r w:rsidRPr="00D62D04">
        <w:rPr>
          <w:sz w:val="24"/>
          <w:szCs w:val="24"/>
          <w:lang w:val="en-GB"/>
        </w:rPr>
        <w:t>Bujanovac</w:t>
      </w:r>
      <w:proofErr w:type="spellEnd"/>
      <w:r w:rsidRPr="00D62D04">
        <w:rPr>
          <w:sz w:val="24"/>
          <w:szCs w:val="24"/>
          <w:lang w:val="en-GB"/>
        </w:rPr>
        <w:t>. Along with the RTS Planet's OTT platform, the recorded educational material is available to students who follow classes via the "My School" sub-website.</w:t>
      </w:r>
      <w:r w:rsidRPr="00D62D04">
        <w:rPr>
          <w:rStyle w:val="FootnoteReference"/>
          <w:sz w:val="24"/>
          <w:szCs w:val="24"/>
          <w:lang w:val="en-GB"/>
        </w:rPr>
        <w:footnoteReference w:id="68"/>
      </w:r>
    </w:p>
    <w:p w14:paraId="6E96F739" w14:textId="6D1A556B" w:rsidR="005F1D79" w:rsidRPr="00D62D04" w:rsidRDefault="005F1D79" w:rsidP="00364594">
      <w:pPr>
        <w:spacing w:after="0"/>
        <w:ind w:firstLine="720"/>
        <w:jc w:val="both"/>
        <w:rPr>
          <w:sz w:val="24"/>
          <w:szCs w:val="24"/>
          <w:lang w:val="en-GB"/>
        </w:rPr>
      </w:pPr>
      <w:r w:rsidRPr="00D62D04">
        <w:rPr>
          <w:sz w:val="24"/>
          <w:szCs w:val="24"/>
          <w:lang w:val="en-GB"/>
        </w:rPr>
        <w:t xml:space="preserve">Recognising the importance of improving the teaching of languages, both native and non-native, as well as foreign, within the process of affirming multilingualism in the AP of </w:t>
      </w:r>
      <w:proofErr w:type="spellStart"/>
      <w:r w:rsidRPr="00D62D04">
        <w:rPr>
          <w:sz w:val="24"/>
          <w:szCs w:val="24"/>
          <w:lang w:val="en-GB"/>
        </w:rPr>
        <w:t>Vojvodina</w:t>
      </w:r>
      <w:proofErr w:type="spellEnd"/>
      <w:r w:rsidRPr="00D62D04">
        <w:rPr>
          <w:sz w:val="24"/>
          <w:szCs w:val="24"/>
          <w:lang w:val="en-GB"/>
        </w:rPr>
        <w:t xml:space="preserve">, and with the aim of improving education in the languages of national minorities, the Pedagogical Institute of </w:t>
      </w:r>
      <w:proofErr w:type="spellStart"/>
      <w:r w:rsidRPr="00D62D04">
        <w:rPr>
          <w:sz w:val="24"/>
          <w:szCs w:val="24"/>
          <w:lang w:val="en-GB"/>
        </w:rPr>
        <w:t>Vojvodina</w:t>
      </w:r>
      <w:proofErr w:type="spellEnd"/>
      <w:r w:rsidRPr="00D62D04">
        <w:rPr>
          <w:sz w:val="24"/>
          <w:szCs w:val="24"/>
          <w:lang w:val="en-GB"/>
        </w:rPr>
        <w:t xml:space="preserve"> has designed an educational platform with a special section intended for teachers of the </w:t>
      </w:r>
      <w:r w:rsidR="00F0661D" w:rsidRPr="00D62D04">
        <w:rPr>
          <w:sz w:val="24"/>
          <w:szCs w:val="24"/>
          <w:lang w:val="en-GB"/>
        </w:rPr>
        <w:t>Serbian as Non-Native Language</w:t>
      </w:r>
      <w:r w:rsidRPr="00D62D04">
        <w:rPr>
          <w:rStyle w:val="FootnoteReference"/>
          <w:sz w:val="24"/>
          <w:szCs w:val="24"/>
          <w:lang w:val="en-GB"/>
        </w:rPr>
        <w:footnoteReference w:id="69"/>
      </w:r>
      <w:r w:rsidRPr="00D62D04">
        <w:rPr>
          <w:sz w:val="24"/>
          <w:szCs w:val="24"/>
          <w:lang w:val="en-GB"/>
        </w:rPr>
        <w:t xml:space="preserve">. The platform enables the networking of a total of 62 teachers of this subject as well as researchers and scientific workers who deal with language teaching methods. In addition, the platform enables the </w:t>
      </w:r>
      <w:r w:rsidRPr="00D62D04">
        <w:rPr>
          <w:sz w:val="24"/>
          <w:szCs w:val="24"/>
          <w:lang w:val="en-GB"/>
        </w:rPr>
        <w:lastRenderedPageBreak/>
        <w:t>e</w:t>
      </w:r>
      <w:r w:rsidR="00E3277A" w:rsidRPr="00D62D04">
        <w:rPr>
          <w:sz w:val="24"/>
          <w:szCs w:val="24"/>
          <w:lang w:val="en-GB"/>
        </w:rPr>
        <w:t>xchange of educational material</w:t>
      </w:r>
      <w:r w:rsidRPr="00D62D04">
        <w:rPr>
          <w:sz w:val="24"/>
          <w:szCs w:val="24"/>
          <w:lang w:val="en-GB"/>
        </w:rPr>
        <w:t xml:space="preserve"> that can be used directly and indirectly in the teaching of this subject in the first and second cycle of compulsory education and general secondary education, respecting the general standards of student achievement and in accordance with the Teaching and Learning Program</w:t>
      </w:r>
      <w:r w:rsidR="00E3277A" w:rsidRPr="00D62D04">
        <w:rPr>
          <w:sz w:val="24"/>
          <w:szCs w:val="24"/>
          <w:lang w:val="en-GB"/>
        </w:rPr>
        <w:t>me</w:t>
      </w:r>
      <w:r w:rsidRPr="00D62D04">
        <w:rPr>
          <w:sz w:val="24"/>
          <w:szCs w:val="24"/>
          <w:lang w:val="en-GB"/>
        </w:rPr>
        <w:t xml:space="preserve"> for the </w:t>
      </w:r>
      <w:r w:rsidR="00E3277A" w:rsidRPr="00D62D04">
        <w:rPr>
          <w:sz w:val="24"/>
          <w:szCs w:val="24"/>
          <w:lang w:val="en-GB"/>
        </w:rPr>
        <w:t>course of</w:t>
      </w:r>
      <w:r w:rsidRPr="00D62D04">
        <w:rPr>
          <w:sz w:val="24"/>
          <w:szCs w:val="24"/>
          <w:lang w:val="en-GB"/>
        </w:rPr>
        <w:t xml:space="preserve"> Serbian as </w:t>
      </w:r>
      <w:r w:rsidR="00EA2993" w:rsidRPr="00D62D04">
        <w:rPr>
          <w:sz w:val="24"/>
          <w:szCs w:val="24"/>
          <w:lang w:val="en-GB"/>
        </w:rPr>
        <w:t>N</w:t>
      </w:r>
      <w:r w:rsidRPr="00D62D04">
        <w:rPr>
          <w:sz w:val="24"/>
          <w:szCs w:val="24"/>
          <w:lang w:val="en-GB"/>
        </w:rPr>
        <w:t>on-</w:t>
      </w:r>
      <w:r w:rsidR="00EA2993" w:rsidRPr="00D62D04">
        <w:rPr>
          <w:sz w:val="24"/>
          <w:szCs w:val="24"/>
          <w:lang w:val="en-GB"/>
        </w:rPr>
        <w:t>N</w:t>
      </w:r>
      <w:r w:rsidR="00E3277A" w:rsidRPr="00D62D04">
        <w:rPr>
          <w:sz w:val="24"/>
          <w:szCs w:val="24"/>
          <w:lang w:val="en-GB"/>
        </w:rPr>
        <w:t xml:space="preserve">ative </w:t>
      </w:r>
      <w:r w:rsidR="00EA2993" w:rsidRPr="00D62D04">
        <w:rPr>
          <w:sz w:val="24"/>
          <w:szCs w:val="24"/>
          <w:lang w:val="en-GB"/>
        </w:rPr>
        <w:t>L</w:t>
      </w:r>
      <w:r w:rsidR="00E3277A" w:rsidRPr="00D62D04">
        <w:rPr>
          <w:sz w:val="24"/>
          <w:szCs w:val="24"/>
          <w:lang w:val="en-GB"/>
        </w:rPr>
        <w:t xml:space="preserve">anguage </w:t>
      </w:r>
      <w:r w:rsidRPr="00D62D04">
        <w:rPr>
          <w:sz w:val="24"/>
          <w:szCs w:val="24"/>
          <w:lang w:val="en-GB"/>
        </w:rPr>
        <w:t>for the first and second cycles of compulsory education and general secondary education. Also, the platform provides the possibility of discus</w:t>
      </w:r>
      <w:r w:rsidR="00611BA4" w:rsidRPr="00D62D04">
        <w:rPr>
          <w:sz w:val="24"/>
          <w:szCs w:val="24"/>
          <w:lang w:val="en-GB"/>
        </w:rPr>
        <w:t>sion and exchange of experience</w:t>
      </w:r>
      <w:r w:rsidRPr="00D62D04">
        <w:rPr>
          <w:sz w:val="24"/>
          <w:szCs w:val="24"/>
          <w:lang w:val="en-GB"/>
        </w:rPr>
        <w:t xml:space="preserve"> and examples of good practice between users of the platform. The platform also published the results of research on ways to improve the teaching of </w:t>
      </w:r>
      <w:r w:rsidR="00EA2993" w:rsidRPr="00D62D04">
        <w:rPr>
          <w:sz w:val="24"/>
          <w:szCs w:val="24"/>
          <w:lang w:val="en-GB"/>
        </w:rPr>
        <w:t>Serbian as Non-Native Language</w:t>
      </w:r>
      <w:r w:rsidRPr="00D62D04">
        <w:rPr>
          <w:sz w:val="24"/>
          <w:szCs w:val="24"/>
          <w:lang w:val="en-GB"/>
        </w:rPr>
        <w:t>.</w:t>
      </w:r>
    </w:p>
    <w:p w14:paraId="30973DF8" w14:textId="77777777" w:rsidR="001B63DC" w:rsidRPr="00D62D04" w:rsidRDefault="001B63DC" w:rsidP="00364594">
      <w:pPr>
        <w:spacing w:after="0"/>
        <w:ind w:firstLine="720"/>
        <w:jc w:val="both"/>
        <w:rPr>
          <w:sz w:val="24"/>
          <w:szCs w:val="24"/>
          <w:lang w:val="en-GB"/>
        </w:rPr>
      </w:pPr>
      <w:r w:rsidRPr="00D62D04">
        <w:rPr>
          <w:sz w:val="24"/>
          <w:szCs w:val="24"/>
          <w:lang w:val="en-GB"/>
        </w:rPr>
        <w:t xml:space="preserve">As part of the Platform for Teachers of Serbian as a Non-Native Language programme, the Pedagogical Institute of </w:t>
      </w:r>
      <w:proofErr w:type="spellStart"/>
      <w:r w:rsidRPr="00D62D04">
        <w:rPr>
          <w:sz w:val="24"/>
          <w:szCs w:val="24"/>
          <w:lang w:val="en-GB"/>
        </w:rPr>
        <w:t>Vojvodina</w:t>
      </w:r>
      <w:proofErr w:type="spellEnd"/>
      <w:r w:rsidRPr="00D62D04">
        <w:rPr>
          <w:sz w:val="24"/>
          <w:szCs w:val="24"/>
          <w:lang w:val="en-GB"/>
        </w:rPr>
        <w:t xml:space="preserve">, together with the Provincial Secretariat for Education, Regulations, Administration and National Minorities - National Communities, organised a conference on the </w:t>
      </w:r>
      <w:r w:rsidR="0037292D" w:rsidRPr="00D62D04">
        <w:rPr>
          <w:i/>
          <w:sz w:val="24"/>
          <w:szCs w:val="24"/>
          <w:lang w:val="en-GB"/>
        </w:rPr>
        <w:t>T</w:t>
      </w:r>
      <w:r w:rsidRPr="00D62D04">
        <w:rPr>
          <w:i/>
          <w:sz w:val="24"/>
          <w:szCs w:val="24"/>
          <w:lang w:val="en-GB"/>
        </w:rPr>
        <w:t xml:space="preserve">heoretical and </w:t>
      </w:r>
      <w:r w:rsidR="0037292D" w:rsidRPr="00D62D04">
        <w:rPr>
          <w:i/>
          <w:sz w:val="24"/>
          <w:szCs w:val="24"/>
          <w:lang w:val="en-GB"/>
        </w:rPr>
        <w:t>M</w:t>
      </w:r>
      <w:r w:rsidRPr="00D62D04">
        <w:rPr>
          <w:i/>
          <w:sz w:val="24"/>
          <w:szCs w:val="24"/>
          <w:lang w:val="en-GB"/>
        </w:rPr>
        <w:t xml:space="preserve">ethodological </w:t>
      </w:r>
      <w:r w:rsidR="0037292D" w:rsidRPr="00D62D04">
        <w:rPr>
          <w:i/>
          <w:sz w:val="24"/>
          <w:szCs w:val="24"/>
          <w:lang w:val="en-GB"/>
        </w:rPr>
        <w:t>F</w:t>
      </w:r>
      <w:r w:rsidRPr="00D62D04">
        <w:rPr>
          <w:i/>
          <w:sz w:val="24"/>
          <w:szCs w:val="24"/>
          <w:lang w:val="en-GB"/>
        </w:rPr>
        <w:t xml:space="preserve">ramework of </w:t>
      </w:r>
      <w:r w:rsidR="0037292D" w:rsidRPr="00D62D04">
        <w:rPr>
          <w:i/>
          <w:sz w:val="24"/>
          <w:szCs w:val="24"/>
          <w:lang w:val="en-GB"/>
        </w:rPr>
        <w:t>L</w:t>
      </w:r>
      <w:r w:rsidRPr="00D62D04">
        <w:rPr>
          <w:i/>
          <w:sz w:val="24"/>
          <w:szCs w:val="24"/>
          <w:lang w:val="en-GB"/>
        </w:rPr>
        <w:t xml:space="preserve">anguage </w:t>
      </w:r>
      <w:r w:rsidR="0037292D" w:rsidRPr="00D62D04">
        <w:rPr>
          <w:i/>
          <w:sz w:val="24"/>
          <w:szCs w:val="24"/>
          <w:lang w:val="en-GB"/>
        </w:rPr>
        <w:t>T</w:t>
      </w:r>
      <w:r w:rsidRPr="00D62D04">
        <w:rPr>
          <w:i/>
          <w:sz w:val="24"/>
          <w:szCs w:val="24"/>
          <w:lang w:val="en-GB"/>
        </w:rPr>
        <w:t xml:space="preserve">eaching in </w:t>
      </w:r>
      <w:r w:rsidR="0037292D" w:rsidRPr="00D62D04">
        <w:rPr>
          <w:i/>
          <w:sz w:val="24"/>
          <w:szCs w:val="24"/>
          <w:lang w:val="en-GB"/>
        </w:rPr>
        <w:t>P</w:t>
      </w:r>
      <w:r w:rsidRPr="00D62D04">
        <w:rPr>
          <w:i/>
          <w:sz w:val="24"/>
          <w:szCs w:val="24"/>
          <w:lang w:val="en-GB"/>
        </w:rPr>
        <w:t xml:space="preserve">rimary </w:t>
      </w:r>
      <w:r w:rsidR="0037292D" w:rsidRPr="00D62D04">
        <w:rPr>
          <w:i/>
          <w:sz w:val="24"/>
          <w:szCs w:val="24"/>
          <w:lang w:val="en-GB"/>
        </w:rPr>
        <w:t>S</w:t>
      </w:r>
      <w:r w:rsidRPr="00D62D04">
        <w:rPr>
          <w:i/>
          <w:sz w:val="24"/>
          <w:szCs w:val="24"/>
          <w:lang w:val="en-GB"/>
        </w:rPr>
        <w:t xml:space="preserve">chools for </w:t>
      </w:r>
      <w:r w:rsidR="0037292D" w:rsidRPr="00D62D04">
        <w:rPr>
          <w:i/>
          <w:sz w:val="24"/>
          <w:szCs w:val="24"/>
          <w:lang w:val="en-GB"/>
        </w:rPr>
        <w:t>T</w:t>
      </w:r>
      <w:r w:rsidRPr="00D62D04">
        <w:rPr>
          <w:i/>
          <w:sz w:val="24"/>
          <w:szCs w:val="24"/>
          <w:lang w:val="en-GB"/>
        </w:rPr>
        <w:t xml:space="preserve">eachers of the Serbian </w:t>
      </w:r>
      <w:r w:rsidR="0037292D" w:rsidRPr="00D62D04">
        <w:rPr>
          <w:i/>
          <w:sz w:val="24"/>
          <w:szCs w:val="24"/>
          <w:lang w:val="en-GB"/>
        </w:rPr>
        <w:t>L</w:t>
      </w:r>
      <w:r w:rsidRPr="00D62D04">
        <w:rPr>
          <w:i/>
          <w:sz w:val="24"/>
          <w:szCs w:val="24"/>
          <w:lang w:val="en-GB"/>
        </w:rPr>
        <w:t xml:space="preserve">anguage, Serbian as a </w:t>
      </w:r>
      <w:r w:rsidR="0037292D" w:rsidRPr="00D62D04">
        <w:rPr>
          <w:i/>
          <w:sz w:val="24"/>
          <w:szCs w:val="24"/>
          <w:lang w:val="en-GB"/>
        </w:rPr>
        <w:t>N</w:t>
      </w:r>
      <w:r w:rsidRPr="00D62D04">
        <w:rPr>
          <w:i/>
          <w:sz w:val="24"/>
          <w:szCs w:val="24"/>
          <w:lang w:val="en-GB"/>
        </w:rPr>
        <w:t>on-</w:t>
      </w:r>
      <w:r w:rsidR="0037292D" w:rsidRPr="00D62D04">
        <w:rPr>
          <w:i/>
          <w:sz w:val="24"/>
          <w:szCs w:val="24"/>
          <w:lang w:val="en-GB"/>
        </w:rPr>
        <w:t>N</w:t>
      </w:r>
      <w:r w:rsidRPr="00D62D04">
        <w:rPr>
          <w:i/>
          <w:sz w:val="24"/>
          <w:szCs w:val="24"/>
          <w:lang w:val="en-GB"/>
        </w:rPr>
        <w:t xml:space="preserve">ative </w:t>
      </w:r>
      <w:r w:rsidR="0037292D" w:rsidRPr="00D62D04">
        <w:rPr>
          <w:i/>
          <w:sz w:val="24"/>
          <w:szCs w:val="24"/>
          <w:lang w:val="en-GB"/>
        </w:rPr>
        <w:t>L</w:t>
      </w:r>
      <w:r w:rsidRPr="00D62D04">
        <w:rPr>
          <w:i/>
          <w:sz w:val="24"/>
          <w:szCs w:val="24"/>
          <w:lang w:val="en-GB"/>
        </w:rPr>
        <w:t xml:space="preserve">anguage and the English </w:t>
      </w:r>
      <w:r w:rsidR="0037292D" w:rsidRPr="00D62D04">
        <w:rPr>
          <w:i/>
          <w:sz w:val="24"/>
          <w:szCs w:val="24"/>
          <w:lang w:val="en-GB"/>
        </w:rPr>
        <w:t>L</w:t>
      </w:r>
      <w:r w:rsidRPr="00D62D04">
        <w:rPr>
          <w:i/>
          <w:sz w:val="24"/>
          <w:szCs w:val="24"/>
          <w:lang w:val="en-GB"/>
        </w:rPr>
        <w:t>anguage</w:t>
      </w:r>
      <w:r w:rsidRPr="00D62D04">
        <w:rPr>
          <w:sz w:val="24"/>
          <w:szCs w:val="24"/>
          <w:lang w:val="en-GB"/>
        </w:rPr>
        <w:t xml:space="preserve">. The </w:t>
      </w:r>
      <w:r w:rsidR="0037292D" w:rsidRPr="00D62D04">
        <w:rPr>
          <w:sz w:val="24"/>
          <w:szCs w:val="24"/>
          <w:lang w:val="en-GB"/>
        </w:rPr>
        <w:t>conference</w:t>
      </w:r>
      <w:r w:rsidRPr="00D62D04">
        <w:rPr>
          <w:sz w:val="24"/>
          <w:szCs w:val="24"/>
          <w:lang w:val="en-GB"/>
        </w:rPr>
        <w:t xml:space="preserve"> is part of the research on teachers' needs for acquiring new and strengthening existing competencies important for improving and moderni</w:t>
      </w:r>
      <w:r w:rsidR="00806B2C" w:rsidRPr="00D62D04">
        <w:rPr>
          <w:sz w:val="24"/>
          <w:szCs w:val="24"/>
          <w:lang w:val="en-GB"/>
        </w:rPr>
        <w:t>s</w:t>
      </w:r>
      <w:r w:rsidRPr="00D62D04">
        <w:rPr>
          <w:sz w:val="24"/>
          <w:szCs w:val="24"/>
          <w:lang w:val="en-GB"/>
        </w:rPr>
        <w:t xml:space="preserve">ing the educational process through professional training, in order to improve the educational process in </w:t>
      </w:r>
      <w:proofErr w:type="spellStart"/>
      <w:r w:rsidRPr="00D62D04">
        <w:rPr>
          <w:sz w:val="24"/>
          <w:szCs w:val="24"/>
          <w:lang w:val="en-GB"/>
        </w:rPr>
        <w:t>Vojvodina</w:t>
      </w:r>
      <w:proofErr w:type="spellEnd"/>
      <w:r w:rsidRPr="00D62D04">
        <w:rPr>
          <w:sz w:val="24"/>
          <w:szCs w:val="24"/>
          <w:lang w:val="en-GB"/>
        </w:rPr>
        <w:t xml:space="preserve">. 56 teachers of Serbian, Hungarian and English languages ​​in primary schools in 17 cities </w:t>
      </w:r>
      <w:r w:rsidR="00806B2C" w:rsidRPr="00D62D04">
        <w:rPr>
          <w:sz w:val="24"/>
          <w:szCs w:val="24"/>
          <w:lang w:val="en-GB"/>
        </w:rPr>
        <w:t>i</w:t>
      </w:r>
      <w:r w:rsidRPr="00D62D04">
        <w:rPr>
          <w:sz w:val="24"/>
          <w:szCs w:val="24"/>
          <w:lang w:val="en-GB"/>
        </w:rPr>
        <w:t xml:space="preserve">n the territory of </w:t>
      </w:r>
      <w:r w:rsidR="00806B2C" w:rsidRPr="00D62D04">
        <w:rPr>
          <w:sz w:val="24"/>
          <w:szCs w:val="24"/>
          <w:lang w:val="en-GB"/>
        </w:rPr>
        <w:t xml:space="preserve">the </w:t>
      </w:r>
      <w:r w:rsidRPr="00D62D04">
        <w:rPr>
          <w:sz w:val="24"/>
          <w:szCs w:val="24"/>
          <w:lang w:val="en-GB"/>
        </w:rPr>
        <w:t xml:space="preserve">AP </w:t>
      </w:r>
      <w:r w:rsidR="00806B2C" w:rsidRPr="00D62D04">
        <w:rPr>
          <w:sz w:val="24"/>
          <w:szCs w:val="24"/>
          <w:lang w:val="en-GB"/>
        </w:rPr>
        <w:t xml:space="preserve">of </w:t>
      </w:r>
      <w:proofErr w:type="spellStart"/>
      <w:r w:rsidRPr="00D62D04">
        <w:rPr>
          <w:sz w:val="24"/>
          <w:szCs w:val="24"/>
          <w:lang w:val="en-GB"/>
        </w:rPr>
        <w:t>Vojvodina</w:t>
      </w:r>
      <w:proofErr w:type="spellEnd"/>
      <w:r w:rsidRPr="00D62D04">
        <w:rPr>
          <w:sz w:val="24"/>
          <w:szCs w:val="24"/>
          <w:lang w:val="en-GB"/>
        </w:rPr>
        <w:t xml:space="preserve"> were surveyed. </w:t>
      </w:r>
      <w:r w:rsidR="00806B2C" w:rsidRPr="00D62D04">
        <w:rPr>
          <w:sz w:val="24"/>
          <w:szCs w:val="24"/>
          <w:lang w:val="en-GB"/>
        </w:rPr>
        <w:t>In addition to showing that language teachers in primary schools improve professionally at seminars and training sessions, and that they use the acquired knowledge in teaching, t</w:t>
      </w:r>
      <w:r w:rsidRPr="00D62D04">
        <w:rPr>
          <w:sz w:val="24"/>
          <w:szCs w:val="24"/>
          <w:lang w:val="en-GB"/>
        </w:rPr>
        <w:t xml:space="preserve">he </w:t>
      </w:r>
      <w:r w:rsidR="00806B2C" w:rsidRPr="00D62D04">
        <w:rPr>
          <w:sz w:val="24"/>
          <w:szCs w:val="24"/>
          <w:lang w:val="en-GB"/>
        </w:rPr>
        <w:t xml:space="preserve">data obtained in this research </w:t>
      </w:r>
      <w:r w:rsidRPr="00D62D04">
        <w:rPr>
          <w:sz w:val="24"/>
          <w:szCs w:val="24"/>
          <w:lang w:val="en-GB"/>
        </w:rPr>
        <w:t xml:space="preserve">also show their great interest in further </w:t>
      </w:r>
      <w:r w:rsidR="00806B2C" w:rsidRPr="00D62D04">
        <w:rPr>
          <w:sz w:val="24"/>
          <w:szCs w:val="24"/>
          <w:lang w:val="en-GB"/>
        </w:rPr>
        <w:t>professional development</w:t>
      </w:r>
      <w:r w:rsidRPr="00D62D04">
        <w:rPr>
          <w:sz w:val="24"/>
          <w:szCs w:val="24"/>
          <w:lang w:val="en-GB"/>
        </w:rPr>
        <w:t>. However, when asked in which areas they would improve professionally, teachers most often g</w:t>
      </w:r>
      <w:r w:rsidR="00415394" w:rsidRPr="00D62D04">
        <w:rPr>
          <w:sz w:val="24"/>
          <w:szCs w:val="24"/>
          <w:lang w:val="en-GB"/>
        </w:rPr>
        <w:t xml:space="preserve">ave general answers. Therefore, </w:t>
      </w:r>
      <w:r w:rsidRPr="00D62D04">
        <w:rPr>
          <w:sz w:val="24"/>
          <w:szCs w:val="24"/>
          <w:lang w:val="en-GB"/>
        </w:rPr>
        <w:t>the specification of topics or fields of further improvement should be guided by professional monitoring and a systematic plan. The data also show that teachers are very rarely authors/co-authors or implementers of professional development program</w:t>
      </w:r>
      <w:r w:rsidR="003C35D4" w:rsidRPr="00D62D04">
        <w:rPr>
          <w:sz w:val="24"/>
          <w:szCs w:val="24"/>
          <w:lang w:val="en-GB"/>
        </w:rPr>
        <w:t>me</w:t>
      </w:r>
      <w:r w:rsidRPr="00D62D04">
        <w:rPr>
          <w:sz w:val="24"/>
          <w:szCs w:val="24"/>
          <w:lang w:val="en-GB"/>
        </w:rPr>
        <w:t>s or authors/co-authors of professional articles/textbooks, and it is necessary to strengthen them in that field and motivate them with this kind of professional engagement.</w:t>
      </w:r>
    </w:p>
    <w:p w14:paraId="35311B1A" w14:textId="77777777" w:rsidR="002A0116" w:rsidRPr="00D62D04" w:rsidRDefault="002A0116" w:rsidP="00E72ED5">
      <w:pPr>
        <w:spacing w:after="0"/>
        <w:ind w:firstLine="720"/>
        <w:jc w:val="both"/>
        <w:rPr>
          <w:sz w:val="24"/>
          <w:szCs w:val="24"/>
          <w:lang w:val="en-GB"/>
        </w:rPr>
      </w:pPr>
      <w:r w:rsidRPr="00D62D04">
        <w:rPr>
          <w:sz w:val="24"/>
          <w:szCs w:val="24"/>
          <w:lang w:val="en-GB"/>
        </w:rPr>
        <w:t>The education development strategy plans to develop new and improve all existing teaching and learning programmes in primary and secondary education of all subjects, among which are teaching and learning programmes in the language and script of national minorities by cycle (first and second cycle of basic education, general secondary education and the general education part in secondary vocational education), as well as the Mother Tongue/Speech with Elements of National Culture programme.</w:t>
      </w:r>
    </w:p>
    <w:p w14:paraId="37E97D47" w14:textId="03F7D06E" w:rsidR="00E87816" w:rsidRPr="00D62D04" w:rsidRDefault="00E87816" w:rsidP="00E72ED5">
      <w:pPr>
        <w:spacing w:after="0"/>
        <w:ind w:firstLine="720"/>
        <w:jc w:val="both"/>
        <w:rPr>
          <w:sz w:val="24"/>
          <w:szCs w:val="24"/>
          <w:lang w:val="en-GB"/>
        </w:rPr>
      </w:pPr>
      <w:r w:rsidRPr="00D62D04">
        <w:rPr>
          <w:sz w:val="24"/>
          <w:szCs w:val="24"/>
          <w:lang w:val="en-GB"/>
        </w:rPr>
        <w:t>The Institute for the Evaluation of the Quality of Education and Training conducts professional work in the field of monitoring and evaluation of the degree of achievement of the goals of education and training, performance standards by levels and types of education, through four organisational units: Centre for Quality Assurance of Institutions, Centre for Examinations, Centre for International, national tests and research and development activities and the Centre for Educational Technology. Part of the competence of the Examination Cent</w:t>
      </w:r>
      <w:r w:rsidR="004422D4" w:rsidRPr="00D62D04">
        <w:rPr>
          <w:sz w:val="24"/>
          <w:szCs w:val="24"/>
          <w:lang w:val="en-GB"/>
        </w:rPr>
        <w:t>re</w:t>
      </w:r>
      <w:r w:rsidRPr="00D62D04">
        <w:rPr>
          <w:sz w:val="24"/>
          <w:szCs w:val="24"/>
          <w:lang w:val="en-GB"/>
        </w:rPr>
        <w:t xml:space="preserve"> refers to the final examination at the end of primary education, which has been implemente</w:t>
      </w:r>
      <w:r w:rsidR="004422D4" w:rsidRPr="00D62D04">
        <w:rPr>
          <w:sz w:val="24"/>
          <w:szCs w:val="24"/>
          <w:lang w:val="en-GB"/>
        </w:rPr>
        <w:t>d since the 2010/11 school year</w:t>
      </w:r>
      <w:r w:rsidRPr="00D62D04">
        <w:rPr>
          <w:sz w:val="24"/>
          <w:szCs w:val="24"/>
          <w:lang w:val="en-GB"/>
        </w:rPr>
        <w:t xml:space="preserve"> in eight languages of national minorities - Albanian, Bosnian, Bulgarian, Hungarian, Romanian, </w:t>
      </w:r>
      <w:proofErr w:type="spellStart"/>
      <w:r w:rsidRPr="00D62D04">
        <w:rPr>
          <w:sz w:val="24"/>
          <w:szCs w:val="24"/>
          <w:lang w:val="en-GB"/>
        </w:rPr>
        <w:t>Ruthenian</w:t>
      </w:r>
      <w:proofErr w:type="spellEnd"/>
      <w:r w:rsidRPr="00D62D04">
        <w:rPr>
          <w:sz w:val="24"/>
          <w:szCs w:val="24"/>
          <w:lang w:val="en-GB"/>
        </w:rPr>
        <w:t xml:space="preserve">, Slovak and Croatian. The institute prepares tests in the mother tongue, while the tasks for the </w:t>
      </w:r>
      <w:r w:rsidR="004422D4" w:rsidRPr="00D62D04">
        <w:rPr>
          <w:sz w:val="24"/>
          <w:szCs w:val="24"/>
          <w:lang w:val="en-GB"/>
        </w:rPr>
        <w:t>M</w:t>
      </w:r>
      <w:r w:rsidRPr="00D62D04">
        <w:rPr>
          <w:sz w:val="24"/>
          <w:szCs w:val="24"/>
          <w:lang w:val="en-GB"/>
        </w:rPr>
        <w:t xml:space="preserve">athematics test and for the combined test are translated into the mentioned languages. Students, members of national minorities, receive all </w:t>
      </w:r>
      <w:r w:rsidRPr="00D62D04">
        <w:rPr>
          <w:sz w:val="24"/>
          <w:szCs w:val="24"/>
          <w:lang w:val="en-GB"/>
        </w:rPr>
        <w:lastRenderedPageBreak/>
        <w:t xml:space="preserve">these tests in June and August, as well as </w:t>
      </w:r>
      <w:r w:rsidR="004422D4" w:rsidRPr="00D62D04">
        <w:rPr>
          <w:sz w:val="24"/>
          <w:szCs w:val="24"/>
          <w:lang w:val="en-GB"/>
        </w:rPr>
        <w:t xml:space="preserve">tests </w:t>
      </w:r>
      <w:r w:rsidRPr="00D62D04">
        <w:rPr>
          <w:sz w:val="24"/>
          <w:szCs w:val="24"/>
          <w:lang w:val="en-GB"/>
        </w:rPr>
        <w:t>for trial testing. In addition, the Institute for the Evaluation of the Quality of Education publishes collections of tasks for the preparation of the final exam in native languages</w:t>
      </w:r>
      <w:r w:rsidR="00F02AF8" w:rsidRPr="00D62D04">
        <w:rPr>
          <w:sz w:val="24"/>
          <w:szCs w:val="24"/>
          <w:lang w:val="en-GB"/>
        </w:rPr>
        <w:t xml:space="preserve"> every year</w:t>
      </w:r>
      <w:r w:rsidRPr="00D62D04">
        <w:rPr>
          <w:sz w:val="24"/>
          <w:szCs w:val="24"/>
          <w:lang w:val="en-GB"/>
        </w:rPr>
        <w:t xml:space="preserve">. At the same time, </w:t>
      </w:r>
      <w:r w:rsidR="00F02AF8" w:rsidRPr="00D62D04">
        <w:rPr>
          <w:sz w:val="24"/>
          <w:szCs w:val="24"/>
          <w:lang w:val="en-GB"/>
        </w:rPr>
        <w:t xml:space="preserve">the Institute creates a test for the final exam in the native language of the participants </w:t>
      </w:r>
      <w:r w:rsidRPr="00D62D04">
        <w:rPr>
          <w:sz w:val="24"/>
          <w:szCs w:val="24"/>
          <w:lang w:val="en-GB"/>
        </w:rPr>
        <w:t>for adult participants,</w:t>
      </w:r>
      <w:r w:rsidR="00F02AF8" w:rsidRPr="00D62D04">
        <w:rPr>
          <w:sz w:val="24"/>
          <w:szCs w:val="24"/>
          <w:lang w:val="en-GB"/>
        </w:rPr>
        <w:t xml:space="preserve"> members of national minorities</w:t>
      </w:r>
      <w:r w:rsidRPr="00D62D04">
        <w:rPr>
          <w:sz w:val="24"/>
          <w:szCs w:val="24"/>
          <w:lang w:val="en-GB"/>
        </w:rPr>
        <w:t xml:space="preserve"> attend</w:t>
      </w:r>
      <w:r w:rsidR="00F02AF8" w:rsidRPr="00D62D04">
        <w:rPr>
          <w:sz w:val="24"/>
          <w:szCs w:val="24"/>
          <w:lang w:val="en-GB"/>
        </w:rPr>
        <w:t>ing</w:t>
      </w:r>
      <w:r w:rsidRPr="00D62D04">
        <w:rPr>
          <w:sz w:val="24"/>
          <w:szCs w:val="24"/>
          <w:lang w:val="en-GB"/>
        </w:rPr>
        <w:t xml:space="preserve"> the program</w:t>
      </w:r>
      <w:r w:rsidR="00F02AF8" w:rsidRPr="00D62D04">
        <w:rPr>
          <w:sz w:val="24"/>
          <w:szCs w:val="24"/>
          <w:lang w:val="en-GB"/>
        </w:rPr>
        <w:t>me</w:t>
      </w:r>
      <w:r w:rsidRPr="00D62D04">
        <w:rPr>
          <w:sz w:val="24"/>
          <w:szCs w:val="24"/>
          <w:lang w:val="en-GB"/>
        </w:rPr>
        <w:t xml:space="preserve"> for funct</w:t>
      </w:r>
      <w:r w:rsidR="00F02AF8" w:rsidRPr="00D62D04">
        <w:rPr>
          <w:sz w:val="24"/>
          <w:szCs w:val="24"/>
          <w:lang w:val="en-GB"/>
        </w:rPr>
        <w:t>ional basic education of adults</w:t>
      </w:r>
      <w:r w:rsidRPr="00D62D04">
        <w:rPr>
          <w:sz w:val="24"/>
          <w:szCs w:val="24"/>
          <w:lang w:val="en-GB"/>
        </w:rPr>
        <w:t>.</w:t>
      </w:r>
    </w:p>
    <w:p w14:paraId="1377D58D" w14:textId="0E048425" w:rsidR="004C0FE5" w:rsidRPr="00D62D04" w:rsidRDefault="004C0FE5" w:rsidP="00E72ED5">
      <w:pPr>
        <w:spacing w:after="0"/>
        <w:ind w:firstLine="720"/>
        <w:jc w:val="both"/>
        <w:rPr>
          <w:sz w:val="24"/>
          <w:szCs w:val="24"/>
          <w:lang w:val="en-GB"/>
        </w:rPr>
      </w:pPr>
      <w:r w:rsidRPr="00D62D04">
        <w:rPr>
          <w:sz w:val="24"/>
          <w:szCs w:val="24"/>
          <w:lang w:val="en-GB"/>
        </w:rPr>
        <w:t xml:space="preserve">In the Centre for the Quality Assurance of Institutions, in the previous period General </w:t>
      </w:r>
      <w:r w:rsidR="00504E55" w:rsidRPr="00D62D04">
        <w:rPr>
          <w:sz w:val="24"/>
          <w:szCs w:val="24"/>
          <w:lang w:val="en-GB"/>
        </w:rPr>
        <w:t>Performance</w:t>
      </w:r>
      <w:r w:rsidRPr="00D62D04">
        <w:rPr>
          <w:sz w:val="24"/>
          <w:szCs w:val="24"/>
          <w:lang w:val="en-GB"/>
        </w:rPr>
        <w:t xml:space="preserve"> Standards for the end of compulsory education for the </w:t>
      </w:r>
      <w:r w:rsidR="00504E55" w:rsidRPr="00D62D04">
        <w:rPr>
          <w:sz w:val="24"/>
          <w:szCs w:val="24"/>
          <w:lang w:val="en-GB"/>
        </w:rPr>
        <w:t>Course</w:t>
      </w:r>
      <w:r w:rsidRPr="00D62D04">
        <w:rPr>
          <w:sz w:val="24"/>
          <w:szCs w:val="24"/>
          <w:lang w:val="en-GB"/>
        </w:rPr>
        <w:t xml:space="preserve"> Mother Language and Literature (2016) and General Standards for the end of general secondary education and secondary vocational education for the subject Mother Language and Literature (201</w:t>
      </w:r>
      <w:r w:rsidR="00504E55" w:rsidRPr="00D62D04">
        <w:rPr>
          <w:sz w:val="24"/>
          <w:szCs w:val="24"/>
          <w:lang w:val="en-GB"/>
        </w:rPr>
        <w:t>8</w:t>
      </w:r>
      <w:r w:rsidRPr="00D62D04">
        <w:rPr>
          <w:sz w:val="24"/>
          <w:szCs w:val="24"/>
          <w:lang w:val="en-GB"/>
        </w:rPr>
        <w:t>) were developed</w:t>
      </w:r>
      <w:r w:rsidR="00504E55" w:rsidRPr="00D62D04">
        <w:rPr>
          <w:sz w:val="24"/>
          <w:szCs w:val="24"/>
          <w:lang w:val="en-GB"/>
        </w:rPr>
        <w:t xml:space="preserve"> </w:t>
      </w:r>
      <w:r w:rsidRPr="00D62D04">
        <w:rPr>
          <w:sz w:val="24"/>
          <w:szCs w:val="24"/>
          <w:lang w:val="en-GB"/>
        </w:rPr>
        <w:t xml:space="preserve">and handbooks in the languages of national minorities were also published: Bosnian; Romanian; Slovakian; </w:t>
      </w:r>
      <w:proofErr w:type="spellStart"/>
      <w:r w:rsidRPr="00D62D04">
        <w:rPr>
          <w:sz w:val="24"/>
          <w:szCs w:val="24"/>
          <w:lang w:val="en-GB"/>
        </w:rPr>
        <w:t>Ruthenian</w:t>
      </w:r>
      <w:proofErr w:type="spellEnd"/>
      <w:r w:rsidRPr="00D62D04">
        <w:rPr>
          <w:sz w:val="24"/>
          <w:szCs w:val="24"/>
          <w:lang w:val="en-GB"/>
        </w:rPr>
        <w:t>; Hungarian; Croatian; Albanian; Bulgarian. Training</w:t>
      </w:r>
      <w:r w:rsidR="00504E55" w:rsidRPr="00D62D04">
        <w:rPr>
          <w:sz w:val="24"/>
          <w:szCs w:val="24"/>
          <w:lang w:val="en-GB"/>
        </w:rPr>
        <w:t xml:space="preserve"> </w:t>
      </w:r>
      <w:r w:rsidRPr="00D62D04">
        <w:rPr>
          <w:sz w:val="24"/>
          <w:szCs w:val="24"/>
          <w:lang w:val="en-GB"/>
        </w:rPr>
        <w:t>s</w:t>
      </w:r>
      <w:r w:rsidR="00504E55" w:rsidRPr="00D62D04">
        <w:rPr>
          <w:sz w:val="24"/>
          <w:szCs w:val="24"/>
          <w:lang w:val="en-GB"/>
        </w:rPr>
        <w:t>essions</w:t>
      </w:r>
      <w:r w:rsidRPr="00D62D04">
        <w:rPr>
          <w:sz w:val="24"/>
          <w:szCs w:val="24"/>
          <w:lang w:val="en-GB"/>
        </w:rPr>
        <w:t xml:space="preserve"> for the implementation of standards were held during 2019. General </w:t>
      </w:r>
      <w:r w:rsidR="008427BA" w:rsidRPr="00D62D04">
        <w:rPr>
          <w:sz w:val="24"/>
          <w:szCs w:val="24"/>
          <w:lang w:val="en-GB"/>
        </w:rPr>
        <w:t>performance</w:t>
      </w:r>
      <w:r w:rsidRPr="00D62D04">
        <w:rPr>
          <w:sz w:val="24"/>
          <w:szCs w:val="24"/>
          <w:lang w:val="en-GB"/>
        </w:rPr>
        <w:t xml:space="preserve"> standards for the Mother Tongue for the end of the first</w:t>
      </w:r>
      <w:r w:rsidR="008427BA" w:rsidRPr="00D62D04">
        <w:rPr>
          <w:sz w:val="24"/>
          <w:szCs w:val="24"/>
          <w:lang w:val="en-GB"/>
        </w:rPr>
        <w:t xml:space="preserve"> cycle of primary education </w:t>
      </w:r>
      <w:r w:rsidRPr="00D62D04">
        <w:rPr>
          <w:sz w:val="24"/>
          <w:szCs w:val="24"/>
          <w:lang w:val="en-GB"/>
        </w:rPr>
        <w:t xml:space="preserve">were developed in 2020, and handbooks in the languages of national minorities were published for: Romanian; Hungarian; Croatian; Bulgarian; Bosnian; Albanian; Slovakian; </w:t>
      </w:r>
      <w:proofErr w:type="spellStart"/>
      <w:r w:rsidRPr="00D62D04">
        <w:rPr>
          <w:sz w:val="24"/>
          <w:szCs w:val="24"/>
          <w:lang w:val="en-GB"/>
        </w:rPr>
        <w:t>Ruthenian</w:t>
      </w:r>
      <w:proofErr w:type="spellEnd"/>
      <w:r w:rsidRPr="00D62D04">
        <w:rPr>
          <w:sz w:val="24"/>
          <w:szCs w:val="24"/>
          <w:lang w:val="en-GB"/>
        </w:rPr>
        <w:t xml:space="preserve"> language</w:t>
      </w:r>
      <w:r w:rsidR="008427BA" w:rsidRPr="00D62D04">
        <w:rPr>
          <w:sz w:val="24"/>
          <w:szCs w:val="24"/>
          <w:lang w:val="en-GB"/>
        </w:rPr>
        <w:t>s</w:t>
      </w:r>
      <w:r w:rsidRPr="00D62D04">
        <w:rPr>
          <w:sz w:val="24"/>
          <w:szCs w:val="24"/>
          <w:lang w:val="en-GB"/>
        </w:rPr>
        <w:t xml:space="preserve">. In 2020, 40 training sessions were held, attended by 953 teachers: Romanian language (31); Hungarian language (403); Croatian language (16); Bulgarian language (41); Bosnian language (285); Albanian language (124); Slovak language (39); </w:t>
      </w:r>
      <w:proofErr w:type="spellStart"/>
      <w:r w:rsidRPr="00D62D04">
        <w:rPr>
          <w:sz w:val="24"/>
          <w:szCs w:val="24"/>
          <w:lang w:val="en-GB"/>
        </w:rPr>
        <w:t>Ruthenian</w:t>
      </w:r>
      <w:proofErr w:type="spellEnd"/>
      <w:r w:rsidRPr="00D62D04">
        <w:rPr>
          <w:sz w:val="24"/>
          <w:szCs w:val="24"/>
          <w:lang w:val="en-GB"/>
        </w:rPr>
        <w:t xml:space="preserve"> language (14).</w:t>
      </w:r>
    </w:p>
    <w:p w14:paraId="77484402" w14:textId="77777777" w:rsidR="00A73706" w:rsidRPr="00D62D04" w:rsidRDefault="00A73706" w:rsidP="00E72ED5">
      <w:pPr>
        <w:spacing w:after="0"/>
        <w:ind w:firstLine="720"/>
        <w:jc w:val="both"/>
        <w:rPr>
          <w:sz w:val="24"/>
          <w:szCs w:val="24"/>
          <w:lang w:val="en-GB"/>
        </w:rPr>
      </w:pPr>
      <w:r w:rsidRPr="00D62D04">
        <w:rPr>
          <w:sz w:val="24"/>
          <w:szCs w:val="24"/>
          <w:lang w:val="en-GB"/>
        </w:rPr>
        <w:t>After the state of emergency caused by the COVID-19 pandemic was declared in the country in 2020, the education system of the Republic of Serbia successfully organised educational work through distance learning in the Serbian language and in eight languages of national minorities. In the preparation and implementation of educational content during the state of emergency, as well as during the 2020/21 and 2021/22 school years, more than 400 teachers participated, and 7,077 educational programmes were recorded in eight languages of national minorities.</w:t>
      </w:r>
    </w:p>
    <w:p w14:paraId="2A65ED00" w14:textId="77777777" w:rsidR="00301E60" w:rsidRPr="00D62D04" w:rsidRDefault="00301E60" w:rsidP="00E72ED5">
      <w:pPr>
        <w:spacing w:after="0"/>
        <w:ind w:firstLine="720"/>
        <w:jc w:val="both"/>
        <w:rPr>
          <w:sz w:val="24"/>
          <w:szCs w:val="24"/>
          <w:lang w:val="en-GB"/>
        </w:rPr>
      </w:pPr>
      <w:r w:rsidRPr="00D62D04">
        <w:rPr>
          <w:sz w:val="24"/>
          <w:szCs w:val="24"/>
          <w:lang w:val="en-GB"/>
        </w:rPr>
        <w:t>In 2022, the Centre for International, National Examinations and Development and Research is planning to implement the PISA 2022 research, which includes testing students in the Hungarian language. The Centre also prepares reports for each school showing the results of the students from the final exam, which are used for self-evaluation and improvement of the school's work. At the national level, two reports are prepared: a report on the results of the final exam for students who took the exam in the Serbian language and a report for students belonging to national minorities. These reports should help to take systemic measures to improve the quality of education for all students in the Republic of Serbia.</w:t>
      </w:r>
    </w:p>
    <w:p w14:paraId="2341DE9C" w14:textId="77777777" w:rsidR="00256089" w:rsidRPr="00D62D04" w:rsidRDefault="00256089" w:rsidP="004E4D6B">
      <w:pPr>
        <w:spacing w:after="0"/>
        <w:ind w:firstLine="720"/>
        <w:jc w:val="both"/>
        <w:rPr>
          <w:sz w:val="24"/>
          <w:szCs w:val="24"/>
          <w:lang w:val="en-GB"/>
        </w:rPr>
      </w:pPr>
      <w:r w:rsidRPr="00D62D04">
        <w:rPr>
          <w:sz w:val="24"/>
          <w:szCs w:val="24"/>
          <w:lang w:val="en-GB"/>
        </w:rPr>
        <w:t>In the a</w:t>
      </w:r>
      <w:r w:rsidR="009213D9" w:rsidRPr="00D62D04">
        <w:rPr>
          <w:sz w:val="24"/>
          <w:szCs w:val="24"/>
          <w:lang w:val="en-GB"/>
        </w:rPr>
        <w:t>ddendum</w:t>
      </w:r>
      <w:r w:rsidRPr="00D62D04">
        <w:rPr>
          <w:sz w:val="24"/>
          <w:szCs w:val="24"/>
          <w:lang w:val="en-GB"/>
        </w:rPr>
        <w:t xml:space="preserve"> for the preparation of this report, the Society for </w:t>
      </w:r>
      <w:proofErr w:type="spellStart"/>
      <w:r w:rsidRPr="00D62D04">
        <w:rPr>
          <w:sz w:val="24"/>
          <w:szCs w:val="24"/>
          <w:lang w:val="en-GB"/>
        </w:rPr>
        <w:t>Ruthenian</w:t>
      </w:r>
      <w:proofErr w:type="spellEnd"/>
      <w:r w:rsidRPr="00D62D04">
        <w:rPr>
          <w:sz w:val="24"/>
          <w:szCs w:val="24"/>
          <w:lang w:val="en-GB"/>
        </w:rPr>
        <w:t xml:space="preserve"> Language, Literature and Culture states that for many years it has been taking care of raising the linguistic culture of children and students in cooperation with competent institutions. </w:t>
      </w:r>
      <w:r w:rsidR="009213D9" w:rsidRPr="00D62D04">
        <w:rPr>
          <w:sz w:val="24"/>
          <w:szCs w:val="24"/>
          <w:lang w:val="en-GB"/>
        </w:rPr>
        <w:t>As early as in</w:t>
      </w:r>
      <w:r w:rsidRPr="00D62D04">
        <w:rPr>
          <w:sz w:val="24"/>
          <w:szCs w:val="24"/>
          <w:lang w:val="en-GB"/>
        </w:rPr>
        <w:t xml:space="preserve"> 1996, the society started implementing the project </w:t>
      </w:r>
      <w:r w:rsidR="009213D9" w:rsidRPr="00D62D04">
        <w:rPr>
          <w:sz w:val="24"/>
          <w:szCs w:val="24"/>
          <w:lang w:val="en-GB"/>
        </w:rPr>
        <w:t xml:space="preserve">entitled </w:t>
      </w:r>
      <w:r w:rsidRPr="00D62D04">
        <w:rPr>
          <w:sz w:val="24"/>
          <w:szCs w:val="24"/>
          <w:lang w:val="en-GB"/>
        </w:rPr>
        <w:t xml:space="preserve">"Development and </w:t>
      </w:r>
      <w:r w:rsidR="009213D9" w:rsidRPr="00D62D04">
        <w:rPr>
          <w:sz w:val="24"/>
          <w:szCs w:val="24"/>
          <w:lang w:val="en-GB"/>
        </w:rPr>
        <w:t>I</w:t>
      </w:r>
      <w:r w:rsidRPr="00D62D04">
        <w:rPr>
          <w:sz w:val="24"/>
          <w:szCs w:val="24"/>
          <w:lang w:val="en-GB"/>
        </w:rPr>
        <w:t xml:space="preserve">mprovement of the </w:t>
      </w:r>
      <w:proofErr w:type="spellStart"/>
      <w:r w:rsidRPr="00D62D04">
        <w:rPr>
          <w:sz w:val="24"/>
          <w:szCs w:val="24"/>
          <w:lang w:val="en-GB"/>
        </w:rPr>
        <w:t>Ruthenian</w:t>
      </w:r>
      <w:proofErr w:type="spellEnd"/>
      <w:r w:rsidRPr="00D62D04">
        <w:rPr>
          <w:sz w:val="24"/>
          <w:szCs w:val="24"/>
          <w:lang w:val="en-GB"/>
        </w:rPr>
        <w:t xml:space="preserve"> </w:t>
      </w:r>
      <w:r w:rsidR="009213D9" w:rsidRPr="00D62D04">
        <w:rPr>
          <w:sz w:val="24"/>
          <w:szCs w:val="24"/>
          <w:lang w:val="en-GB"/>
        </w:rPr>
        <w:t>L</w:t>
      </w:r>
      <w:r w:rsidRPr="00D62D04">
        <w:rPr>
          <w:sz w:val="24"/>
          <w:szCs w:val="24"/>
          <w:lang w:val="en-GB"/>
        </w:rPr>
        <w:t xml:space="preserve">anguage of </w:t>
      </w:r>
      <w:r w:rsidR="009213D9" w:rsidRPr="00D62D04">
        <w:rPr>
          <w:sz w:val="24"/>
          <w:szCs w:val="24"/>
          <w:lang w:val="en-GB"/>
        </w:rPr>
        <w:t>C</w:t>
      </w:r>
      <w:r w:rsidRPr="00D62D04">
        <w:rPr>
          <w:sz w:val="24"/>
          <w:szCs w:val="24"/>
          <w:lang w:val="en-GB"/>
        </w:rPr>
        <w:t xml:space="preserve">hildren, </w:t>
      </w:r>
      <w:r w:rsidR="009213D9" w:rsidRPr="00D62D04">
        <w:rPr>
          <w:sz w:val="24"/>
          <w:szCs w:val="24"/>
          <w:lang w:val="en-GB"/>
        </w:rPr>
        <w:t>S</w:t>
      </w:r>
      <w:r w:rsidRPr="00D62D04">
        <w:rPr>
          <w:sz w:val="24"/>
          <w:szCs w:val="24"/>
          <w:lang w:val="en-GB"/>
        </w:rPr>
        <w:t xml:space="preserve">tudents and </w:t>
      </w:r>
      <w:r w:rsidR="009213D9" w:rsidRPr="00D62D04">
        <w:rPr>
          <w:sz w:val="24"/>
          <w:szCs w:val="24"/>
          <w:lang w:val="en-GB"/>
        </w:rPr>
        <w:t>Y</w:t>
      </w:r>
      <w:r w:rsidRPr="00D62D04">
        <w:rPr>
          <w:sz w:val="24"/>
          <w:szCs w:val="24"/>
          <w:lang w:val="en-GB"/>
        </w:rPr>
        <w:t>outh", which was evaluated as very successful and is still being implemented, and in the coming period</w:t>
      </w:r>
      <w:r w:rsidR="009213D9" w:rsidRPr="00D62D04">
        <w:rPr>
          <w:sz w:val="24"/>
          <w:szCs w:val="24"/>
          <w:lang w:val="en-GB"/>
        </w:rPr>
        <w:t>,</w:t>
      </w:r>
      <w:r w:rsidRPr="00D62D04">
        <w:rPr>
          <w:sz w:val="24"/>
          <w:szCs w:val="24"/>
          <w:lang w:val="en-GB"/>
        </w:rPr>
        <w:t xml:space="preserve"> it will be extended to the study of the </w:t>
      </w:r>
      <w:proofErr w:type="spellStart"/>
      <w:r w:rsidRPr="00D62D04">
        <w:rPr>
          <w:sz w:val="24"/>
          <w:szCs w:val="24"/>
          <w:lang w:val="en-GB"/>
        </w:rPr>
        <w:t>Ruthenian</w:t>
      </w:r>
      <w:proofErr w:type="spellEnd"/>
      <w:r w:rsidRPr="00D62D04">
        <w:rPr>
          <w:sz w:val="24"/>
          <w:szCs w:val="24"/>
          <w:lang w:val="en-GB"/>
        </w:rPr>
        <w:t xml:space="preserve"> language for </w:t>
      </w:r>
      <w:r w:rsidR="009213D9" w:rsidRPr="00D62D04">
        <w:rPr>
          <w:sz w:val="24"/>
          <w:szCs w:val="24"/>
          <w:lang w:val="en-GB"/>
        </w:rPr>
        <w:t xml:space="preserve">interested </w:t>
      </w:r>
      <w:r w:rsidRPr="00D62D04">
        <w:rPr>
          <w:sz w:val="24"/>
          <w:szCs w:val="24"/>
          <w:lang w:val="en-GB"/>
        </w:rPr>
        <w:t>adults. Since 2000, the society has been the organi</w:t>
      </w:r>
      <w:r w:rsidR="009213D9" w:rsidRPr="00D62D04">
        <w:rPr>
          <w:sz w:val="24"/>
          <w:szCs w:val="24"/>
          <w:lang w:val="en-GB"/>
        </w:rPr>
        <w:t>s</w:t>
      </w:r>
      <w:r w:rsidRPr="00D62D04">
        <w:rPr>
          <w:sz w:val="24"/>
          <w:szCs w:val="24"/>
          <w:lang w:val="en-GB"/>
        </w:rPr>
        <w:t xml:space="preserve">er of the national competition, and since 2009, the </w:t>
      </w:r>
      <w:r w:rsidR="009213D9" w:rsidRPr="00D62D04">
        <w:rPr>
          <w:sz w:val="24"/>
          <w:szCs w:val="24"/>
          <w:lang w:val="en-GB"/>
        </w:rPr>
        <w:t xml:space="preserve">organiser of the </w:t>
      </w:r>
      <w:proofErr w:type="spellStart"/>
      <w:r w:rsidRPr="00D62D04">
        <w:rPr>
          <w:sz w:val="24"/>
          <w:szCs w:val="24"/>
          <w:lang w:val="en-GB"/>
        </w:rPr>
        <w:t>interdistrict</w:t>
      </w:r>
      <w:proofErr w:type="spellEnd"/>
      <w:r w:rsidRPr="00D62D04">
        <w:rPr>
          <w:sz w:val="24"/>
          <w:szCs w:val="24"/>
          <w:lang w:val="en-GB"/>
        </w:rPr>
        <w:t xml:space="preserve"> competition in </w:t>
      </w:r>
      <w:proofErr w:type="spellStart"/>
      <w:r w:rsidRPr="00D62D04">
        <w:rPr>
          <w:sz w:val="24"/>
          <w:szCs w:val="24"/>
          <w:lang w:val="en-GB"/>
        </w:rPr>
        <w:t>Ruthenian</w:t>
      </w:r>
      <w:proofErr w:type="spellEnd"/>
      <w:r w:rsidRPr="00D62D04">
        <w:rPr>
          <w:sz w:val="24"/>
          <w:szCs w:val="24"/>
          <w:lang w:val="en-GB"/>
        </w:rPr>
        <w:t xml:space="preserve"> language and language culture for </w:t>
      </w:r>
      <w:r w:rsidR="009213D9" w:rsidRPr="00D62D04">
        <w:rPr>
          <w:sz w:val="24"/>
          <w:szCs w:val="24"/>
          <w:lang w:val="en-GB"/>
        </w:rPr>
        <w:t>primary</w:t>
      </w:r>
      <w:r w:rsidRPr="00D62D04">
        <w:rPr>
          <w:sz w:val="24"/>
          <w:szCs w:val="24"/>
          <w:lang w:val="en-GB"/>
        </w:rPr>
        <w:t xml:space="preserve"> school students. The publishing activity of the Society takes place within the framework of seven editions, namely: Education (published 12 </w:t>
      </w:r>
      <w:r w:rsidRPr="00D62D04">
        <w:rPr>
          <w:sz w:val="24"/>
          <w:szCs w:val="24"/>
          <w:lang w:val="en-GB"/>
        </w:rPr>
        <w:lastRenderedPageBreak/>
        <w:t xml:space="preserve">titles), Preschool education (10), Literature (10), Dictionaries (4), </w:t>
      </w:r>
      <w:r w:rsidR="009213D9" w:rsidRPr="00D62D04">
        <w:rPr>
          <w:sz w:val="24"/>
          <w:szCs w:val="24"/>
          <w:lang w:val="en-GB"/>
        </w:rPr>
        <w:t>Department</w:t>
      </w:r>
      <w:r w:rsidRPr="00D62D04">
        <w:rPr>
          <w:sz w:val="24"/>
          <w:szCs w:val="24"/>
          <w:lang w:val="en-GB"/>
        </w:rPr>
        <w:t xml:space="preserve"> (4), Artistic creati</w:t>
      </w:r>
      <w:r w:rsidR="009213D9" w:rsidRPr="00D62D04">
        <w:rPr>
          <w:sz w:val="24"/>
          <w:szCs w:val="24"/>
          <w:lang w:val="en-GB"/>
        </w:rPr>
        <w:t>vity</w:t>
      </w:r>
      <w:r w:rsidRPr="00D62D04">
        <w:rPr>
          <w:sz w:val="24"/>
          <w:szCs w:val="24"/>
          <w:lang w:val="en-GB"/>
        </w:rPr>
        <w:t xml:space="preserve"> (21), Stolen from oblivion (24). One of the most significant editions of the Society in 2022 will be the Orthography of the </w:t>
      </w:r>
      <w:proofErr w:type="spellStart"/>
      <w:r w:rsidRPr="00D62D04">
        <w:rPr>
          <w:sz w:val="24"/>
          <w:szCs w:val="24"/>
          <w:lang w:val="en-GB"/>
        </w:rPr>
        <w:t>Ruthenian</w:t>
      </w:r>
      <w:proofErr w:type="spellEnd"/>
      <w:r w:rsidRPr="00D62D04">
        <w:rPr>
          <w:sz w:val="24"/>
          <w:szCs w:val="24"/>
          <w:lang w:val="en-GB"/>
        </w:rPr>
        <w:t xml:space="preserve"> language with an orthographic dictionary.</w:t>
      </w:r>
    </w:p>
    <w:p w14:paraId="3105D6B2" w14:textId="77777777" w:rsidR="00E72ED5" w:rsidRPr="00D62D04" w:rsidRDefault="00E72ED5" w:rsidP="00E72ED5">
      <w:pPr>
        <w:spacing w:after="0"/>
        <w:jc w:val="both"/>
        <w:rPr>
          <w:sz w:val="24"/>
          <w:szCs w:val="24"/>
          <w:highlight w:val="cyan"/>
          <w:lang w:val="en-GB"/>
        </w:rPr>
      </w:pPr>
    </w:p>
    <w:p w14:paraId="480A4434" w14:textId="77777777" w:rsidR="000A76CB" w:rsidRPr="00D62D04" w:rsidRDefault="00E72ED5" w:rsidP="00E72ED5">
      <w:pPr>
        <w:spacing w:after="0"/>
        <w:jc w:val="both"/>
        <w:rPr>
          <w:i/>
          <w:sz w:val="24"/>
          <w:szCs w:val="24"/>
          <w:lang w:val="en-GB"/>
        </w:rPr>
      </w:pPr>
      <w:r w:rsidRPr="00D62D04">
        <w:rPr>
          <w:i/>
          <w:sz w:val="24"/>
          <w:szCs w:val="24"/>
          <w:lang w:val="en-GB"/>
        </w:rPr>
        <w:t xml:space="preserve">12. </w:t>
      </w:r>
      <w:r w:rsidR="000A76CB" w:rsidRPr="00D62D04">
        <w:rPr>
          <w:i/>
          <w:sz w:val="24"/>
          <w:szCs w:val="24"/>
          <w:lang w:val="en-GB"/>
        </w:rPr>
        <w:t>Monitor and periodically review the implementation of the Law on National Councils of National Minorities in consultation with the councils themselves, and commission an independent qualitative study on the functioning of the councils, including an assessment of their inclusivity, independence and representativeness, as well as their capacity to initiate intercultural dialogue and strengthen inter-ethnic relations; devise and implement new ways to represent and effectively include members of national minorities in the decision-making process at the local level, in all areas where national minorities traditionally live or where they live in large numbers, including larger cities, and further strengthen the resources allocated to the budget fund for national minorities in accordance with economic possibilities.</w:t>
      </w:r>
    </w:p>
    <w:p w14:paraId="4CE75B0D" w14:textId="77777777" w:rsidR="00E72ED5" w:rsidRPr="00D62D04" w:rsidRDefault="00E72ED5" w:rsidP="00E72ED5">
      <w:pPr>
        <w:spacing w:after="0"/>
        <w:jc w:val="both"/>
        <w:rPr>
          <w:i/>
          <w:sz w:val="24"/>
          <w:szCs w:val="24"/>
          <w:highlight w:val="cyan"/>
          <w:lang w:val="en-GB"/>
        </w:rPr>
      </w:pPr>
    </w:p>
    <w:p w14:paraId="629CEB98" w14:textId="77777777" w:rsidR="009179EC" w:rsidRPr="00D62D04" w:rsidRDefault="009179EC" w:rsidP="00E72ED5">
      <w:pPr>
        <w:spacing w:after="0"/>
        <w:ind w:firstLine="720"/>
        <w:jc w:val="both"/>
        <w:rPr>
          <w:sz w:val="24"/>
          <w:szCs w:val="24"/>
          <w:lang w:val="en-GB"/>
        </w:rPr>
      </w:pPr>
      <w:r w:rsidRPr="00D62D04">
        <w:rPr>
          <w:sz w:val="24"/>
          <w:szCs w:val="24"/>
          <w:lang w:val="en-GB"/>
        </w:rPr>
        <w:t>In order to continuously improve the exercise of the rights of members of national minorities, amendments to the Law on National Councils of National Minorities were adopted in June 2018. The reasons for the adoption of this law stemmed from the need to harmonise the Law with the decision of the Constitutional Court from January 2014, the need to harmonise certain solutions contained in this law and systemic laws that regulate certain areas of social life in which the councils exercise their powers, and the need to specify and regulate certain issues more closely. A special group of reasons for amendments to the Law were the recommendations of relevant international bodies, which were sent to the Republic of Serbia a contracting party as part of the monitoring of the implementation of international agreements on the protection of national minorities. In this sense, it should be emphasi</w:t>
      </w:r>
      <w:r w:rsidR="00270BA5" w:rsidRPr="00D62D04">
        <w:rPr>
          <w:sz w:val="24"/>
          <w:szCs w:val="24"/>
          <w:lang w:val="en-GB"/>
        </w:rPr>
        <w:t>s</w:t>
      </w:r>
      <w:r w:rsidRPr="00D62D04">
        <w:rPr>
          <w:sz w:val="24"/>
          <w:szCs w:val="24"/>
          <w:lang w:val="en-GB"/>
        </w:rPr>
        <w:t>ed that the Advisory Committee suggested that the amendments to the Law reduce the excessive politici</w:t>
      </w:r>
      <w:r w:rsidR="00270BA5" w:rsidRPr="00D62D04">
        <w:rPr>
          <w:sz w:val="24"/>
          <w:szCs w:val="24"/>
          <w:lang w:val="en-GB"/>
        </w:rPr>
        <w:t>s</w:t>
      </w:r>
      <w:r w:rsidRPr="00D62D04">
        <w:rPr>
          <w:sz w:val="24"/>
          <w:szCs w:val="24"/>
          <w:lang w:val="en-GB"/>
        </w:rPr>
        <w:t>ation of the national councils and ensure a kind of "</w:t>
      </w:r>
      <w:r w:rsidR="00270BA5" w:rsidRPr="00D62D04">
        <w:rPr>
          <w:sz w:val="24"/>
          <w:szCs w:val="24"/>
          <w:lang w:val="en-GB"/>
        </w:rPr>
        <w:t>division</w:t>
      </w:r>
      <w:r w:rsidRPr="00D62D04">
        <w:rPr>
          <w:sz w:val="24"/>
          <w:szCs w:val="24"/>
          <w:lang w:val="en-GB"/>
        </w:rPr>
        <w:t xml:space="preserve"> of power" in the national councils.</w:t>
      </w:r>
    </w:p>
    <w:p w14:paraId="3907194F" w14:textId="73BDDF75" w:rsidR="007C40DF" w:rsidRPr="00D62D04" w:rsidRDefault="007C40DF" w:rsidP="007C40DF">
      <w:pPr>
        <w:spacing w:after="0"/>
        <w:ind w:firstLine="720"/>
        <w:jc w:val="both"/>
        <w:rPr>
          <w:sz w:val="24"/>
          <w:szCs w:val="24"/>
          <w:lang w:val="en-GB"/>
        </w:rPr>
      </w:pPr>
      <w:r w:rsidRPr="00D62D04">
        <w:rPr>
          <w:sz w:val="24"/>
          <w:szCs w:val="24"/>
          <w:lang w:val="en-GB"/>
        </w:rPr>
        <w:t>Representatives of national minorities proposed by the Coordination of National Councils of National Minorities (an informal body made up of representatives of all national councils) participated in the work on amendments to the Law. The law has been translated</w:t>
      </w:r>
      <w:r w:rsidR="006D4E3D">
        <w:rPr>
          <w:sz w:val="24"/>
          <w:szCs w:val="24"/>
          <w:lang w:val="en-GB"/>
        </w:rPr>
        <w:t xml:space="preserve"> into English and 11 languages </w:t>
      </w:r>
      <w:r w:rsidRPr="00D62D04">
        <w:rPr>
          <w:sz w:val="24"/>
          <w:szCs w:val="24"/>
          <w:lang w:val="en-GB"/>
        </w:rPr>
        <w:t xml:space="preserve">of national minorities that are in official use. After the adoption of this </w:t>
      </w:r>
      <w:r w:rsidR="001E60DD" w:rsidRPr="00D62D04">
        <w:rPr>
          <w:sz w:val="24"/>
          <w:szCs w:val="24"/>
          <w:lang w:val="en-GB"/>
        </w:rPr>
        <w:t>L</w:t>
      </w:r>
      <w:r w:rsidRPr="00D62D04">
        <w:rPr>
          <w:sz w:val="24"/>
          <w:szCs w:val="24"/>
          <w:lang w:val="en-GB"/>
        </w:rPr>
        <w:t>aw, corresponding by-laws were adopted.</w:t>
      </w:r>
    </w:p>
    <w:p w14:paraId="6062C589" w14:textId="77777777" w:rsidR="007C40DF" w:rsidRPr="00D62D04" w:rsidRDefault="007C40DF" w:rsidP="007C40DF">
      <w:pPr>
        <w:spacing w:after="0"/>
        <w:ind w:firstLine="720"/>
        <w:jc w:val="both"/>
        <w:rPr>
          <w:sz w:val="24"/>
          <w:szCs w:val="24"/>
          <w:lang w:val="en-GB"/>
        </w:rPr>
      </w:pPr>
      <w:r w:rsidRPr="00D62D04">
        <w:rPr>
          <w:sz w:val="24"/>
          <w:szCs w:val="24"/>
          <w:lang w:val="en-GB"/>
        </w:rPr>
        <w:t xml:space="preserve">The monitoring of the legality of the work and acts of the national councils of national minorities continued. In the process of monitoring the work, individual national councils were sent </w:t>
      </w:r>
      <w:r w:rsidR="0049502D" w:rsidRPr="00D62D04">
        <w:rPr>
          <w:sz w:val="24"/>
          <w:szCs w:val="24"/>
          <w:lang w:val="en-GB"/>
        </w:rPr>
        <w:t xml:space="preserve">official </w:t>
      </w:r>
      <w:r w:rsidRPr="00D62D04">
        <w:rPr>
          <w:sz w:val="24"/>
          <w:szCs w:val="24"/>
          <w:lang w:val="en-GB"/>
        </w:rPr>
        <w:t>letters with instructions for action in order to eliminate the observed irregularities, which they acted on.</w:t>
      </w:r>
    </w:p>
    <w:p w14:paraId="484110CE" w14:textId="3C4924B6" w:rsidR="00907BCD" w:rsidRPr="00D62D04" w:rsidRDefault="00907BCD" w:rsidP="00E72ED5">
      <w:pPr>
        <w:spacing w:after="0"/>
        <w:ind w:firstLine="720"/>
        <w:jc w:val="both"/>
        <w:rPr>
          <w:sz w:val="24"/>
          <w:szCs w:val="24"/>
          <w:lang w:val="en-GB"/>
        </w:rPr>
      </w:pPr>
      <w:r w:rsidRPr="00D62D04">
        <w:rPr>
          <w:sz w:val="24"/>
          <w:szCs w:val="24"/>
          <w:lang w:val="en-GB"/>
        </w:rPr>
        <w:t>Bearing in mind that part of the observed, and unfortunately continuing shortcomings in the work of national councils, is related to the area of financial reporting and budget planning, the Office for Human and Minority Right</w:t>
      </w:r>
      <w:r w:rsidR="00E1316C" w:rsidRPr="00D62D04">
        <w:rPr>
          <w:sz w:val="24"/>
          <w:szCs w:val="24"/>
          <w:lang w:val="en-GB"/>
        </w:rPr>
        <w:t>s conducted additional training</w:t>
      </w:r>
      <w:r w:rsidRPr="00D62D04">
        <w:rPr>
          <w:sz w:val="24"/>
          <w:szCs w:val="24"/>
          <w:lang w:val="en-GB"/>
        </w:rPr>
        <w:t xml:space="preserve"> for national councils in this area in 2019. Training on the topic "Financial operations of national councils of national minorities" was carried out, the aim of which was to make national councils more familiar with the legislative and legal framework for financial operations and reporting. Withi</w:t>
      </w:r>
      <w:r w:rsidR="00E1316C" w:rsidRPr="00D62D04">
        <w:rPr>
          <w:sz w:val="24"/>
          <w:szCs w:val="24"/>
          <w:lang w:val="en-GB"/>
        </w:rPr>
        <w:t>n the framework of the training</w:t>
      </w:r>
      <w:r w:rsidRPr="00D62D04">
        <w:rPr>
          <w:sz w:val="24"/>
          <w:szCs w:val="24"/>
          <w:lang w:val="en-GB"/>
        </w:rPr>
        <w:t>, the processes and procedures of program</w:t>
      </w:r>
      <w:r w:rsidR="00E1316C" w:rsidRPr="00D62D04">
        <w:rPr>
          <w:sz w:val="24"/>
          <w:szCs w:val="24"/>
          <w:lang w:val="en-GB"/>
        </w:rPr>
        <w:t>me</w:t>
      </w:r>
      <w:r w:rsidRPr="00D62D04">
        <w:rPr>
          <w:sz w:val="24"/>
          <w:szCs w:val="24"/>
          <w:lang w:val="en-GB"/>
        </w:rPr>
        <w:t xml:space="preserve"> budgeting, adoption of the financial plan, financial reporting and financial control, procedures in case of established irregularities and/or inappropriate spending of funds, as well as the obligations and importance </w:t>
      </w:r>
      <w:r w:rsidRPr="00D62D04">
        <w:rPr>
          <w:sz w:val="24"/>
          <w:szCs w:val="24"/>
          <w:lang w:val="en-GB"/>
        </w:rPr>
        <w:lastRenderedPageBreak/>
        <w:t xml:space="preserve">of keeping financial documents were clarified. The training was also an opportunity to practically present to the representatives of the national councils the Guide for the </w:t>
      </w:r>
      <w:r w:rsidR="00E1316C" w:rsidRPr="00D62D04">
        <w:rPr>
          <w:sz w:val="24"/>
          <w:szCs w:val="24"/>
          <w:lang w:val="en-GB"/>
        </w:rPr>
        <w:t>F</w:t>
      </w:r>
      <w:r w:rsidRPr="00D62D04">
        <w:rPr>
          <w:sz w:val="24"/>
          <w:szCs w:val="24"/>
          <w:lang w:val="en-GB"/>
        </w:rPr>
        <w:t xml:space="preserve">inancial </w:t>
      </w:r>
      <w:r w:rsidR="00E1316C" w:rsidRPr="00D62D04">
        <w:rPr>
          <w:sz w:val="24"/>
          <w:szCs w:val="24"/>
          <w:lang w:val="en-GB"/>
        </w:rPr>
        <w:t>O</w:t>
      </w:r>
      <w:r w:rsidRPr="00D62D04">
        <w:rPr>
          <w:sz w:val="24"/>
          <w:szCs w:val="24"/>
          <w:lang w:val="en-GB"/>
        </w:rPr>
        <w:t xml:space="preserve">perations of the </w:t>
      </w:r>
      <w:r w:rsidR="00E1316C" w:rsidRPr="00D62D04">
        <w:rPr>
          <w:sz w:val="24"/>
          <w:szCs w:val="24"/>
          <w:lang w:val="en-GB"/>
        </w:rPr>
        <w:t>N</w:t>
      </w:r>
      <w:r w:rsidRPr="00D62D04">
        <w:rPr>
          <w:sz w:val="24"/>
          <w:szCs w:val="24"/>
          <w:lang w:val="en-GB"/>
        </w:rPr>
        <w:t xml:space="preserve">ational </w:t>
      </w:r>
      <w:r w:rsidR="00E1316C" w:rsidRPr="00D62D04">
        <w:rPr>
          <w:sz w:val="24"/>
          <w:szCs w:val="24"/>
          <w:lang w:val="en-GB"/>
        </w:rPr>
        <w:t>C</w:t>
      </w:r>
      <w:r w:rsidRPr="00D62D04">
        <w:rPr>
          <w:sz w:val="24"/>
          <w:szCs w:val="24"/>
          <w:lang w:val="en-GB"/>
        </w:rPr>
        <w:t xml:space="preserve">ouncils of </w:t>
      </w:r>
      <w:r w:rsidR="00E1316C" w:rsidRPr="00D62D04">
        <w:rPr>
          <w:sz w:val="24"/>
          <w:szCs w:val="24"/>
          <w:lang w:val="en-GB"/>
        </w:rPr>
        <w:t>N</w:t>
      </w:r>
      <w:r w:rsidRPr="00D62D04">
        <w:rPr>
          <w:sz w:val="24"/>
          <w:szCs w:val="24"/>
          <w:lang w:val="en-GB"/>
        </w:rPr>
        <w:t xml:space="preserve">ational </w:t>
      </w:r>
      <w:r w:rsidR="00E1316C" w:rsidRPr="00D62D04">
        <w:rPr>
          <w:sz w:val="24"/>
          <w:szCs w:val="24"/>
          <w:lang w:val="en-GB"/>
        </w:rPr>
        <w:t>M</w:t>
      </w:r>
      <w:r w:rsidRPr="00D62D04">
        <w:rPr>
          <w:sz w:val="24"/>
          <w:szCs w:val="24"/>
          <w:lang w:val="en-GB"/>
        </w:rPr>
        <w:t xml:space="preserve">inorities, which was prepared as part of the project </w:t>
      </w:r>
      <w:r w:rsidR="0029295E" w:rsidRPr="00D62D04">
        <w:rPr>
          <w:sz w:val="24"/>
          <w:szCs w:val="24"/>
          <w:lang w:val="en-GB"/>
        </w:rPr>
        <w:t xml:space="preserve">entitled </w:t>
      </w:r>
      <w:r w:rsidRPr="00D62D04">
        <w:rPr>
          <w:sz w:val="24"/>
          <w:szCs w:val="24"/>
          <w:lang w:val="en-GB"/>
        </w:rPr>
        <w:t xml:space="preserve">"Strengthening the </w:t>
      </w:r>
      <w:r w:rsidR="0029295E" w:rsidRPr="00D62D04">
        <w:rPr>
          <w:sz w:val="24"/>
          <w:szCs w:val="24"/>
          <w:lang w:val="en-GB"/>
        </w:rPr>
        <w:t>P</w:t>
      </w:r>
      <w:r w:rsidRPr="00D62D04">
        <w:rPr>
          <w:sz w:val="24"/>
          <w:szCs w:val="24"/>
          <w:lang w:val="en-GB"/>
        </w:rPr>
        <w:t xml:space="preserve">rotection of </w:t>
      </w:r>
      <w:r w:rsidR="0029295E" w:rsidRPr="00D62D04">
        <w:rPr>
          <w:sz w:val="24"/>
          <w:szCs w:val="24"/>
          <w:lang w:val="en-GB"/>
        </w:rPr>
        <w:t>N</w:t>
      </w:r>
      <w:r w:rsidRPr="00D62D04">
        <w:rPr>
          <w:sz w:val="24"/>
          <w:szCs w:val="24"/>
          <w:lang w:val="en-GB"/>
        </w:rPr>
        <w:t xml:space="preserve">ational </w:t>
      </w:r>
      <w:r w:rsidR="0029295E" w:rsidRPr="00D62D04">
        <w:rPr>
          <w:sz w:val="24"/>
          <w:szCs w:val="24"/>
          <w:lang w:val="en-GB"/>
        </w:rPr>
        <w:t>M</w:t>
      </w:r>
      <w:r w:rsidRPr="00D62D04">
        <w:rPr>
          <w:sz w:val="24"/>
          <w:szCs w:val="24"/>
          <w:lang w:val="en-GB"/>
        </w:rPr>
        <w:t>inorities in Serbia", in which, in addition to the basic instructions on operations, the models of acts and decisions required for the work of national councils</w:t>
      </w:r>
      <w:r w:rsidR="0029295E" w:rsidRPr="00D62D04">
        <w:rPr>
          <w:sz w:val="24"/>
          <w:szCs w:val="24"/>
          <w:lang w:val="en-GB"/>
        </w:rPr>
        <w:t xml:space="preserve"> were prepared</w:t>
      </w:r>
      <w:r w:rsidRPr="00D62D04">
        <w:rPr>
          <w:sz w:val="24"/>
          <w:szCs w:val="24"/>
          <w:lang w:val="en-GB"/>
        </w:rPr>
        <w:t>.</w:t>
      </w:r>
    </w:p>
    <w:p w14:paraId="032E883B" w14:textId="77777777" w:rsidR="00202AE3" w:rsidRPr="00D62D04" w:rsidRDefault="00E72ED5" w:rsidP="00202AE3">
      <w:pPr>
        <w:spacing w:after="0"/>
        <w:jc w:val="both"/>
        <w:rPr>
          <w:sz w:val="24"/>
          <w:szCs w:val="24"/>
          <w:lang w:val="en-GB"/>
        </w:rPr>
      </w:pPr>
      <w:r w:rsidRPr="00D62D04">
        <w:rPr>
          <w:sz w:val="24"/>
          <w:szCs w:val="24"/>
          <w:lang w:val="en-GB"/>
        </w:rPr>
        <w:tab/>
      </w:r>
      <w:r w:rsidR="00202AE3" w:rsidRPr="00D62D04">
        <w:rPr>
          <w:sz w:val="24"/>
          <w:szCs w:val="24"/>
          <w:lang w:val="en-GB"/>
        </w:rPr>
        <w:t>After a set of amendments to "minority laws" was adopted in 2018, among others, and the Law on National Councils of National Minorities, at the end of 2018, the text of the Analysis of the Application of Regulations in the Field of Human and Minority Rights Protection was drafted with an emphasis on the legislative practice of the surrounding countries.</w:t>
      </w:r>
    </w:p>
    <w:p w14:paraId="2B2CE74C" w14:textId="5E4E347D" w:rsidR="00202AE3" w:rsidRPr="00D62D04" w:rsidRDefault="00202AE3" w:rsidP="00202AE3">
      <w:pPr>
        <w:spacing w:after="0"/>
        <w:ind w:firstLine="720"/>
        <w:jc w:val="both"/>
        <w:rPr>
          <w:sz w:val="24"/>
          <w:szCs w:val="24"/>
          <w:lang w:val="en-GB"/>
        </w:rPr>
      </w:pPr>
      <w:r w:rsidRPr="00D62D04">
        <w:rPr>
          <w:sz w:val="24"/>
          <w:szCs w:val="24"/>
          <w:lang w:val="en-GB"/>
        </w:rPr>
        <w:t>After that, in order to continuously monitor the application of regulations, in 2020 the text of the Analysis of the Application of Regulations in the Field of Protection of Human and Minority Rights was prepared, which shows the results referring to the application and implementation of amendments to the Law on National Councils of National Minorities, the Law on the Protection of Rights and Freedoms of National Minorities and the Law on the Official Use of Languages and Scripts.</w:t>
      </w:r>
    </w:p>
    <w:p w14:paraId="74B21A5D" w14:textId="77777777" w:rsidR="005D0D55" w:rsidRPr="00D62D04" w:rsidRDefault="005D0D55" w:rsidP="00E72ED5">
      <w:pPr>
        <w:spacing w:after="0"/>
        <w:ind w:firstLine="720"/>
        <w:jc w:val="both"/>
        <w:rPr>
          <w:sz w:val="24"/>
          <w:szCs w:val="24"/>
          <w:lang w:val="en-GB"/>
        </w:rPr>
      </w:pPr>
      <w:r w:rsidRPr="00D62D04">
        <w:rPr>
          <w:sz w:val="24"/>
          <w:szCs w:val="24"/>
          <w:lang w:val="en-GB"/>
        </w:rPr>
        <w:t>Within the project entitled "Promotion of Diversity and Equality in Serbia", which is part of the joint programme of the European Union/Council of Europe "Horizontal Facility for the Western Balkans and Turkey 2019-2022", a "Handbook for the Work of National Councils of National Minorities in the Republic of Serbia" was prepared and presented on 14 April 2021. The main purpose of the Handbook is to become a useful tool for national councils of national minorities, to find practical examples in one place of acts that national councils of national minorities can adopt, in accordance with the regulations, as well as instructions on what steps and activities they should take in order to timely, completely and effectively exercised some of the public powers entrusted to them. The Handbook was delivered to all national councils and translated into 13 minority languages.</w:t>
      </w:r>
    </w:p>
    <w:p w14:paraId="6FAA44C3" w14:textId="77777777" w:rsidR="007C491F" w:rsidRPr="00D62D04" w:rsidRDefault="007C491F" w:rsidP="007C491F">
      <w:pPr>
        <w:spacing w:after="0"/>
        <w:ind w:firstLine="720"/>
        <w:jc w:val="both"/>
        <w:rPr>
          <w:sz w:val="24"/>
          <w:szCs w:val="24"/>
          <w:lang w:val="en-GB"/>
        </w:rPr>
      </w:pPr>
      <w:r w:rsidRPr="00D62D04">
        <w:rPr>
          <w:sz w:val="24"/>
          <w:szCs w:val="24"/>
          <w:lang w:val="en-GB"/>
        </w:rPr>
        <w:t>Cooperation with the Coordination of National Councils is continuously achieved regarding all issues of importance for the status of members of national minorities, i.e. the effective exercise of the powers of national councils of national minorities.</w:t>
      </w:r>
    </w:p>
    <w:p w14:paraId="721CEB17" w14:textId="72A370C0" w:rsidR="007C491F" w:rsidRPr="00D62D04" w:rsidRDefault="007C491F" w:rsidP="007C491F">
      <w:pPr>
        <w:spacing w:after="0"/>
        <w:ind w:firstLine="720"/>
        <w:jc w:val="both"/>
        <w:rPr>
          <w:sz w:val="24"/>
          <w:szCs w:val="24"/>
          <w:lang w:val="en-GB"/>
        </w:rPr>
      </w:pPr>
      <w:r w:rsidRPr="00D62D04">
        <w:rPr>
          <w:sz w:val="24"/>
          <w:szCs w:val="24"/>
          <w:lang w:val="en-GB"/>
        </w:rPr>
        <w:t>In order to continuously improve the exercise of the rights of members of national minorities and to observe the way in which national councils exercise their public powers granted by law, the Protector of Citizens conducted research in 2019 with the support of the OSCE Mission, in order to make recommendations based on the collected data and to assess the needs and opportunities for improving the work of national councils. Based on the given research, the Protector of Citizens prepared a special report entitled "Analysis of the Situation in the Field of Exercise of Public Powers of National Councils of National Minorities for the period 2014-2018",</w:t>
      </w:r>
      <w:r w:rsidRPr="00D62D04">
        <w:rPr>
          <w:rStyle w:val="FootnoteReference"/>
          <w:sz w:val="24"/>
          <w:szCs w:val="24"/>
          <w:lang w:val="en-GB"/>
        </w:rPr>
        <w:footnoteReference w:id="70"/>
      </w:r>
      <w:r w:rsidRPr="00D62D04">
        <w:rPr>
          <w:sz w:val="24"/>
          <w:szCs w:val="24"/>
          <w:lang w:val="en-GB"/>
        </w:rPr>
        <w:t xml:space="preserve"> which was presented in 2020.</w:t>
      </w:r>
    </w:p>
    <w:p w14:paraId="5A73D41B" w14:textId="77777777" w:rsidR="00BE56D6" w:rsidRPr="00D62D04" w:rsidRDefault="00BE56D6" w:rsidP="00D34941">
      <w:pPr>
        <w:spacing w:after="0"/>
        <w:ind w:firstLine="706"/>
        <w:jc w:val="both"/>
        <w:rPr>
          <w:noProof/>
          <w:sz w:val="24"/>
          <w:szCs w:val="24"/>
          <w:lang w:val="en-GB"/>
        </w:rPr>
      </w:pPr>
      <w:r w:rsidRPr="00D62D04">
        <w:rPr>
          <w:noProof/>
          <w:sz w:val="24"/>
          <w:szCs w:val="24"/>
          <w:lang w:val="en-GB"/>
        </w:rPr>
        <w:t xml:space="preserve">When it comes to the Budget Fund for National Minorities, in addition to the fact that funds from this fund have been continuously allocated since 2017 in accordance with the Regulation on the Procedure for Distributing Funds from the Budget Fund for National </w:t>
      </w:r>
      <w:r w:rsidRPr="00D62D04">
        <w:rPr>
          <w:noProof/>
          <w:sz w:val="24"/>
          <w:szCs w:val="24"/>
          <w:lang w:val="en-GB"/>
        </w:rPr>
        <w:lastRenderedPageBreak/>
        <w:t>Minorities</w:t>
      </w:r>
      <w:r w:rsidRPr="00D62D04">
        <w:rPr>
          <w:rStyle w:val="FootnoteReference"/>
          <w:noProof/>
          <w:sz w:val="24"/>
          <w:szCs w:val="24"/>
          <w:lang w:val="en-GB"/>
        </w:rPr>
        <w:footnoteReference w:id="71"/>
      </w:r>
      <w:r w:rsidRPr="00D62D04">
        <w:rPr>
          <w:noProof/>
          <w:sz w:val="24"/>
          <w:szCs w:val="24"/>
          <w:lang w:val="en-GB"/>
        </w:rPr>
        <w:t xml:space="preserve">, year after year the amount of these funds has continuously increased up until the outbreak of the COVID-19 pandemic. Thus, compared to the year 2017, in which funds from the Budget Fund for National Minorities were allocated in the amount of 1,800,000 dinars, in the following year of 2018, they were increased to 21,800,000 dinars, and from the budget for 2019, funds were allocated in the amount of 30,000,000 dinars. The budget of the Republic of Serbia for 2020 </w:t>
      </w:r>
      <w:r w:rsidR="00AD7E4A" w:rsidRPr="00D62D04">
        <w:rPr>
          <w:noProof/>
          <w:sz w:val="24"/>
          <w:szCs w:val="24"/>
          <w:lang w:val="en-GB"/>
        </w:rPr>
        <w:t>planned to</w:t>
      </w:r>
      <w:r w:rsidRPr="00D62D04">
        <w:rPr>
          <w:noProof/>
          <w:sz w:val="24"/>
          <w:szCs w:val="24"/>
          <w:lang w:val="en-GB"/>
        </w:rPr>
        <w:t xml:space="preserve"> allocate 30,000,000 dinars </w:t>
      </w:r>
      <w:r w:rsidR="00AD7E4A" w:rsidRPr="00D62D04">
        <w:rPr>
          <w:noProof/>
          <w:sz w:val="24"/>
          <w:szCs w:val="24"/>
          <w:lang w:val="en-GB"/>
        </w:rPr>
        <w:t>from the Budget Fund.</w:t>
      </w:r>
      <w:r w:rsidRPr="00D62D04">
        <w:rPr>
          <w:noProof/>
          <w:sz w:val="24"/>
          <w:szCs w:val="24"/>
          <w:lang w:val="en-GB"/>
        </w:rPr>
        <w:t xml:space="preserve"> </w:t>
      </w:r>
      <w:r w:rsidR="00AD7E4A" w:rsidRPr="00D62D04">
        <w:rPr>
          <w:noProof/>
          <w:sz w:val="24"/>
          <w:szCs w:val="24"/>
          <w:lang w:val="en-GB"/>
        </w:rPr>
        <w:t>H</w:t>
      </w:r>
      <w:r w:rsidRPr="00D62D04">
        <w:rPr>
          <w:noProof/>
          <w:sz w:val="24"/>
          <w:szCs w:val="24"/>
          <w:lang w:val="en-GB"/>
        </w:rPr>
        <w:t xml:space="preserve">owever, due to changes in general revenues and receipts, expenditures and </w:t>
      </w:r>
      <w:r w:rsidR="00CC0E4E" w:rsidRPr="00D62D04">
        <w:rPr>
          <w:noProof/>
          <w:sz w:val="24"/>
          <w:szCs w:val="24"/>
          <w:lang w:val="en-GB"/>
        </w:rPr>
        <w:t>costs</w:t>
      </w:r>
      <w:r w:rsidRPr="00D62D04">
        <w:rPr>
          <w:noProof/>
          <w:sz w:val="24"/>
          <w:szCs w:val="24"/>
          <w:lang w:val="en-GB"/>
        </w:rPr>
        <w:t xml:space="preserve"> of the budget of the Republic of Serbia for 2020 in order to eliminate the harmful consequences </w:t>
      </w:r>
      <w:r w:rsidR="00CC0E4E" w:rsidRPr="00D62D04">
        <w:rPr>
          <w:noProof/>
          <w:sz w:val="24"/>
          <w:szCs w:val="24"/>
          <w:lang w:val="en-GB"/>
        </w:rPr>
        <w:t>of the</w:t>
      </w:r>
      <w:r w:rsidRPr="00D62D04">
        <w:rPr>
          <w:noProof/>
          <w:sz w:val="24"/>
          <w:szCs w:val="24"/>
          <w:lang w:val="en-GB"/>
        </w:rPr>
        <w:t xml:space="preserve"> </w:t>
      </w:r>
      <w:r w:rsidR="00CC0E4E" w:rsidRPr="00D62D04">
        <w:rPr>
          <w:noProof/>
          <w:sz w:val="24"/>
          <w:szCs w:val="24"/>
          <w:lang w:val="en-GB"/>
        </w:rPr>
        <w:t>C</w:t>
      </w:r>
      <w:r w:rsidRPr="00D62D04">
        <w:rPr>
          <w:noProof/>
          <w:sz w:val="24"/>
          <w:szCs w:val="24"/>
          <w:lang w:val="en-GB"/>
        </w:rPr>
        <w:t>OVID-19</w:t>
      </w:r>
      <w:r w:rsidR="00CC0E4E" w:rsidRPr="00D62D04">
        <w:rPr>
          <w:noProof/>
          <w:sz w:val="24"/>
          <w:szCs w:val="24"/>
          <w:lang w:val="en-GB"/>
        </w:rPr>
        <w:t xml:space="preserve"> disease</w:t>
      </w:r>
      <w:r w:rsidRPr="00D62D04">
        <w:rPr>
          <w:noProof/>
          <w:sz w:val="24"/>
          <w:szCs w:val="24"/>
          <w:lang w:val="en-GB"/>
        </w:rPr>
        <w:t xml:space="preserve">, the funds approved in the budget for 2020 </w:t>
      </w:r>
      <w:r w:rsidR="00CC0E4E" w:rsidRPr="00D62D04">
        <w:rPr>
          <w:noProof/>
          <w:sz w:val="24"/>
          <w:szCs w:val="24"/>
          <w:lang w:val="en-GB"/>
        </w:rPr>
        <w:t xml:space="preserve">were </w:t>
      </w:r>
      <w:r w:rsidRPr="00D62D04">
        <w:rPr>
          <w:noProof/>
          <w:sz w:val="24"/>
          <w:szCs w:val="24"/>
          <w:lang w:val="en-GB"/>
        </w:rPr>
        <w:t>reduced</w:t>
      </w:r>
      <w:r w:rsidR="00CC0E4E" w:rsidRPr="00D62D04">
        <w:rPr>
          <w:lang w:val="en-GB"/>
        </w:rPr>
        <w:t xml:space="preserve"> </w:t>
      </w:r>
      <w:r w:rsidR="00CC0E4E" w:rsidRPr="00D62D04">
        <w:rPr>
          <w:noProof/>
          <w:sz w:val="24"/>
          <w:szCs w:val="24"/>
          <w:lang w:val="en-GB"/>
        </w:rPr>
        <w:t>for all beneficiaries of budget funds</w:t>
      </w:r>
      <w:r w:rsidRPr="00D62D04">
        <w:rPr>
          <w:noProof/>
          <w:sz w:val="24"/>
          <w:szCs w:val="24"/>
          <w:lang w:val="en-GB"/>
        </w:rPr>
        <w:t>. For the Budget Fund for National Minorities, funds were reduced in the amount of 6,000,000 dinars, so the total funds allocated from the Budget Fund in 2020 amounted to 24,000,000.00 dinars. In particular, it should be noted that the amount of funds from this fund in 2021 and 2022 was not reduced and amounted to 30,000,000 dinars each, even though these are years in which the economic consequences of the COVID-19 pandemic are still present, which led to budget reductions in all other areas.</w:t>
      </w:r>
    </w:p>
    <w:p w14:paraId="289CE84D" w14:textId="77777777" w:rsidR="000E38B0" w:rsidRPr="00D62D04" w:rsidRDefault="000E38B0" w:rsidP="00D34941">
      <w:pPr>
        <w:spacing w:after="0"/>
        <w:ind w:firstLine="706"/>
        <w:jc w:val="both"/>
        <w:rPr>
          <w:noProof/>
          <w:sz w:val="24"/>
          <w:szCs w:val="24"/>
          <w:lang w:val="en-GB"/>
        </w:rPr>
      </w:pPr>
      <w:r w:rsidRPr="00D62D04">
        <w:rPr>
          <w:noProof/>
          <w:sz w:val="24"/>
          <w:szCs w:val="24"/>
          <w:lang w:val="en-GB"/>
        </w:rPr>
        <w:t xml:space="preserve">In regard of the tender procedures referring to the distribution of funds from the Budget Fund which are prescribed by laws and regulations, we point out that during their adoption, care was taken to take into account the needs of minorities, and that minorities actively participate in the development of individual tender stages. Thus, the areas that are financed from this fund and determined as priorities for each year are adopted in accordance with the proposal of the Coordination of National Councils of National Minorities, which is then adopted at the Council for National Minorities, the work of which includes the presidents of all national councils of national minorities. Also, after the adoption of the priority area, the specific </w:t>
      </w:r>
      <w:r w:rsidR="00362DBC" w:rsidRPr="00D62D04">
        <w:rPr>
          <w:noProof/>
          <w:sz w:val="24"/>
          <w:szCs w:val="24"/>
          <w:lang w:val="en-GB"/>
        </w:rPr>
        <w:t>objectives</w:t>
      </w:r>
      <w:r w:rsidRPr="00D62D04">
        <w:rPr>
          <w:noProof/>
          <w:sz w:val="24"/>
          <w:szCs w:val="24"/>
          <w:lang w:val="en-GB"/>
        </w:rPr>
        <w:t xml:space="preserve"> of the program</w:t>
      </w:r>
      <w:r w:rsidR="00362DBC" w:rsidRPr="00D62D04">
        <w:rPr>
          <w:noProof/>
          <w:sz w:val="24"/>
          <w:szCs w:val="24"/>
          <w:lang w:val="en-GB"/>
        </w:rPr>
        <w:t>me</w:t>
      </w:r>
      <w:r w:rsidRPr="00D62D04">
        <w:rPr>
          <w:noProof/>
          <w:sz w:val="24"/>
          <w:szCs w:val="24"/>
          <w:lang w:val="en-GB"/>
        </w:rPr>
        <w:t>s and projects for which the competition is announced, as well as closer criteria and additional criteria for the selection of program</w:t>
      </w:r>
      <w:r w:rsidR="00362DBC" w:rsidRPr="00D62D04">
        <w:rPr>
          <w:noProof/>
          <w:sz w:val="24"/>
          <w:szCs w:val="24"/>
          <w:lang w:val="en-GB"/>
        </w:rPr>
        <w:t>me</w:t>
      </w:r>
      <w:r w:rsidRPr="00D62D04">
        <w:rPr>
          <w:noProof/>
          <w:sz w:val="24"/>
          <w:szCs w:val="24"/>
          <w:lang w:val="en-GB"/>
        </w:rPr>
        <w:t>s and projects that are specific to a certain area, are determined, with prior consultations with the national councils of national minorities, and on proposal of the Coordination of National Councils of National Minorities.</w:t>
      </w:r>
    </w:p>
    <w:p w14:paraId="2688994E" w14:textId="77777777" w:rsidR="00D1548D" w:rsidRPr="00D62D04" w:rsidRDefault="00D1548D" w:rsidP="00D1548D">
      <w:pPr>
        <w:spacing w:after="0"/>
        <w:ind w:firstLine="706"/>
        <w:jc w:val="both"/>
        <w:rPr>
          <w:noProof/>
          <w:sz w:val="24"/>
          <w:szCs w:val="24"/>
          <w:lang w:val="en-GB"/>
        </w:rPr>
      </w:pPr>
      <w:r w:rsidRPr="00D62D04">
        <w:rPr>
          <w:noProof/>
          <w:sz w:val="24"/>
          <w:szCs w:val="24"/>
          <w:lang w:val="en-GB"/>
        </w:rPr>
        <w:t>The selection of programmes and projects financed from the Budget Fund is made on the basis of the previous scoring of the submitted projects in accordance with the criteria established by the positive regulations and the competition announcement, and not on the basis of who the applicant is, that is, regardless of the capacities and resources of the organisation proposing the project. The selection of projects is primarily determined by the quality of the projects that organisations submit to the competition and the formal and material compliance of those projects with the selection criteria.</w:t>
      </w:r>
    </w:p>
    <w:p w14:paraId="616E1C2D" w14:textId="77777777" w:rsidR="00D1548D" w:rsidRPr="00D62D04" w:rsidRDefault="00D1548D" w:rsidP="00D1548D">
      <w:pPr>
        <w:spacing w:after="0"/>
        <w:ind w:firstLine="706"/>
        <w:jc w:val="both"/>
        <w:rPr>
          <w:noProof/>
          <w:sz w:val="24"/>
          <w:szCs w:val="24"/>
          <w:lang w:val="en-GB"/>
        </w:rPr>
      </w:pPr>
      <w:r w:rsidRPr="00D62D04">
        <w:rPr>
          <w:noProof/>
          <w:sz w:val="24"/>
          <w:szCs w:val="24"/>
          <w:lang w:val="en-GB"/>
        </w:rPr>
        <w:t>The National Council of the Bosniak National Minority in the addendum to this report points out that the funds planned for the work of the Budget Fund and the financing of programmes under it are not adequate for the needs of national minorities and that it is therefore necessary to increase the amount of funds for that fund and provide additional resources for financing cultural activities.</w:t>
      </w:r>
    </w:p>
    <w:p w14:paraId="583BD831" w14:textId="77777777" w:rsidR="00D34941" w:rsidRPr="00D62D04" w:rsidRDefault="00D34941" w:rsidP="00E72ED5">
      <w:pPr>
        <w:spacing w:after="0"/>
        <w:jc w:val="both"/>
        <w:rPr>
          <w:i/>
          <w:sz w:val="24"/>
          <w:szCs w:val="24"/>
          <w:highlight w:val="cyan"/>
          <w:lang w:val="en-GB"/>
        </w:rPr>
      </w:pPr>
    </w:p>
    <w:p w14:paraId="0AE1B495" w14:textId="77777777" w:rsidR="00022C0E" w:rsidRPr="00D62D04" w:rsidRDefault="00E72ED5" w:rsidP="00E72ED5">
      <w:pPr>
        <w:spacing w:after="0"/>
        <w:jc w:val="both"/>
        <w:rPr>
          <w:i/>
          <w:sz w:val="24"/>
          <w:szCs w:val="24"/>
          <w:lang w:val="en-GB"/>
        </w:rPr>
      </w:pPr>
      <w:r w:rsidRPr="00D62D04">
        <w:rPr>
          <w:i/>
          <w:sz w:val="24"/>
          <w:szCs w:val="24"/>
          <w:lang w:val="en-GB"/>
        </w:rPr>
        <w:lastRenderedPageBreak/>
        <w:t xml:space="preserve">13. </w:t>
      </w:r>
      <w:r w:rsidR="00022C0E" w:rsidRPr="00D62D04">
        <w:rPr>
          <w:i/>
          <w:sz w:val="24"/>
          <w:szCs w:val="24"/>
          <w:lang w:val="en-GB"/>
        </w:rPr>
        <w:t>Give priority to the economic revitalisation of areas where members of national minorities live in peripheral and/or economically depressed areas, including infrastructure improvement and incentives for more employment opportunities.</w:t>
      </w:r>
    </w:p>
    <w:p w14:paraId="0FD9775F" w14:textId="77777777" w:rsidR="006D3FF0" w:rsidRPr="00D62D04" w:rsidRDefault="006D3FF0" w:rsidP="00E72ED5">
      <w:pPr>
        <w:spacing w:after="0"/>
        <w:jc w:val="both"/>
        <w:rPr>
          <w:i/>
          <w:sz w:val="24"/>
          <w:szCs w:val="24"/>
          <w:highlight w:val="cyan"/>
          <w:lang w:val="en-GB"/>
        </w:rPr>
      </w:pPr>
    </w:p>
    <w:p w14:paraId="24C536AE" w14:textId="77777777" w:rsidR="006D3FF0" w:rsidRPr="00D62D04" w:rsidRDefault="00022C0E" w:rsidP="00E72ED5">
      <w:pPr>
        <w:spacing w:after="0"/>
        <w:jc w:val="both"/>
        <w:rPr>
          <w:i/>
          <w:sz w:val="24"/>
          <w:szCs w:val="24"/>
          <w:highlight w:val="cyan"/>
          <w:lang w:val="en-GB"/>
        </w:rPr>
      </w:pPr>
      <w:r w:rsidRPr="00D62D04">
        <w:rPr>
          <w:i/>
          <w:sz w:val="24"/>
          <w:szCs w:val="24"/>
          <w:lang w:val="en-GB"/>
        </w:rPr>
        <w:t xml:space="preserve">Economic revitalisation of areas where members of national minorities live </w:t>
      </w:r>
    </w:p>
    <w:p w14:paraId="3CCF6968" w14:textId="77777777" w:rsidR="006D3FF0" w:rsidRPr="00D62D04" w:rsidRDefault="006D3FF0" w:rsidP="00E60DB6">
      <w:pPr>
        <w:spacing w:after="0"/>
        <w:ind w:firstLine="720"/>
        <w:jc w:val="both"/>
        <w:rPr>
          <w:sz w:val="24"/>
          <w:szCs w:val="24"/>
          <w:highlight w:val="cyan"/>
          <w:lang w:val="en-GB"/>
        </w:rPr>
      </w:pPr>
    </w:p>
    <w:p w14:paraId="7C0B9D75" w14:textId="79409053" w:rsidR="002E7B66" w:rsidRPr="00D62D04" w:rsidRDefault="002E7B66" w:rsidP="00E60DB6">
      <w:pPr>
        <w:spacing w:after="0"/>
        <w:ind w:firstLine="720"/>
        <w:jc w:val="both"/>
        <w:rPr>
          <w:sz w:val="24"/>
          <w:szCs w:val="24"/>
          <w:lang w:val="en-GB"/>
        </w:rPr>
      </w:pPr>
      <w:r w:rsidRPr="00D62D04">
        <w:rPr>
          <w:sz w:val="24"/>
          <w:szCs w:val="24"/>
          <w:lang w:val="en-GB"/>
        </w:rPr>
        <w:t>The economic revitalisation of areas where members of national minorities live is achieved through attracting investments, through support and incentive programmes for businessmen and infrastructure development. In principle, the legal regulations in the field of investment were adopted, among other things, with the aim of new direct investments and reducing unemployment, and in the reporting period, the Government of the Republic of Serbia, with the aim of attracting direct investments, adopted the Decree on Determining the Criteria for Awarding Incentives for the Purpose of Attracting Direct Investments,</w:t>
      </w:r>
      <w:r w:rsidRPr="00D62D04">
        <w:rPr>
          <w:rStyle w:val="FootnoteReference"/>
          <w:sz w:val="24"/>
          <w:szCs w:val="24"/>
          <w:lang w:val="en-GB"/>
        </w:rPr>
        <w:footnoteReference w:id="72"/>
      </w:r>
      <w:r w:rsidRPr="00D62D04">
        <w:rPr>
          <w:sz w:val="24"/>
          <w:szCs w:val="24"/>
          <w:lang w:val="en-GB"/>
        </w:rPr>
        <w:t xml:space="preserve"> the Decree on Determining the Criteria for Awarding Incentives to Attract Direct Investment in the Area of Food Production,</w:t>
      </w:r>
      <w:r w:rsidRPr="00D62D04">
        <w:rPr>
          <w:rStyle w:val="FootnoteReference"/>
          <w:sz w:val="24"/>
          <w:szCs w:val="24"/>
          <w:lang w:val="en-GB"/>
        </w:rPr>
        <w:footnoteReference w:id="73"/>
      </w:r>
      <w:r w:rsidRPr="00D62D04">
        <w:rPr>
          <w:sz w:val="24"/>
          <w:szCs w:val="24"/>
          <w:lang w:val="en-GB"/>
        </w:rPr>
        <w:t xml:space="preserve"> Decree on Determining the Criteria for Awarding Incentives to Attract Direct Investment in the Hotel Accommodation Services Sector,</w:t>
      </w:r>
      <w:r w:rsidRPr="00D62D04">
        <w:rPr>
          <w:rStyle w:val="FootnoteReference"/>
          <w:sz w:val="24"/>
          <w:szCs w:val="24"/>
          <w:lang w:val="en-GB"/>
        </w:rPr>
        <w:footnoteReference w:id="74"/>
      </w:r>
      <w:r w:rsidRPr="00D62D04">
        <w:rPr>
          <w:sz w:val="24"/>
          <w:szCs w:val="24"/>
          <w:lang w:val="en-GB"/>
        </w:rPr>
        <w:t xml:space="preserve"> Decree on Determining the Criteria for Awarding Incentives to Attract Direct Investment in the Automation of Existing Capacities in the Area of Food Industry,</w:t>
      </w:r>
      <w:r w:rsidRPr="00D62D04">
        <w:rPr>
          <w:rStyle w:val="FootnoteReference"/>
          <w:sz w:val="24"/>
          <w:szCs w:val="24"/>
          <w:lang w:val="en-GB"/>
        </w:rPr>
        <w:footnoteReference w:id="75"/>
      </w:r>
      <w:r w:rsidRPr="00D62D04">
        <w:rPr>
          <w:sz w:val="24"/>
          <w:szCs w:val="24"/>
          <w:lang w:val="en-GB"/>
        </w:rPr>
        <w:t xml:space="preserve"> as well as the Programme on the Allocation and Use of Funds for the Improvement of Production in Production Industries of Importance for Equal Local and Regional Development, which was accepted by the Conclusion from 3 November 2021.</w:t>
      </w:r>
    </w:p>
    <w:p w14:paraId="64A49A2C" w14:textId="29E5A376" w:rsidR="00BB4CB7" w:rsidRPr="00D62D04" w:rsidRDefault="00BB4CB7" w:rsidP="00BB4CB7">
      <w:pPr>
        <w:spacing w:after="0"/>
        <w:ind w:firstLine="720"/>
        <w:jc w:val="both"/>
        <w:rPr>
          <w:sz w:val="24"/>
          <w:szCs w:val="24"/>
          <w:lang w:val="en-GB"/>
        </w:rPr>
      </w:pPr>
      <w:r w:rsidRPr="00D62D04">
        <w:rPr>
          <w:sz w:val="24"/>
          <w:szCs w:val="24"/>
          <w:lang w:val="en-GB"/>
        </w:rPr>
        <w:t xml:space="preserve">In the field of investments, the Ministry of Economy implements support programmes for businessmen in all units of local self-government, and the right to participate in the implementation of those programmes is exercised by everyone under equal conditions. According to the records of the Ministry of Economy, in the period from 2017 to </w:t>
      </w:r>
      <w:r w:rsidRPr="004B610A">
        <w:rPr>
          <w:sz w:val="24"/>
          <w:szCs w:val="24"/>
          <w:lang w:val="en-GB"/>
        </w:rPr>
        <w:t>202</w:t>
      </w:r>
      <w:r w:rsidR="00794F2C" w:rsidRPr="004B610A">
        <w:rPr>
          <w:sz w:val="24"/>
          <w:szCs w:val="24"/>
          <w:lang w:val="en-GB"/>
        </w:rPr>
        <w:t>2</w:t>
      </w:r>
      <w:r w:rsidRPr="004B610A">
        <w:rPr>
          <w:sz w:val="24"/>
          <w:szCs w:val="24"/>
          <w:lang w:val="en-GB"/>
        </w:rPr>
        <w:t xml:space="preserve">, </w:t>
      </w:r>
      <w:r w:rsidRPr="00D62D04">
        <w:rPr>
          <w:sz w:val="24"/>
          <w:szCs w:val="24"/>
          <w:lang w:val="en-GB"/>
        </w:rPr>
        <w:t>the implementation of 110 contracts on the allocation of incentive funds, i.e. investment projects in the area of central and southern Serbia, is expected to employ 30,482 new workers for an indefinite period of time.</w:t>
      </w:r>
    </w:p>
    <w:p w14:paraId="19BB6FD1" w14:textId="3CEDB617" w:rsidR="00BB4CB7" w:rsidRPr="00D62D04" w:rsidRDefault="00BB4CB7" w:rsidP="00BB4CB7">
      <w:pPr>
        <w:spacing w:after="0"/>
        <w:ind w:firstLine="720"/>
        <w:jc w:val="both"/>
        <w:rPr>
          <w:sz w:val="24"/>
          <w:szCs w:val="24"/>
          <w:lang w:val="en-GB"/>
        </w:rPr>
      </w:pPr>
      <w:r w:rsidRPr="00D62D04">
        <w:rPr>
          <w:sz w:val="24"/>
          <w:szCs w:val="24"/>
          <w:lang w:val="en-GB"/>
        </w:rPr>
        <w:t xml:space="preserve">Bearing in mind that some of the peripheral and/or economically depressed areas are those that are mainly inhabited by members of the Albanian, </w:t>
      </w:r>
      <w:proofErr w:type="spellStart"/>
      <w:r w:rsidRPr="00D62D04">
        <w:rPr>
          <w:sz w:val="24"/>
          <w:szCs w:val="24"/>
          <w:lang w:val="en-GB"/>
        </w:rPr>
        <w:t>Bosniak</w:t>
      </w:r>
      <w:proofErr w:type="spellEnd"/>
      <w:r w:rsidRPr="00D62D04">
        <w:rPr>
          <w:sz w:val="24"/>
          <w:szCs w:val="24"/>
          <w:lang w:val="en-GB"/>
        </w:rPr>
        <w:t>, Bulgarian and Roma national minorities, namely the south, south-west and south-east of Serbia, the Ministry of Economy paid special attention to those areas. Overall, in the period from 2017 to 2021, 1,895,773,536.75 dinars were allocated in these areas for investments in the area of small and medium-sized enterprises, of which through support program</w:t>
      </w:r>
      <w:r w:rsidR="009D50DC" w:rsidRPr="00D62D04">
        <w:rPr>
          <w:sz w:val="24"/>
          <w:szCs w:val="24"/>
          <w:lang w:val="en-GB"/>
        </w:rPr>
        <w:t>me</w:t>
      </w:r>
      <w:r w:rsidRPr="00D62D04">
        <w:rPr>
          <w:sz w:val="24"/>
          <w:szCs w:val="24"/>
          <w:lang w:val="en-GB"/>
        </w:rPr>
        <w:t xml:space="preserve">s for such enterprises (for the purchase of equipment, development, </w:t>
      </w:r>
      <w:proofErr w:type="spellStart"/>
      <w:r w:rsidRPr="00D62D04">
        <w:rPr>
          <w:sz w:val="24"/>
          <w:szCs w:val="24"/>
          <w:lang w:val="en-GB"/>
        </w:rPr>
        <w:t>startup</w:t>
      </w:r>
      <w:proofErr w:type="spellEnd"/>
      <w:r w:rsidRPr="00D62D04">
        <w:rPr>
          <w:sz w:val="24"/>
          <w:szCs w:val="24"/>
          <w:lang w:val="en-GB"/>
        </w:rPr>
        <w:t xml:space="preserve"> and projects </w:t>
      </w:r>
      <w:r w:rsidR="009D50DC" w:rsidRPr="00D62D04">
        <w:rPr>
          <w:sz w:val="24"/>
          <w:szCs w:val="24"/>
          <w:lang w:val="en-GB"/>
        </w:rPr>
        <w:t xml:space="preserve">of </w:t>
      </w:r>
      <w:r w:rsidRPr="00D62D04">
        <w:rPr>
          <w:sz w:val="24"/>
          <w:szCs w:val="24"/>
          <w:lang w:val="en-GB"/>
        </w:rPr>
        <w:t>women and young people), 426,539,918.60 dinars were granted non-</w:t>
      </w:r>
      <w:proofErr w:type="spellStart"/>
      <w:r w:rsidRPr="00D62D04">
        <w:rPr>
          <w:sz w:val="24"/>
          <w:szCs w:val="24"/>
          <w:lang w:val="en-GB"/>
        </w:rPr>
        <w:t>refundabl</w:t>
      </w:r>
      <w:r w:rsidR="009D50DC" w:rsidRPr="00D62D04">
        <w:rPr>
          <w:sz w:val="24"/>
          <w:szCs w:val="24"/>
          <w:lang w:val="en-GB"/>
        </w:rPr>
        <w:t>y</w:t>
      </w:r>
      <w:proofErr w:type="spellEnd"/>
      <w:r w:rsidRPr="00D62D04">
        <w:rPr>
          <w:sz w:val="24"/>
          <w:szCs w:val="24"/>
          <w:lang w:val="en-GB"/>
        </w:rPr>
        <w:t>. The tables below contain data on the distribution of these funds by area.</w:t>
      </w:r>
    </w:p>
    <w:p w14:paraId="46BD52A2" w14:textId="77777777" w:rsidR="00E60DB6" w:rsidRPr="00D62D04" w:rsidRDefault="00E60DB6" w:rsidP="00E60DB6">
      <w:pPr>
        <w:spacing w:after="0"/>
        <w:jc w:val="both"/>
        <w:rPr>
          <w:sz w:val="24"/>
          <w:szCs w:val="24"/>
          <w:highlight w:val="cyan"/>
          <w:lang w:val="en-GB"/>
        </w:rPr>
      </w:pPr>
    </w:p>
    <w:p w14:paraId="6817E30C" w14:textId="77777777" w:rsidR="00E60DB6" w:rsidRPr="00D62D04" w:rsidRDefault="00F320F2" w:rsidP="00E60DB6">
      <w:pPr>
        <w:pStyle w:val="Tablecaption0"/>
        <w:ind w:left="11"/>
        <w:jc w:val="center"/>
        <w:rPr>
          <w:sz w:val="20"/>
          <w:szCs w:val="20"/>
          <w:highlight w:val="cyan"/>
          <w:u w:val="none"/>
        </w:rPr>
      </w:pPr>
      <w:proofErr w:type="spellStart"/>
      <w:r w:rsidRPr="00D62D04">
        <w:rPr>
          <w:rStyle w:val="Tablecaption"/>
          <w:rFonts w:eastAsia="Calibri"/>
          <w:sz w:val="20"/>
          <w:szCs w:val="20"/>
          <w:u w:val="none"/>
        </w:rPr>
        <w:t>Medveđa</w:t>
      </w:r>
      <w:proofErr w:type="spellEnd"/>
      <w:r w:rsidRPr="00D62D04">
        <w:rPr>
          <w:rStyle w:val="Tablecaption"/>
          <w:rFonts w:eastAsia="Calibri"/>
          <w:sz w:val="20"/>
          <w:szCs w:val="20"/>
          <w:u w:val="none"/>
        </w:rPr>
        <w:t xml:space="preserve">, </w:t>
      </w:r>
      <w:proofErr w:type="spellStart"/>
      <w:r w:rsidRPr="00D62D04">
        <w:rPr>
          <w:rStyle w:val="Tablecaption"/>
          <w:rFonts w:eastAsia="Calibri"/>
          <w:sz w:val="20"/>
          <w:szCs w:val="20"/>
          <w:u w:val="none"/>
        </w:rPr>
        <w:t>Bujanovac</w:t>
      </w:r>
      <w:proofErr w:type="spellEnd"/>
      <w:r w:rsidRPr="00D62D04">
        <w:rPr>
          <w:rStyle w:val="Tablecaption"/>
          <w:rFonts w:eastAsia="Calibri"/>
          <w:sz w:val="20"/>
          <w:szCs w:val="20"/>
          <w:u w:val="none"/>
        </w:rPr>
        <w:t xml:space="preserve">, </w:t>
      </w:r>
      <w:proofErr w:type="spellStart"/>
      <w:r w:rsidRPr="00D62D04">
        <w:rPr>
          <w:rStyle w:val="Tablecaption"/>
          <w:rFonts w:eastAsia="Calibri"/>
          <w:sz w:val="20"/>
          <w:szCs w:val="20"/>
          <w:u w:val="none"/>
        </w:rPr>
        <w:t>Preševo</w:t>
      </w:r>
      <w:proofErr w:type="spellEnd"/>
    </w:p>
    <w:tbl>
      <w:tblPr>
        <w:tblOverlap w:val="never"/>
        <w:tblW w:w="9087" w:type="dxa"/>
        <w:tblLayout w:type="fixed"/>
        <w:tblCellMar>
          <w:left w:w="10" w:type="dxa"/>
          <w:right w:w="10" w:type="dxa"/>
        </w:tblCellMar>
        <w:tblLook w:val="0000" w:firstRow="0" w:lastRow="0" w:firstColumn="0" w:lastColumn="0" w:noHBand="0" w:noVBand="0"/>
      </w:tblPr>
      <w:tblGrid>
        <w:gridCol w:w="2972"/>
        <w:gridCol w:w="3040"/>
        <w:gridCol w:w="3075"/>
      </w:tblGrid>
      <w:tr w:rsidR="00E60DB6" w:rsidRPr="00D62D04" w14:paraId="5DD5306F" w14:textId="77777777" w:rsidTr="004C3FCB">
        <w:trPr>
          <w:trHeight w:hRule="exact" w:val="561"/>
        </w:trPr>
        <w:tc>
          <w:tcPr>
            <w:tcW w:w="2972" w:type="dxa"/>
            <w:tcBorders>
              <w:top w:val="single" w:sz="4" w:space="0" w:color="auto"/>
              <w:left w:val="single" w:sz="4" w:space="0" w:color="auto"/>
            </w:tcBorders>
            <w:shd w:val="clear" w:color="auto" w:fill="auto"/>
            <w:vAlign w:val="center"/>
          </w:tcPr>
          <w:p w14:paraId="776E2729" w14:textId="77777777" w:rsidR="00E60DB6" w:rsidRPr="00D62D04" w:rsidRDefault="00F320F2" w:rsidP="00E60DB6">
            <w:pPr>
              <w:pStyle w:val="Other0"/>
              <w:spacing w:after="0" w:line="240" w:lineRule="auto"/>
              <w:ind w:firstLine="0"/>
              <w:jc w:val="center"/>
              <w:rPr>
                <w:sz w:val="20"/>
                <w:szCs w:val="20"/>
                <w:highlight w:val="cyan"/>
              </w:rPr>
            </w:pPr>
            <w:r w:rsidRPr="00D62D04">
              <w:rPr>
                <w:rStyle w:val="Other"/>
                <w:sz w:val="20"/>
                <w:szCs w:val="20"/>
              </w:rPr>
              <w:t xml:space="preserve">Investments </w:t>
            </w:r>
          </w:p>
        </w:tc>
        <w:tc>
          <w:tcPr>
            <w:tcW w:w="3040" w:type="dxa"/>
            <w:tcBorders>
              <w:top w:val="single" w:sz="4" w:space="0" w:color="auto"/>
              <w:left w:val="single" w:sz="4" w:space="0" w:color="auto"/>
            </w:tcBorders>
            <w:shd w:val="clear" w:color="auto" w:fill="auto"/>
            <w:vAlign w:val="center"/>
          </w:tcPr>
          <w:p w14:paraId="57E14DFF" w14:textId="77777777" w:rsidR="00E60DB6" w:rsidRPr="00D62D04" w:rsidRDefault="00F320F2" w:rsidP="00E60DB6">
            <w:pPr>
              <w:pStyle w:val="Other0"/>
              <w:spacing w:after="0" w:line="240" w:lineRule="auto"/>
              <w:ind w:firstLine="0"/>
              <w:jc w:val="center"/>
              <w:rPr>
                <w:sz w:val="20"/>
                <w:szCs w:val="20"/>
                <w:highlight w:val="cyan"/>
              </w:rPr>
            </w:pPr>
            <w:r w:rsidRPr="00D62D04">
              <w:rPr>
                <w:rStyle w:val="Other"/>
                <w:sz w:val="20"/>
                <w:szCs w:val="20"/>
              </w:rPr>
              <w:t>Granted, non-refundable</w:t>
            </w:r>
          </w:p>
        </w:tc>
        <w:tc>
          <w:tcPr>
            <w:tcW w:w="3075" w:type="dxa"/>
            <w:tcBorders>
              <w:top w:val="single" w:sz="4" w:space="0" w:color="auto"/>
              <w:left w:val="single" w:sz="4" w:space="0" w:color="auto"/>
              <w:right w:val="single" w:sz="4" w:space="0" w:color="auto"/>
            </w:tcBorders>
            <w:shd w:val="clear" w:color="auto" w:fill="auto"/>
            <w:vAlign w:val="center"/>
          </w:tcPr>
          <w:p w14:paraId="797A2472" w14:textId="77777777" w:rsidR="00E60DB6" w:rsidRPr="00D62D04" w:rsidRDefault="00F320F2" w:rsidP="00E60DB6">
            <w:pPr>
              <w:pStyle w:val="Other0"/>
              <w:spacing w:after="0" w:line="240" w:lineRule="auto"/>
              <w:ind w:firstLine="0"/>
              <w:jc w:val="center"/>
              <w:rPr>
                <w:sz w:val="20"/>
                <w:szCs w:val="20"/>
                <w:highlight w:val="cyan"/>
              </w:rPr>
            </w:pPr>
            <w:r w:rsidRPr="00D62D04">
              <w:rPr>
                <w:rStyle w:val="Other"/>
                <w:sz w:val="20"/>
                <w:szCs w:val="20"/>
              </w:rPr>
              <w:t>Request approved</w:t>
            </w:r>
          </w:p>
        </w:tc>
      </w:tr>
      <w:tr w:rsidR="00E60DB6" w:rsidRPr="00D62D04" w14:paraId="339F09AD" w14:textId="77777777" w:rsidTr="004C3FCB">
        <w:trPr>
          <w:trHeight w:hRule="exact" w:val="321"/>
        </w:trPr>
        <w:tc>
          <w:tcPr>
            <w:tcW w:w="2972" w:type="dxa"/>
            <w:tcBorders>
              <w:top w:val="single" w:sz="4" w:space="0" w:color="auto"/>
              <w:left w:val="single" w:sz="4" w:space="0" w:color="auto"/>
              <w:bottom w:val="single" w:sz="4" w:space="0" w:color="auto"/>
            </w:tcBorders>
            <w:shd w:val="clear" w:color="auto" w:fill="auto"/>
            <w:vAlign w:val="bottom"/>
          </w:tcPr>
          <w:p w14:paraId="56AFF873" w14:textId="77777777" w:rsidR="00E60DB6" w:rsidRPr="00D62D04" w:rsidRDefault="00E60DB6" w:rsidP="00717398">
            <w:pPr>
              <w:pStyle w:val="Other0"/>
              <w:spacing w:after="0" w:line="240" w:lineRule="auto"/>
              <w:ind w:firstLine="0"/>
              <w:jc w:val="center"/>
              <w:rPr>
                <w:sz w:val="20"/>
                <w:szCs w:val="20"/>
              </w:rPr>
            </w:pPr>
            <w:r w:rsidRPr="00D62D04">
              <w:rPr>
                <w:rStyle w:val="Other"/>
                <w:bCs/>
                <w:sz w:val="20"/>
                <w:szCs w:val="20"/>
              </w:rPr>
              <w:lastRenderedPageBreak/>
              <w:t>244</w:t>
            </w:r>
            <w:r w:rsidR="00717398" w:rsidRPr="00D62D04">
              <w:rPr>
                <w:rStyle w:val="Other"/>
                <w:bCs/>
                <w:sz w:val="20"/>
                <w:szCs w:val="20"/>
              </w:rPr>
              <w:t>,</w:t>
            </w:r>
            <w:r w:rsidRPr="00D62D04">
              <w:rPr>
                <w:rStyle w:val="Other"/>
                <w:bCs/>
                <w:sz w:val="20"/>
                <w:szCs w:val="20"/>
              </w:rPr>
              <w:t>033</w:t>
            </w:r>
            <w:r w:rsidR="00717398" w:rsidRPr="00D62D04">
              <w:rPr>
                <w:rStyle w:val="Other"/>
                <w:bCs/>
                <w:sz w:val="20"/>
                <w:szCs w:val="20"/>
              </w:rPr>
              <w:t>,</w:t>
            </w:r>
            <w:r w:rsidRPr="00D62D04">
              <w:rPr>
                <w:rStyle w:val="Other"/>
                <w:bCs/>
                <w:sz w:val="20"/>
                <w:szCs w:val="20"/>
              </w:rPr>
              <w:t>796</w:t>
            </w:r>
            <w:r w:rsidR="00717398" w:rsidRPr="00D62D04">
              <w:rPr>
                <w:rStyle w:val="Other"/>
                <w:bCs/>
                <w:sz w:val="20"/>
                <w:szCs w:val="20"/>
              </w:rPr>
              <w:t>.</w:t>
            </w:r>
            <w:r w:rsidRPr="00D62D04">
              <w:rPr>
                <w:rStyle w:val="Other"/>
                <w:bCs/>
                <w:sz w:val="20"/>
                <w:szCs w:val="20"/>
              </w:rPr>
              <w:t>58</w:t>
            </w:r>
          </w:p>
        </w:tc>
        <w:tc>
          <w:tcPr>
            <w:tcW w:w="3040" w:type="dxa"/>
            <w:tcBorders>
              <w:top w:val="single" w:sz="4" w:space="0" w:color="auto"/>
              <w:left w:val="single" w:sz="4" w:space="0" w:color="auto"/>
              <w:bottom w:val="single" w:sz="4" w:space="0" w:color="auto"/>
            </w:tcBorders>
            <w:shd w:val="clear" w:color="auto" w:fill="auto"/>
            <w:vAlign w:val="bottom"/>
          </w:tcPr>
          <w:p w14:paraId="37DB43B9" w14:textId="77777777" w:rsidR="00E60DB6" w:rsidRPr="00D62D04" w:rsidRDefault="00E60DB6" w:rsidP="00717398">
            <w:pPr>
              <w:pStyle w:val="Other0"/>
              <w:spacing w:after="0" w:line="240" w:lineRule="auto"/>
              <w:ind w:firstLine="940"/>
              <w:jc w:val="both"/>
              <w:rPr>
                <w:sz w:val="20"/>
                <w:szCs w:val="20"/>
              </w:rPr>
            </w:pPr>
            <w:r w:rsidRPr="00D62D04">
              <w:rPr>
                <w:rStyle w:val="Other"/>
                <w:bCs/>
                <w:sz w:val="20"/>
                <w:szCs w:val="20"/>
              </w:rPr>
              <w:t>62</w:t>
            </w:r>
            <w:r w:rsidR="00717398" w:rsidRPr="00D62D04">
              <w:rPr>
                <w:rStyle w:val="Other"/>
                <w:bCs/>
                <w:sz w:val="20"/>
                <w:szCs w:val="20"/>
              </w:rPr>
              <w:t>,</w:t>
            </w:r>
            <w:r w:rsidRPr="00D62D04">
              <w:rPr>
                <w:rStyle w:val="Other"/>
                <w:bCs/>
                <w:sz w:val="20"/>
                <w:szCs w:val="20"/>
              </w:rPr>
              <w:t>368</w:t>
            </w:r>
            <w:r w:rsidR="00717398" w:rsidRPr="00D62D04">
              <w:rPr>
                <w:rStyle w:val="Other"/>
                <w:bCs/>
                <w:sz w:val="20"/>
                <w:szCs w:val="20"/>
              </w:rPr>
              <w:t>,</w:t>
            </w:r>
            <w:r w:rsidRPr="00D62D04">
              <w:rPr>
                <w:rStyle w:val="Other"/>
                <w:bCs/>
                <w:sz w:val="20"/>
                <w:szCs w:val="20"/>
              </w:rPr>
              <w:t>835</w:t>
            </w:r>
            <w:r w:rsidR="00717398" w:rsidRPr="00D62D04">
              <w:rPr>
                <w:rStyle w:val="Other"/>
                <w:bCs/>
                <w:sz w:val="20"/>
                <w:szCs w:val="20"/>
              </w:rPr>
              <w:t>.</w:t>
            </w:r>
            <w:r w:rsidRPr="00D62D04">
              <w:rPr>
                <w:rStyle w:val="Other"/>
                <w:bCs/>
                <w:sz w:val="20"/>
                <w:szCs w:val="20"/>
              </w:rPr>
              <w:t>28</w:t>
            </w:r>
          </w:p>
        </w:tc>
        <w:tc>
          <w:tcPr>
            <w:tcW w:w="3075" w:type="dxa"/>
            <w:tcBorders>
              <w:top w:val="single" w:sz="4" w:space="0" w:color="auto"/>
              <w:left w:val="single" w:sz="4" w:space="0" w:color="auto"/>
              <w:bottom w:val="single" w:sz="4" w:space="0" w:color="auto"/>
              <w:right w:val="single" w:sz="4" w:space="0" w:color="auto"/>
            </w:tcBorders>
            <w:shd w:val="clear" w:color="auto" w:fill="auto"/>
            <w:vAlign w:val="bottom"/>
          </w:tcPr>
          <w:p w14:paraId="71C1D1EB" w14:textId="77777777" w:rsidR="00E60DB6" w:rsidRPr="00D62D04" w:rsidRDefault="00E60DB6" w:rsidP="00E60DB6">
            <w:pPr>
              <w:pStyle w:val="Other0"/>
              <w:spacing w:after="0" w:line="240" w:lineRule="auto"/>
              <w:ind w:firstLine="0"/>
              <w:jc w:val="center"/>
              <w:rPr>
                <w:sz w:val="20"/>
                <w:szCs w:val="20"/>
              </w:rPr>
            </w:pPr>
            <w:r w:rsidRPr="00D62D04">
              <w:rPr>
                <w:rStyle w:val="Other"/>
                <w:bCs/>
                <w:sz w:val="20"/>
                <w:szCs w:val="20"/>
              </w:rPr>
              <w:t>20</w:t>
            </w:r>
          </w:p>
        </w:tc>
      </w:tr>
    </w:tbl>
    <w:p w14:paraId="7742FB80" w14:textId="77777777" w:rsidR="004C3FCB" w:rsidRPr="00D62D04" w:rsidRDefault="004C3FCB" w:rsidP="00E60DB6">
      <w:pPr>
        <w:pStyle w:val="Tablecaption0"/>
        <w:rPr>
          <w:rStyle w:val="Tablecaption"/>
          <w:rFonts w:eastAsia="Calibri"/>
          <w:highlight w:val="cyan"/>
        </w:rPr>
      </w:pPr>
    </w:p>
    <w:p w14:paraId="5FB74C8B" w14:textId="77777777" w:rsidR="00E60DB6" w:rsidRPr="00D62D04" w:rsidRDefault="00717398" w:rsidP="004C3FCB">
      <w:pPr>
        <w:pStyle w:val="Tablecaption0"/>
        <w:jc w:val="center"/>
        <w:rPr>
          <w:sz w:val="20"/>
          <w:szCs w:val="20"/>
          <w:highlight w:val="cyan"/>
          <w:u w:val="none"/>
        </w:rPr>
      </w:pPr>
      <w:proofErr w:type="spellStart"/>
      <w:r w:rsidRPr="00D62D04">
        <w:rPr>
          <w:rStyle w:val="Tablecaption"/>
          <w:rFonts w:eastAsia="Calibri"/>
          <w:sz w:val="20"/>
          <w:szCs w:val="20"/>
          <w:u w:val="none"/>
        </w:rPr>
        <w:t>Prijepolje</w:t>
      </w:r>
      <w:proofErr w:type="spellEnd"/>
      <w:r w:rsidRPr="00D62D04">
        <w:rPr>
          <w:rStyle w:val="Tablecaption"/>
          <w:rFonts w:eastAsia="Calibri"/>
          <w:sz w:val="20"/>
          <w:szCs w:val="20"/>
          <w:u w:val="none"/>
        </w:rPr>
        <w:t xml:space="preserve">, </w:t>
      </w:r>
      <w:proofErr w:type="spellStart"/>
      <w:r w:rsidRPr="00D62D04">
        <w:rPr>
          <w:rStyle w:val="Tablecaption"/>
          <w:rFonts w:eastAsia="Calibri"/>
          <w:sz w:val="20"/>
          <w:szCs w:val="20"/>
          <w:u w:val="none"/>
        </w:rPr>
        <w:t>Sjenica</w:t>
      </w:r>
      <w:proofErr w:type="spellEnd"/>
      <w:r w:rsidRPr="00D62D04">
        <w:rPr>
          <w:rStyle w:val="Tablecaption"/>
          <w:rFonts w:eastAsia="Calibri"/>
          <w:sz w:val="20"/>
          <w:szCs w:val="20"/>
          <w:u w:val="none"/>
        </w:rPr>
        <w:t xml:space="preserve">, </w:t>
      </w:r>
      <w:proofErr w:type="spellStart"/>
      <w:r w:rsidRPr="00D62D04">
        <w:rPr>
          <w:rStyle w:val="Tablecaption"/>
          <w:rFonts w:eastAsia="Calibri"/>
          <w:sz w:val="20"/>
          <w:szCs w:val="20"/>
          <w:u w:val="none"/>
        </w:rPr>
        <w:t>Priboj</w:t>
      </w:r>
      <w:proofErr w:type="spellEnd"/>
      <w:r w:rsidRPr="00D62D04">
        <w:rPr>
          <w:rStyle w:val="Tablecaption"/>
          <w:rFonts w:eastAsia="Calibri"/>
          <w:sz w:val="20"/>
          <w:szCs w:val="20"/>
          <w:u w:val="none"/>
        </w:rPr>
        <w:t xml:space="preserve">, Novi </w:t>
      </w:r>
      <w:proofErr w:type="spellStart"/>
      <w:r w:rsidRPr="00D62D04">
        <w:rPr>
          <w:rStyle w:val="Tablecaption"/>
          <w:rFonts w:eastAsia="Calibri"/>
          <w:sz w:val="20"/>
          <w:szCs w:val="20"/>
          <w:u w:val="none"/>
        </w:rPr>
        <w:t>Pazar</w:t>
      </w:r>
      <w:proofErr w:type="spellEnd"/>
      <w:r w:rsidRPr="00D62D04">
        <w:rPr>
          <w:rStyle w:val="Tablecaption"/>
          <w:rFonts w:eastAsia="Calibri"/>
          <w:sz w:val="20"/>
          <w:szCs w:val="20"/>
          <w:u w:val="none"/>
        </w:rPr>
        <w:t xml:space="preserve">, </w:t>
      </w:r>
      <w:proofErr w:type="spellStart"/>
      <w:r w:rsidRPr="00D62D04">
        <w:rPr>
          <w:rStyle w:val="Tablecaption"/>
          <w:rFonts w:eastAsia="Calibri"/>
          <w:sz w:val="20"/>
          <w:szCs w:val="20"/>
          <w:u w:val="none"/>
        </w:rPr>
        <w:t>Tutin</w:t>
      </w:r>
      <w:proofErr w:type="spellEnd"/>
    </w:p>
    <w:tbl>
      <w:tblPr>
        <w:tblOverlap w:val="never"/>
        <w:tblW w:w="9095" w:type="dxa"/>
        <w:tblLayout w:type="fixed"/>
        <w:tblCellMar>
          <w:left w:w="10" w:type="dxa"/>
          <w:right w:w="10" w:type="dxa"/>
        </w:tblCellMar>
        <w:tblLook w:val="0000" w:firstRow="0" w:lastRow="0" w:firstColumn="0" w:lastColumn="0" w:noHBand="0" w:noVBand="0"/>
      </w:tblPr>
      <w:tblGrid>
        <w:gridCol w:w="2491"/>
        <w:gridCol w:w="3528"/>
        <w:gridCol w:w="3076"/>
      </w:tblGrid>
      <w:tr w:rsidR="00717398" w:rsidRPr="00D62D04" w14:paraId="14F3338F" w14:textId="77777777" w:rsidTr="00717398">
        <w:trPr>
          <w:trHeight w:hRule="exact" w:val="515"/>
        </w:trPr>
        <w:tc>
          <w:tcPr>
            <w:tcW w:w="2491" w:type="dxa"/>
            <w:tcBorders>
              <w:top w:val="single" w:sz="4" w:space="0" w:color="auto"/>
              <w:left w:val="single" w:sz="4" w:space="0" w:color="auto"/>
            </w:tcBorders>
            <w:shd w:val="clear" w:color="auto" w:fill="auto"/>
            <w:vAlign w:val="center"/>
          </w:tcPr>
          <w:p w14:paraId="160051D5" w14:textId="77777777" w:rsidR="00717398" w:rsidRPr="00D62D04" w:rsidRDefault="00717398" w:rsidP="00933261">
            <w:pPr>
              <w:pStyle w:val="Other0"/>
              <w:spacing w:after="0" w:line="240" w:lineRule="auto"/>
              <w:ind w:firstLine="0"/>
              <w:jc w:val="center"/>
              <w:rPr>
                <w:sz w:val="20"/>
                <w:szCs w:val="20"/>
              </w:rPr>
            </w:pPr>
            <w:r w:rsidRPr="00D62D04">
              <w:rPr>
                <w:rStyle w:val="Other"/>
                <w:sz w:val="20"/>
                <w:szCs w:val="20"/>
              </w:rPr>
              <w:t xml:space="preserve">Investments </w:t>
            </w:r>
          </w:p>
        </w:tc>
        <w:tc>
          <w:tcPr>
            <w:tcW w:w="3528" w:type="dxa"/>
            <w:tcBorders>
              <w:top w:val="single" w:sz="4" w:space="0" w:color="auto"/>
              <w:left w:val="single" w:sz="4" w:space="0" w:color="auto"/>
            </w:tcBorders>
            <w:shd w:val="clear" w:color="auto" w:fill="auto"/>
            <w:vAlign w:val="center"/>
          </w:tcPr>
          <w:p w14:paraId="255009FC" w14:textId="77777777" w:rsidR="00717398" w:rsidRPr="00D62D04" w:rsidRDefault="00717398" w:rsidP="00933261">
            <w:pPr>
              <w:pStyle w:val="Other0"/>
              <w:spacing w:after="0" w:line="240" w:lineRule="auto"/>
              <w:ind w:firstLine="0"/>
              <w:jc w:val="center"/>
              <w:rPr>
                <w:sz w:val="20"/>
                <w:szCs w:val="20"/>
              </w:rPr>
            </w:pPr>
            <w:r w:rsidRPr="00D62D04">
              <w:rPr>
                <w:rStyle w:val="Other"/>
                <w:sz w:val="20"/>
                <w:szCs w:val="20"/>
              </w:rPr>
              <w:t>Granted, non-refundable</w:t>
            </w:r>
          </w:p>
        </w:tc>
        <w:tc>
          <w:tcPr>
            <w:tcW w:w="3076" w:type="dxa"/>
            <w:tcBorders>
              <w:top w:val="single" w:sz="4" w:space="0" w:color="auto"/>
              <w:left w:val="single" w:sz="4" w:space="0" w:color="auto"/>
              <w:right w:val="single" w:sz="4" w:space="0" w:color="auto"/>
            </w:tcBorders>
            <w:shd w:val="clear" w:color="auto" w:fill="auto"/>
            <w:vAlign w:val="center"/>
          </w:tcPr>
          <w:p w14:paraId="0A9BC578" w14:textId="77777777" w:rsidR="00717398" w:rsidRPr="00D62D04" w:rsidRDefault="00717398" w:rsidP="00933261">
            <w:pPr>
              <w:pStyle w:val="Other0"/>
              <w:spacing w:after="0" w:line="240" w:lineRule="auto"/>
              <w:ind w:firstLine="0"/>
              <w:jc w:val="center"/>
              <w:rPr>
                <w:sz w:val="20"/>
                <w:szCs w:val="20"/>
              </w:rPr>
            </w:pPr>
            <w:r w:rsidRPr="00D62D04">
              <w:rPr>
                <w:rStyle w:val="Other"/>
                <w:sz w:val="20"/>
                <w:szCs w:val="20"/>
              </w:rPr>
              <w:t>Request approved</w:t>
            </w:r>
          </w:p>
        </w:tc>
      </w:tr>
      <w:tr w:rsidR="00E60DB6" w:rsidRPr="00D62D04" w14:paraId="02065CC6" w14:textId="77777777" w:rsidTr="004C3FCB">
        <w:trPr>
          <w:trHeight w:hRule="exact" w:val="294"/>
        </w:trPr>
        <w:tc>
          <w:tcPr>
            <w:tcW w:w="2491" w:type="dxa"/>
            <w:tcBorders>
              <w:top w:val="single" w:sz="4" w:space="0" w:color="auto"/>
              <w:left w:val="single" w:sz="4" w:space="0" w:color="auto"/>
              <w:bottom w:val="single" w:sz="4" w:space="0" w:color="auto"/>
            </w:tcBorders>
            <w:shd w:val="clear" w:color="auto" w:fill="auto"/>
            <w:vAlign w:val="bottom"/>
          </w:tcPr>
          <w:p w14:paraId="510DB9CF" w14:textId="77777777" w:rsidR="00E60DB6" w:rsidRPr="00D62D04" w:rsidRDefault="00E60DB6" w:rsidP="00717398">
            <w:pPr>
              <w:pStyle w:val="Other0"/>
              <w:spacing w:after="0" w:line="240" w:lineRule="auto"/>
              <w:ind w:firstLine="0"/>
              <w:jc w:val="center"/>
              <w:rPr>
                <w:sz w:val="20"/>
                <w:szCs w:val="20"/>
              </w:rPr>
            </w:pPr>
            <w:r w:rsidRPr="00D62D04">
              <w:rPr>
                <w:rStyle w:val="Other"/>
                <w:bCs/>
                <w:sz w:val="20"/>
                <w:szCs w:val="20"/>
              </w:rPr>
              <w:t>721</w:t>
            </w:r>
            <w:r w:rsidR="00717398" w:rsidRPr="00D62D04">
              <w:rPr>
                <w:rStyle w:val="Other"/>
                <w:bCs/>
                <w:sz w:val="20"/>
                <w:szCs w:val="20"/>
              </w:rPr>
              <w:t>,</w:t>
            </w:r>
            <w:r w:rsidRPr="00D62D04">
              <w:rPr>
                <w:rStyle w:val="Other"/>
                <w:bCs/>
                <w:sz w:val="20"/>
                <w:szCs w:val="20"/>
              </w:rPr>
              <w:t>968</w:t>
            </w:r>
            <w:r w:rsidR="00717398" w:rsidRPr="00D62D04">
              <w:rPr>
                <w:rStyle w:val="Other"/>
                <w:bCs/>
                <w:sz w:val="20"/>
                <w:szCs w:val="20"/>
              </w:rPr>
              <w:t>,</w:t>
            </w:r>
            <w:r w:rsidRPr="00D62D04">
              <w:rPr>
                <w:rStyle w:val="Other"/>
                <w:bCs/>
                <w:sz w:val="20"/>
                <w:szCs w:val="20"/>
              </w:rPr>
              <w:t>366</w:t>
            </w:r>
            <w:r w:rsidR="00717398" w:rsidRPr="00D62D04">
              <w:rPr>
                <w:rStyle w:val="Other"/>
                <w:bCs/>
                <w:sz w:val="20"/>
                <w:szCs w:val="20"/>
              </w:rPr>
              <w:t>.</w:t>
            </w:r>
            <w:r w:rsidRPr="00D62D04">
              <w:rPr>
                <w:rStyle w:val="Other"/>
                <w:bCs/>
                <w:sz w:val="20"/>
                <w:szCs w:val="20"/>
              </w:rPr>
              <w:t>42</w:t>
            </w:r>
          </w:p>
        </w:tc>
        <w:tc>
          <w:tcPr>
            <w:tcW w:w="3528" w:type="dxa"/>
            <w:tcBorders>
              <w:top w:val="single" w:sz="4" w:space="0" w:color="auto"/>
              <w:left w:val="single" w:sz="4" w:space="0" w:color="auto"/>
              <w:bottom w:val="single" w:sz="4" w:space="0" w:color="auto"/>
            </w:tcBorders>
            <w:shd w:val="clear" w:color="auto" w:fill="auto"/>
            <w:vAlign w:val="bottom"/>
          </w:tcPr>
          <w:p w14:paraId="169E1145" w14:textId="77777777" w:rsidR="00E60DB6" w:rsidRPr="00D62D04" w:rsidRDefault="00E60DB6" w:rsidP="00717398">
            <w:pPr>
              <w:pStyle w:val="Other0"/>
              <w:spacing w:after="0" w:line="240" w:lineRule="auto"/>
              <w:ind w:firstLine="820"/>
              <w:rPr>
                <w:sz w:val="20"/>
                <w:szCs w:val="20"/>
              </w:rPr>
            </w:pPr>
            <w:r w:rsidRPr="00D62D04">
              <w:rPr>
                <w:rStyle w:val="Other"/>
                <w:bCs/>
                <w:sz w:val="20"/>
                <w:szCs w:val="20"/>
              </w:rPr>
              <w:t>160</w:t>
            </w:r>
            <w:r w:rsidR="00717398" w:rsidRPr="00D62D04">
              <w:rPr>
                <w:rStyle w:val="Other"/>
                <w:bCs/>
                <w:sz w:val="20"/>
                <w:szCs w:val="20"/>
              </w:rPr>
              <w:t>,</w:t>
            </w:r>
            <w:r w:rsidRPr="00D62D04">
              <w:rPr>
                <w:rStyle w:val="Other"/>
                <w:bCs/>
                <w:sz w:val="20"/>
                <w:szCs w:val="20"/>
              </w:rPr>
              <w:t>430</w:t>
            </w:r>
            <w:r w:rsidR="00717398" w:rsidRPr="00D62D04">
              <w:rPr>
                <w:rStyle w:val="Other"/>
                <w:bCs/>
                <w:sz w:val="20"/>
                <w:szCs w:val="20"/>
              </w:rPr>
              <w:t>,</w:t>
            </w:r>
            <w:r w:rsidRPr="00D62D04">
              <w:rPr>
                <w:rStyle w:val="Other"/>
                <w:bCs/>
                <w:sz w:val="20"/>
                <w:szCs w:val="20"/>
              </w:rPr>
              <w:t>255</w:t>
            </w:r>
            <w:r w:rsidR="00717398" w:rsidRPr="00D62D04">
              <w:rPr>
                <w:rStyle w:val="Other"/>
                <w:bCs/>
                <w:sz w:val="20"/>
                <w:szCs w:val="20"/>
              </w:rPr>
              <w:t>.</w:t>
            </w:r>
            <w:r w:rsidRPr="00D62D04">
              <w:rPr>
                <w:rStyle w:val="Other"/>
                <w:bCs/>
                <w:sz w:val="20"/>
                <w:szCs w:val="20"/>
              </w:rPr>
              <w:t>90</w:t>
            </w:r>
          </w:p>
        </w:tc>
        <w:tc>
          <w:tcPr>
            <w:tcW w:w="3076" w:type="dxa"/>
            <w:tcBorders>
              <w:top w:val="single" w:sz="4" w:space="0" w:color="auto"/>
              <w:left w:val="single" w:sz="4" w:space="0" w:color="auto"/>
              <w:bottom w:val="single" w:sz="4" w:space="0" w:color="auto"/>
              <w:right w:val="single" w:sz="4" w:space="0" w:color="auto"/>
            </w:tcBorders>
            <w:shd w:val="clear" w:color="auto" w:fill="auto"/>
            <w:vAlign w:val="bottom"/>
          </w:tcPr>
          <w:p w14:paraId="49093A17" w14:textId="77777777" w:rsidR="00E60DB6" w:rsidRPr="00D62D04" w:rsidRDefault="00E60DB6" w:rsidP="004C3FCB">
            <w:pPr>
              <w:pStyle w:val="Other0"/>
              <w:spacing w:after="0" w:line="240" w:lineRule="auto"/>
              <w:ind w:firstLine="0"/>
              <w:jc w:val="center"/>
              <w:rPr>
                <w:sz w:val="20"/>
                <w:szCs w:val="20"/>
              </w:rPr>
            </w:pPr>
            <w:r w:rsidRPr="00D62D04">
              <w:rPr>
                <w:rStyle w:val="Other"/>
                <w:rFonts w:eastAsia="Arial"/>
                <w:sz w:val="20"/>
                <w:szCs w:val="20"/>
              </w:rPr>
              <w:t>68</w:t>
            </w:r>
          </w:p>
        </w:tc>
      </w:tr>
    </w:tbl>
    <w:p w14:paraId="4921D84B" w14:textId="77777777" w:rsidR="004C3FCB" w:rsidRPr="00D62D04" w:rsidRDefault="004C3FCB" w:rsidP="00E60DB6">
      <w:pPr>
        <w:pStyle w:val="Tablecaption0"/>
        <w:rPr>
          <w:rStyle w:val="Tablecaption"/>
          <w:rFonts w:eastAsia="Calibri"/>
          <w:highlight w:val="cyan"/>
        </w:rPr>
      </w:pPr>
    </w:p>
    <w:p w14:paraId="32739036" w14:textId="77777777" w:rsidR="00E60DB6" w:rsidRPr="00D62D04" w:rsidRDefault="00717398" w:rsidP="004C3FCB">
      <w:pPr>
        <w:pStyle w:val="Tablecaption0"/>
        <w:jc w:val="center"/>
        <w:rPr>
          <w:sz w:val="20"/>
          <w:szCs w:val="20"/>
          <w:highlight w:val="cyan"/>
          <w:u w:val="none"/>
        </w:rPr>
      </w:pPr>
      <w:proofErr w:type="spellStart"/>
      <w:r w:rsidRPr="00D62D04">
        <w:rPr>
          <w:rStyle w:val="Tablecaption"/>
          <w:rFonts w:eastAsia="Calibri"/>
          <w:sz w:val="20"/>
          <w:szCs w:val="20"/>
          <w:u w:val="none"/>
        </w:rPr>
        <w:t>Dimitrovgrad</w:t>
      </w:r>
      <w:proofErr w:type="spellEnd"/>
      <w:r w:rsidRPr="00D62D04">
        <w:rPr>
          <w:rStyle w:val="Tablecaption"/>
          <w:rFonts w:eastAsia="Calibri"/>
          <w:sz w:val="20"/>
          <w:szCs w:val="20"/>
          <w:u w:val="none"/>
        </w:rPr>
        <w:t xml:space="preserve">, </w:t>
      </w:r>
      <w:proofErr w:type="spellStart"/>
      <w:r w:rsidRPr="00D62D04">
        <w:rPr>
          <w:rStyle w:val="Tablecaption"/>
          <w:rFonts w:eastAsia="Calibri"/>
          <w:sz w:val="20"/>
          <w:szCs w:val="20"/>
          <w:u w:val="none"/>
        </w:rPr>
        <w:t>Bosilegrad</w:t>
      </w:r>
      <w:proofErr w:type="spellEnd"/>
      <w:r w:rsidRPr="00D62D04">
        <w:rPr>
          <w:rStyle w:val="Tablecaption"/>
          <w:rFonts w:eastAsia="Calibri"/>
          <w:sz w:val="20"/>
          <w:szCs w:val="20"/>
          <w:u w:val="none"/>
        </w:rPr>
        <w:t xml:space="preserve">, </w:t>
      </w:r>
      <w:proofErr w:type="spellStart"/>
      <w:r w:rsidRPr="00D62D04">
        <w:rPr>
          <w:rStyle w:val="Tablecaption"/>
          <w:rFonts w:eastAsia="Calibri"/>
          <w:sz w:val="20"/>
          <w:szCs w:val="20"/>
          <w:u w:val="none"/>
        </w:rPr>
        <w:t>Pirot</w:t>
      </w:r>
      <w:proofErr w:type="spellEnd"/>
      <w:r w:rsidRPr="00D62D04">
        <w:rPr>
          <w:rStyle w:val="Tablecaption"/>
          <w:rFonts w:eastAsia="Calibri"/>
          <w:sz w:val="20"/>
          <w:szCs w:val="20"/>
          <w:u w:val="none"/>
        </w:rPr>
        <w:t xml:space="preserve">, </w:t>
      </w:r>
      <w:proofErr w:type="spellStart"/>
      <w:r w:rsidRPr="00D62D04">
        <w:rPr>
          <w:rStyle w:val="Tablecaption"/>
          <w:rFonts w:eastAsia="Calibri"/>
          <w:sz w:val="20"/>
          <w:szCs w:val="20"/>
          <w:u w:val="none"/>
        </w:rPr>
        <w:t>Babušnica</w:t>
      </w:r>
      <w:proofErr w:type="spellEnd"/>
      <w:r w:rsidRPr="00D62D04">
        <w:rPr>
          <w:rStyle w:val="Tablecaption"/>
          <w:rFonts w:eastAsia="Calibri"/>
          <w:sz w:val="20"/>
          <w:szCs w:val="20"/>
          <w:u w:val="none"/>
        </w:rPr>
        <w:t xml:space="preserve">, </w:t>
      </w:r>
      <w:proofErr w:type="spellStart"/>
      <w:r w:rsidRPr="00D62D04">
        <w:rPr>
          <w:rStyle w:val="Tablecaption"/>
          <w:rFonts w:eastAsia="Calibri"/>
          <w:sz w:val="20"/>
          <w:szCs w:val="20"/>
          <w:u w:val="none"/>
        </w:rPr>
        <w:t>Vranje</w:t>
      </w:r>
      <w:proofErr w:type="spellEnd"/>
      <w:r w:rsidRPr="00D62D04">
        <w:rPr>
          <w:rStyle w:val="Tablecaption"/>
          <w:rFonts w:eastAsia="Calibri"/>
          <w:sz w:val="20"/>
          <w:szCs w:val="20"/>
          <w:u w:val="none"/>
        </w:rPr>
        <w:t xml:space="preserve">, </w:t>
      </w:r>
      <w:proofErr w:type="spellStart"/>
      <w:r w:rsidRPr="00D62D04">
        <w:rPr>
          <w:rStyle w:val="Tablecaption"/>
          <w:rFonts w:eastAsia="Calibri"/>
          <w:sz w:val="20"/>
          <w:szCs w:val="20"/>
          <w:u w:val="none"/>
        </w:rPr>
        <w:t>Surdulica</w:t>
      </w:r>
      <w:proofErr w:type="spellEnd"/>
    </w:p>
    <w:tbl>
      <w:tblPr>
        <w:tblOverlap w:val="never"/>
        <w:tblW w:w="9047" w:type="dxa"/>
        <w:tblLayout w:type="fixed"/>
        <w:tblCellMar>
          <w:left w:w="10" w:type="dxa"/>
          <w:right w:w="10" w:type="dxa"/>
        </w:tblCellMar>
        <w:tblLook w:val="0000" w:firstRow="0" w:lastRow="0" w:firstColumn="0" w:lastColumn="0" w:noHBand="0" w:noVBand="0"/>
      </w:tblPr>
      <w:tblGrid>
        <w:gridCol w:w="2473"/>
        <w:gridCol w:w="3512"/>
        <w:gridCol w:w="3062"/>
      </w:tblGrid>
      <w:tr w:rsidR="00717398" w:rsidRPr="00D62D04" w14:paraId="24EEC698" w14:textId="77777777" w:rsidTr="00717398">
        <w:trPr>
          <w:trHeight w:hRule="exact" w:val="571"/>
        </w:trPr>
        <w:tc>
          <w:tcPr>
            <w:tcW w:w="2473" w:type="dxa"/>
            <w:tcBorders>
              <w:top w:val="single" w:sz="4" w:space="0" w:color="auto"/>
              <w:left w:val="single" w:sz="4" w:space="0" w:color="auto"/>
            </w:tcBorders>
            <w:shd w:val="clear" w:color="auto" w:fill="auto"/>
            <w:vAlign w:val="center"/>
          </w:tcPr>
          <w:p w14:paraId="167045BB" w14:textId="77777777" w:rsidR="00717398" w:rsidRPr="00D62D04" w:rsidRDefault="00717398" w:rsidP="00933261">
            <w:pPr>
              <w:pStyle w:val="Other0"/>
              <w:spacing w:after="0" w:line="240" w:lineRule="auto"/>
              <w:ind w:firstLine="0"/>
              <w:jc w:val="center"/>
              <w:rPr>
                <w:sz w:val="20"/>
                <w:szCs w:val="20"/>
              </w:rPr>
            </w:pPr>
            <w:r w:rsidRPr="00D62D04">
              <w:rPr>
                <w:rStyle w:val="Other"/>
                <w:sz w:val="20"/>
                <w:szCs w:val="20"/>
              </w:rPr>
              <w:t xml:space="preserve">Investments </w:t>
            </w:r>
          </w:p>
        </w:tc>
        <w:tc>
          <w:tcPr>
            <w:tcW w:w="3512" w:type="dxa"/>
            <w:tcBorders>
              <w:top w:val="single" w:sz="4" w:space="0" w:color="auto"/>
              <w:left w:val="single" w:sz="4" w:space="0" w:color="auto"/>
            </w:tcBorders>
            <w:shd w:val="clear" w:color="auto" w:fill="auto"/>
            <w:vAlign w:val="center"/>
          </w:tcPr>
          <w:p w14:paraId="6C2FCFCD" w14:textId="77777777" w:rsidR="00717398" w:rsidRPr="00D62D04" w:rsidRDefault="00717398" w:rsidP="00933261">
            <w:pPr>
              <w:pStyle w:val="Other0"/>
              <w:spacing w:after="0" w:line="240" w:lineRule="auto"/>
              <w:ind w:firstLine="0"/>
              <w:jc w:val="center"/>
              <w:rPr>
                <w:sz w:val="20"/>
                <w:szCs w:val="20"/>
              </w:rPr>
            </w:pPr>
            <w:r w:rsidRPr="00D62D04">
              <w:rPr>
                <w:rStyle w:val="Other"/>
                <w:sz w:val="20"/>
                <w:szCs w:val="20"/>
              </w:rPr>
              <w:t>Granted, non-refundable</w:t>
            </w:r>
          </w:p>
        </w:tc>
        <w:tc>
          <w:tcPr>
            <w:tcW w:w="3062" w:type="dxa"/>
            <w:tcBorders>
              <w:top w:val="single" w:sz="4" w:space="0" w:color="auto"/>
              <w:left w:val="single" w:sz="4" w:space="0" w:color="auto"/>
              <w:right w:val="single" w:sz="4" w:space="0" w:color="auto"/>
            </w:tcBorders>
            <w:shd w:val="clear" w:color="auto" w:fill="auto"/>
            <w:vAlign w:val="center"/>
          </w:tcPr>
          <w:p w14:paraId="0143E682" w14:textId="77777777" w:rsidR="00717398" w:rsidRPr="00D62D04" w:rsidRDefault="00717398" w:rsidP="00933261">
            <w:pPr>
              <w:pStyle w:val="Other0"/>
              <w:spacing w:after="0" w:line="240" w:lineRule="auto"/>
              <w:ind w:firstLine="0"/>
              <w:jc w:val="center"/>
              <w:rPr>
                <w:sz w:val="20"/>
                <w:szCs w:val="20"/>
              </w:rPr>
            </w:pPr>
            <w:r w:rsidRPr="00D62D04">
              <w:rPr>
                <w:rStyle w:val="Other"/>
                <w:sz w:val="20"/>
                <w:szCs w:val="20"/>
              </w:rPr>
              <w:t>Request approved</w:t>
            </w:r>
          </w:p>
        </w:tc>
      </w:tr>
      <w:tr w:rsidR="00E60DB6" w:rsidRPr="00D62D04" w14:paraId="2FD4A462" w14:textId="77777777" w:rsidTr="004C3FCB">
        <w:trPr>
          <w:trHeight w:hRule="exact" w:val="331"/>
        </w:trPr>
        <w:tc>
          <w:tcPr>
            <w:tcW w:w="2473" w:type="dxa"/>
            <w:tcBorders>
              <w:top w:val="single" w:sz="4" w:space="0" w:color="auto"/>
              <w:left w:val="single" w:sz="4" w:space="0" w:color="auto"/>
              <w:bottom w:val="single" w:sz="4" w:space="0" w:color="auto"/>
            </w:tcBorders>
            <w:shd w:val="clear" w:color="auto" w:fill="auto"/>
            <w:vAlign w:val="center"/>
          </w:tcPr>
          <w:p w14:paraId="774585FD" w14:textId="77777777" w:rsidR="00E60DB6" w:rsidRPr="00D62D04" w:rsidRDefault="00E60DB6" w:rsidP="00717398">
            <w:pPr>
              <w:pStyle w:val="Other0"/>
              <w:spacing w:after="0" w:line="240" w:lineRule="auto"/>
              <w:ind w:firstLine="0"/>
              <w:jc w:val="center"/>
              <w:rPr>
                <w:sz w:val="20"/>
                <w:szCs w:val="20"/>
              </w:rPr>
            </w:pPr>
            <w:r w:rsidRPr="00D62D04">
              <w:rPr>
                <w:rStyle w:val="Other"/>
                <w:bCs/>
                <w:sz w:val="20"/>
                <w:szCs w:val="20"/>
              </w:rPr>
              <w:t>929</w:t>
            </w:r>
            <w:r w:rsidR="00717398" w:rsidRPr="00D62D04">
              <w:rPr>
                <w:rStyle w:val="Other"/>
                <w:bCs/>
                <w:sz w:val="20"/>
                <w:szCs w:val="20"/>
              </w:rPr>
              <w:t>,</w:t>
            </w:r>
            <w:r w:rsidRPr="00D62D04">
              <w:rPr>
                <w:rStyle w:val="Other"/>
                <w:bCs/>
                <w:sz w:val="20"/>
                <w:szCs w:val="20"/>
              </w:rPr>
              <w:t>771</w:t>
            </w:r>
            <w:r w:rsidR="00717398" w:rsidRPr="00D62D04">
              <w:rPr>
                <w:rStyle w:val="Other"/>
                <w:bCs/>
                <w:sz w:val="20"/>
                <w:szCs w:val="20"/>
              </w:rPr>
              <w:t>,</w:t>
            </w:r>
            <w:r w:rsidRPr="00D62D04">
              <w:rPr>
                <w:rStyle w:val="Other"/>
                <w:bCs/>
                <w:sz w:val="20"/>
                <w:szCs w:val="20"/>
              </w:rPr>
              <w:t>373</w:t>
            </w:r>
            <w:r w:rsidR="00717398" w:rsidRPr="00D62D04">
              <w:rPr>
                <w:rStyle w:val="Other"/>
                <w:bCs/>
                <w:sz w:val="20"/>
                <w:szCs w:val="20"/>
              </w:rPr>
              <w:t>.</w:t>
            </w:r>
            <w:r w:rsidRPr="00D62D04">
              <w:rPr>
                <w:rStyle w:val="Other"/>
                <w:bCs/>
                <w:sz w:val="20"/>
                <w:szCs w:val="20"/>
              </w:rPr>
              <w:t>75</w:t>
            </w:r>
          </w:p>
        </w:tc>
        <w:tc>
          <w:tcPr>
            <w:tcW w:w="3512" w:type="dxa"/>
            <w:tcBorders>
              <w:top w:val="single" w:sz="4" w:space="0" w:color="auto"/>
              <w:left w:val="single" w:sz="4" w:space="0" w:color="auto"/>
              <w:bottom w:val="single" w:sz="4" w:space="0" w:color="auto"/>
            </w:tcBorders>
            <w:shd w:val="clear" w:color="auto" w:fill="auto"/>
            <w:vAlign w:val="center"/>
          </w:tcPr>
          <w:p w14:paraId="41323F45" w14:textId="77777777" w:rsidR="00E60DB6" w:rsidRPr="00D62D04" w:rsidRDefault="00E60DB6" w:rsidP="00717398">
            <w:pPr>
              <w:pStyle w:val="Other0"/>
              <w:spacing w:after="0" w:line="240" w:lineRule="auto"/>
              <w:ind w:firstLine="820"/>
              <w:rPr>
                <w:sz w:val="20"/>
                <w:szCs w:val="20"/>
              </w:rPr>
            </w:pPr>
            <w:r w:rsidRPr="00D62D04">
              <w:rPr>
                <w:rStyle w:val="Other"/>
                <w:bCs/>
                <w:sz w:val="20"/>
                <w:szCs w:val="20"/>
              </w:rPr>
              <w:t>203</w:t>
            </w:r>
            <w:r w:rsidR="00717398" w:rsidRPr="00D62D04">
              <w:rPr>
                <w:rStyle w:val="Other"/>
                <w:bCs/>
                <w:sz w:val="20"/>
                <w:szCs w:val="20"/>
              </w:rPr>
              <w:t>,</w:t>
            </w:r>
            <w:r w:rsidRPr="00D62D04">
              <w:rPr>
                <w:rStyle w:val="Other"/>
                <w:bCs/>
                <w:sz w:val="20"/>
                <w:szCs w:val="20"/>
              </w:rPr>
              <w:t>740</w:t>
            </w:r>
            <w:r w:rsidR="00717398" w:rsidRPr="00D62D04">
              <w:rPr>
                <w:rStyle w:val="Other"/>
                <w:bCs/>
                <w:sz w:val="20"/>
                <w:szCs w:val="20"/>
              </w:rPr>
              <w:t>,</w:t>
            </w:r>
            <w:r w:rsidRPr="00D62D04">
              <w:rPr>
                <w:rStyle w:val="Other"/>
                <w:bCs/>
                <w:sz w:val="20"/>
                <w:szCs w:val="20"/>
              </w:rPr>
              <w:t>827</w:t>
            </w:r>
            <w:r w:rsidR="00717398" w:rsidRPr="00D62D04">
              <w:rPr>
                <w:rStyle w:val="Other"/>
                <w:bCs/>
                <w:sz w:val="20"/>
                <w:szCs w:val="20"/>
              </w:rPr>
              <w:t>.</w:t>
            </w:r>
            <w:r w:rsidRPr="00D62D04">
              <w:rPr>
                <w:rStyle w:val="Other"/>
                <w:bCs/>
                <w:sz w:val="20"/>
                <w:szCs w:val="20"/>
              </w:rPr>
              <w:t>42</w:t>
            </w:r>
          </w:p>
        </w:tc>
        <w:tc>
          <w:tcPr>
            <w:tcW w:w="3062" w:type="dxa"/>
            <w:tcBorders>
              <w:top w:val="single" w:sz="4" w:space="0" w:color="auto"/>
              <w:left w:val="single" w:sz="4" w:space="0" w:color="auto"/>
              <w:bottom w:val="single" w:sz="4" w:space="0" w:color="auto"/>
              <w:right w:val="single" w:sz="4" w:space="0" w:color="auto"/>
            </w:tcBorders>
            <w:shd w:val="clear" w:color="auto" w:fill="auto"/>
            <w:vAlign w:val="center"/>
          </w:tcPr>
          <w:p w14:paraId="3FB22224" w14:textId="77777777" w:rsidR="00E60DB6" w:rsidRPr="00D62D04" w:rsidRDefault="00E60DB6" w:rsidP="004C3FCB">
            <w:pPr>
              <w:pStyle w:val="Other0"/>
              <w:spacing w:after="0" w:line="240" w:lineRule="auto"/>
              <w:ind w:firstLine="0"/>
              <w:jc w:val="center"/>
              <w:rPr>
                <w:sz w:val="20"/>
                <w:szCs w:val="20"/>
              </w:rPr>
            </w:pPr>
            <w:r w:rsidRPr="00D62D04">
              <w:rPr>
                <w:rStyle w:val="Other"/>
                <w:bCs/>
                <w:sz w:val="20"/>
                <w:szCs w:val="20"/>
              </w:rPr>
              <w:t>115</w:t>
            </w:r>
          </w:p>
        </w:tc>
      </w:tr>
    </w:tbl>
    <w:p w14:paraId="0BB30D42" w14:textId="77777777" w:rsidR="00E60DB6" w:rsidRPr="00D62D04" w:rsidRDefault="00E60DB6" w:rsidP="00E60DB6">
      <w:pPr>
        <w:spacing w:after="0"/>
        <w:jc w:val="both"/>
        <w:rPr>
          <w:sz w:val="24"/>
          <w:szCs w:val="24"/>
          <w:highlight w:val="cyan"/>
          <w:lang w:val="en-GB"/>
        </w:rPr>
      </w:pPr>
    </w:p>
    <w:p w14:paraId="6F1065A8" w14:textId="33AF2F29" w:rsidR="00D617CF" w:rsidRPr="00D62D04" w:rsidRDefault="00D617CF" w:rsidP="00FB13B3">
      <w:pPr>
        <w:spacing w:after="0"/>
        <w:ind w:firstLine="720"/>
        <w:jc w:val="both"/>
        <w:rPr>
          <w:sz w:val="24"/>
          <w:szCs w:val="24"/>
          <w:lang w:val="en-GB"/>
        </w:rPr>
      </w:pPr>
      <w:r w:rsidRPr="00D62D04">
        <w:rPr>
          <w:sz w:val="24"/>
          <w:szCs w:val="24"/>
          <w:lang w:val="en-GB"/>
        </w:rPr>
        <w:t xml:space="preserve">Apart from the Ministry of Economy, the </w:t>
      </w:r>
      <w:r w:rsidR="00DB31DC" w:rsidRPr="00DB31DC">
        <w:rPr>
          <w:sz w:val="24"/>
          <w:szCs w:val="24"/>
          <w:lang w:val="en-GB"/>
        </w:rPr>
        <w:t xml:space="preserve">Government of Serbia Coordination Body for the Municipalities of </w:t>
      </w:r>
      <w:proofErr w:type="spellStart"/>
      <w:r w:rsidR="00DB31DC" w:rsidRPr="00DB31DC">
        <w:rPr>
          <w:sz w:val="24"/>
          <w:szCs w:val="24"/>
          <w:lang w:val="en-GB"/>
        </w:rPr>
        <w:t>Preševo</w:t>
      </w:r>
      <w:proofErr w:type="spellEnd"/>
      <w:r w:rsidR="00DB31DC" w:rsidRPr="00DB31DC">
        <w:rPr>
          <w:sz w:val="24"/>
          <w:szCs w:val="24"/>
          <w:lang w:val="en-GB"/>
        </w:rPr>
        <w:t xml:space="preserve">, </w:t>
      </w:r>
      <w:proofErr w:type="spellStart"/>
      <w:r w:rsidR="00DB31DC" w:rsidRPr="00DB31DC">
        <w:rPr>
          <w:sz w:val="24"/>
          <w:szCs w:val="24"/>
          <w:lang w:val="en-GB"/>
        </w:rPr>
        <w:t>Bujanovac</w:t>
      </w:r>
      <w:proofErr w:type="spellEnd"/>
      <w:r w:rsidR="00DB31DC" w:rsidRPr="00DB31DC">
        <w:rPr>
          <w:sz w:val="24"/>
          <w:szCs w:val="24"/>
          <w:lang w:val="en-GB"/>
        </w:rPr>
        <w:t xml:space="preserve"> and </w:t>
      </w:r>
      <w:proofErr w:type="spellStart"/>
      <w:r w:rsidR="00DB31DC" w:rsidRPr="00DB31DC">
        <w:rPr>
          <w:sz w:val="24"/>
          <w:szCs w:val="24"/>
          <w:lang w:val="en-GB"/>
        </w:rPr>
        <w:t>Medvedja</w:t>
      </w:r>
      <w:proofErr w:type="spellEnd"/>
      <w:r w:rsidR="00DB31DC" w:rsidRPr="00DB31DC">
        <w:rPr>
          <w:sz w:val="24"/>
          <w:szCs w:val="24"/>
          <w:lang w:val="en-GB"/>
        </w:rPr>
        <w:t xml:space="preserve"> - CB's Office</w:t>
      </w:r>
      <w:r w:rsidRPr="00D62D04">
        <w:rPr>
          <w:sz w:val="24"/>
          <w:szCs w:val="24"/>
          <w:lang w:val="en-GB"/>
        </w:rPr>
        <w:t>, as well as the Provincial Secretariat for Regional Development, Interregional Cooperation and Local Self-Government, are also investing significant funds in this regard.</w:t>
      </w:r>
    </w:p>
    <w:p w14:paraId="6318BF36" w14:textId="18640B8C" w:rsidR="00D617CF" w:rsidRPr="00D62D04" w:rsidRDefault="00D617CF" w:rsidP="00FB13B3">
      <w:pPr>
        <w:spacing w:after="0"/>
        <w:ind w:firstLine="720"/>
        <w:jc w:val="both"/>
        <w:rPr>
          <w:sz w:val="24"/>
          <w:szCs w:val="24"/>
          <w:lang w:val="en-GB"/>
        </w:rPr>
      </w:pPr>
      <w:r w:rsidRPr="00D62D04">
        <w:rPr>
          <w:sz w:val="24"/>
          <w:szCs w:val="24"/>
          <w:lang w:val="en-GB"/>
        </w:rPr>
        <w:t xml:space="preserve">The strategic priorities of the </w:t>
      </w:r>
      <w:r w:rsidR="00DB31DC" w:rsidRPr="00DB31DC">
        <w:rPr>
          <w:sz w:val="24"/>
          <w:szCs w:val="24"/>
          <w:lang w:val="en-GB"/>
        </w:rPr>
        <w:t xml:space="preserve">CB's Office </w:t>
      </w:r>
      <w:r w:rsidRPr="00D62D04">
        <w:rPr>
          <w:sz w:val="24"/>
          <w:szCs w:val="24"/>
          <w:lang w:val="en-GB"/>
        </w:rPr>
        <w:t xml:space="preserve">are the development of infrastructure and the recovery of companies that were the carriers of development in </w:t>
      </w:r>
      <w:proofErr w:type="spellStart"/>
      <w:r w:rsidRPr="00D62D04">
        <w:rPr>
          <w:sz w:val="24"/>
          <w:szCs w:val="24"/>
          <w:lang w:val="en-GB"/>
        </w:rPr>
        <w:t>Preševo</w:t>
      </w:r>
      <w:proofErr w:type="spellEnd"/>
      <w:r w:rsidRPr="00D62D04">
        <w:rPr>
          <w:sz w:val="24"/>
          <w:szCs w:val="24"/>
          <w:lang w:val="en-GB"/>
        </w:rPr>
        <w:t xml:space="preserve">, </w:t>
      </w:r>
      <w:proofErr w:type="spellStart"/>
      <w:r w:rsidRPr="00D62D04">
        <w:rPr>
          <w:sz w:val="24"/>
          <w:szCs w:val="24"/>
          <w:lang w:val="en-GB"/>
        </w:rPr>
        <w:t>Bujanovac</w:t>
      </w:r>
      <w:proofErr w:type="spellEnd"/>
      <w:r w:rsidRPr="00D62D04">
        <w:rPr>
          <w:sz w:val="24"/>
          <w:szCs w:val="24"/>
          <w:lang w:val="en-GB"/>
        </w:rPr>
        <w:t xml:space="preserve"> and </w:t>
      </w:r>
      <w:proofErr w:type="spellStart"/>
      <w:r w:rsidRPr="00D62D04">
        <w:rPr>
          <w:sz w:val="24"/>
          <w:szCs w:val="24"/>
          <w:lang w:val="en-GB"/>
        </w:rPr>
        <w:t>Medveđa</w:t>
      </w:r>
      <w:proofErr w:type="spellEnd"/>
      <w:r w:rsidRPr="00D62D04">
        <w:rPr>
          <w:sz w:val="24"/>
          <w:szCs w:val="24"/>
          <w:lang w:val="en-GB"/>
        </w:rPr>
        <w:t xml:space="preserve">, support for small and medium-sized enterprises, entrepreneurs and cooperatives and attracting investments in three municipalities, which belong to the group of devastated areas the level of development of which is below 50% of the national average. In the period 2000-2020, the </w:t>
      </w:r>
      <w:r w:rsidR="00DB31DC" w:rsidRPr="00DB31DC">
        <w:rPr>
          <w:sz w:val="24"/>
          <w:szCs w:val="24"/>
          <w:lang w:val="en-GB"/>
        </w:rPr>
        <w:t>CB's Office</w:t>
      </w:r>
      <w:r w:rsidRPr="00D62D04">
        <w:rPr>
          <w:sz w:val="24"/>
          <w:szCs w:val="24"/>
          <w:lang w:val="en-GB"/>
        </w:rPr>
        <w:t xml:space="preserve"> transferred the most funds to the municipalities in the south of Serbia for the area of infrastructure. In the given period, 6,980,377,644.45 dinars (more than 59 million euros) were invested in this area. When it comes to investments in infrastructure, for the period 2017-2021, funds in the amount of about 1 billion and 220 million dinars (more than 10 million euros) were allocated, which were spent on the implementation of projects related to the creation of conditions for a better and quality of life for the population (construction of roads, water supply, electricity supply, construction and reconstruction of schools and other utility projects in the territory of three municipalities). As for privately owned business entities, the </w:t>
      </w:r>
      <w:r w:rsidR="00DB31DC" w:rsidRPr="00DB31DC">
        <w:rPr>
          <w:sz w:val="24"/>
          <w:szCs w:val="24"/>
          <w:lang w:val="en-GB"/>
        </w:rPr>
        <w:t xml:space="preserve">CB's Office </w:t>
      </w:r>
      <w:r w:rsidRPr="00D62D04">
        <w:rPr>
          <w:sz w:val="24"/>
          <w:szCs w:val="24"/>
          <w:lang w:val="en-GB"/>
        </w:rPr>
        <w:t>provides funds and announces competition</w:t>
      </w:r>
      <w:r w:rsidR="00A21BF5" w:rsidRPr="00D62D04">
        <w:rPr>
          <w:sz w:val="24"/>
          <w:szCs w:val="24"/>
          <w:lang w:val="en-GB"/>
        </w:rPr>
        <w:t>s</w:t>
      </w:r>
      <w:r w:rsidRPr="00D62D04">
        <w:rPr>
          <w:sz w:val="24"/>
          <w:szCs w:val="24"/>
          <w:lang w:val="en-GB"/>
        </w:rPr>
        <w:t xml:space="preserve"> for awarding of grants for subsidies to small and medium-sized businesses, entrepreneurs and agricultural cooperatives. Based on this competition</w:t>
      </w:r>
      <w:r w:rsidR="00A21BF5" w:rsidRPr="00D62D04">
        <w:rPr>
          <w:sz w:val="24"/>
          <w:szCs w:val="24"/>
          <w:lang w:val="en-GB"/>
        </w:rPr>
        <w:t>,</w:t>
      </w:r>
      <w:r w:rsidRPr="00D62D04">
        <w:rPr>
          <w:sz w:val="24"/>
          <w:szCs w:val="24"/>
          <w:lang w:val="en-GB"/>
        </w:rPr>
        <w:t xml:space="preserve"> in the period 2018-2021over 148 million dinars were allocated for 65 economic entities in the municipalities of </w:t>
      </w:r>
      <w:proofErr w:type="spellStart"/>
      <w:r w:rsidRPr="00D62D04">
        <w:rPr>
          <w:sz w:val="24"/>
          <w:szCs w:val="24"/>
          <w:lang w:val="en-GB"/>
        </w:rPr>
        <w:t>Preševo</w:t>
      </w:r>
      <w:proofErr w:type="spellEnd"/>
      <w:r w:rsidRPr="00D62D04">
        <w:rPr>
          <w:sz w:val="24"/>
          <w:szCs w:val="24"/>
          <w:lang w:val="en-GB"/>
        </w:rPr>
        <w:t xml:space="preserve">, </w:t>
      </w:r>
      <w:proofErr w:type="spellStart"/>
      <w:r w:rsidRPr="00D62D04">
        <w:rPr>
          <w:sz w:val="24"/>
          <w:szCs w:val="24"/>
          <w:lang w:val="en-GB"/>
        </w:rPr>
        <w:t>Bujanovac</w:t>
      </w:r>
      <w:proofErr w:type="spellEnd"/>
      <w:r w:rsidRPr="00D62D04">
        <w:rPr>
          <w:sz w:val="24"/>
          <w:szCs w:val="24"/>
          <w:lang w:val="en-GB"/>
        </w:rPr>
        <w:t xml:space="preserve"> and </w:t>
      </w:r>
      <w:proofErr w:type="spellStart"/>
      <w:r w:rsidRPr="00D62D04">
        <w:rPr>
          <w:sz w:val="24"/>
          <w:szCs w:val="24"/>
          <w:lang w:val="en-GB"/>
        </w:rPr>
        <w:t>Medveđa</w:t>
      </w:r>
      <w:proofErr w:type="spellEnd"/>
      <w:r w:rsidRPr="00D62D04">
        <w:rPr>
          <w:sz w:val="24"/>
          <w:szCs w:val="24"/>
          <w:lang w:val="en-GB"/>
        </w:rPr>
        <w:t xml:space="preserve">. The </w:t>
      </w:r>
      <w:r w:rsidR="00DB31DC" w:rsidRPr="00DB31DC">
        <w:rPr>
          <w:sz w:val="24"/>
          <w:szCs w:val="24"/>
          <w:lang w:val="en-GB"/>
        </w:rPr>
        <w:t xml:space="preserve">CB's Office </w:t>
      </w:r>
      <w:r w:rsidRPr="00D62D04">
        <w:rPr>
          <w:sz w:val="24"/>
          <w:szCs w:val="24"/>
          <w:lang w:val="en-GB"/>
        </w:rPr>
        <w:t>allocated funds in the amount of 40 million dinars in the 2022 budget for the same purposes. The results of the conducted tenders are an increase in the number of employees, the empowerment of small and medium-sized companies, entrepreneurs and agricultural cooperatives for more efficient connections on the local, regional, national and international markets, the improvement of production for the purpose of economic growth, the improvement of competitiveness on domestic and foreign markets and the improvement of production intended for export or import substitution.</w:t>
      </w:r>
    </w:p>
    <w:p w14:paraId="476C6B16" w14:textId="77777777" w:rsidR="00734F6D" w:rsidRPr="00D62D04" w:rsidRDefault="00734F6D" w:rsidP="00734F6D">
      <w:pPr>
        <w:spacing w:after="0"/>
        <w:ind w:firstLine="720"/>
        <w:jc w:val="both"/>
        <w:rPr>
          <w:sz w:val="24"/>
          <w:szCs w:val="24"/>
          <w:lang w:val="en-GB"/>
        </w:rPr>
      </w:pPr>
      <w:r w:rsidRPr="00D62D04">
        <w:rPr>
          <w:sz w:val="24"/>
          <w:szCs w:val="24"/>
          <w:lang w:val="en-GB"/>
        </w:rPr>
        <w:t>The Provincial Secretariat for Regional Development, Interregional Cooperation and Local Self-Government subsidised business entities in underdeveloped areas: 3</w:t>
      </w:r>
      <w:r w:rsidRPr="00D62D04">
        <w:rPr>
          <w:sz w:val="24"/>
          <w:szCs w:val="24"/>
          <w:vertAlign w:val="superscript"/>
          <w:lang w:val="en-GB"/>
        </w:rPr>
        <w:t>rd</w:t>
      </w:r>
      <w:r w:rsidRPr="00D62D04">
        <w:rPr>
          <w:sz w:val="24"/>
          <w:szCs w:val="24"/>
          <w:lang w:val="en-GB"/>
        </w:rPr>
        <w:t xml:space="preserve"> category development group and 4</w:t>
      </w:r>
      <w:r w:rsidRPr="00D62D04">
        <w:rPr>
          <w:sz w:val="24"/>
          <w:szCs w:val="24"/>
          <w:vertAlign w:val="superscript"/>
          <w:lang w:val="en-GB"/>
        </w:rPr>
        <w:t>th</w:t>
      </w:r>
      <w:r w:rsidRPr="00D62D04">
        <w:rPr>
          <w:sz w:val="24"/>
          <w:szCs w:val="24"/>
          <w:lang w:val="en-GB"/>
        </w:rPr>
        <w:t xml:space="preserve"> category development group, whereby they were given priority under the conditions of the competition and through the scoring system. In the period from 30 June 2016 to 9 September 2021, 364,587,158.88.00 dinars were allocated to the local self-</w:t>
      </w:r>
      <w:r w:rsidRPr="00D62D04">
        <w:rPr>
          <w:sz w:val="24"/>
          <w:szCs w:val="24"/>
          <w:lang w:val="en-GB"/>
        </w:rPr>
        <w:lastRenderedPageBreak/>
        <w:t>government units from the 3</w:t>
      </w:r>
      <w:r w:rsidRPr="00D62D04">
        <w:rPr>
          <w:sz w:val="24"/>
          <w:szCs w:val="24"/>
          <w:vertAlign w:val="superscript"/>
          <w:lang w:val="en-GB"/>
        </w:rPr>
        <w:t>rd</w:t>
      </w:r>
      <w:r w:rsidRPr="00D62D04">
        <w:rPr>
          <w:sz w:val="24"/>
          <w:szCs w:val="24"/>
          <w:lang w:val="en-GB"/>
        </w:rPr>
        <w:t xml:space="preserve"> category group (13 LSGUs), and 10,088,006.00 dinars to the local self-government units from the 4</w:t>
      </w:r>
      <w:r w:rsidRPr="00D62D04">
        <w:rPr>
          <w:sz w:val="24"/>
          <w:szCs w:val="24"/>
          <w:vertAlign w:val="superscript"/>
          <w:lang w:val="en-GB"/>
        </w:rPr>
        <w:t>th</w:t>
      </w:r>
      <w:r w:rsidRPr="00D62D04">
        <w:rPr>
          <w:sz w:val="24"/>
          <w:szCs w:val="24"/>
          <w:lang w:val="en-GB"/>
        </w:rPr>
        <w:t xml:space="preserve"> category group (one LSGU). </w:t>
      </w:r>
    </w:p>
    <w:p w14:paraId="2554F71F" w14:textId="77777777" w:rsidR="00734F6D" w:rsidRPr="00D62D04" w:rsidRDefault="00734F6D" w:rsidP="00734F6D">
      <w:pPr>
        <w:spacing w:after="0"/>
        <w:ind w:firstLine="720"/>
        <w:jc w:val="both"/>
        <w:rPr>
          <w:sz w:val="24"/>
          <w:szCs w:val="24"/>
          <w:lang w:val="en-GB"/>
        </w:rPr>
      </w:pPr>
      <w:r w:rsidRPr="00D62D04">
        <w:rPr>
          <w:sz w:val="24"/>
          <w:szCs w:val="24"/>
          <w:lang w:val="en-GB"/>
        </w:rPr>
        <w:t>Also, the Chamber of Commerce of Serbia (</w:t>
      </w:r>
      <w:r w:rsidR="00FC7C44" w:rsidRPr="00D62D04">
        <w:rPr>
          <w:sz w:val="24"/>
          <w:szCs w:val="24"/>
          <w:lang w:val="en-GB"/>
        </w:rPr>
        <w:t>CCS</w:t>
      </w:r>
      <w:r w:rsidRPr="00D62D04">
        <w:rPr>
          <w:sz w:val="24"/>
          <w:szCs w:val="24"/>
          <w:lang w:val="en-GB"/>
        </w:rPr>
        <w:t>) continuously works to attract foreign investments by organi</w:t>
      </w:r>
      <w:r w:rsidR="00FC7C44" w:rsidRPr="00D62D04">
        <w:rPr>
          <w:sz w:val="24"/>
          <w:szCs w:val="24"/>
          <w:lang w:val="en-GB"/>
        </w:rPr>
        <w:t>s</w:t>
      </w:r>
      <w:r w:rsidRPr="00D62D04">
        <w:rPr>
          <w:sz w:val="24"/>
          <w:szCs w:val="24"/>
          <w:lang w:val="en-GB"/>
        </w:rPr>
        <w:t xml:space="preserve">ing promotions of the investment potential of municipalities. </w:t>
      </w:r>
      <w:r w:rsidR="00FC7C44" w:rsidRPr="00D62D04">
        <w:rPr>
          <w:sz w:val="24"/>
          <w:szCs w:val="24"/>
          <w:lang w:val="en-GB"/>
        </w:rPr>
        <w:t>CCS</w:t>
      </w:r>
      <w:r w:rsidRPr="00D62D04">
        <w:rPr>
          <w:sz w:val="24"/>
          <w:szCs w:val="24"/>
          <w:lang w:val="en-GB"/>
        </w:rPr>
        <w:t xml:space="preserve"> also offers a database of investment projects and investment locations to interested investors.</w:t>
      </w:r>
    </w:p>
    <w:p w14:paraId="479928B8" w14:textId="335EEACB" w:rsidR="00734F6D" w:rsidRPr="00D62D04" w:rsidRDefault="00734F6D" w:rsidP="00734F6D">
      <w:pPr>
        <w:spacing w:after="0"/>
        <w:ind w:firstLine="720"/>
        <w:jc w:val="both"/>
        <w:rPr>
          <w:sz w:val="24"/>
          <w:szCs w:val="24"/>
          <w:lang w:val="en-GB"/>
        </w:rPr>
      </w:pPr>
      <w:r w:rsidRPr="00D62D04">
        <w:rPr>
          <w:sz w:val="24"/>
          <w:szCs w:val="24"/>
          <w:lang w:val="en-GB"/>
        </w:rPr>
        <w:t xml:space="preserve">Special attention is </w:t>
      </w:r>
      <w:r w:rsidR="005C6B27" w:rsidRPr="00D62D04">
        <w:rPr>
          <w:sz w:val="24"/>
          <w:szCs w:val="24"/>
          <w:lang w:val="en-GB"/>
        </w:rPr>
        <w:t>given</w:t>
      </w:r>
      <w:r w:rsidRPr="00D62D04">
        <w:rPr>
          <w:sz w:val="24"/>
          <w:szCs w:val="24"/>
          <w:lang w:val="en-GB"/>
        </w:rPr>
        <w:t xml:space="preserve"> to the improvement of areas where members of the Roma national minority live. In this sense, we remind you of the Program</w:t>
      </w:r>
      <w:r w:rsidR="005C6B27" w:rsidRPr="00D62D04">
        <w:rPr>
          <w:sz w:val="24"/>
          <w:szCs w:val="24"/>
          <w:lang w:val="en-GB"/>
        </w:rPr>
        <w:t>me</w:t>
      </w:r>
      <w:r w:rsidRPr="00D62D04">
        <w:rPr>
          <w:sz w:val="24"/>
          <w:szCs w:val="24"/>
          <w:lang w:val="en-GB"/>
        </w:rPr>
        <w:t xml:space="preserve"> for the Promotion of the Development of Roma Entrepreneurship adopted by the Government of the Republic of Serbia, as well as the investment and infrastructure results of the implementation of the IPA program</w:t>
      </w:r>
      <w:r w:rsidR="005C6B27" w:rsidRPr="00D62D04">
        <w:rPr>
          <w:sz w:val="24"/>
          <w:szCs w:val="24"/>
          <w:lang w:val="en-GB"/>
        </w:rPr>
        <w:t>me</w:t>
      </w:r>
      <w:r w:rsidRPr="00D62D04">
        <w:rPr>
          <w:sz w:val="24"/>
          <w:szCs w:val="24"/>
          <w:lang w:val="en-GB"/>
        </w:rPr>
        <w:t xml:space="preserve">, which are explained in more detail </w:t>
      </w:r>
      <w:r w:rsidR="005C6B27" w:rsidRPr="00D62D04">
        <w:rPr>
          <w:sz w:val="24"/>
          <w:szCs w:val="24"/>
          <w:lang w:val="en-GB"/>
        </w:rPr>
        <w:t>in terms of</w:t>
      </w:r>
      <w:r w:rsidRPr="00D62D04">
        <w:rPr>
          <w:sz w:val="24"/>
          <w:szCs w:val="24"/>
          <w:lang w:val="en-GB"/>
        </w:rPr>
        <w:t xml:space="preserve"> recommendation 1 from the </w:t>
      </w:r>
      <w:r w:rsidR="00AC33C4">
        <w:rPr>
          <w:sz w:val="24"/>
          <w:szCs w:val="24"/>
          <w:lang w:val="en-GB"/>
        </w:rPr>
        <w:t>Committee of Ministers Resolution</w:t>
      </w:r>
      <w:r w:rsidRPr="00D62D04">
        <w:rPr>
          <w:sz w:val="24"/>
          <w:szCs w:val="24"/>
          <w:lang w:val="en-GB"/>
        </w:rPr>
        <w:t>.</w:t>
      </w:r>
    </w:p>
    <w:p w14:paraId="59BBE71F" w14:textId="77777777" w:rsidR="002D71E8" w:rsidRPr="00D62D04" w:rsidRDefault="002D71E8" w:rsidP="002D71E8">
      <w:pPr>
        <w:spacing w:after="0"/>
        <w:jc w:val="both"/>
        <w:rPr>
          <w:sz w:val="24"/>
          <w:szCs w:val="24"/>
          <w:highlight w:val="cyan"/>
          <w:lang w:val="en-GB"/>
        </w:rPr>
      </w:pPr>
    </w:p>
    <w:p w14:paraId="189E66A8" w14:textId="77777777" w:rsidR="002D71E8" w:rsidRPr="00D62D04" w:rsidRDefault="00A21BF5" w:rsidP="002D71E8">
      <w:pPr>
        <w:spacing w:after="0"/>
        <w:jc w:val="both"/>
        <w:rPr>
          <w:i/>
          <w:sz w:val="24"/>
          <w:szCs w:val="24"/>
          <w:lang w:val="en-GB"/>
        </w:rPr>
      </w:pPr>
      <w:r w:rsidRPr="00D62D04">
        <w:rPr>
          <w:i/>
          <w:sz w:val="24"/>
          <w:szCs w:val="24"/>
          <w:lang w:val="en-GB"/>
        </w:rPr>
        <w:t xml:space="preserve">Employment incentives </w:t>
      </w:r>
    </w:p>
    <w:p w14:paraId="0FD4FF12" w14:textId="77777777" w:rsidR="00E72ED5" w:rsidRPr="00D62D04" w:rsidRDefault="00E72ED5" w:rsidP="00E72ED5">
      <w:pPr>
        <w:spacing w:after="0"/>
        <w:ind w:firstLine="720"/>
        <w:jc w:val="both"/>
        <w:rPr>
          <w:sz w:val="24"/>
          <w:szCs w:val="24"/>
          <w:highlight w:val="cyan"/>
          <w:lang w:val="en-GB"/>
        </w:rPr>
      </w:pPr>
    </w:p>
    <w:p w14:paraId="794A0650" w14:textId="77777777" w:rsidR="00E83BCB" w:rsidRPr="00D62D04" w:rsidRDefault="00E83BCB" w:rsidP="002D71E8">
      <w:pPr>
        <w:spacing w:after="0"/>
        <w:ind w:firstLine="720"/>
        <w:jc w:val="both"/>
        <w:rPr>
          <w:sz w:val="24"/>
          <w:szCs w:val="24"/>
          <w:lang w:val="en-GB"/>
        </w:rPr>
      </w:pPr>
      <w:r w:rsidRPr="00D62D04">
        <w:rPr>
          <w:sz w:val="24"/>
          <w:szCs w:val="24"/>
          <w:lang w:val="en-GB"/>
        </w:rPr>
        <w:t>The problems faced by persons from the harder-to-employ category are recognised in strategic documents and legal regulations, as well as the activities undertaken with the aim of providing support in removing existing obstacles and difficulties on the way to their integration. Belongi</w:t>
      </w:r>
      <w:r w:rsidR="002D4042" w:rsidRPr="00D62D04">
        <w:rPr>
          <w:sz w:val="24"/>
          <w:szCs w:val="24"/>
          <w:lang w:val="en-GB"/>
        </w:rPr>
        <w:t>ng to the category of difficult-to-</w:t>
      </w:r>
      <w:r w:rsidRPr="00D62D04">
        <w:rPr>
          <w:sz w:val="24"/>
          <w:szCs w:val="24"/>
          <w:lang w:val="en-GB"/>
        </w:rPr>
        <w:t>employ persons is determined based on the difficulties they face in the labo</w:t>
      </w:r>
      <w:r w:rsidR="002D4042" w:rsidRPr="00D62D04">
        <w:rPr>
          <w:sz w:val="24"/>
          <w:szCs w:val="24"/>
          <w:lang w:val="en-GB"/>
        </w:rPr>
        <w:t>u</w:t>
      </w:r>
      <w:r w:rsidRPr="00D62D04">
        <w:rPr>
          <w:sz w:val="24"/>
          <w:szCs w:val="24"/>
          <w:lang w:val="en-GB"/>
        </w:rPr>
        <w:t>r market due to their health condition, insufficient or inadequate education, socio-demographic characteristics, regional or professional mismatch of supply and demand on the labo</w:t>
      </w:r>
      <w:r w:rsidR="002D4042" w:rsidRPr="00D62D04">
        <w:rPr>
          <w:sz w:val="24"/>
          <w:szCs w:val="24"/>
          <w:lang w:val="en-GB"/>
        </w:rPr>
        <w:t>u</w:t>
      </w:r>
      <w:r w:rsidRPr="00D62D04">
        <w:rPr>
          <w:sz w:val="24"/>
          <w:szCs w:val="24"/>
          <w:lang w:val="en-GB"/>
        </w:rPr>
        <w:t>r market or other objective circumstances that make it difficult to find employment. Local employment councils were established for the purpose of coordinating activities in the implementation of the employment policy and strengthening ties between different decision-making levels in accordance with strategic documents and employment program</w:t>
      </w:r>
      <w:r w:rsidR="002D4042" w:rsidRPr="00D62D04">
        <w:rPr>
          <w:sz w:val="24"/>
          <w:szCs w:val="24"/>
          <w:lang w:val="en-GB"/>
        </w:rPr>
        <w:t>me</w:t>
      </w:r>
      <w:r w:rsidRPr="00D62D04">
        <w:rPr>
          <w:sz w:val="24"/>
          <w:szCs w:val="24"/>
          <w:lang w:val="en-GB"/>
        </w:rPr>
        <w:t xml:space="preserve">s at the local level. Local employment councils were established with the aim of defining the priorities and </w:t>
      </w:r>
      <w:r w:rsidR="001B7E8C" w:rsidRPr="00D62D04">
        <w:rPr>
          <w:sz w:val="24"/>
          <w:szCs w:val="24"/>
          <w:lang w:val="en-GB"/>
        </w:rPr>
        <w:t>objectives</w:t>
      </w:r>
      <w:r w:rsidRPr="00D62D04">
        <w:rPr>
          <w:sz w:val="24"/>
          <w:szCs w:val="24"/>
          <w:lang w:val="en-GB"/>
        </w:rPr>
        <w:t xml:space="preserve"> of the employment policy at the local level for a certain period, determining measures and program</w:t>
      </w:r>
      <w:r w:rsidR="001B7E8C" w:rsidRPr="00D62D04">
        <w:rPr>
          <w:sz w:val="24"/>
          <w:szCs w:val="24"/>
          <w:lang w:val="en-GB"/>
        </w:rPr>
        <w:t>me</w:t>
      </w:r>
      <w:r w:rsidRPr="00D62D04">
        <w:rPr>
          <w:sz w:val="24"/>
          <w:szCs w:val="24"/>
          <w:lang w:val="en-GB"/>
        </w:rPr>
        <w:t xml:space="preserve">s to achieve the set priorities and </w:t>
      </w:r>
      <w:r w:rsidR="001B7E8C" w:rsidRPr="00D62D04">
        <w:rPr>
          <w:sz w:val="24"/>
          <w:szCs w:val="24"/>
          <w:lang w:val="en-GB"/>
        </w:rPr>
        <w:t>objectives</w:t>
      </w:r>
      <w:r w:rsidRPr="00D62D04">
        <w:rPr>
          <w:sz w:val="24"/>
          <w:szCs w:val="24"/>
          <w:lang w:val="en-GB"/>
        </w:rPr>
        <w:t>, human and financial resources for their implementation and providing mechanisms for monitoring the effects of the measures.</w:t>
      </w:r>
      <w:r w:rsidR="001B7E8C" w:rsidRPr="00D62D04">
        <w:rPr>
          <w:sz w:val="24"/>
          <w:szCs w:val="24"/>
          <w:lang w:val="en-GB"/>
        </w:rPr>
        <w:t xml:space="preserve"> Among other tasks</w:t>
      </w:r>
      <w:r w:rsidRPr="00D62D04">
        <w:rPr>
          <w:sz w:val="24"/>
          <w:szCs w:val="24"/>
          <w:lang w:val="en-GB"/>
        </w:rPr>
        <w:t>, th</w:t>
      </w:r>
      <w:r w:rsidR="001B7E8C" w:rsidRPr="00D62D04">
        <w:rPr>
          <w:sz w:val="24"/>
          <w:szCs w:val="24"/>
          <w:lang w:val="en-GB"/>
        </w:rPr>
        <w:t>ose</w:t>
      </w:r>
      <w:r w:rsidRPr="00D62D04">
        <w:rPr>
          <w:sz w:val="24"/>
          <w:szCs w:val="24"/>
          <w:lang w:val="en-GB"/>
        </w:rPr>
        <w:t xml:space="preserve"> tasks of local employment councils are aimed at analy</w:t>
      </w:r>
      <w:r w:rsidR="001B7E8C" w:rsidRPr="00D62D04">
        <w:rPr>
          <w:sz w:val="24"/>
          <w:szCs w:val="24"/>
          <w:lang w:val="en-GB"/>
        </w:rPr>
        <w:t>s</w:t>
      </w:r>
      <w:r w:rsidRPr="00D62D04">
        <w:rPr>
          <w:sz w:val="24"/>
          <w:szCs w:val="24"/>
          <w:lang w:val="en-GB"/>
        </w:rPr>
        <w:t>ing development potentials, defining measures and instruments of employment policy at the local level through the development of local employment action plans. Special attention when defining priorities and activities is devoted to groups and individuals who have a higher risk of long-term unemployment. Branches of the National Employment Service are members of the local employment council.</w:t>
      </w:r>
    </w:p>
    <w:p w14:paraId="27E134C8" w14:textId="77777777" w:rsidR="004B1CEA" w:rsidRPr="00D62D04" w:rsidRDefault="004B1CEA" w:rsidP="004B1CEA">
      <w:pPr>
        <w:spacing w:after="0"/>
        <w:ind w:firstLine="720"/>
        <w:jc w:val="both"/>
        <w:rPr>
          <w:sz w:val="24"/>
          <w:szCs w:val="24"/>
          <w:lang w:val="en-GB"/>
        </w:rPr>
      </w:pPr>
      <w:r w:rsidRPr="00D62D04">
        <w:rPr>
          <w:sz w:val="24"/>
          <w:szCs w:val="24"/>
          <w:lang w:val="en-GB"/>
        </w:rPr>
        <w:t>Institutions that are members of these councils have the task of carrying out activities to achieve the set objectives individually and through joint institutional cooperation, as well as by participating in project activities. The tasks and activities of the council are formalised by signing a cooperation agreement, which defines the activities of the signatories of the agreement in order to monitor the achieved results and defined deadlines. Practice has shown that the best results in terms of employment and education of persons who have difficult access to the labour market are achieved through the joint cooperation of the institutions that are responsible for these tasks.</w:t>
      </w:r>
    </w:p>
    <w:p w14:paraId="05B2B11B" w14:textId="77777777" w:rsidR="004B1CEA" w:rsidRPr="00D62D04" w:rsidRDefault="004B1CEA" w:rsidP="004B1CEA">
      <w:pPr>
        <w:spacing w:after="0"/>
        <w:ind w:firstLine="720"/>
        <w:jc w:val="both"/>
        <w:rPr>
          <w:sz w:val="24"/>
          <w:szCs w:val="24"/>
          <w:lang w:val="en-GB"/>
        </w:rPr>
      </w:pPr>
      <w:r w:rsidRPr="00D62D04">
        <w:rPr>
          <w:sz w:val="24"/>
          <w:szCs w:val="24"/>
          <w:lang w:val="en-GB"/>
        </w:rPr>
        <w:t xml:space="preserve">In accordance with the Employment Strategy in the Republic of Serbia for the period from 2021 to 2026, the employment policy should also contribute to the achievement of </w:t>
      </w:r>
      <w:r w:rsidRPr="00D62D04">
        <w:rPr>
          <w:sz w:val="24"/>
          <w:szCs w:val="24"/>
          <w:lang w:val="en-GB"/>
        </w:rPr>
        <w:lastRenderedPageBreak/>
        <w:t>economic development objectives by implementing measures that represent a quality response of local actors to the challenges, needs and opportunities of local labour markets.</w:t>
      </w:r>
    </w:p>
    <w:p w14:paraId="3341011F" w14:textId="77777777" w:rsidR="00835BA1" w:rsidRPr="00D62D04" w:rsidRDefault="00835BA1" w:rsidP="002D71E8">
      <w:pPr>
        <w:spacing w:after="0"/>
        <w:ind w:firstLine="720"/>
        <w:jc w:val="both"/>
        <w:rPr>
          <w:sz w:val="24"/>
          <w:szCs w:val="24"/>
          <w:lang w:val="en-GB"/>
        </w:rPr>
      </w:pPr>
      <w:r w:rsidRPr="00D62D04">
        <w:rPr>
          <w:sz w:val="24"/>
          <w:szCs w:val="24"/>
          <w:lang w:val="en-GB"/>
        </w:rPr>
        <w:t>As of 2010, when the Law on Employment and Unemployment Insurance created the basis for the decentralisation of employment policy, an increasing number of local self-government units have shown interest in this area and the willingness to be actively involved in improving the situation on local labour markets. Local employment councils are gradually assuming a key role in the processes of defining measures of importance for improving the situation and trends in the local labour market, which is accompanied by an increase in allocations from the budget of local self-government units for the implementation of active employment policy measures.</w:t>
      </w:r>
    </w:p>
    <w:p w14:paraId="5FD4D176" w14:textId="77777777" w:rsidR="00EC2D4F" w:rsidRPr="00D62D04" w:rsidRDefault="00EC2D4F" w:rsidP="002D71E8">
      <w:pPr>
        <w:spacing w:after="0"/>
        <w:ind w:firstLine="720"/>
        <w:jc w:val="both"/>
        <w:rPr>
          <w:sz w:val="24"/>
          <w:szCs w:val="24"/>
          <w:lang w:val="en-GB"/>
        </w:rPr>
      </w:pPr>
      <w:r w:rsidRPr="00D62D04">
        <w:rPr>
          <w:sz w:val="24"/>
          <w:szCs w:val="24"/>
          <w:lang w:val="en-GB"/>
        </w:rPr>
        <w:t xml:space="preserve">In accordance with the Action Plan for the period from 2021 to 2023 for the implementation of the Employment Strategy in the Republic of Serbia for the period from 2021 to 2026, one of the criteria on the basis of which the amount of funds is approved at the request of the local self-government unit for participation in financing measure is the degree of development of the local self-government unit (local self-government units belonging to less developed areas are provided with a higher amount of funds from the budget compared to developed local self-government units). The minimum amount that can be provided from the budget to a local self-government unit belonging to the fourth </w:t>
      </w:r>
      <w:r w:rsidR="00767049" w:rsidRPr="00D62D04">
        <w:rPr>
          <w:sz w:val="24"/>
          <w:szCs w:val="24"/>
          <w:lang w:val="en-GB"/>
        </w:rPr>
        <w:t xml:space="preserve">category </w:t>
      </w:r>
      <w:r w:rsidRPr="00D62D04">
        <w:rPr>
          <w:sz w:val="24"/>
          <w:szCs w:val="24"/>
          <w:lang w:val="en-GB"/>
        </w:rPr>
        <w:t xml:space="preserve">group (level of development below 60% of the national average) and devastated areas (level of development below 50% of the national average) is 60%, except for local self-government units that expressed </w:t>
      </w:r>
      <w:r w:rsidR="00767049" w:rsidRPr="00D62D04">
        <w:rPr>
          <w:sz w:val="24"/>
          <w:szCs w:val="24"/>
          <w:lang w:val="en-GB"/>
        </w:rPr>
        <w:t xml:space="preserve">in the request for co-financing </w:t>
      </w:r>
      <w:r w:rsidRPr="00D62D04">
        <w:rPr>
          <w:sz w:val="24"/>
          <w:szCs w:val="24"/>
          <w:lang w:val="en-GB"/>
        </w:rPr>
        <w:t>the need to ensure a lower share of funds from the budget of the Republic of Serbia than 60%.</w:t>
      </w:r>
    </w:p>
    <w:p w14:paraId="0274757C" w14:textId="77777777" w:rsidR="00C53C3D" w:rsidRPr="00D62D04" w:rsidRDefault="00C53C3D" w:rsidP="00C53C3D">
      <w:pPr>
        <w:spacing w:after="0"/>
        <w:ind w:firstLine="720"/>
        <w:jc w:val="both"/>
        <w:rPr>
          <w:sz w:val="24"/>
          <w:szCs w:val="24"/>
          <w:lang w:val="en-GB"/>
        </w:rPr>
      </w:pPr>
      <w:r w:rsidRPr="00D62D04">
        <w:rPr>
          <w:sz w:val="24"/>
          <w:szCs w:val="24"/>
          <w:lang w:val="en-GB"/>
        </w:rPr>
        <w:t>Also, a measure of active employment policy that encourages balanced regional development is the allocation of a subsidy for the employment of unemployed persons from the harder-to-employ category, where the amount of the subsidy depends on the level of development of local self-government units.</w:t>
      </w:r>
    </w:p>
    <w:p w14:paraId="48CBD2D0" w14:textId="77777777" w:rsidR="00C53C3D" w:rsidRPr="00D62D04" w:rsidRDefault="00C53C3D" w:rsidP="00C53C3D">
      <w:pPr>
        <w:spacing w:after="0"/>
        <w:ind w:firstLine="720"/>
        <w:jc w:val="both"/>
        <w:rPr>
          <w:sz w:val="24"/>
          <w:szCs w:val="24"/>
          <w:lang w:val="en-GB"/>
        </w:rPr>
      </w:pPr>
      <w:r w:rsidRPr="00D62D04">
        <w:rPr>
          <w:sz w:val="24"/>
          <w:szCs w:val="24"/>
          <w:lang w:val="en-GB"/>
        </w:rPr>
        <w:t>In addition to the regular public call for the unemployed to be granted a subsidy for self-employment, where members of the Roma nationality are recogni</w:t>
      </w:r>
      <w:r w:rsidR="00211824" w:rsidRPr="00D62D04">
        <w:rPr>
          <w:sz w:val="24"/>
          <w:szCs w:val="24"/>
          <w:lang w:val="en-GB"/>
        </w:rPr>
        <w:t>s</w:t>
      </w:r>
      <w:r w:rsidRPr="00D62D04">
        <w:rPr>
          <w:sz w:val="24"/>
          <w:szCs w:val="24"/>
          <w:lang w:val="en-GB"/>
        </w:rPr>
        <w:t xml:space="preserve">ed as a more difficult category to employ, the National Employment Service also announces a special public call for the unemployed of the Roma nationality for the grant of a subsidy for self-employment with a previously defined quota for the grant of a subsidy for this category of unemployed </w:t>
      </w:r>
      <w:r w:rsidR="00211824" w:rsidRPr="00D62D04">
        <w:rPr>
          <w:sz w:val="24"/>
          <w:szCs w:val="24"/>
          <w:lang w:val="en-GB"/>
        </w:rPr>
        <w:t>persons</w:t>
      </w:r>
      <w:r w:rsidRPr="00D62D04">
        <w:rPr>
          <w:sz w:val="24"/>
          <w:szCs w:val="24"/>
          <w:lang w:val="en-GB"/>
        </w:rPr>
        <w:t>.</w:t>
      </w:r>
    </w:p>
    <w:p w14:paraId="4E635B51" w14:textId="77777777" w:rsidR="0066410B" w:rsidRPr="00D62D04" w:rsidRDefault="0066410B" w:rsidP="0066410B">
      <w:pPr>
        <w:spacing w:after="0"/>
        <w:ind w:firstLine="720"/>
        <w:jc w:val="both"/>
        <w:rPr>
          <w:sz w:val="24"/>
          <w:szCs w:val="24"/>
          <w:lang w:val="en-GB"/>
        </w:rPr>
      </w:pPr>
      <w:r w:rsidRPr="00D62D04">
        <w:rPr>
          <w:sz w:val="24"/>
          <w:szCs w:val="24"/>
          <w:lang w:val="en-GB"/>
        </w:rPr>
        <w:t xml:space="preserve">Apart from the National Employment Service, the Chamber of Commerce undertakes various types of incentives for employment. These incentives include the affirmation of education for personnel lacking in the market, in </w:t>
      </w:r>
      <w:proofErr w:type="spellStart"/>
      <w:r w:rsidRPr="00D62D04">
        <w:rPr>
          <w:sz w:val="24"/>
          <w:szCs w:val="24"/>
          <w:lang w:val="en-GB"/>
        </w:rPr>
        <w:t>counseling</w:t>
      </w:r>
      <w:proofErr w:type="spellEnd"/>
      <w:r w:rsidRPr="00D62D04">
        <w:rPr>
          <w:sz w:val="24"/>
          <w:szCs w:val="24"/>
          <w:lang w:val="en-GB"/>
        </w:rPr>
        <w:t xml:space="preserve"> regarding the use of various loans and subsidies, as well as in connecting with foreign foundations that encourage employment and economic development.</w:t>
      </w:r>
    </w:p>
    <w:p w14:paraId="54B31687" w14:textId="2EC4232E" w:rsidR="0066410B" w:rsidRPr="00D62D04" w:rsidRDefault="0066410B" w:rsidP="0066410B">
      <w:pPr>
        <w:spacing w:after="0"/>
        <w:ind w:firstLine="720"/>
        <w:jc w:val="both"/>
        <w:rPr>
          <w:sz w:val="24"/>
          <w:szCs w:val="24"/>
          <w:lang w:val="en-GB"/>
        </w:rPr>
      </w:pPr>
      <w:r w:rsidRPr="00D62D04">
        <w:rPr>
          <w:sz w:val="24"/>
          <w:szCs w:val="24"/>
          <w:lang w:val="en-GB"/>
        </w:rPr>
        <w:t>As part of the activities on the affirmation of dual education, the Chamber of Commerce of Serbia (</w:t>
      </w:r>
      <w:r w:rsidR="00302509" w:rsidRPr="00D62D04">
        <w:rPr>
          <w:sz w:val="24"/>
          <w:szCs w:val="24"/>
          <w:lang w:val="en-GB"/>
        </w:rPr>
        <w:t>CCS</w:t>
      </w:r>
      <w:r w:rsidRPr="00D62D04">
        <w:rPr>
          <w:sz w:val="24"/>
          <w:szCs w:val="24"/>
          <w:lang w:val="en-GB"/>
        </w:rPr>
        <w:t xml:space="preserve">) participated in the work of the Active Principals of Secondary Schools in the area of the </w:t>
      </w:r>
      <w:r w:rsidR="00302509" w:rsidRPr="00D62D04">
        <w:rPr>
          <w:sz w:val="24"/>
          <w:szCs w:val="24"/>
          <w:lang w:val="en-GB"/>
        </w:rPr>
        <w:t>CCS</w:t>
      </w:r>
      <w:r w:rsidRPr="00D62D04">
        <w:rPr>
          <w:sz w:val="24"/>
          <w:szCs w:val="24"/>
          <w:lang w:val="en-GB"/>
        </w:rPr>
        <w:t xml:space="preserve">-Regional Chamber of Commerce of the North </w:t>
      </w:r>
      <w:proofErr w:type="spellStart"/>
      <w:r w:rsidRPr="00D62D04">
        <w:rPr>
          <w:sz w:val="24"/>
          <w:szCs w:val="24"/>
          <w:lang w:val="en-GB"/>
        </w:rPr>
        <w:t>Bačk</w:t>
      </w:r>
      <w:r w:rsidR="00302509" w:rsidRPr="00D62D04">
        <w:rPr>
          <w:sz w:val="24"/>
          <w:szCs w:val="24"/>
          <w:lang w:val="en-GB"/>
        </w:rPr>
        <w:t>a</w:t>
      </w:r>
      <w:proofErr w:type="spellEnd"/>
      <w:r w:rsidRPr="00D62D04">
        <w:rPr>
          <w:sz w:val="24"/>
          <w:szCs w:val="24"/>
          <w:lang w:val="en-GB"/>
        </w:rPr>
        <w:t xml:space="preserve"> Administrative District to create an </w:t>
      </w:r>
      <w:proofErr w:type="spellStart"/>
      <w:r w:rsidRPr="00D62D04">
        <w:rPr>
          <w:sz w:val="24"/>
          <w:szCs w:val="24"/>
          <w:lang w:val="en-GB"/>
        </w:rPr>
        <w:t>enrollment</w:t>
      </w:r>
      <w:proofErr w:type="spellEnd"/>
      <w:r w:rsidRPr="00D62D04">
        <w:rPr>
          <w:sz w:val="24"/>
          <w:szCs w:val="24"/>
          <w:lang w:val="en-GB"/>
        </w:rPr>
        <w:t xml:space="preserve"> plan in accordance with the needs of the economy. In accordance with the created </w:t>
      </w:r>
      <w:proofErr w:type="spellStart"/>
      <w:r w:rsidRPr="00D62D04">
        <w:rPr>
          <w:sz w:val="24"/>
          <w:szCs w:val="24"/>
          <w:lang w:val="en-GB"/>
        </w:rPr>
        <w:t>enrollment</w:t>
      </w:r>
      <w:proofErr w:type="spellEnd"/>
      <w:r w:rsidRPr="00D62D04">
        <w:rPr>
          <w:sz w:val="24"/>
          <w:szCs w:val="24"/>
          <w:lang w:val="en-GB"/>
        </w:rPr>
        <w:t xml:space="preserve"> conditions, dual education is introduc</w:t>
      </w:r>
      <w:r w:rsidR="00302509" w:rsidRPr="00D62D04">
        <w:rPr>
          <w:sz w:val="24"/>
          <w:szCs w:val="24"/>
          <w:lang w:val="en-GB"/>
        </w:rPr>
        <w:t>ed in the 2018/2019 school year</w:t>
      </w:r>
      <w:r w:rsidRPr="00D62D04">
        <w:rPr>
          <w:sz w:val="24"/>
          <w:szCs w:val="24"/>
          <w:lang w:val="en-GB"/>
        </w:rPr>
        <w:t xml:space="preserve"> in four </w:t>
      </w:r>
      <w:r w:rsidR="00302509" w:rsidRPr="00D62D04">
        <w:rPr>
          <w:sz w:val="24"/>
          <w:szCs w:val="24"/>
          <w:lang w:val="en-GB"/>
        </w:rPr>
        <w:t>secondary schools, with seven qualifications</w:t>
      </w:r>
      <w:r w:rsidRPr="00D62D04">
        <w:rPr>
          <w:sz w:val="24"/>
          <w:szCs w:val="24"/>
          <w:lang w:val="en-GB"/>
        </w:rPr>
        <w:t xml:space="preserve">, in cooperation with 40 companies for 324 students. It is necessary to point out that in two </w:t>
      </w:r>
      <w:r w:rsidR="00F23539" w:rsidRPr="00D62D04">
        <w:rPr>
          <w:sz w:val="24"/>
          <w:szCs w:val="24"/>
          <w:lang w:val="en-GB"/>
        </w:rPr>
        <w:t>secondary</w:t>
      </w:r>
      <w:r w:rsidRPr="00D62D04">
        <w:rPr>
          <w:sz w:val="24"/>
          <w:szCs w:val="24"/>
          <w:lang w:val="en-GB"/>
        </w:rPr>
        <w:t xml:space="preserve"> schools, </w:t>
      </w:r>
      <w:r w:rsidR="00F23539" w:rsidRPr="00D62D04">
        <w:rPr>
          <w:sz w:val="24"/>
          <w:szCs w:val="24"/>
          <w:lang w:val="en-GB"/>
        </w:rPr>
        <w:t>initial</w:t>
      </w:r>
      <w:r w:rsidRPr="00D62D04">
        <w:rPr>
          <w:sz w:val="24"/>
          <w:szCs w:val="24"/>
          <w:lang w:val="en-GB"/>
        </w:rPr>
        <w:t xml:space="preserve"> classes were formed in Serbian and Hungarian, which represents the potential for members of the Hungarian </w:t>
      </w:r>
      <w:r w:rsidRPr="00D62D04">
        <w:rPr>
          <w:sz w:val="24"/>
          <w:szCs w:val="24"/>
          <w:lang w:val="en-GB"/>
        </w:rPr>
        <w:lastRenderedPageBreak/>
        <w:t>national minority to have the opportunity to immediately get a job in the legal entities with which they have signed a preliminary employment contract after completing the educational program</w:t>
      </w:r>
      <w:r w:rsidR="00F23539" w:rsidRPr="00D62D04">
        <w:rPr>
          <w:sz w:val="24"/>
          <w:szCs w:val="24"/>
          <w:lang w:val="en-GB"/>
        </w:rPr>
        <w:t>me</w:t>
      </w:r>
      <w:r w:rsidRPr="00D62D04">
        <w:rPr>
          <w:sz w:val="24"/>
          <w:szCs w:val="24"/>
          <w:lang w:val="en-GB"/>
        </w:rPr>
        <w:t>. This method of education provides the opportunity for investors from the home country of the Hungarian national minority to employ personnel with a known occupational profile that satisf</w:t>
      </w:r>
      <w:r w:rsidR="00F23539" w:rsidRPr="00D62D04">
        <w:rPr>
          <w:sz w:val="24"/>
          <w:szCs w:val="24"/>
          <w:lang w:val="en-GB"/>
        </w:rPr>
        <w:t>y</w:t>
      </w:r>
      <w:r w:rsidRPr="00D62D04">
        <w:rPr>
          <w:sz w:val="24"/>
          <w:szCs w:val="24"/>
          <w:lang w:val="en-GB"/>
        </w:rPr>
        <w:t xml:space="preserve"> their work processes, thus increasing the attractiveness of Serbia for further investments.</w:t>
      </w:r>
    </w:p>
    <w:p w14:paraId="75742CA8" w14:textId="77777777" w:rsidR="008A6B3E" w:rsidRPr="00D62D04" w:rsidRDefault="008A6B3E" w:rsidP="008A6B3E">
      <w:pPr>
        <w:spacing w:after="0"/>
        <w:ind w:firstLine="720"/>
        <w:jc w:val="both"/>
        <w:rPr>
          <w:sz w:val="24"/>
          <w:szCs w:val="24"/>
          <w:lang w:val="en-GB"/>
        </w:rPr>
      </w:pPr>
      <w:r w:rsidRPr="00D62D04">
        <w:rPr>
          <w:sz w:val="24"/>
          <w:szCs w:val="24"/>
          <w:lang w:val="en-GB"/>
        </w:rPr>
        <w:t xml:space="preserve">The CCS-Regional Chamber of Commerce </w:t>
      </w:r>
      <w:proofErr w:type="spellStart"/>
      <w:r w:rsidRPr="00D62D04">
        <w:rPr>
          <w:sz w:val="24"/>
          <w:szCs w:val="24"/>
          <w:lang w:val="en-GB"/>
        </w:rPr>
        <w:t>Kruševac</w:t>
      </w:r>
      <w:proofErr w:type="spellEnd"/>
      <w:r w:rsidRPr="00D62D04">
        <w:rPr>
          <w:sz w:val="24"/>
          <w:szCs w:val="24"/>
          <w:lang w:val="en-GB"/>
        </w:rPr>
        <w:t xml:space="preserve"> regularly invites representatives of national minorities who are currently unemployed and socially vulnerable to discussions and </w:t>
      </w:r>
      <w:proofErr w:type="spellStart"/>
      <w:r w:rsidRPr="00D62D04">
        <w:rPr>
          <w:sz w:val="24"/>
          <w:szCs w:val="24"/>
          <w:lang w:val="en-GB"/>
        </w:rPr>
        <w:t>counseling</w:t>
      </w:r>
      <w:proofErr w:type="spellEnd"/>
      <w:r w:rsidRPr="00D62D04">
        <w:rPr>
          <w:sz w:val="24"/>
          <w:szCs w:val="24"/>
          <w:lang w:val="en-GB"/>
        </w:rPr>
        <w:t xml:space="preserve"> pertaining to the granting of non-refundable loans given by the state for starting a business, in order to create and encourage their entrepreneurial spirit. As part of the implementation of the Strategy for Improving the Status of the Roma in the City of </w:t>
      </w:r>
      <w:proofErr w:type="spellStart"/>
      <w:r w:rsidRPr="00D62D04">
        <w:rPr>
          <w:sz w:val="24"/>
          <w:szCs w:val="24"/>
          <w:lang w:val="en-GB"/>
        </w:rPr>
        <w:t>Kruševac</w:t>
      </w:r>
      <w:proofErr w:type="spellEnd"/>
      <w:r w:rsidRPr="00D62D04">
        <w:rPr>
          <w:sz w:val="24"/>
          <w:szCs w:val="24"/>
          <w:lang w:val="en-GB"/>
        </w:rPr>
        <w:t xml:space="preserve"> - the Local Action Plan for Employment, the Regional Chamber of Commerce in cooperation with the Department for Social Activities of the City Administration of the City of </w:t>
      </w:r>
      <w:proofErr w:type="spellStart"/>
      <w:r w:rsidRPr="00D62D04">
        <w:rPr>
          <w:sz w:val="24"/>
          <w:szCs w:val="24"/>
          <w:lang w:val="en-GB"/>
        </w:rPr>
        <w:t>Kruševac</w:t>
      </w:r>
      <w:proofErr w:type="spellEnd"/>
      <w:r w:rsidRPr="00D62D04">
        <w:rPr>
          <w:sz w:val="24"/>
          <w:szCs w:val="24"/>
          <w:lang w:val="en-GB"/>
        </w:rPr>
        <w:t xml:space="preserve"> is implementing a free English language school, with the aim of empowering unemployed persons from the records of the National Employment Service, strengthening their competencies and creating more competitive personnel on the labour market.</w:t>
      </w:r>
    </w:p>
    <w:p w14:paraId="04E20D4A" w14:textId="77777777" w:rsidR="008A6B3E" w:rsidRPr="00D62D04" w:rsidRDefault="008A6B3E" w:rsidP="008A6B3E">
      <w:pPr>
        <w:spacing w:after="0"/>
        <w:ind w:firstLine="720"/>
        <w:jc w:val="both"/>
        <w:rPr>
          <w:sz w:val="24"/>
          <w:szCs w:val="24"/>
          <w:lang w:val="en-GB"/>
        </w:rPr>
      </w:pPr>
      <w:r w:rsidRPr="00D62D04">
        <w:rPr>
          <w:sz w:val="24"/>
          <w:szCs w:val="24"/>
          <w:lang w:val="en-GB"/>
        </w:rPr>
        <w:t xml:space="preserve">The Regional Chamber of Commerce of the </w:t>
      </w:r>
      <w:proofErr w:type="spellStart"/>
      <w:r w:rsidRPr="00D62D04">
        <w:rPr>
          <w:sz w:val="24"/>
          <w:szCs w:val="24"/>
          <w:lang w:val="en-GB"/>
        </w:rPr>
        <w:t>Rasin</w:t>
      </w:r>
      <w:r w:rsidR="00E57598" w:rsidRPr="00D62D04">
        <w:rPr>
          <w:sz w:val="24"/>
          <w:szCs w:val="24"/>
          <w:lang w:val="en-GB"/>
        </w:rPr>
        <w:t>a</w:t>
      </w:r>
      <w:proofErr w:type="spellEnd"/>
      <w:r w:rsidRPr="00D62D04">
        <w:rPr>
          <w:sz w:val="24"/>
          <w:szCs w:val="24"/>
          <w:lang w:val="en-GB"/>
        </w:rPr>
        <w:t xml:space="preserve"> District participates in the project on "Family </w:t>
      </w:r>
      <w:r w:rsidR="00E57598" w:rsidRPr="00D62D04">
        <w:rPr>
          <w:sz w:val="24"/>
          <w:szCs w:val="24"/>
          <w:lang w:val="en-GB"/>
        </w:rPr>
        <w:t>E</w:t>
      </w:r>
      <w:r w:rsidRPr="00D62D04">
        <w:rPr>
          <w:sz w:val="24"/>
          <w:szCs w:val="24"/>
          <w:lang w:val="en-GB"/>
        </w:rPr>
        <w:t xml:space="preserve">ntrepreneurship and </w:t>
      </w:r>
      <w:r w:rsidR="00E57598" w:rsidRPr="00D62D04">
        <w:rPr>
          <w:sz w:val="24"/>
          <w:szCs w:val="24"/>
          <w:lang w:val="en-GB"/>
        </w:rPr>
        <w:t>I</w:t>
      </w:r>
      <w:r w:rsidRPr="00D62D04">
        <w:rPr>
          <w:sz w:val="24"/>
          <w:szCs w:val="24"/>
          <w:lang w:val="en-GB"/>
        </w:rPr>
        <w:t xml:space="preserve">dentification of </w:t>
      </w:r>
      <w:r w:rsidR="00E57598" w:rsidRPr="00D62D04">
        <w:rPr>
          <w:sz w:val="24"/>
          <w:szCs w:val="24"/>
          <w:lang w:val="en-GB"/>
        </w:rPr>
        <w:t>C</w:t>
      </w:r>
      <w:r w:rsidRPr="00D62D04">
        <w:rPr>
          <w:sz w:val="24"/>
          <w:szCs w:val="24"/>
          <w:lang w:val="en-GB"/>
        </w:rPr>
        <w:t xml:space="preserve">ompetencies of </w:t>
      </w:r>
      <w:r w:rsidR="00E57598" w:rsidRPr="00D62D04">
        <w:rPr>
          <w:sz w:val="24"/>
          <w:szCs w:val="24"/>
          <w:lang w:val="en-GB"/>
        </w:rPr>
        <w:t>Y</w:t>
      </w:r>
      <w:r w:rsidRPr="00D62D04">
        <w:rPr>
          <w:sz w:val="24"/>
          <w:szCs w:val="24"/>
          <w:lang w:val="en-GB"/>
        </w:rPr>
        <w:t xml:space="preserve">oung </w:t>
      </w:r>
      <w:r w:rsidR="00E57598" w:rsidRPr="00D62D04">
        <w:rPr>
          <w:sz w:val="24"/>
          <w:szCs w:val="24"/>
          <w:lang w:val="en-GB"/>
        </w:rPr>
        <w:t>U</w:t>
      </w:r>
      <w:r w:rsidRPr="00D62D04">
        <w:rPr>
          <w:sz w:val="24"/>
          <w:szCs w:val="24"/>
          <w:lang w:val="en-GB"/>
        </w:rPr>
        <w:t xml:space="preserve">nemployed </w:t>
      </w:r>
      <w:r w:rsidR="00E57598" w:rsidRPr="00D62D04">
        <w:rPr>
          <w:sz w:val="24"/>
          <w:szCs w:val="24"/>
          <w:lang w:val="en-GB"/>
        </w:rPr>
        <w:t>P</w:t>
      </w:r>
      <w:r w:rsidRPr="00D62D04">
        <w:rPr>
          <w:sz w:val="24"/>
          <w:szCs w:val="24"/>
          <w:lang w:val="en-GB"/>
        </w:rPr>
        <w:t xml:space="preserve">eople", who belong to vulnerable categories, including national minorities, in cooperation with the Tree House, </w:t>
      </w:r>
      <w:proofErr w:type="spellStart"/>
      <w:r w:rsidRPr="00D62D04">
        <w:rPr>
          <w:sz w:val="24"/>
          <w:szCs w:val="24"/>
          <w:lang w:val="en-GB"/>
        </w:rPr>
        <w:t>Kruševac</w:t>
      </w:r>
      <w:proofErr w:type="spellEnd"/>
      <w:r w:rsidR="00E57598" w:rsidRPr="00D62D04">
        <w:rPr>
          <w:sz w:val="24"/>
          <w:szCs w:val="24"/>
          <w:lang w:val="en-GB"/>
        </w:rPr>
        <w:t xml:space="preserve"> organisation</w:t>
      </w:r>
      <w:r w:rsidRPr="00D62D04">
        <w:rPr>
          <w:sz w:val="24"/>
          <w:szCs w:val="24"/>
          <w:lang w:val="en-GB"/>
        </w:rPr>
        <w:t xml:space="preserve">. The second project of the Regional Chamber of Commerce of the </w:t>
      </w:r>
      <w:proofErr w:type="spellStart"/>
      <w:r w:rsidRPr="00D62D04">
        <w:rPr>
          <w:sz w:val="24"/>
          <w:szCs w:val="24"/>
          <w:lang w:val="en-GB"/>
        </w:rPr>
        <w:t>Rasin</w:t>
      </w:r>
      <w:r w:rsidR="00E57598" w:rsidRPr="00D62D04">
        <w:rPr>
          <w:sz w:val="24"/>
          <w:szCs w:val="24"/>
          <w:lang w:val="en-GB"/>
        </w:rPr>
        <w:t>a</w:t>
      </w:r>
      <w:proofErr w:type="spellEnd"/>
      <w:r w:rsidRPr="00D62D04">
        <w:rPr>
          <w:sz w:val="24"/>
          <w:szCs w:val="24"/>
          <w:lang w:val="en-GB"/>
        </w:rPr>
        <w:t xml:space="preserve"> District is a project </w:t>
      </w:r>
      <w:r w:rsidR="00E57598" w:rsidRPr="00D62D04">
        <w:rPr>
          <w:sz w:val="24"/>
          <w:szCs w:val="24"/>
          <w:lang w:val="en-GB"/>
        </w:rPr>
        <w:t>on</w:t>
      </w:r>
      <w:r w:rsidRPr="00D62D04">
        <w:rPr>
          <w:sz w:val="24"/>
          <w:szCs w:val="24"/>
          <w:lang w:val="en-GB"/>
        </w:rPr>
        <w:t xml:space="preserve"> cooperation with the municipality of </w:t>
      </w:r>
      <w:proofErr w:type="spellStart"/>
      <w:r w:rsidRPr="00D62D04">
        <w:rPr>
          <w:sz w:val="24"/>
          <w:szCs w:val="24"/>
          <w:lang w:val="en-GB"/>
        </w:rPr>
        <w:t>Trstenik</w:t>
      </w:r>
      <w:proofErr w:type="spellEnd"/>
      <w:r w:rsidRPr="00D62D04">
        <w:rPr>
          <w:sz w:val="24"/>
          <w:szCs w:val="24"/>
          <w:lang w:val="en-GB"/>
        </w:rPr>
        <w:t xml:space="preserve"> </w:t>
      </w:r>
      <w:r w:rsidR="00E57598" w:rsidRPr="00D62D04">
        <w:rPr>
          <w:sz w:val="24"/>
          <w:szCs w:val="24"/>
          <w:lang w:val="en-GB"/>
        </w:rPr>
        <w:t xml:space="preserve">- </w:t>
      </w:r>
      <w:r w:rsidRPr="00D62D04">
        <w:rPr>
          <w:sz w:val="24"/>
          <w:szCs w:val="24"/>
          <w:lang w:val="en-GB"/>
        </w:rPr>
        <w:t xml:space="preserve">"Innovative </w:t>
      </w:r>
      <w:r w:rsidR="00E57598" w:rsidRPr="00D62D04">
        <w:rPr>
          <w:sz w:val="24"/>
          <w:szCs w:val="24"/>
          <w:lang w:val="en-GB"/>
        </w:rPr>
        <w:t>E</w:t>
      </w:r>
      <w:r w:rsidRPr="00D62D04">
        <w:rPr>
          <w:sz w:val="24"/>
          <w:szCs w:val="24"/>
          <w:lang w:val="en-GB"/>
        </w:rPr>
        <w:t xml:space="preserve">mployment </w:t>
      </w:r>
      <w:r w:rsidR="00E57598" w:rsidRPr="00D62D04">
        <w:rPr>
          <w:sz w:val="24"/>
          <w:szCs w:val="24"/>
          <w:lang w:val="en-GB"/>
        </w:rPr>
        <w:t>G</w:t>
      </w:r>
      <w:r w:rsidRPr="00D62D04">
        <w:rPr>
          <w:sz w:val="24"/>
          <w:szCs w:val="24"/>
          <w:lang w:val="en-GB"/>
        </w:rPr>
        <w:t xml:space="preserve">enerator" </w:t>
      </w:r>
      <w:r w:rsidR="00E57598" w:rsidRPr="00D62D04">
        <w:rPr>
          <w:sz w:val="24"/>
          <w:szCs w:val="24"/>
          <w:lang w:val="en-GB"/>
        </w:rPr>
        <w:t>covering</w:t>
      </w:r>
      <w:r w:rsidRPr="00D62D04">
        <w:rPr>
          <w:sz w:val="24"/>
          <w:szCs w:val="24"/>
          <w:lang w:val="en-GB"/>
        </w:rPr>
        <w:t xml:space="preserve"> the topic: Increasing employment through strengthening youth activities, early acquisition of work experience and entrepreneurial practices.</w:t>
      </w:r>
    </w:p>
    <w:p w14:paraId="6F2484DB" w14:textId="77777777" w:rsidR="00A22AB2" w:rsidRPr="00D62D04" w:rsidRDefault="00A22AB2" w:rsidP="00A22AB2">
      <w:pPr>
        <w:spacing w:after="0"/>
        <w:ind w:firstLine="720"/>
        <w:jc w:val="both"/>
        <w:rPr>
          <w:sz w:val="24"/>
          <w:szCs w:val="24"/>
          <w:lang w:val="en-GB"/>
        </w:rPr>
      </w:pPr>
      <w:r w:rsidRPr="00D62D04">
        <w:rPr>
          <w:sz w:val="24"/>
          <w:szCs w:val="24"/>
          <w:lang w:val="en-GB"/>
        </w:rPr>
        <w:t>On the initiative of the Hungarian-Serbian Chamber of Commerce and Industry from Szeged, the CCS - Subotica Regional Chamber of Commerce organised a meeting of representatives of the Chamber with the management of SZEFO, an apparel factory from Szeged. At the meeting, the possibilities and conditions of investment in opening a factory for the production of outerwear in Subotica or in the region of this regional chamber of commerce were negotiated. The SZEFO factory is interested in hiring workers with dual citizenship of Serbia and Hungary or Croatia, due to the simpler training procedure in the parent factory. Workers with knowledge of the Hungarian language have an advantage in employment.</w:t>
      </w:r>
    </w:p>
    <w:p w14:paraId="6709AF81" w14:textId="77777777" w:rsidR="00A22AB2" w:rsidRPr="00D62D04" w:rsidRDefault="00A22AB2" w:rsidP="00A22AB2">
      <w:pPr>
        <w:spacing w:after="0"/>
        <w:ind w:firstLine="720"/>
        <w:jc w:val="both"/>
        <w:rPr>
          <w:sz w:val="24"/>
          <w:szCs w:val="24"/>
          <w:lang w:val="en-GB"/>
        </w:rPr>
      </w:pPr>
      <w:r w:rsidRPr="00D62D04">
        <w:rPr>
          <w:sz w:val="24"/>
          <w:szCs w:val="24"/>
          <w:lang w:val="en-GB"/>
        </w:rPr>
        <w:t xml:space="preserve">The representative of the Regional Chamber of Commerce of the North </w:t>
      </w:r>
      <w:proofErr w:type="spellStart"/>
      <w:r w:rsidRPr="00D62D04">
        <w:rPr>
          <w:sz w:val="24"/>
          <w:szCs w:val="24"/>
          <w:lang w:val="en-GB"/>
        </w:rPr>
        <w:t>Bačka</w:t>
      </w:r>
      <w:proofErr w:type="spellEnd"/>
      <w:r w:rsidRPr="00D62D04">
        <w:rPr>
          <w:sz w:val="24"/>
          <w:szCs w:val="24"/>
          <w:lang w:val="en-GB"/>
        </w:rPr>
        <w:t xml:space="preserve"> Administrative District is actively involved in the work of the Employment Council of the city of Subotica. The Council makes decisions on measures for the employment of unemployed persons and public works, whereby special attention is given to members of national minorities and vulnerable population groups, specifically with the aim of improving their financial status.</w:t>
      </w:r>
    </w:p>
    <w:p w14:paraId="799EE211" w14:textId="77777777" w:rsidR="00702D1E" w:rsidRPr="00D62D04" w:rsidRDefault="00702D1E" w:rsidP="009D47E3">
      <w:pPr>
        <w:spacing w:after="0"/>
        <w:ind w:firstLine="720"/>
        <w:jc w:val="both"/>
        <w:rPr>
          <w:sz w:val="24"/>
          <w:szCs w:val="24"/>
          <w:lang w:val="en-GB"/>
        </w:rPr>
      </w:pPr>
      <w:r w:rsidRPr="00D62D04">
        <w:rPr>
          <w:sz w:val="24"/>
          <w:szCs w:val="24"/>
          <w:lang w:val="en-GB"/>
        </w:rPr>
        <w:t xml:space="preserve">The </w:t>
      </w:r>
      <w:proofErr w:type="spellStart"/>
      <w:r w:rsidRPr="00D62D04">
        <w:rPr>
          <w:sz w:val="24"/>
          <w:szCs w:val="24"/>
          <w:lang w:val="en-GB"/>
        </w:rPr>
        <w:t>Prosperitati</w:t>
      </w:r>
      <w:proofErr w:type="spellEnd"/>
      <w:r w:rsidRPr="00D62D04">
        <w:rPr>
          <w:sz w:val="24"/>
          <w:szCs w:val="24"/>
          <w:lang w:val="en-GB"/>
        </w:rPr>
        <w:t xml:space="preserve"> Foundation - the Hungarian regional foundation for joint development in </w:t>
      </w:r>
      <w:proofErr w:type="spellStart"/>
      <w:r w:rsidRPr="00D62D04">
        <w:rPr>
          <w:sz w:val="24"/>
          <w:szCs w:val="24"/>
          <w:lang w:val="en-GB"/>
        </w:rPr>
        <w:t>Vojvodina</w:t>
      </w:r>
      <w:proofErr w:type="spellEnd"/>
      <w:r w:rsidRPr="00D62D04">
        <w:rPr>
          <w:sz w:val="24"/>
          <w:szCs w:val="24"/>
          <w:lang w:val="en-GB"/>
        </w:rPr>
        <w:t xml:space="preserve"> - is active in the area of the Regional Chamber of Commerce of the North </w:t>
      </w:r>
      <w:proofErr w:type="spellStart"/>
      <w:r w:rsidRPr="00D62D04">
        <w:rPr>
          <w:sz w:val="24"/>
          <w:szCs w:val="24"/>
          <w:lang w:val="en-GB"/>
        </w:rPr>
        <w:t>Bačka</w:t>
      </w:r>
      <w:proofErr w:type="spellEnd"/>
      <w:r w:rsidRPr="00D62D04">
        <w:rPr>
          <w:sz w:val="24"/>
          <w:szCs w:val="24"/>
          <w:lang w:val="en-GB"/>
        </w:rPr>
        <w:t xml:space="preserve"> District (the City of Subotica and the municipalities of </w:t>
      </w:r>
      <w:proofErr w:type="spellStart"/>
      <w:r w:rsidRPr="00D62D04">
        <w:rPr>
          <w:sz w:val="24"/>
          <w:szCs w:val="24"/>
          <w:lang w:val="en-GB"/>
        </w:rPr>
        <w:t>Bačka</w:t>
      </w:r>
      <w:proofErr w:type="spellEnd"/>
      <w:r w:rsidRPr="00D62D04">
        <w:rPr>
          <w:sz w:val="24"/>
          <w:szCs w:val="24"/>
          <w:lang w:val="en-GB"/>
        </w:rPr>
        <w:t xml:space="preserve"> </w:t>
      </w:r>
      <w:proofErr w:type="spellStart"/>
      <w:r w:rsidRPr="00D62D04">
        <w:rPr>
          <w:sz w:val="24"/>
          <w:szCs w:val="24"/>
          <w:lang w:val="en-GB"/>
        </w:rPr>
        <w:t>Topola</w:t>
      </w:r>
      <w:proofErr w:type="spellEnd"/>
      <w:r w:rsidRPr="00D62D04">
        <w:rPr>
          <w:sz w:val="24"/>
          <w:szCs w:val="24"/>
          <w:lang w:val="en-GB"/>
        </w:rPr>
        <w:t xml:space="preserve">, Mali </w:t>
      </w:r>
      <w:proofErr w:type="spellStart"/>
      <w:r w:rsidRPr="00D62D04">
        <w:rPr>
          <w:sz w:val="24"/>
          <w:szCs w:val="24"/>
          <w:lang w:val="en-GB"/>
        </w:rPr>
        <w:t>Iđoš</w:t>
      </w:r>
      <w:proofErr w:type="spellEnd"/>
      <w:r w:rsidRPr="00D62D04">
        <w:rPr>
          <w:sz w:val="24"/>
          <w:szCs w:val="24"/>
          <w:lang w:val="en-GB"/>
        </w:rPr>
        <w:t xml:space="preserve">, </w:t>
      </w:r>
      <w:proofErr w:type="spellStart"/>
      <w:r w:rsidRPr="00D62D04">
        <w:rPr>
          <w:sz w:val="24"/>
          <w:szCs w:val="24"/>
          <w:lang w:val="en-GB"/>
        </w:rPr>
        <w:t>Kanjiža</w:t>
      </w:r>
      <w:proofErr w:type="spellEnd"/>
      <w:r w:rsidRPr="00D62D04">
        <w:rPr>
          <w:sz w:val="24"/>
          <w:szCs w:val="24"/>
          <w:lang w:val="en-GB"/>
        </w:rPr>
        <w:t xml:space="preserve">, </w:t>
      </w:r>
      <w:proofErr w:type="spellStart"/>
      <w:r w:rsidRPr="00D62D04">
        <w:rPr>
          <w:sz w:val="24"/>
          <w:szCs w:val="24"/>
          <w:lang w:val="en-GB"/>
        </w:rPr>
        <w:t>Senta</w:t>
      </w:r>
      <w:proofErr w:type="spellEnd"/>
      <w:r w:rsidRPr="00D62D04">
        <w:rPr>
          <w:sz w:val="24"/>
          <w:szCs w:val="24"/>
          <w:lang w:val="en-GB"/>
        </w:rPr>
        <w:t xml:space="preserve"> and Ada). The Foundation is voluntary, non-governmental and non-profit, established for an indefinite period to achieve charitable goals, and one of the main goals of the Foundation is to revive the strategy of economic and regional development of the Hungarian community in </w:t>
      </w:r>
      <w:proofErr w:type="spellStart"/>
      <w:r w:rsidRPr="00D62D04">
        <w:rPr>
          <w:sz w:val="24"/>
          <w:szCs w:val="24"/>
          <w:lang w:val="en-GB"/>
        </w:rPr>
        <w:t>Vojvodina</w:t>
      </w:r>
      <w:proofErr w:type="spellEnd"/>
      <w:r w:rsidRPr="00D62D04">
        <w:rPr>
          <w:sz w:val="24"/>
          <w:szCs w:val="24"/>
          <w:lang w:val="en-GB"/>
        </w:rPr>
        <w:t>.</w:t>
      </w:r>
    </w:p>
    <w:p w14:paraId="5F53B031" w14:textId="77777777" w:rsidR="0077600F" w:rsidRPr="00D62D04" w:rsidRDefault="0077600F" w:rsidP="0077600F">
      <w:pPr>
        <w:spacing w:after="0"/>
        <w:jc w:val="both"/>
        <w:rPr>
          <w:sz w:val="24"/>
          <w:szCs w:val="24"/>
          <w:highlight w:val="cyan"/>
          <w:lang w:val="en-GB"/>
        </w:rPr>
      </w:pPr>
    </w:p>
    <w:p w14:paraId="289B381F" w14:textId="77777777" w:rsidR="00CF4178" w:rsidRPr="00D62D04" w:rsidRDefault="00CF4178" w:rsidP="0077600F">
      <w:pPr>
        <w:spacing w:after="0"/>
        <w:jc w:val="both"/>
        <w:rPr>
          <w:b/>
          <w:sz w:val="24"/>
          <w:szCs w:val="24"/>
          <w:lang w:val="en-GB"/>
        </w:rPr>
      </w:pPr>
      <w:r w:rsidRPr="00D62D04">
        <w:rPr>
          <w:b/>
          <w:sz w:val="24"/>
          <w:szCs w:val="24"/>
          <w:lang w:val="en-GB"/>
        </w:rPr>
        <w:t>b. Measures and policies to implement all detailed recommendations, various findings and conclusions contained in the Fourth Opinion of the Advisory Committee</w:t>
      </w:r>
    </w:p>
    <w:p w14:paraId="65C4BB73" w14:textId="77777777" w:rsidR="0077600F" w:rsidRPr="00D62D04" w:rsidRDefault="0077600F" w:rsidP="0077600F">
      <w:pPr>
        <w:spacing w:after="0"/>
        <w:jc w:val="both"/>
        <w:rPr>
          <w:highlight w:val="cyan"/>
          <w:lang w:val="en-GB"/>
        </w:rPr>
      </w:pPr>
    </w:p>
    <w:p w14:paraId="475821D7" w14:textId="77777777" w:rsidR="0077600F" w:rsidRPr="00D62D04" w:rsidRDefault="00DF2330" w:rsidP="00E92A05">
      <w:pPr>
        <w:pStyle w:val="Heading2"/>
        <w:jc w:val="center"/>
        <w:rPr>
          <w:rFonts w:ascii="Times New Roman" w:hAnsi="Times New Roman" w:cs="Times New Roman"/>
          <w:b/>
          <w:color w:val="auto"/>
          <w:sz w:val="24"/>
          <w:szCs w:val="24"/>
          <w:lang w:val="en-GB"/>
        </w:rPr>
      </w:pPr>
      <w:bookmarkStart w:id="7" w:name="_Toc112932708"/>
      <w:r w:rsidRPr="00D62D04">
        <w:rPr>
          <w:rFonts w:ascii="Times New Roman" w:hAnsi="Times New Roman" w:cs="Times New Roman"/>
          <w:b/>
          <w:color w:val="auto"/>
          <w:sz w:val="24"/>
          <w:szCs w:val="24"/>
          <w:lang w:val="en-GB"/>
        </w:rPr>
        <w:t>Article 3 of the Framework Convention</w:t>
      </w:r>
      <w:bookmarkEnd w:id="7"/>
    </w:p>
    <w:p w14:paraId="1B1700A3" w14:textId="77777777" w:rsidR="0077600F" w:rsidRPr="00D62D04" w:rsidRDefault="00DF2330" w:rsidP="00F333CD">
      <w:pPr>
        <w:pStyle w:val="Heading3"/>
        <w:jc w:val="center"/>
        <w:rPr>
          <w:rFonts w:ascii="Times New Roman" w:hAnsi="Times New Roman" w:cs="Times New Roman"/>
          <w:b/>
          <w:highlight w:val="cyan"/>
          <w:lang w:val="en-GB"/>
        </w:rPr>
      </w:pPr>
      <w:bookmarkStart w:id="8" w:name="_Toc112932709"/>
      <w:r w:rsidRPr="00D62D04">
        <w:rPr>
          <w:rFonts w:ascii="Times New Roman" w:hAnsi="Times New Roman" w:cs="Times New Roman"/>
          <w:b/>
          <w:color w:val="auto"/>
          <w:lang w:val="en-GB"/>
        </w:rPr>
        <w:t>Personal scope of application</w:t>
      </w:r>
      <w:bookmarkEnd w:id="8"/>
    </w:p>
    <w:p w14:paraId="5C802449" w14:textId="77777777" w:rsidR="0077600F" w:rsidRPr="00D62D04" w:rsidRDefault="0077600F" w:rsidP="0077600F">
      <w:pPr>
        <w:spacing w:after="0"/>
        <w:rPr>
          <w:b/>
          <w:sz w:val="24"/>
          <w:szCs w:val="24"/>
          <w:highlight w:val="cyan"/>
          <w:lang w:val="en-GB"/>
        </w:rPr>
      </w:pPr>
    </w:p>
    <w:p w14:paraId="3AFCF1C4" w14:textId="77777777" w:rsidR="000C5EAC" w:rsidRPr="00D62D04" w:rsidRDefault="0077600F" w:rsidP="00364594">
      <w:pPr>
        <w:tabs>
          <w:tab w:val="left" w:pos="719"/>
        </w:tabs>
        <w:spacing w:after="0"/>
        <w:ind w:right="-46"/>
        <w:jc w:val="both"/>
        <w:rPr>
          <w:rFonts w:cs="Calibri"/>
          <w:i/>
          <w:color w:val="000000"/>
          <w:sz w:val="24"/>
          <w:lang w:val="en-GB"/>
        </w:rPr>
      </w:pPr>
      <w:r w:rsidRPr="00D62D04">
        <w:rPr>
          <w:rFonts w:cs="Calibri"/>
          <w:i/>
          <w:color w:val="000000"/>
          <w:sz w:val="24"/>
          <w:lang w:val="en-GB"/>
        </w:rPr>
        <w:t xml:space="preserve">13. </w:t>
      </w:r>
      <w:r w:rsidR="000C5EAC" w:rsidRPr="00D62D04">
        <w:rPr>
          <w:rFonts w:cs="Calibri"/>
          <w:i/>
          <w:color w:val="000000"/>
          <w:sz w:val="24"/>
          <w:lang w:val="en-GB"/>
        </w:rPr>
        <w:t>The Advisory Committee reiterates its call to the authorities to consider abolishing the potentially restrictive criteria for citizenship contained in the Law on the Protection of the Rights and Freedoms of National Minorities.</w:t>
      </w:r>
    </w:p>
    <w:p w14:paraId="14D3BF9A" w14:textId="77777777" w:rsidR="0077600F" w:rsidRPr="00D62D04" w:rsidRDefault="0077600F" w:rsidP="0077600F">
      <w:pPr>
        <w:spacing w:after="0"/>
        <w:rPr>
          <w:b/>
          <w:sz w:val="24"/>
          <w:szCs w:val="24"/>
          <w:highlight w:val="cyan"/>
          <w:lang w:val="en-GB"/>
        </w:rPr>
      </w:pPr>
    </w:p>
    <w:p w14:paraId="1A6A30CB" w14:textId="77777777" w:rsidR="00EF2CFF" w:rsidRPr="00D62D04" w:rsidRDefault="00EF2CFF" w:rsidP="004A29F3">
      <w:pPr>
        <w:spacing w:after="0"/>
        <w:ind w:firstLine="720"/>
        <w:jc w:val="both"/>
        <w:rPr>
          <w:sz w:val="24"/>
          <w:szCs w:val="24"/>
          <w:lang w:val="en-GB"/>
        </w:rPr>
      </w:pPr>
      <w:r w:rsidRPr="00D62D04">
        <w:rPr>
          <w:sz w:val="24"/>
          <w:szCs w:val="24"/>
          <w:lang w:val="en-GB"/>
        </w:rPr>
        <w:t xml:space="preserve">The citizenship criterion contained in the legal definition of a national minority refers to </w:t>
      </w:r>
      <w:r w:rsidRPr="00D62D04">
        <w:rPr>
          <w:i/>
          <w:sz w:val="24"/>
          <w:szCs w:val="24"/>
          <w:lang w:val="en-GB"/>
        </w:rPr>
        <w:t>groups of citizens</w:t>
      </w:r>
      <w:r w:rsidRPr="00D62D04">
        <w:rPr>
          <w:sz w:val="24"/>
          <w:szCs w:val="24"/>
          <w:lang w:val="en-GB"/>
        </w:rPr>
        <w:t xml:space="preserve"> who can enjoy the status of a national minority in the legal system of the Republic of Serbia. In other words, in the legal system of the Republic of Serbia, the status of a national minority cannot be recognised for groups of persons who possess features such as language, culture, national or ethnic affiliation, origin or religion, by which they differ from the majority of the population, but who do not have citizenship and are not in a long-term and strong relationship with the territory of the Republic of Serbia. This primarily refers to groups of refugees, migrants and persons living in the Republic of Serbia based on economic activities. The fact that such groups of persons do not enjoy the status of a national minority does not mean that they and the persons who belong to them do not enjoy the right to free expression, preservation and development of their ethnic, cultural, linguistic and religious identity</w:t>
      </w:r>
      <w:r w:rsidR="00CF7A29" w:rsidRPr="00D62D04">
        <w:rPr>
          <w:sz w:val="24"/>
          <w:szCs w:val="24"/>
          <w:lang w:val="en-GB"/>
        </w:rPr>
        <w:t xml:space="preserve"> in the Republic of Serbia, in accordance with the highest international standards of human rights</w:t>
      </w:r>
      <w:r w:rsidRPr="00D62D04">
        <w:rPr>
          <w:sz w:val="24"/>
          <w:szCs w:val="24"/>
          <w:lang w:val="en-GB"/>
        </w:rPr>
        <w:t>.</w:t>
      </w:r>
    </w:p>
    <w:p w14:paraId="76DE97E9" w14:textId="7ABFD80A" w:rsidR="00AA2F4D" w:rsidRPr="00D62D04" w:rsidRDefault="00AA2F4D" w:rsidP="004A29F3">
      <w:pPr>
        <w:spacing w:after="0"/>
        <w:ind w:firstLine="720"/>
        <w:jc w:val="both"/>
        <w:rPr>
          <w:sz w:val="24"/>
          <w:szCs w:val="24"/>
          <w:lang w:val="en-GB"/>
        </w:rPr>
      </w:pPr>
      <w:r w:rsidRPr="00D62D04">
        <w:rPr>
          <w:sz w:val="24"/>
          <w:szCs w:val="24"/>
          <w:lang w:val="en-GB"/>
        </w:rPr>
        <w:t>In the legal system of the Republic of Serbia, the majority of minority rights that are individually enjoyed and exercised, especially in terms of the use of languages and letters, as well as in terms of education, are not reserved exclusively for citizens. Therefore, persons who are not citizens of the Republic of Serbia and who share the same national identity with persons belonging to national minorities in the Republic of Serbia do not have any obstacles regarding the enjoyment and exercise of minority rights. In fact, such persons can be beneficiaries of all minority rights (for example, they can freely use their language and script in contacts with authorities, they can be parties in proceedings conducted entirely in the languages and scripts of national minorities, they can be members of minority associations, they can individually and in community with members of national minorities nurture and develop their religious identity, they can attend all education in the language and script of national minorities, etc.), except in those cases where the condition of citizenship is explicitly stated in the law (for example, they cannot enjoy elective right and in that sense they cannot be political representatives of national minorities, nor participate in the procedure of election of national councils of national minorities and be members of those bodies).</w:t>
      </w:r>
    </w:p>
    <w:p w14:paraId="5476C060" w14:textId="77777777" w:rsidR="008456F4" w:rsidRPr="00D62D04" w:rsidRDefault="008456F4" w:rsidP="004A29F3">
      <w:pPr>
        <w:tabs>
          <w:tab w:val="left" w:pos="719"/>
        </w:tabs>
        <w:spacing w:after="0"/>
        <w:jc w:val="both"/>
        <w:rPr>
          <w:sz w:val="24"/>
          <w:szCs w:val="24"/>
          <w:lang w:val="en-GB"/>
        </w:rPr>
      </w:pPr>
      <w:r w:rsidRPr="00D62D04">
        <w:rPr>
          <w:sz w:val="24"/>
          <w:szCs w:val="24"/>
          <w:lang w:val="en-GB"/>
        </w:rPr>
        <w:tab/>
        <w:t xml:space="preserve">The authorities of the Republic of Serbia reiterate that there are no justified reasons for the initiative contained in this recommendation of the Advisory Committee, especially since the Advisory Committee also finds that it is only a potentially limiting criterion and as stated in the Fourth, as well as in the previous opinions of the Advisory Committee, the flexible approach shown by the Serbian authorities </w:t>
      </w:r>
      <w:r w:rsidR="00656BC4" w:rsidRPr="00D62D04">
        <w:rPr>
          <w:sz w:val="24"/>
          <w:szCs w:val="24"/>
          <w:lang w:val="en-GB"/>
        </w:rPr>
        <w:t xml:space="preserve">is confirmed </w:t>
      </w:r>
      <w:r w:rsidRPr="00D62D04">
        <w:rPr>
          <w:sz w:val="24"/>
          <w:szCs w:val="24"/>
          <w:lang w:val="en-GB"/>
        </w:rPr>
        <w:t xml:space="preserve">regarding access to linguistic minority </w:t>
      </w:r>
      <w:r w:rsidRPr="00D62D04">
        <w:rPr>
          <w:sz w:val="24"/>
          <w:szCs w:val="24"/>
          <w:lang w:val="en-GB"/>
        </w:rPr>
        <w:lastRenderedPageBreak/>
        <w:t xml:space="preserve">rights, which allows non-citizens who speak the same language as the national minority </w:t>
      </w:r>
      <w:r w:rsidR="00656BC4" w:rsidRPr="00D62D04">
        <w:rPr>
          <w:sz w:val="24"/>
          <w:szCs w:val="24"/>
          <w:lang w:val="en-GB"/>
        </w:rPr>
        <w:t>to</w:t>
      </w:r>
      <w:r w:rsidRPr="00D62D04">
        <w:rPr>
          <w:sz w:val="24"/>
          <w:szCs w:val="24"/>
          <w:lang w:val="en-GB"/>
        </w:rPr>
        <w:t xml:space="preserve"> benefit from many of the same rights as persons who are recogni</w:t>
      </w:r>
      <w:r w:rsidR="00656BC4" w:rsidRPr="00D62D04">
        <w:rPr>
          <w:sz w:val="24"/>
          <w:szCs w:val="24"/>
          <w:lang w:val="en-GB"/>
        </w:rPr>
        <w:t>s</w:t>
      </w:r>
      <w:r w:rsidRPr="00D62D04">
        <w:rPr>
          <w:sz w:val="24"/>
          <w:szCs w:val="24"/>
          <w:lang w:val="en-GB"/>
        </w:rPr>
        <w:t>ed as members of national minority.</w:t>
      </w:r>
      <w:r w:rsidR="00656BC4" w:rsidRPr="00D62D04">
        <w:rPr>
          <w:rStyle w:val="FootnoteReference"/>
          <w:sz w:val="24"/>
          <w:szCs w:val="24"/>
          <w:lang w:val="en-GB"/>
        </w:rPr>
        <w:footnoteReference w:id="76"/>
      </w:r>
    </w:p>
    <w:p w14:paraId="6ABF1118" w14:textId="77777777" w:rsidR="004A29F3" w:rsidRPr="00D62D04" w:rsidRDefault="004A29F3" w:rsidP="0077600F">
      <w:pPr>
        <w:spacing w:after="0"/>
        <w:rPr>
          <w:b/>
          <w:sz w:val="24"/>
          <w:szCs w:val="24"/>
          <w:highlight w:val="cyan"/>
          <w:lang w:val="en-GB"/>
        </w:rPr>
      </w:pPr>
    </w:p>
    <w:p w14:paraId="3EFFA6FA" w14:textId="77777777" w:rsidR="0077600F" w:rsidRPr="00D62D04" w:rsidRDefault="00656BC4" w:rsidP="00F333CD">
      <w:pPr>
        <w:pStyle w:val="Heading3"/>
        <w:jc w:val="center"/>
        <w:rPr>
          <w:rFonts w:ascii="Times New Roman" w:hAnsi="Times New Roman" w:cs="Times New Roman"/>
          <w:b/>
          <w:highlight w:val="cyan"/>
          <w:lang w:val="en-GB"/>
        </w:rPr>
      </w:pPr>
      <w:bookmarkStart w:id="9" w:name="_Toc112932710"/>
      <w:r w:rsidRPr="00D62D04">
        <w:rPr>
          <w:rFonts w:ascii="Times New Roman" w:hAnsi="Times New Roman" w:cs="Times New Roman"/>
          <w:b/>
          <w:color w:val="auto"/>
          <w:lang w:val="en-GB"/>
        </w:rPr>
        <w:t>Data collection and population census</w:t>
      </w:r>
      <w:bookmarkEnd w:id="9"/>
    </w:p>
    <w:p w14:paraId="70B595D1" w14:textId="77777777" w:rsidR="0077600F" w:rsidRPr="00D62D04" w:rsidRDefault="0077600F" w:rsidP="0077600F">
      <w:pPr>
        <w:spacing w:after="0"/>
        <w:jc w:val="center"/>
        <w:rPr>
          <w:i/>
          <w:sz w:val="24"/>
          <w:szCs w:val="24"/>
          <w:highlight w:val="cyan"/>
          <w:lang w:val="en-GB"/>
        </w:rPr>
      </w:pPr>
    </w:p>
    <w:p w14:paraId="01415A55" w14:textId="77777777" w:rsidR="00D915D3" w:rsidRPr="00D62D04" w:rsidRDefault="0077600F" w:rsidP="0077600F">
      <w:pPr>
        <w:spacing w:after="0"/>
        <w:jc w:val="both"/>
        <w:rPr>
          <w:i/>
          <w:sz w:val="24"/>
          <w:szCs w:val="24"/>
          <w:lang w:val="en-GB"/>
        </w:rPr>
      </w:pPr>
      <w:r w:rsidRPr="00D62D04">
        <w:rPr>
          <w:i/>
          <w:sz w:val="24"/>
          <w:szCs w:val="24"/>
          <w:lang w:val="en-GB"/>
        </w:rPr>
        <w:t>20.</w:t>
      </w:r>
      <w:r w:rsidR="00D915D3" w:rsidRPr="00D62D04">
        <w:rPr>
          <w:lang w:val="en-GB"/>
        </w:rPr>
        <w:t xml:space="preserve"> </w:t>
      </w:r>
      <w:r w:rsidR="00D915D3" w:rsidRPr="00D62D04">
        <w:rPr>
          <w:i/>
          <w:sz w:val="24"/>
          <w:szCs w:val="24"/>
          <w:lang w:val="en-GB"/>
        </w:rPr>
        <w:t>The Advisory Committee calls on the authorities to launch an information campaign long before the next census, aimed at members of national minorities, raising their awareness of the advantages of participation in the census, of multiple affiliations and of their rights, with the aim of successfully combining the protection and promotion of minority rights with the collection of reliable information on the ethnic composition of the population.</w:t>
      </w:r>
    </w:p>
    <w:p w14:paraId="43331578" w14:textId="77777777" w:rsidR="0077600F" w:rsidRPr="00D62D04" w:rsidRDefault="0077600F" w:rsidP="0077600F">
      <w:pPr>
        <w:spacing w:after="0"/>
        <w:jc w:val="center"/>
        <w:rPr>
          <w:b/>
          <w:sz w:val="20"/>
          <w:szCs w:val="20"/>
          <w:highlight w:val="cyan"/>
          <w:lang w:val="en-GB"/>
        </w:rPr>
      </w:pPr>
    </w:p>
    <w:p w14:paraId="19CB64FA" w14:textId="655E0BC8" w:rsidR="005231F8" w:rsidRPr="00D62D04" w:rsidRDefault="0077600F" w:rsidP="0077600F">
      <w:pPr>
        <w:spacing w:after="0"/>
        <w:jc w:val="both"/>
        <w:rPr>
          <w:sz w:val="24"/>
          <w:szCs w:val="24"/>
          <w:lang w:val="en-GB"/>
        </w:rPr>
      </w:pPr>
      <w:r w:rsidRPr="00D62D04">
        <w:rPr>
          <w:sz w:val="24"/>
          <w:szCs w:val="24"/>
          <w:lang w:val="en-GB"/>
        </w:rPr>
        <w:tab/>
      </w:r>
      <w:r w:rsidR="005231F8" w:rsidRPr="00D62D04">
        <w:rPr>
          <w:sz w:val="24"/>
          <w:szCs w:val="24"/>
          <w:lang w:val="en-GB"/>
        </w:rPr>
        <w:t xml:space="preserve">The </w:t>
      </w:r>
      <w:r w:rsidR="008B23D1">
        <w:rPr>
          <w:sz w:val="24"/>
          <w:szCs w:val="24"/>
          <w:lang w:val="en-GB"/>
        </w:rPr>
        <w:t>response</w:t>
      </w:r>
      <w:r w:rsidR="005231F8" w:rsidRPr="00D62D04">
        <w:rPr>
          <w:sz w:val="24"/>
          <w:szCs w:val="24"/>
          <w:lang w:val="en-GB"/>
        </w:rPr>
        <w:t xml:space="preserve"> to this recommendation is contained in the </w:t>
      </w:r>
      <w:r w:rsidR="008B23D1">
        <w:rPr>
          <w:sz w:val="24"/>
          <w:szCs w:val="24"/>
          <w:lang w:val="en-GB"/>
        </w:rPr>
        <w:t>response</w:t>
      </w:r>
      <w:r w:rsidR="005231F8" w:rsidRPr="00D62D04">
        <w:rPr>
          <w:sz w:val="24"/>
          <w:szCs w:val="24"/>
          <w:lang w:val="en-GB"/>
        </w:rPr>
        <w:t xml:space="preserve"> to recommendation 6 of the </w:t>
      </w:r>
      <w:r w:rsidR="00AC33C4">
        <w:rPr>
          <w:sz w:val="24"/>
          <w:szCs w:val="24"/>
          <w:lang w:val="en-GB"/>
        </w:rPr>
        <w:t>Committee of Ministers Resolution</w:t>
      </w:r>
      <w:r w:rsidR="005231F8" w:rsidRPr="00D62D04">
        <w:rPr>
          <w:sz w:val="24"/>
          <w:szCs w:val="24"/>
          <w:lang w:val="en-GB"/>
        </w:rPr>
        <w:t>.</w:t>
      </w:r>
    </w:p>
    <w:p w14:paraId="2AED9B98" w14:textId="77777777" w:rsidR="0077600F" w:rsidRPr="00D62D04" w:rsidRDefault="0077600F" w:rsidP="0077600F">
      <w:pPr>
        <w:spacing w:after="0"/>
        <w:jc w:val="both"/>
        <w:rPr>
          <w:sz w:val="24"/>
          <w:szCs w:val="24"/>
          <w:highlight w:val="cyan"/>
          <w:lang w:val="en-GB"/>
        </w:rPr>
      </w:pPr>
    </w:p>
    <w:p w14:paraId="7876E8B6" w14:textId="77777777" w:rsidR="00CC3268" w:rsidRPr="00D62D04" w:rsidRDefault="0077600F" w:rsidP="0077600F">
      <w:pPr>
        <w:spacing w:after="0"/>
        <w:jc w:val="both"/>
        <w:rPr>
          <w:i/>
          <w:sz w:val="24"/>
          <w:szCs w:val="24"/>
          <w:lang w:val="en-GB"/>
        </w:rPr>
      </w:pPr>
      <w:r w:rsidRPr="00D62D04">
        <w:rPr>
          <w:i/>
          <w:sz w:val="24"/>
          <w:szCs w:val="24"/>
          <w:lang w:val="en-GB"/>
        </w:rPr>
        <w:t xml:space="preserve">21. </w:t>
      </w:r>
      <w:r w:rsidR="00CC3268" w:rsidRPr="00D62D04">
        <w:rPr>
          <w:i/>
          <w:sz w:val="24"/>
          <w:szCs w:val="24"/>
          <w:lang w:val="en-GB"/>
        </w:rPr>
        <w:t>The Advisory Committee calls on the authorities to provide the effective participation of members of national minorities in shaping the census methodology and in the organisation and functioning of such processes, including pollsters. It also calls on the authorities to make all information about the census methodology and the purpose of data collection available in the languages of national minorities.</w:t>
      </w:r>
    </w:p>
    <w:p w14:paraId="04CA8DCD" w14:textId="77777777" w:rsidR="0077600F" w:rsidRPr="00D62D04" w:rsidRDefault="0077600F" w:rsidP="0077600F">
      <w:pPr>
        <w:spacing w:after="0"/>
        <w:jc w:val="both"/>
        <w:rPr>
          <w:sz w:val="24"/>
          <w:szCs w:val="24"/>
          <w:highlight w:val="cyan"/>
          <w:lang w:val="en-GB"/>
        </w:rPr>
      </w:pPr>
    </w:p>
    <w:p w14:paraId="69AE925D" w14:textId="11E36360" w:rsidR="00334F7A" w:rsidRPr="00D62D04" w:rsidRDefault="00176E7D" w:rsidP="00334F7A">
      <w:pPr>
        <w:spacing w:after="0"/>
        <w:jc w:val="both"/>
        <w:rPr>
          <w:sz w:val="24"/>
          <w:szCs w:val="24"/>
          <w:lang w:val="en-GB"/>
        </w:rPr>
      </w:pPr>
      <w:r w:rsidRPr="00D62D04">
        <w:rPr>
          <w:sz w:val="24"/>
          <w:szCs w:val="24"/>
          <w:lang w:val="en-GB"/>
        </w:rPr>
        <w:t xml:space="preserve">The </w:t>
      </w:r>
      <w:r w:rsidR="008B23D1">
        <w:rPr>
          <w:sz w:val="24"/>
          <w:szCs w:val="24"/>
          <w:lang w:val="en-GB"/>
        </w:rPr>
        <w:t>response</w:t>
      </w:r>
      <w:r w:rsidRPr="00D62D04">
        <w:rPr>
          <w:sz w:val="24"/>
          <w:szCs w:val="24"/>
          <w:lang w:val="en-GB"/>
        </w:rPr>
        <w:t xml:space="preserve"> to this recommendation is contained in the </w:t>
      </w:r>
      <w:r w:rsidR="008B23D1">
        <w:rPr>
          <w:sz w:val="24"/>
          <w:szCs w:val="24"/>
          <w:lang w:val="en-GB"/>
        </w:rPr>
        <w:t>response</w:t>
      </w:r>
      <w:r w:rsidR="008B23D1" w:rsidRPr="00D62D04">
        <w:rPr>
          <w:sz w:val="24"/>
          <w:szCs w:val="24"/>
          <w:lang w:val="en-GB"/>
        </w:rPr>
        <w:t xml:space="preserve"> </w:t>
      </w:r>
      <w:r w:rsidRPr="00D62D04">
        <w:rPr>
          <w:sz w:val="24"/>
          <w:szCs w:val="24"/>
          <w:lang w:val="en-GB"/>
        </w:rPr>
        <w:t xml:space="preserve">to recommendation 7 from the </w:t>
      </w:r>
      <w:r w:rsidR="00AC33C4">
        <w:rPr>
          <w:sz w:val="24"/>
          <w:szCs w:val="24"/>
          <w:lang w:val="en-GB"/>
        </w:rPr>
        <w:t>Committee of Ministers Resolution</w:t>
      </w:r>
      <w:r w:rsidRPr="00D62D04">
        <w:rPr>
          <w:sz w:val="24"/>
          <w:szCs w:val="24"/>
          <w:lang w:val="en-GB"/>
        </w:rPr>
        <w:t>.</w:t>
      </w:r>
    </w:p>
    <w:p w14:paraId="6931F005" w14:textId="77777777" w:rsidR="00176E7D" w:rsidRPr="00D62D04" w:rsidRDefault="00176E7D" w:rsidP="00334F7A">
      <w:pPr>
        <w:spacing w:after="0"/>
        <w:jc w:val="both"/>
        <w:rPr>
          <w:sz w:val="24"/>
          <w:szCs w:val="24"/>
          <w:highlight w:val="cyan"/>
          <w:lang w:val="en-GB"/>
        </w:rPr>
      </w:pPr>
    </w:p>
    <w:p w14:paraId="3BD1E1C8" w14:textId="77777777" w:rsidR="00334F7A" w:rsidRPr="00D62D04" w:rsidRDefault="007A0835" w:rsidP="00F333CD">
      <w:pPr>
        <w:pStyle w:val="Heading2"/>
        <w:jc w:val="center"/>
        <w:rPr>
          <w:rFonts w:ascii="Times New Roman" w:hAnsi="Times New Roman" w:cs="Times New Roman"/>
          <w:b/>
          <w:sz w:val="24"/>
          <w:szCs w:val="24"/>
          <w:lang w:val="en-GB"/>
        </w:rPr>
      </w:pPr>
      <w:bookmarkStart w:id="10" w:name="_Toc112932711"/>
      <w:r w:rsidRPr="00D62D04">
        <w:rPr>
          <w:rFonts w:ascii="Times New Roman" w:hAnsi="Times New Roman" w:cs="Times New Roman"/>
          <w:b/>
          <w:color w:val="auto"/>
          <w:sz w:val="24"/>
          <w:szCs w:val="24"/>
          <w:lang w:val="en-GB"/>
        </w:rPr>
        <w:t xml:space="preserve">Article </w:t>
      </w:r>
      <w:r w:rsidR="00334F7A" w:rsidRPr="00D62D04">
        <w:rPr>
          <w:rFonts w:ascii="Times New Roman" w:hAnsi="Times New Roman" w:cs="Times New Roman"/>
          <w:b/>
          <w:color w:val="auto"/>
          <w:sz w:val="24"/>
          <w:szCs w:val="24"/>
          <w:lang w:val="en-GB"/>
        </w:rPr>
        <w:t>4</w:t>
      </w:r>
      <w:r w:rsidRPr="00D62D04">
        <w:rPr>
          <w:rFonts w:ascii="Times New Roman" w:hAnsi="Times New Roman" w:cs="Times New Roman"/>
          <w:b/>
          <w:color w:val="auto"/>
          <w:sz w:val="24"/>
          <w:szCs w:val="24"/>
          <w:lang w:val="en-GB"/>
        </w:rPr>
        <w:t xml:space="preserve"> of the Framework Convention</w:t>
      </w:r>
      <w:bookmarkEnd w:id="10"/>
    </w:p>
    <w:p w14:paraId="7DCF9A0F" w14:textId="77777777" w:rsidR="00334F7A" w:rsidRPr="00D62D04" w:rsidRDefault="007A0835" w:rsidP="00F333CD">
      <w:pPr>
        <w:pStyle w:val="Heading3"/>
        <w:jc w:val="center"/>
        <w:rPr>
          <w:rFonts w:ascii="Times New Roman" w:hAnsi="Times New Roman" w:cs="Times New Roman"/>
          <w:b/>
          <w:highlight w:val="cyan"/>
          <w:lang w:val="en-GB"/>
        </w:rPr>
      </w:pPr>
      <w:bookmarkStart w:id="11" w:name="_Toc112932712"/>
      <w:r w:rsidRPr="00D62D04">
        <w:rPr>
          <w:rFonts w:ascii="Times New Roman" w:hAnsi="Times New Roman" w:cs="Times New Roman"/>
          <w:b/>
          <w:color w:val="auto"/>
          <w:lang w:val="en-GB"/>
        </w:rPr>
        <w:t>Legislative framework for combating discrimination</w:t>
      </w:r>
      <w:bookmarkEnd w:id="11"/>
    </w:p>
    <w:p w14:paraId="20561A93" w14:textId="77777777" w:rsidR="00334F7A" w:rsidRPr="00D62D04" w:rsidRDefault="00334F7A" w:rsidP="00334F7A">
      <w:pPr>
        <w:spacing w:after="0"/>
        <w:jc w:val="both"/>
        <w:rPr>
          <w:sz w:val="24"/>
          <w:szCs w:val="24"/>
          <w:highlight w:val="cyan"/>
          <w:lang w:val="en-GB"/>
        </w:rPr>
      </w:pPr>
    </w:p>
    <w:p w14:paraId="22464D40" w14:textId="77777777" w:rsidR="000365D9" w:rsidRPr="00D62D04" w:rsidRDefault="00334F7A" w:rsidP="00334F7A">
      <w:pPr>
        <w:spacing w:after="0"/>
        <w:jc w:val="both"/>
        <w:rPr>
          <w:i/>
          <w:sz w:val="24"/>
          <w:szCs w:val="24"/>
          <w:lang w:val="en-GB"/>
        </w:rPr>
      </w:pPr>
      <w:r w:rsidRPr="00D62D04">
        <w:rPr>
          <w:i/>
          <w:sz w:val="24"/>
          <w:szCs w:val="24"/>
          <w:lang w:val="en-GB"/>
        </w:rPr>
        <w:t xml:space="preserve">24. </w:t>
      </w:r>
      <w:r w:rsidR="000365D9" w:rsidRPr="00D62D04">
        <w:rPr>
          <w:i/>
          <w:sz w:val="24"/>
          <w:szCs w:val="24"/>
          <w:lang w:val="en-GB"/>
        </w:rPr>
        <w:t>The Advisory Committee encourages the authorities to strengthen the clarity and accessibility of the anti-discrimination legislative framework, and to ensure that all such laws comply with international standards.</w:t>
      </w:r>
    </w:p>
    <w:p w14:paraId="7E0E4D8A" w14:textId="77777777" w:rsidR="00D9350E" w:rsidRPr="00D62D04" w:rsidRDefault="00D9350E" w:rsidP="00C23F4C">
      <w:pPr>
        <w:spacing w:after="0"/>
        <w:jc w:val="both"/>
        <w:rPr>
          <w:sz w:val="24"/>
          <w:szCs w:val="24"/>
          <w:highlight w:val="cyan"/>
          <w:lang w:val="en-GB"/>
        </w:rPr>
      </w:pPr>
    </w:p>
    <w:p w14:paraId="05C1974E" w14:textId="77777777" w:rsidR="007A65D6" w:rsidRPr="00D62D04" w:rsidRDefault="007A65D6" w:rsidP="001F074C">
      <w:pPr>
        <w:spacing w:after="0"/>
        <w:ind w:firstLine="720"/>
        <w:jc w:val="both"/>
        <w:rPr>
          <w:sz w:val="24"/>
          <w:szCs w:val="24"/>
          <w:lang w:val="en-GB"/>
        </w:rPr>
      </w:pPr>
      <w:r w:rsidRPr="00D62D04">
        <w:rPr>
          <w:sz w:val="24"/>
          <w:szCs w:val="24"/>
          <w:lang w:val="en-GB"/>
        </w:rPr>
        <w:t xml:space="preserve">Starting from the presented recommendation, the fact that during the negotiations on the membership of the Republic of Serbia in the European Union, it was observed that the existing solutions of the Law on the Prohibition of Discrimination did not reach the common </w:t>
      </w:r>
      <w:r w:rsidR="001A2301" w:rsidRPr="00D62D04">
        <w:rPr>
          <w:sz w:val="24"/>
          <w:szCs w:val="24"/>
          <w:lang w:val="en-GB"/>
        </w:rPr>
        <w:t>acquis</w:t>
      </w:r>
      <w:r w:rsidRPr="00D62D04">
        <w:rPr>
          <w:sz w:val="24"/>
          <w:szCs w:val="24"/>
          <w:lang w:val="en-GB"/>
        </w:rPr>
        <w:t xml:space="preserve"> and that it was not fully harmonised with the relevant EU legislation, which the European Commission indicated on several occasions,</w:t>
      </w:r>
      <w:r w:rsidRPr="00D62D04">
        <w:rPr>
          <w:rStyle w:val="FootnoteReference"/>
          <w:sz w:val="24"/>
          <w:szCs w:val="24"/>
          <w:lang w:val="en-GB"/>
        </w:rPr>
        <w:footnoteReference w:id="77"/>
      </w:r>
      <w:r w:rsidRPr="00D62D04">
        <w:rPr>
          <w:sz w:val="24"/>
          <w:szCs w:val="24"/>
          <w:lang w:val="en-GB"/>
        </w:rPr>
        <w:t xml:space="preserve"> as well as the recommendation of the competent UN treaty bodies that emphasised the need for institutional strengthening of </w:t>
      </w:r>
      <w:r w:rsidRPr="00D62D04">
        <w:rPr>
          <w:sz w:val="24"/>
          <w:szCs w:val="24"/>
          <w:lang w:val="en-GB"/>
        </w:rPr>
        <w:lastRenderedPageBreak/>
        <w:t>protection against discrimination, the harmonisation of the provisions of the Law on Prohibition of Discrimination with EU legal instruments, i.e. Directive 2000/43/EC of 29 June 2000 on the implementation of the principles equal treatment regardless of racial or ethnic origin commenced.</w:t>
      </w:r>
    </w:p>
    <w:p w14:paraId="6ED63BAA" w14:textId="77777777" w:rsidR="00AC6F15" w:rsidRPr="00D62D04" w:rsidRDefault="00AC6F15" w:rsidP="00AA2824">
      <w:pPr>
        <w:spacing w:after="0"/>
        <w:ind w:firstLine="720"/>
        <w:jc w:val="both"/>
        <w:rPr>
          <w:sz w:val="24"/>
          <w:szCs w:val="24"/>
          <w:lang w:val="en-GB"/>
        </w:rPr>
      </w:pPr>
      <w:r w:rsidRPr="00D62D04">
        <w:rPr>
          <w:sz w:val="24"/>
          <w:szCs w:val="24"/>
          <w:lang w:val="en-GB"/>
        </w:rPr>
        <w:t xml:space="preserve">On 20 May 2021, the National </w:t>
      </w:r>
      <w:r w:rsidR="00A20798">
        <w:rPr>
          <w:sz w:val="24"/>
          <w:szCs w:val="24"/>
          <w:lang w:val="en-GB"/>
        </w:rPr>
        <w:t>Parliament</w:t>
      </w:r>
      <w:r w:rsidRPr="00D62D04">
        <w:rPr>
          <w:sz w:val="24"/>
          <w:szCs w:val="24"/>
          <w:lang w:val="en-GB"/>
        </w:rPr>
        <w:t xml:space="preserve"> of the Republic of Serbia adopted the Law on Amendments to the Law on Prohibition of Discrimination, which brings the basic law into line with the legal acquis of the European Union and with national legislation. Several changes and additions to the text of the Law are foreseen. First, the definition of indirect discrimination was harmoni</w:t>
      </w:r>
      <w:r w:rsidR="00913987" w:rsidRPr="00D62D04">
        <w:rPr>
          <w:sz w:val="24"/>
          <w:szCs w:val="24"/>
          <w:lang w:val="en-GB"/>
        </w:rPr>
        <w:t>s</w:t>
      </w:r>
      <w:r w:rsidRPr="00D62D04">
        <w:rPr>
          <w:sz w:val="24"/>
          <w:szCs w:val="24"/>
          <w:lang w:val="en-GB"/>
        </w:rPr>
        <w:t>ed with EU legislation. In addition to association for the purpose of discrimination, incitement to discrimination is also regulated. As part of the ban on harassment and degrading treatment, sexual harassment has also been added. As one of the more significant a</w:t>
      </w:r>
      <w:r w:rsidR="00913987" w:rsidRPr="00D62D04">
        <w:rPr>
          <w:sz w:val="24"/>
          <w:szCs w:val="24"/>
          <w:lang w:val="en-GB"/>
        </w:rPr>
        <w:t xml:space="preserve">mendments </w:t>
      </w:r>
      <w:r w:rsidRPr="00D62D04">
        <w:rPr>
          <w:sz w:val="24"/>
          <w:szCs w:val="24"/>
          <w:lang w:val="en-GB"/>
        </w:rPr>
        <w:t xml:space="preserve">to the Law, the introduction of the term "segregation" stands out, which is legally defined as a form of direct discrimination that includes any act by which a natural or legal person </w:t>
      </w:r>
      <w:r w:rsidR="00913987" w:rsidRPr="00D62D04">
        <w:rPr>
          <w:sz w:val="24"/>
          <w:szCs w:val="24"/>
          <w:lang w:val="en-GB"/>
        </w:rPr>
        <w:t xml:space="preserve">isolates </w:t>
      </w:r>
      <w:r w:rsidRPr="00D62D04">
        <w:rPr>
          <w:sz w:val="24"/>
          <w:szCs w:val="24"/>
          <w:lang w:val="en-GB"/>
        </w:rPr>
        <w:t xml:space="preserve">another person or a group of persons based on personal characteristics without objective and reasonable justification. Three new paragraphs were added </w:t>
      </w:r>
      <w:r w:rsidR="00826B0C" w:rsidRPr="00D62D04">
        <w:rPr>
          <w:sz w:val="24"/>
          <w:szCs w:val="24"/>
          <w:lang w:val="en-GB"/>
        </w:rPr>
        <w:t xml:space="preserve">pertaining to </w:t>
      </w:r>
      <w:r w:rsidRPr="00D62D04">
        <w:rPr>
          <w:sz w:val="24"/>
          <w:szCs w:val="24"/>
          <w:lang w:val="en-GB"/>
        </w:rPr>
        <w:t>Article 14, which refer to the obligations of employers and public authorities to promote equality and prevent discrimination.</w:t>
      </w:r>
    </w:p>
    <w:p w14:paraId="2BBBC8AB" w14:textId="77777777" w:rsidR="00195E76" w:rsidRPr="00D62D04" w:rsidRDefault="00AA2824" w:rsidP="00C23F4C">
      <w:pPr>
        <w:spacing w:after="0"/>
        <w:jc w:val="both"/>
        <w:rPr>
          <w:sz w:val="24"/>
          <w:szCs w:val="24"/>
          <w:lang w:val="en-GB"/>
        </w:rPr>
      </w:pPr>
      <w:r w:rsidRPr="00D62D04">
        <w:rPr>
          <w:sz w:val="24"/>
          <w:szCs w:val="24"/>
          <w:lang w:val="en-GB"/>
        </w:rPr>
        <w:tab/>
      </w:r>
      <w:r w:rsidR="00195E76" w:rsidRPr="00D62D04">
        <w:rPr>
          <w:sz w:val="24"/>
          <w:szCs w:val="24"/>
          <w:lang w:val="en-GB"/>
        </w:rPr>
        <w:t>Regarding the strengthening the clarity and availability of the legislative framework against discrimination, it is important to point out that in January 2022, after a wide round of consultations with all relevant social partners, the Government of the Republic of Serbia adopted a new Strategy for Prevention and Protection against Discrimination for the period from 2022 to 2030.</w:t>
      </w:r>
      <w:r w:rsidR="002A0334" w:rsidRPr="00D62D04">
        <w:rPr>
          <w:rStyle w:val="FootnoteReference"/>
          <w:sz w:val="24"/>
          <w:szCs w:val="24"/>
          <w:lang w:val="en-GB"/>
        </w:rPr>
        <w:footnoteReference w:id="78"/>
      </w:r>
      <w:r w:rsidR="00195E76" w:rsidRPr="00D62D04">
        <w:rPr>
          <w:sz w:val="24"/>
          <w:szCs w:val="24"/>
          <w:lang w:val="en-GB"/>
        </w:rPr>
        <w:t xml:space="preserve"> The first specific </w:t>
      </w:r>
      <w:r w:rsidR="002A0334" w:rsidRPr="00D62D04">
        <w:rPr>
          <w:sz w:val="24"/>
          <w:szCs w:val="24"/>
          <w:lang w:val="en-GB"/>
        </w:rPr>
        <w:t>objective</w:t>
      </w:r>
      <w:r w:rsidR="00195E76" w:rsidRPr="00D62D04">
        <w:rPr>
          <w:sz w:val="24"/>
          <w:szCs w:val="24"/>
          <w:lang w:val="en-GB"/>
        </w:rPr>
        <w:t xml:space="preserve"> of this strategy is harmoni</w:t>
      </w:r>
      <w:r w:rsidR="002A0334" w:rsidRPr="00D62D04">
        <w:rPr>
          <w:sz w:val="24"/>
          <w:szCs w:val="24"/>
          <w:lang w:val="en-GB"/>
        </w:rPr>
        <w:t>s</w:t>
      </w:r>
      <w:r w:rsidR="00195E76" w:rsidRPr="00D62D04">
        <w:rPr>
          <w:sz w:val="24"/>
          <w:szCs w:val="24"/>
          <w:lang w:val="en-GB"/>
        </w:rPr>
        <w:t>ed national legislation with international anti-discrimination standards and practice.</w:t>
      </w:r>
      <w:r w:rsidR="00933261" w:rsidRPr="00D62D04">
        <w:rPr>
          <w:lang w:val="en-GB"/>
        </w:rPr>
        <w:t xml:space="preserve"> </w:t>
      </w:r>
      <w:r w:rsidR="00933261" w:rsidRPr="00D62D04">
        <w:rPr>
          <w:sz w:val="24"/>
          <w:szCs w:val="24"/>
          <w:lang w:val="en-GB"/>
        </w:rPr>
        <w:t>By achieving this speci</w:t>
      </w:r>
      <w:r w:rsidR="003C0952" w:rsidRPr="00D62D04">
        <w:rPr>
          <w:sz w:val="24"/>
          <w:szCs w:val="24"/>
          <w:lang w:val="en-GB"/>
        </w:rPr>
        <w:t>fic objective</w:t>
      </w:r>
      <w:r w:rsidR="00933261" w:rsidRPr="00D62D04">
        <w:rPr>
          <w:sz w:val="24"/>
          <w:szCs w:val="24"/>
          <w:lang w:val="en-GB"/>
        </w:rPr>
        <w:t>, the anti-discrimination legal framework of the Republic of Serbia will be improved, by aligning it with the standards and practices established under the auspices of the United Nations, the Council of Europe and the European Union. Also, by achieving this speci</w:t>
      </w:r>
      <w:r w:rsidR="003C0952" w:rsidRPr="00D62D04">
        <w:rPr>
          <w:sz w:val="24"/>
          <w:szCs w:val="24"/>
          <w:lang w:val="en-GB"/>
        </w:rPr>
        <w:t>fic objective</w:t>
      </w:r>
      <w:r w:rsidR="00933261" w:rsidRPr="00D62D04">
        <w:rPr>
          <w:sz w:val="24"/>
          <w:szCs w:val="24"/>
          <w:lang w:val="en-GB"/>
        </w:rPr>
        <w:t>, the national legal framework will be improved, by aligning sectoral laws and by-laws with anti-discrimination regulations and standards.</w:t>
      </w:r>
    </w:p>
    <w:p w14:paraId="5E0E0EC7" w14:textId="77777777" w:rsidR="00D9350E" w:rsidRPr="00D62D04" w:rsidRDefault="00D9350E" w:rsidP="00C23F4C">
      <w:pPr>
        <w:spacing w:after="0"/>
        <w:jc w:val="both"/>
        <w:rPr>
          <w:sz w:val="24"/>
          <w:szCs w:val="24"/>
          <w:highlight w:val="cyan"/>
          <w:lang w:val="en-GB"/>
        </w:rPr>
      </w:pPr>
    </w:p>
    <w:p w14:paraId="5C59CD25" w14:textId="77777777" w:rsidR="00334F7A" w:rsidRPr="00D62D04" w:rsidRDefault="00633745" w:rsidP="00F333CD">
      <w:pPr>
        <w:pStyle w:val="Heading3"/>
        <w:jc w:val="center"/>
        <w:rPr>
          <w:rFonts w:ascii="Times New Roman" w:hAnsi="Times New Roman" w:cs="Times New Roman"/>
          <w:b/>
          <w:highlight w:val="cyan"/>
          <w:lang w:val="en-GB"/>
        </w:rPr>
      </w:pPr>
      <w:bookmarkStart w:id="12" w:name="_Toc112932713"/>
      <w:r w:rsidRPr="00D62D04">
        <w:rPr>
          <w:rFonts w:ascii="Times New Roman" w:hAnsi="Times New Roman" w:cs="Times New Roman"/>
          <w:b/>
          <w:color w:val="auto"/>
          <w:lang w:val="en-GB"/>
        </w:rPr>
        <w:t>Monitoring the prohibition of discrimination and available legal remedies</w:t>
      </w:r>
      <w:bookmarkEnd w:id="12"/>
    </w:p>
    <w:p w14:paraId="7C1FF102" w14:textId="77777777" w:rsidR="00511318" w:rsidRPr="00D62D04" w:rsidRDefault="00511318" w:rsidP="00511318">
      <w:pPr>
        <w:tabs>
          <w:tab w:val="left" w:pos="707"/>
        </w:tabs>
        <w:spacing w:after="0" w:line="240" w:lineRule="auto"/>
        <w:ind w:right="422"/>
        <w:jc w:val="both"/>
        <w:rPr>
          <w:rFonts w:cs="Calibri"/>
          <w:color w:val="000000"/>
          <w:sz w:val="24"/>
          <w:highlight w:val="cyan"/>
          <w:lang w:val="en-GB"/>
        </w:rPr>
      </w:pPr>
    </w:p>
    <w:p w14:paraId="706DE17E" w14:textId="2CCFFD62" w:rsidR="0071681F" w:rsidRPr="00D62D04" w:rsidRDefault="00CD61F7" w:rsidP="0071681F">
      <w:pPr>
        <w:tabs>
          <w:tab w:val="left" w:pos="707"/>
        </w:tabs>
        <w:spacing w:after="0"/>
        <w:ind w:right="-46"/>
        <w:jc w:val="both"/>
        <w:rPr>
          <w:rFonts w:cs="Calibri"/>
          <w:color w:val="000000"/>
          <w:sz w:val="24"/>
          <w:lang w:val="en-GB"/>
        </w:rPr>
      </w:pPr>
      <w:r w:rsidRPr="00D62D04">
        <w:rPr>
          <w:rFonts w:cs="Calibri"/>
          <w:color w:val="000000"/>
          <w:sz w:val="24"/>
          <w:lang w:val="en-GB"/>
        </w:rPr>
        <w:tab/>
      </w:r>
      <w:r w:rsidR="0071681F" w:rsidRPr="00D62D04">
        <w:rPr>
          <w:rFonts w:cs="Calibri"/>
          <w:color w:val="000000"/>
          <w:sz w:val="24"/>
          <w:lang w:val="en-GB"/>
        </w:rPr>
        <w:t xml:space="preserve">In regard with the finding of the Advisory Committee emphasising the importance of understanding an institution such as the Protector of Citizens as an accessible source of help, certain data should be provided on the number of complaints in the area of national minority rights that the Protector of Citizens considered in the past years, as well as on the number of cases </w:t>
      </w:r>
      <w:r w:rsidR="00C0746E" w:rsidRPr="00D62D04">
        <w:rPr>
          <w:rFonts w:cs="Calibri"/>
          <w:color w:val="000000"/>
          <w:sz w:val="24"/>
          <w:lang w:val="en-GB"/>
        </w:rPr>
        <w:t>it</w:t>
      </w:r>
      <w:r w:rsidR="0071681F" w:rsidRPr="00D62D04">
        <w:rPr>
          <w:rFonts w:cs="Calibri"/>
          <w:color w:val="000000"/>
          <w:sz w:val="24"/>
          <w:lang w:val="en-GB"/>
        </w:rPr>
        <w:t xml:space="preserve"> initiated </w:t>
      </w:r>
      <w:r w:rsidR="00C0746E" w:rsidRPr="00D62D04">
        <w:rPr>
          <w:rFonts w:cs="Calibri"/>
          <w:color w:val="000000"/>
          <w:sz w:val="24"/>
          <w:lang w:val="en-GB"/>
        </w:rPr>
        <w:t>itself</w:t>
      </w:r>
      <w:r w:rsidR="0071681F" w:rsidRPr="00D62D04">
        <w:rPr>
          <w:rFonts w:cs="Calibri"/>
          <w:color w:val="000000"/>
          <w:sz w:val="24"/>
          <w:lang w:val="en-GB"/>
        </w:rPr>
        <w:t>.</w:t>
      </w:r>
    </w:p>
    <w:p w14:paraId="4270A412" w14:textId="061E9DAE" w:rsidR="0071681F" w:rsidRPr="00D62D04" w:rsidRDefault="0071681F" w:rsidP="0071681F">
      <w:pPr>
        <w:tabs>
          <w:tab w:val="left" w:pos="707"/>
        </w:tabs>
        <w:spacing w:after="0"/>
        <w:ind w:right="-46"/>
        <w:jc w:val="both"/>
        <w:rPr>
          <w:rFonts w:cs="Calibri"/>
          <w:color w:val="000000"/>
          <w:sz w:val="24"/>
          <w:lang w:val="en-GB"/>
        </w:rPr>
      </w:pPr>
      <w:r w:rsidRPr="00D62D04">
        <w:rPr>
          <w:rFonts w:cs="Calibri"/>
          <w:color w:val="000000"/>
          <w:sz w:val="24"/>
          <w:lang w:val="en-GB"/>
        </w:rPr>
        <w:t xml:space="preserve">In the area of the rights of national minorities, the Protector of Citizens considered 71 cases in 2019, of which 70 were citizen complaints and one case initiated on </w:t>
      </w:r>
      <w:r w:rsidR="00C0746E" w:rsidRPr="00D62D04">
        <w:rPr>
          <w:rFonts w:cs="Calibri"/>
          <w:color w:val="000000"/>
          <w:sz w:val="24"/>
          <w:lang w:val="en-GB"/>
        </w:rPr>
        <w:t>its</w:t>
      </w:r>
      <w:r w:rsidRPr="00D62D04">
        <w:rPr>
          <w:rFonts w:cs="Calibri"/>
          <w:color w:val="000000"/>
          <w:sz w:val="24"/>
          <w:lang w:val="en-GB"/>
        </w:rPr>
        <w:t xml:space="preserve"> own initiative. Cases from this area make up 2.17% of the total considered cases. The Protector of Citizens sent 24 recommendations to administrative bodies. Out of 71 reviewed cases in 2019, the Protector of Citizens completed work on 39 cases. In the area of the rights of national minorities, 76 violations of rights were </w:t>
      </w:r>
      <w:r w:rsidR="00CC3048" w:rsidRPr="00D62D04">
        <w:rPr>
          <w:rFonts w:cs="Calibri"/>
          <w:color w:val="000000"/>
          <w:sz w:val="24"/>
          <w:lang w:val="en-GB"/>
        </w:rPr>
        <w:t>found</w:t>
      </w:r>
      <w:r w:rsidRPr="00D62D04">
        <w:rPr>
          <w:rFonts w:cs="Calibri"/>
          <w:color w:val="000000"/>
          <w:sz w:val="24"/>
          <w:lang w:val="en-GB"/>
        </w:rPr>
        <w:t xml:space="preserve"> in 71 cases, most of which relate to special rights in the area of </w:t>
      </w:r>
      <w:r w:rsidRPr="00D62D04">
        <w:rPr>
          <w:rFonts w:cs="Calibri"/>
          <w:color w:val="000000"/>
          <w:sz w:val="24"/>
          <w:lang w:val="en-GB"/>
        </w:rPr>
        <w:lastRenderedPageBreak/>
        <w:t xml:space="preserve">​​the rights of national minorities, such as the special rights of the Roma, the right to cultural creativity in the mother tongue, the right to exercise the competence of national councils </w:t>
      </w:r>
      <w:r w:rsidR="00CC3048" w:rsidRPr="00D62D04">
        <w:rPr>
          <w:rFonts w:cs="Calibri"/>
          <w:color w:val="000000"/>
          <w:sz w:val="24"/>
          <w:lang w:val="en-GB"/>
        </w:rPr>
        <w:t xml:space="preserve">of </w:t>
      </w:r>
      <w:r w:rsidRPr="00D62D04">
        <w:rPr>
          <w:rFonts w:cs="Calibri"/>
          <w:color w:val="000000"/>
          <w:sz w:val="24"/>
          <w:lang w:val="en-GB"/>
        </w:rPr>
        <w:t>national minorities and prohibition of discrimination.</w:t>
      </w:r>
    </w:p>
    <w:p w14:paraId="765325C5" w14:textId="77777777" w:rsidR="00C0746E" w:rsidRPr="00D62D04" w:rsidRDefault="00C0746E" w:rsidP="00C0746E">
      <w:pPr>
        <w:spacing w:after="0"/>
        <w:ind w:firstLine="720"/>
        <w:jc w:val="both"/>
        <w:rPr>
          <w:sz w:val="24"/>
          <w:szCs w:val="24"/>
          <w:lang w:val="en-GB"/>
        </w:rPr>
      </w:pPr>
      <w:r w:rsidRPr="00D62D04">
        <w:rPr>
          <w:sz w:val="24"/>
          <w:szCs w:val="24"/>
          <w:lang w:val="en-GB"/>
        </w:rPr>
        <w:t xml:space="preserve">In the area of ​​national minority rights, the Protector of Citizens considered 46 cases in 2020, of which 43 were citizen complaints and three cases on its own initiative. In 46 cases, 46 violations of rights were </w:t>
      </w:r>
      <w:r w:rsidR="009C2FF1" w:rsidRPr="00D62D04">
        <w:rPr>
          <w:sz w:val="24"/>
          <w:szCs w:val="24"/>
          <w:lang w:val="en-GB"/>
        </w:rPr>
        <w:t>found</w:t>
      </w:r>
      <w:r w:rsidRPr="00D62D04">
        <w:rPr>
          <w:sz w:val="24"/>
          <w:szCs w:val="24"/>
          <w:lang w:val="en-GB"/>
        </w:rPr>
        <w:t>, most of which re</w:t>
      </w:r>
      <w:r w:rsidR="009C2FF1" w:rsidRPr="00D62D04">
        <w:rPr>
          <w:sz w:val="24"/>
          <w:szCs w:val="24"/>
          <w:lang w:val="en-GB"/>
        </w:rPr>
        <w:t>fer</w:t>
      </w:r>
      <w:r w:rsidRPr="00D62D04">
        <w:rPr>
          <w:sz w:val="24"/>
          <w:szCs w:val="24"/>
          <w:lang w:val="en-GB"/>
        </w:rPr>
        <w:t xml:space="preserve"> to: special rights of Roma, prohibition of discrimination, individual rights of members of national minorities. Cases </w:t>
      </w:r>
      <w:r w:rsidR="009C2FF1" w:rsidRPr="00D62D04">
        <w:rPr>
          <w:sz w:val="24"/>
          <w:szCs w:val="24"/>
          <w:lang w:val="en-GB"/>
        </w:rPr>
        <w:t>in</w:t>
      </w:r>
      <w:r w:rsidRPr="00D62D04">
        <w:rPr>
          <w:sz w:val="24"/>
          <w:szCs w:val="24"/>
          <w:lang w:val="en-GB"/>
        </w:rPr>
        <w:t xml:space="preserve"> this area make up almost 1% of the total number of considered cases in 2020. In 2020, work on 75 cases was completed, of which 38 cases are from 2020 and 37 cases from </w:t>
      </w:r>
      <w:r w:rsidR="00EC10C9" w:rsidRPr="00D62D04">
        <w:rPr>
          <w:sz w:val="24"/>
          <w:szCs w:val="24"/>
          <w:lang w:val="en-GB"/>
        </w:rPr>
        <w:t>previous</w:t>
      </w:r>
      <w:r w:rsidRPr="00D62D04">
        <w:rPr>
          <w:sz w:val="24"/>
          <w:szCs w:val="24"/>
          <w:lang w:val="en-GB"/>
        </w:rPr>
        <w:t xml:space="preserve"> years. The effectiveness of the Ombudsman's handling of cases in this area has increased by almost 28% compared to 2019, as indicated by the number of completed cases </w:t>
      </w:r>
      <w:r w:rsidR="003865FB" w:rsidRPr="00D62D04">
        <w:rPr>
          <w:sz w:val="24"/>
          <w:szCs w:val="24"/>
          <w:lang w:val="en-GB"/>
        </w:rPr>
        <w:t>compared</w:t>
      </w:r>
      <w:r w:rsidRPr="00D62D04">
        <w:rPr>
          <w:sz w:val="24"/>
          <w:szCs w:val="24"/>
          <w:lang w:val="en-GB"/>
        </w:rPr>
        <w:t xml:space="preserve"> to the total number of cases in this area, and 15 recommendations have been sent to administrative bodies.</w:t>
      </w:r>
    </w:p>
    <w:p w14:paraId="6EDCF199" w14:textId="02C2CF1D" w:rsidR="00C0746E" w:rsidRPr="00D62D04" w:rsidRDefault="00C0746E" w:rsidP="00C0746E">
      <w:pPr>
        <w:spacing w:after="0"/>
        <w:ind w:firstLine="720"/>
        <w:jc w:val="both"/>
        <w:rPr>
          <w:sz w:val="24"/>
          <w:szCs w:val="24"/>
          <w:lang w:val="en-GB"/>
        </w:rPr>
      </w:pPr>
      <w:r w:rsidRPr="00D62D04">
        <w:rPr>
          <w:sz w:val="24"/>
          <w:szCs w:val="24"/>
          <w:lang w:val="en-GB"/>
        </w:rPr>
        <w:t xml:space="preserve">In the area of national minority rights, the Protector of Citizens considered 44 cases in 2021, of which 43 were citizen complaints and one case on </w:t>
      </w:r>
      <w:r w:rsidR="00350580" w:rsidRPr="00D62D04">
        <w:rPr>
          <w:sz w:val="24"/>
          <w:szCs w:val="24"/>
          <w:lang w:val="en-GB"/>
        </w:rPr>
        <w:t xml:space="preserve">its </w:t>
      </w:r>
      <w:r w:rsidRPr="00D62D04">
        <w:rPr>
          <w:sz w:val="24"/>
          <w:szCs w:val="24"/>
          <w:lang w:val="en-GB"/>
        </w:rPr>
        <w:t xml:space="preserve">own initiative, and completed work on 35 cases as well as work on seven cases from </w:t>
      </w:r>
      <w:r w:rsidR="00350580" w:rsidRPr="00D62D04">
        <w:rPr>
          <w:sz w:val="24"/>
          <w:szCs w:val="24"/>
          <w:lang w:val="en-GB"/>
        </w:rPr>
        <w:t>the past</w:t>
      </w:r>
      <w:r w:rsidRPr="00D62D04">
        <w:rPr>
          <w:sz w:val="24"/>
          <w:szCs w:val="24"/>
          <w:lang w:val="en-GB"/>
        </w:rPr>
        <w:t xml:space="preserve"> years. The Protector of Citizens made five recommendations to the administrative </w:t>
      </w:r>
      <w:r w:rsidR="00350580" w:rsidRPr="00D62D04">
        <w:rPr>
          <w:sz w:val="24"/>
          <w:szCs w:val="24"/>
          <w:lang w:val="en-GB"/>
        </w:rPr>
        <w:t>bodies</w:t>
      </w:r>
      <w:r w:rsidRPr="00D62D04">
        <w:rPr>
          <w:sz w:val="24"/>
          <w:szCs w:val="24"/>
          <w:lang w:val="en-GB"/>
        </w:rPr>
        <w:t>. Rights violations in these cases most often, as in previous years, re</w:t>
      </w:r>
      <w:r w:rsidR="00350580" w:rsidRPr="00D62D04">
        <w:rPr>
          <w:sz w:val="24"/>
          <w:szCs w:val="24"/>
          <w:lang w:val="en-GB"/>
        </w:rPr>
        <w:t>fer</w:t>
      </w:r>
      <w:r w:rsidRPr="00D62D04">
        <w:rPr>
          <w:sz w:val="24"/>
          <w:szCs w:val="24"/>
          <w:lang w:val="en-GB"/>
        </w:rPr>
        <w:t xml:space="preserve"> to the special rights of the Roma, the prohibition of discrimination and the right to exercise the competence of national councils of national minorities.</w:t>
      </w:r>
    </w:p>
    <w:p w14:paraId="2D2D5E50" w14:textId="77777777" w:rsidR="006B666B" w:rsidRPr="00D62D04" w:rsidRDefault="006B666B" w:rsidP="00850082">
      <w:pPr>
        <w:spacing w:after="0"/>
        <w:ind w:firstLine="720"/>
        <w:jc w:val="both"/>
        <w:rPr>
          <w:sz w:val="24"/>
          <w:szCs w:val="24"/>
          <w:lang w:val="en-GB"/>
        </w:rPr>
      </w:pPr>
      <w:r w:rsidRPr="00D62D04">
        <w:rPr>
          <w:sz w:val="24"/>
          <w:szCs w:val="24"/>
          <w:lang w:val="en-GB"/>
        </w:rPr>
        <w:t xml:space="preserve">The National Council of the </w:t>
      </w:r>
      <w:proofErr w:type="spellStart"/>
      <w:r w:rsidRPr="00D62D04">
        <w:rPr>
          <w:sz w:val="24"/>
          <w:szCs w:val="24"/>
          <w:lang w:val="en-GB"/>
        </w:rPr>
        <w:t>Bosniak</w:t>
      </w:r>
      <w:proofErr w:type="spellEnd"/>
      <w:r w:rsidRPr="00D62D04">
        <w:rPr>
          <w:sz w:val="24"/>
          <w:szCs w:val="24"/>
          <w:lang w:val="en-GB"/>
        </w:rPr>
        <w:t xml:space="preserve"> National Minority believes that due to insufficient knowledge of the law, the number of complaints submitted to the Protector of Citizens about the actions of state authorities is inadequate. During 2020 and 2021, the National Council addressed the Protector of Citizens four times (twice in 2020 and twice in 2021), and the Protector of Citizens issued three recommendations (one in 2020 and two in 2021) .</w:t>
      </w:r>
    </w:p>
    <w:p w14:paraId="4087F3E9" w14:textId="77777777" w:rsidR="00511318" w:rsidRPr="00D62D04" w:rsidRDefault="00511318" w:rsidP="00511318">
      <w:pPr>
        <w:tabs>
          <w:tab w:val="left" w:pos="707"/>
        </w:tabs>
        <w:spacing w:after="0" w:line="240" w:lineRule="auto"/>
        <w:ind w:right="422"/>
        <w:jc w:val="both"/>
        <w:rPr>
          <w:rFonts w:cs="Calibri"/>
          <w:color w:val="000000"/>
          <w:sz w:val="24"/>
          <w:highlight w:val="cyan"/>
          <w:lang w:val="en-GB"/>
        </w:rPr>
      </w:pPr>
    </w:p>
    <w:p w14:paraId="3AA50B1C" w14:textId="77777777" w:rsidR="00DE20F8" w:rsidRPr="00D62D04" w:rsidRDefault="00334F7A" w:rsidP="00334F7A">
      <w:pPr>
        <w:spacing w:after="0"/>
        <w:jc w:val="both"/>
        <w:rPr>
          <w:i/>
          <w:sz w:val="24"/>
          <w:szCs w:val="24"/>
          <w:lang w:val="en-GB"/>
        </w:rPr>
      </w:pPr>
      <w:r w:rsidRPr="00D62D04">
        <w:rPr>
          <w:i/>
          <w:sz w:val="24"/>
          <w:szCs w:val="24"/>
          <w:lang w:val="en-GB"/>
        </w:rPr>
        <w:t xml:space="preserve">29. </w:t>
      </w:r>
      <w:r w:rsidR="00DE20F8" w:rsidRPr="00D62D04">
        <w:rPr>
          <w:i/>
          <w:sz w:val="24"/>
          <w:szCs w:val="24"/>
          <w:lang w:val="en-GB"/>
        </w:rPr>
        <w:t>The Advisory Committee calls on the authorities to increase their efforts to raise awareness, especially among the groups most often exposed to discrimination, especially Roma living in informal settlements, as well as relevant community workers, about legislative standards and available legal remedies for victims of discrimination.</w:t>
      </w:r>
    </w:p>
    <w:p w14:paraId="68A8065D" w14:textId="77777777" w:rsidR="00334F7A" w:rsidRPr="00D62D04" w:rsidRDefault="00334F7A" w:rsidP="00334F7A">
      <w:pPr>
        <w:spacing w:after="0"/>
        <w:jc w:val="both"/>
        <w:rPr>
          <w:i/>
          <w:sz w:val="24"/>
          <w:szCs w:val="24"/>
          <w:highlight w:val="cyan"/>
          <w:lang w:val="en-GB"/>
        </w:rPr>
      </w:pPr>
    </w:p>
    <w:p w14:paraId="11090BC8" w14:textId="450562A3" w:rsidR="00467E77" w:rsidRPr="00D62D04" w:rsidRDefault="00467E77" w:rsidP="00334F7A">
      <w:pPr>
        <w:spacing w:after="0"/>
        <w:ind w:firstLine="720"/>
        <w:jc w:val="both"/>
        <w:rPr>
          <w:sz w:val="24"/>
          <w:szCs w:val="24"/>
          <w:lang w:val="en-GB"/>
        </w:rPr>
      </w:pPr>
      <w:r w:rsidRPr="00D62D04">
        <w:rPr>
          <w:sz w:val="24"/>
          <w:szCs w:val="24"/>
          <w:lang w:val="en-GB"/>
        </w:rPr>
        <w:t xml:space="preserve">The </w:t>
      </w:r>
      <w:r w:rsidR="008B23D1">
        <w:rPr>
          <w:sz w:val="24"/>
          <w:szCs w:val="24"/>
          <w:lang w:val="en-GB"/>
        </w:rPr>
        <w:t>response</w:t>
      </w:r>
      <w:r w:rsidRPr="00D62D04">
        <w:rPr>
          <w:sz w:val="24"/>
          <w:szCs w:val="24"/>
          <w:lang w:val="en-GB"/>
        </w:rPr>
        <w:t xml:space="preserve"> to this recommendation is </w:t>
      </w:r>
      <w:r w:rsidR="000F3D8B" w:rsidRPr="00D62D04">
        <w:rPr>
          <w:sz w:val="24"/>
          <w:szCs w:val="24"/>
          <w:lang w:val="en-GB"/>
        </w:rPr>
        <w:t>given</w:t>
      </w:r>
      <w:r w:rsidRPr="00D62D04">
        <w:rPr>
          <w:sz w:val="24"/>
          <w:szCs w:val="24"/>
          <w:lang w:val="en-GB"/>
        </w:rPr>
        <w:t xml:space="preserve"> in the </w:t>
      </w:r>
      <w:r w:rsidR="008B23D1">
        <w:rPr>
          <w:sz w:val="24"/>
          <w:szCs w:val="24"/>
          <w:lang w:val="en-GB"/>
        </w:rPr>
        <w:t>response</w:t>
      </w:r>
      <w:r w:rsidRPr="00D62D04">
        <w:rPr>
          <w:sz w:val="24"/>
          <w:szCs w:val="24"/>
          <w:lang w:val="en-GB"/>
        </w:rPr>
        <w:t xml:space="preserve"> to recommendation 1 </w:t>
      </w:r>
      <w:r w:rsidR="0070404D" w:rsidRPr="00D62D04">
        <w:rPr>
          <w:sz w:val="24"/>
          <w:szCs w:val="24"/>
          <w:lang w:val="en-GB"/>
        </w:rPr>
        <w:t>of</w:t>
      </w:r>
      <w:r w:rsidRPr="00D62D04">
        <w:rPr>
          <w:sz w:val="24"/>
          <w:szCs w:val="24"/>
          <w:lang w:val="en-GB"/>
        </w:rPr>
        <w:t xml:space="preserve"> the </w:t>
      </w:r>
      <w:r w:rsidR="00AC33C4">
        <w:rPr>
          <w:sz w:val="24"/>
          <w:szCs w:val="24"/>
          <w:lang w:val="en-GB"/>
        </w:rPr>
        <w:t>Committee of Ministers Resolution</w:t>
      </w:r>
      <w:r w:rsidRPr="00D62D04">
        <w:rPr>
          <w:sz w:val="24"/>
          <w:szCs w:val="24"/>
          <w:lang w:val="en-GB"/>
        </w:rPr>
        <w:t>.</w:t>
      </w:r>
    </w:p>
    <w:p w14:paraId="2315C403" w14:textId="77777777" w:rsidR="00334F7A" w:rsidRPr="00D62D04" w:rsidRDefault="00334F7A" w:rsidP="00334F7A">
      <w:pPr>
        <w:spacing w:after="0"/>
        <w:jc w:val="both"/>
        <w:rPr>
          <w:sz w:val="24"/>
          <w:szCs w:val="24"/>
          <w:highlight w:val="cyan"/>
          <w:lang w:val="en-GB"/>
        </w:rPr>
      </w:pPr>
    </w:p>
    <w:p w14:paraId="150D5E17" w14:textId="77777777" w:rsidR="00334F7A" w:rsidRPr="00D62D04" w:rsidRDefault="00435BA7" w:rsidP="00F333CD">
      <w:pPr>
        <w:pStyle w:val="Heading3"/>
        <w:jc w:val="center"/>
        <w:rPr>
          <w:rFonts w:ascii="Times New Roman" w:hAnsi="Times New Roman" w:cs="Times New Roman"/>
          <w:b/>
          <w:highlight w:val="cyan"/>
          <w:lang w:val="en-GB"/>
        </w:rPr>
      </w:pPr>
      <w:bookmarkStart w:id="13" w:name="_Toc112932714"/>
      <w:r w:rsidRPr="00D62D04">
        <w:rPr>
          <w:rFonts w:ascii="Times New Roman" w:hAnsi="Times New Roman" w:cs="Times New Roman"/>
          <w:b/>
          <w:color w:val="auto"/>
          <w:lang w:val="en-GB"/>
        </w:rPr>
        <w:t>Equality data collection and measures to promote effective equality</w:t>
      </w:r>
      <w:bookmarkEnd w:id="13"/>
    </w:p>
    <w:p w14:paraId="3CDF5845" w14:textId="77777777" w:rsidR="00A72435" w:rsidRPr="00D62D04" w:rsidRDefault="00A72435" w:rsidP="00334F7A">
      <w:pPr>
        <w:spacing w:after="0" w:line="240" w:lineRule="auto"/>
        <w:ind w:right="398"/>
        <w:jc w:val="center"/>
        <w:rPr>
          <w:rFonts w:cs="Calibri"/>
          <w:b/>
          <w:color w:val="000000"/>
          <w:sz w:val="24"/>
          <w:highlight w:val="cyan"/>
          <w:lang w:val="en-GB"/>
        </w:rPr>
      </w:pPr>
    </w:p>
    <w:p w14:paraId="5F4A2695" w14:textId="77777777" w:rsidR="00372F46" w:rsidRPr="00D62D04" w:rsidRDefault="00334F7A" w:rsidP="00334F7A">
      <w:pPr>
        <w:pStyle w:val="TableParagraph"/>
        <w:spacing w:line="276" w:lineRule="auto"/>
        <w:ind w:left="0" w:right="96"/>
        <w:jc w:val="both"/>
        <w:rPr>
          <w:i/>
          <w:sz w:val="24"/>
          <w:szCs w:val="24"/>
          <w:lang w:val="en-GB"/>
        </w:rPr>
      </w:pPr>
      <w:r w:rsidRPr="00D62D04">
        <w:rPr>
          <w:i/>
          <w:sz w:val="24"/>
          <w:szCs w:val="24"/>
          <w:lang w:val="en-GB"/>
        </w:rPr>
        <w:t xml:space="preserve">35. </w:t>
      </w:r>
      <w:r w:rsidR="00372F46" w:rsidRPr="00D62D04">
        <w:rPr>
          <w:i/>
          <w:sz w:val="24"/>
          <w:szCs w:val="24"/>
          <w:lang w:val="en-GB"/>
        </w:rPr>
        <w:t>The Advisory Committee calls on the authorities to significantly step up their efforts to establish and use, as soon as possible and no later than the deadline for issuing the fifth State Report, a sustainable framework for the collection of human rights data based on issues re</w:t>
      </w:r>
      <w:r w:rsidR="001136F1" w:rsidRPr="00D62D04">
        <w:rPr>
          <w:i/>
          <w:sz w:val="24"/>
          <w:szCs w:val="24"/>
          <w:lang w:val="en-GB"/>
        </w:rPr>
        <w:t>ferring</w:t>
      </w:r>
      <w:r w:rsidR="00372F46" w:rsidRPr="00D62D04">
        <w:rPr>
          <w:i/>
          <w:sz w:val="24"/>
          <w:szCs w:val="24"/>
          <w:lang w:val="en-GB"/>
        </w:rPr>
        <w:t xml:space="preserve"> to access to the rights of </w:t>
      </w:r>
      <w:proofErr w:type="gramStart"/>
      <w:r w:rsidR="00372F46" w:rsidRPr="00D62D04">
        <w:rPr>
          <w:i/>
          <w:sz w:val="24"/>
          <w:szCs w:val="24"/>
          <w:lang w:val="en-GB"/>
        </w:rPr>
        <w:t>nationals</w:t>
      </w:r>
      <w:proofErr w:type="gramEnd"/>
      <w:r w:rsidR="00372F46" w:rsidRPr="00D62D04">
        <w:rPr>
          <w:i/>
          <w:sz w:val="24"/>
          <w:szCs w:val="24"/>
          <w:lang w:val="en-GB"/>
        </w:rPr>
        <w:t xml:space="preserve"> minorities as well as to promote complementary qualitative and quantitative research in order to assess the s</w:t>
      </w:r>
      <w:r w:rsidR="001136F1" w:rsidRPr="00D62D04">
        <w:rPr>
          <w:i/>
          <w:sz w:val="24"/>
          <w:szCs w:val="24"/>
          <w:lang w:val="en-GB"/>
        </w:rPr>
        <w:t>tatus</w:t>
      </w:r>
      <w:r w:rsidR="00372F46" w:rsidRPr="00D62D04">
        <w:rPr>
          <w:i/>
          <w:sz w:val="24"/>
          <w:szCs w:val="24"/>
          <w:lang w:val="en-GB"/>
        </w:rPr>
        <w:t xml:space="preserve"> of members of national minorities. </w:t>
      </w:r>
      <w:r w:rsidR="001136F1" w:rsidRPr="00D62D04">
        <w:rPr>
          <w:i/>
          <w:sz w:val="24"/>
          <w:szCs w:val="24"/>
          <w:lang w:val="en-GB"/>
        </w:rPr>
        <w:t>Based on such data and research, t</w:t>
      </w:r>
      <w:r w:rsidR="00372F46" w:rsidRPr="00D62D04">
        <w:rPr>
          <w:i/>
          <w:sz w:val="24"/>
          <w:szCs w:val="24"/>
          <w:lang w:val="en-GB"/>
        </w:rPr>
        <w:t>he Advisory Committee al</w:t>
      </w:r>
      <w:r w:rsidR="001136F1" w:rsidRPr="00D62D04">
        <w:rPr>
          <w:i/>
          <w:sz w:val="24"/>
          <w:szCs w:val="24"/>
          <w:lang w:val="en-GB"/>
        </w:rPr>
        <w:t xml:space="preserve">so calls on the authorities to </w:t>
      </w:r>
      <w:r w:rsidR="00372F46" w:rsidRPr="00D62D04">
        <w:rPr>
          <w:i/>
          <w:sz w:val="24"/>
          <w:szCs w:val="24"/>
          <w:lang w:val="en-GB"/>
        </w:rPr>
        <w:t>establish, implement, monitor and periodically review minority policies with the effective participation of members of national minorities.</w:t>
      </w:r>
    </w:p>
    <w:p w14:paraId="3AB701F6" w14:textId="77777777" w:rsidR="00334F7A" w:rsidRPr="00D62D04" w:rsidRDefault="00334F7A" w:rsidP="00334F7A">
      <w:pPr>
        <w:pStyle w:val="TableParagraph"/>
        <w:spacing w:line="276" w:lineRule="auto"/>
        <w:ind w:left="0" w:right="96"/>
        <w:jc w:val="both"/>
        <w:rPr>
          <w:i/>
          <w:sz w:val="24"/>
          <w:szCs w:val="24"/>
          <w:highlight w:val="cyan"/>
          <w:lang w:val="en-GB"/>
        </w:rPr>
      </w:pPr>
    </w:p>
    <w:p w14:paraId="19D3206C" w14:textId="4B7AC7F1" w:rsidR="00372F46" w:rsidRPr="00D62D04" w:rsidRDefault="00372F46" w:rsidP="00372F46">
      <w:pPr>
        <w:spacing w:after="0"/>
        <w:ind w:firstLine="720"/>
        <w:jc w:val="both"/>
        <w:rPr>
          <w:sz w:val="24"/>
          <w:szCs w:val="24"/>
          <w:lang w:val="en-GB"/>
        </w:rPr>
      </w:pPr>
      <w:r w:rsidRPr="00D62D04">
        <w:rPr>
          <w:sz w:val="24"/>
          <w:szCs w:val="24"/>
          <w:lang w:val="en-GB"/>
        </w:rPr>
        <w:lastRenderedPageBreak/>
        <w:t xml:space="preserve">The </w:t>
      </w:r>
      <w:r w:rsidR="008B23D1">
        <w:rPr>
          <w:sz w:val="24"/>
          <w:szCs w:val="24"/>
          <w:lang w:val="en-GB"/>
        </w:rPr>
        <w:t>response</w:t>
      </w:r>
      <w:r w:rsidR="000F3D8B" w:rsidRPr="00D62D04">
        <w:rPr>
          <w:sz w:val="24"/>
          <w:szCs w:val="24"/>
          <w:lang w:val="en-GB"/>
        </w:rPr>
        <w:t xml:space="preserve"> to this recommendation is given</w:t>
      </w:r>
      <w:r w:rsidRPr="00D62D04">
        <w:rPr>
          <w:sz w:val="24"/>
          <w:szCs w:val="24"/>
          <w:lang w:val="en-GB"/>
        </w:rPr>
        <w:t xml:space="preserve"> in the </w:t>
      </w:r>
      <w:r w:rsidR="008B23D1">
        <w:rPr>
          <w:sz w:val="24"/>
          <w:szCs w:val="24"/>
          <w:lang w:val="en-GB"/>
        </w:rPr>
        <w:t>response</w:t>
      </w:r>
      <w:r w:rsidRPr="00D62D04">
        <w:rPr>
          <w:sz w:val="24"/>
          <w:szCs w:val="24"/>
          <w:lang w:val="en-GB"/>
        </w:rPr>
        <w:t xml:space="preserve"> to recommendation 2 of the </w:t>
      </w:r>
      <w:r w:rsidR="00AC33C4">
        <w:rPr>
          <w:sz w:val="24"/>
          <w:szCs w:val="24"/>
          <w:lang w:val="en-GB"/>
        </w:rPr>
        <w:t>Committee of Ministers Resolution</w:t>
      </w:r>
      <w:r w:rsidRPr="00D62D04">
        <w:rPr>
          <w:sz w:val="24"/>
          <w:szCs w:val="24"/>
          <w:lang w:val="en-GB"/>
        </w:rPr>
        <w:t>.</w:t>
      </w:r>
    </w:p>
    <w:p w14:paraId="538F91D8" w14:textId="77777777" w:rsidR="00A25643" w:rsidRPr="00D62D04" w:rsidRDefault="00A25643" w:rsidP="00A25643">
      <w:pPr>
        <w:spacing w:after="0"/>
        <w:jc w:val="both"/>
        <w:rPr>
          <w:sz w:val="24"/>
          <w:szCs w:val="24"/>
          <w:highlight w:val="cyan"/>
          <w:lang w:val="en-GB"/>
        </w:rPr>
      </w:pPr>
    </w:p>
    <w:p w14:paraId="45DAF7AA" w14:textId="77777777" w:rsidR="00A25643" w:rsidRPr="00D62D04" w:rsidRDefault="00570AD6" w:rsidP="00F333CD">
      <w:pPr>
        <w:pStyle w:val="Heading3"/>
        <w:jc w:val="center"/>
        <w:rPr>
          <w:rFonts w:ascii="Times New Roman" w:hAnsi="Times New Roman" w:cs="Times New Roman"/>
          <w:b/>
          <w:lang w:val="en-GB"/>
        </w:rPr>
      </w:pPr>
      <w:bookmarkStart w:id="14" w:name="_Toc112932715"/>
      <w:r w:rsidRPr="00D62D04">
        <w:rPr>
          <w:rFonts w:ascii="Times New Roman" w:hAnsi="Times New Roman" w:cs="Times New Roman"/>
          <w:b/>
          <w:color w:val="auto"/>
          <w:lang w:val="en-GB"/>
        </w:rPr>
        <w:t>The status of Roma population</w:t>
      </w:r>
      <w:bookmarkEnd w:id="14"/>
    </w:p>
    <w:p w14:paraId="7C5C19AF" w14:textId="77777777" w:rsidR="00A25643" w:rsidRPr="00D62D04" w:rsidRDefault="00A25643" w:rsidP="00A25643">
      <w:pPr>
        <w:pStyle w:val="TableParagraph"/>
        <w:spacing w:line="276" w:lineRule="auto"/>
        <w:ind w:left="0" w:right="96"/>
        <w:jc w:val="both"/>
        <w:rPr>
          <w:rFonts w:eastAsia="Calibri" w:cs="Calibri"/>
          <w:color w:val="000000"/>
          <w:sz w:val="24"/>
          <w:highlight w:val="cyan"/>
          <w:lang w:val="en-GB"/>
        </w:rPr>
      </w:pPr>
    </w:p>
    <w:p w14:paraId="7452421C" w14:textId="77777777" w:rsidR="00570AD6" w:rsidRPr="00D62D04" w:rsidRDefault="00570AD6" w:rsidP="00C85331">
      <w:pPr>
        <w:pStyle w:val="TableParagraph"/>
        <w:spacing w:line="276" w:lineRule="auto"/>
        <w:ind w:left="0" w:right="96" w:firstLine="709"/>
        <w:jc w:val="both"/>
        <w:rPr>
          <w:rFonts w:eastAsia="Calibri" w:cs="Calibri"/>
          <w:color w:val="000000"/>
          <w:sz w:val="24"/>
          <w:lang w:val="en-GB"/>
        </w:rPr>
      </w:pPr>
      <w:r w:rsidRPr="00D62D04">
        <w:rPr>
          <w:rFonts w:eastAsia="Calibri" w:cs="Calibri"/>
          <w:color w:val="000000"/>
          <w:sz w:val="24"/>
          <w:lang w:val="en-GB"/>
        </w:rPr>
        <w:t xml:space="preserve">Regarding the findings and </w:t>
      </w:r>
      <w:proofErr w:type="spellStart"/>
      <w:r w:rsidRPr="00D62D04">
        <w:rPr>
          <w:rFonts w:eastAsia="Calibri" w:cs="Calibri"/>
          <w:color w:val="000000"/>
          <w:sz w:val="24"/>
          <w:lang w:val="en-GB"/>
        </w:rPr>
        <w:t>sstance</w:t>
      </w:r>
      <w:proofErr w:type="spellEnd"/>
      <w:r w:rsidRPr="00D62D04">
        <w:rPr>
          <w:rFonts w:eastAsia="Calibri" w:cs="Calibri"/>
          <w:color w:val="000000"/>
          <w:sz w:val="24"/>
          <w:lang w:val="en-GB"/>
        </w:rPr>
        <w:t xml:space="preserve"> of the Advisory Committee, which is </w:t>
      </w:r>
      <w:r w:rsidRPr="00D62D04">
        <w:rPr>
          <w:rFonts w:eastAsia="Calibri" w:cs="Calibri"/>
          <w:i/>
          <w:color w:val="000000"/>
          <w:sz w:val="24"/>
          <w:lang w:val="en-GB"/>
        </w:rPr>
        <w:t>very concerned about the status of Roma, especially women and children in terms of health and social protection</w:t>
      </w:r>
      <w:r w:rsidRPr="00D62D04">
        <w:rPr>
          <w:rFonts w:eastAsia="Calibri" w:cs="Calibri"/>
          <w:color w:val="000000"/>
          <w:sz w:val="24"/>
          <w:lang w:val="en-GB"/>
        </w:rPr>
        <w:t>, it is first necessary to point out the normative framework and data on Roma children in foster families.</w:t>
      </w:r>
    </w:p>
    <w:p w14:paraId="12BF2FF9" w14:textId="77777777" w:rsidR="00304029" w:rsidRPr="00D62D04" w:rsidRDefault="00304029" w:rsidP="00CD32CE">
      <w:pPr>
        <w:spacing w:after="0"/>
        <w:ind w:firstLine="709"/>
        <w:jc w:val="both"/>
        <w:rPr>
          <w:sz w:val="24"/>
          <w:szCs w:val="24"/>
          <w:lang w:val="en-GB"/>
        </w:rPr>
      </w:pPr>
      <w:r w:rsidRPr="00D62D04">
        <w:rPr>
          <w:sz w:val="24"/>
          <w:szCs w:val="24"/>
          <w:lang w:val="en-GB"/>
        </w:rPr>
        <w:t>Pursuant to the Rulebook on foster care</w:t>
      </w:r>
      <w:r w:rsidRPr="00D62D04">
        <w:rPr>
          <w:rStyle w:val="FootnoteReference"/>
          <w:sz w:val="24"/>
          <w:szCs w:val="24"/>
          <w:lang w:val="en-GB"/>
        </w:rPr>
        <w:footnoteReference w:id="79"/>
      </w:r>
      <w:r w:rsidRPr="00D62D04">
        <w:rPr>
          <w:sz w:val="24"/>
          <w:szCs w:val="24"/>
          <w:lang w:val="en-GB"/>
        </w:rPr>
        <w:t xml:space="preserve">, the following standards are applied to achieve the best interests of the child in foster care: 1) the selection of the foster family is made within the circle of relatives, that is, other foster families that have a general suitability for foster care and that meet the conditions for engaging in foster care in accordance with this Rulebook; 2) the choice of a foster family is made primarily in the child's place of origin when it is in his/her best interest; 3) brothers and sisters are, as a rule, placed in the same foster family; 4) no more than three children are placed in a foster family, that is, two if they are children with special needs, except when they are siblings; 5) the child to whom foster care is being applied is being prepared for placement in a foster family, return to the biological family, change in the form of protection and independence; 6) the development and progress of the child in foster care is continuously monitored and an insight into the </w:t>
      </w:r>
      <w:r w:rsidR="00190254" w:rsidRPr="00D62D04">
        <w:rPr>
          <w:sz w:val="24"/>
          <w:szCs w:val="24"/>
          <w:lang w:val="en-GB"/>
        </w:rPr>
        <w:t>achievement</w:t>
      </w:r>
      <w:r w:rsidRPr="00D62D04">
        <w:rPr>
          <w:sz w:val="24"/>
          <w:szCs w:val="24"/>
          <w:lang w:val="en-GB"/>
        </w:rPr>
        <w:t xml:space="preserve"> of the purpose of foster care is </w:t>
      </w:r>
      <w:r w:rsidR="00190254" w:rsidRPr="00D62D04">
        <w:rPr>
          <w:sz w:val="24"/>
          <w:szCs w:val="24"/>
          <w:lang w:val="en-GB"/>
        </w:rPr>
        <w:t>provided</w:t>
      </w:r>
      <w:r w:rsidRPr="00D62D04">
        <w:rPr>
          <w:sz w:val="24"/>
          <w:szCs w:val="24"/>
          <w:lang w:val="en-GB"/>
        </w:rPr>
        <w:t>, with visits to the foster family, more intensively during the adjustment period, and during the foster care at least once a month; 7) for a child in foster care, the competent cent</w:t>
      </w:r>
      <w:r w:rsidR="00190254" w:rsidRPr="00D62D04">
        <w:rPr>
          <w:sz w:val="24"/>
          <w:szCs w:val="24"/>
          <w:lang w:val="en-GB"/>
        </w:rPr>
        <w:t>re</w:t>
      </w:r>
      <w:r w:rsidRPr="00D62D04">
        <w:rPr>
          <w:sz w:val="24"/>
          <w:szCs w:val="24"/>
          <w:lang w:val="en-GB"/>
        </w:rPr>
        <w:t xml:space="preserve"> for social work, in cooperation with the cent</w:t>
      </w:r>
      <w:r w:rsidR="00190254" w:rsidRPr="00D62D04">
        <w:rPr>
          <w:sz w:val="24"/>
          <w:szCs w:val="24"/>
          <w:lang w:val="en-GB"/>
        </w:rPr>
        <w:t>re</w:t>
      </w:r>
      <w:r w:rsidRPr="00D62D04">
        <w:rPr>
          <w:sz w:val="24"/>
          <w:szCs w:val="24"/>
          <w:lang w:val="en-GB"/>
        </w:rPr>
        <w:t xml:space="preserve"> for family accommodation, adopts a service plan, which includes a plan to support the child and the foster family, the implementation of which is checked twice a year; 8) the child and the foster family are provided with various types of support in accordance with the needs of the child and the foster family; 9) to perform the role of foster parent, the general suitability of the foster parent is assessed, which is reviewed after two years, and in crisis situations, immediately after the change that caused the crisis; 10) foster parents are prepared to engage in foster care according to the Program</w:t>
      </w:r>
      <w:r w:rsidR="00C472DD" w:rsidRPr="00D62D04">
        <w:rPr>
          <w:sz w:val="24"/>
          <w:szCs w:val="24"/>
          <w:lang w:val="en-GB"/>
        </w:rPr>
        <w:t>me</w:t>
      </w:r>
      <w:r w:rsidRPr="00D62D04">
        <w:rPr>
          <w:sz w:val="24"/>
          <w:szCs w:val="24"/>
          <w:lang w:val="en-GB"/>
        </w:rPr>
        <w:t xml:space="preserve"> of Preparation for Foster Care, in </w:t>
      </w:r>
      <w:r w:rsidR="00C472DD" w:rsidRPr="00D62D04">
        <w:rPr>
          <w:sz w:val="24"/>
          <w:szCs w:val="24"/>
          <w:lang w:val="en-GB"/>
        </w:rPr>
        <w:t>compliance</w:t>
      </w:r>
      <w:r w:rsidRPr="00D62D04">
        <w:rPr>
          <w:sz w:val="24"/>
          <w:szCs w:val="24"/>
          <w:lang w:val="en-GB"/>
        </w:rPr>
        <w:t xml:space="preserve"> with this </w:t>
      </w:r>
      <w:r w:rsidR="00C472DD" w:rsidRPr="00D62D04">
        <w:rPr>
          <w:sz w:val="24"/>
          <w:szCs w:val="24"/>
          <w:lang w:val="en-GB"/>
        </w:rPr>
        <w:t>R</w:t>
      </w:r>
      <w:r w:rsidRPr="00D62D04">
        <w:rPr>
          <w:sz w:val="24"/>
          <w:szCs w:val="24"/>
          <w:lang w:val="en-GB"/>
        </w:rPr>
        <w:t>ulebook; 11) for foster parents, during foster care, at least once a year for th</w:t>
      </w:r>
      <w:r w:rsidR="00C472DD" w:rsidRPr="00D62D04">
        <w:rPr>
          <w:sz w:val="24"/>
          <w:szCs w:val="24"/>
          <w:lang w:val="en-GB"/>
        </w:rPr>
        <w:t xml:space="preserve">e duration of 10 hours of work </w:t>
      </w:r>
      <w:r w:rsidRPr="00D62D04">
        <w:rPr>
          <w:sz w:val="24"/>
          <w:szCs w:val="24"/>
          <w:lang w:val="en-GB"/>
        </w:rPr>
        <w:t>education program</w:t>
      </w:r>
      <w:r w:rsidR="00C472DD" w:rsidRPr="00D62D04">
        <w:rPr>
          <w:sz w:val="24"/>
          <w:szCs w:val="24"/>
          <w:lang w:val="en-GB"/>
        </w:rPr>
        <w:t>me</w:t>
      </w:r>
      <w:r w:rsidRPr="00D62D04">
        <w:rPr>
          <w:sz w:val="24"/>
          <w:szCs w:val="24"/>
          <w:lang w:val="en-GB"/>
        </w:rPr>
        <w:t>s are organi</w:t>
      </w:r>
      <w:r w:rsidR="00C472DD" w:rsidRPr="00D62D04">
        <w:rPr>
          <w:sz w:val="24"/>
          <w:szCs w:val="24"/>
          <w:lang w:val="en-GB"/>
        </w:rPr>
        <w:t>s</w:t>
      </w:r>
      <w:r w:rsidRPr="00D62D04">
        <w:rPr>
          <w:sz w:val="24"/>
          <w:szCs w:val="24"/>
          <w:lang w:val="en-GB"/>
        </w:rPr>
        <w:t>ed with the aim of strengthening foster care competencies; 12) education program</w:t>
      </w:r>
      <w:r w:rsidR="00C472DD" w:rsidRPr="00D62D04">
        <w:rPr>
          <w:sz w:val="24"/>
          <w:szCs w:val="24"/>
          <w:lang w:val="en-GB"/>
        </w:rPr>
        <w:t>me</w:t>
      </w:r>
      <w:r w:rsidRPr="00D62D04">
        <w:rPr>
          <w:sz w:val="24"/>
          <w:szCs w:val="24"/>
          <w:lang w:val="en-GB"/>
        </w:rPr>
        <w:t>s are organi</w:t>
      </w:r>
      <w:r w:rsidR="00C472DD" w:rsidRPr="00D62D04">
        <w:rPr>
          <w:sz w:val="24"/>
          <w:szCs w:val="24"/>
          <w:lang w:val="en-GB"/>
        </w:rPr>
        <w:t>s</w:t>
      </w:r>
      <w:r w:rsidRPr="00D62D04">
        <w:rPr>
          <w:sz w:val="24"/>
          <w:szCs w:val="24"/>
          <w:lang w:val="en-GB"/>
        </w:rPr>
        <w:t>ed for professional workers who perform foster care duties, at least once a year for the duration of 10 hours of work, with the aim of strengthening professional competenc</w:t>
      </w:r>
      <w:r w:rsidR="00C472DD" w:rsidRPr="00D62D04">
        <w:rPr>
          <w:sz w:val="24"/>
          <w:szCs w:val="24"/>
          <w:lang w:val="en-GB"/>
        </w:rPr>
        <w:t>i</w:t>
      </w:r>
      <w:r w:rsidRPr="00D62D04">
        <w:rPr>
          <w:sz w:val="24"/>
          <w:szCs w:val="24"/>
          <w:lang w:val="en-GB"/>
        </w:rPr>
        <w:t>es; 13) foster parents and professional workers of the cent</w:t>
      </w:r>
      <w:r w:rsidR="0050291A" w:rsidRPr="00D62D04">
        <w:rPr>
          <w:sz w:val="24"/>
          <w:szCs w:val="24"/>
          <w:lang w:val="en-GB"/>
        </w:rPr>
        <w:t>re</w:t>
      </w:r>
      <w:r w:rsidRPr="00D62D04">
        <w:rPr>
          <w:sz w:val="24"/>
          <w:szCs w:val="24"/>
          <w:lang w:val="en-GB"/>
        </w:rPr>
        <w:t xml:space="preserve"> for social work </w:t>
      </w:r>
      <w:r w:rsidR="00944FDC" w:rsidRPr="00D62D04">
        <w:rPr>
          <w:sz w:val="24"/>
          <w:szCs w:val="24"/>
          <w:lang w:val="en-GB"/>
        </w:rPr>
        <w:t>develop</w:t>
      </w:r>
      <w:r w:rsidRPr="00D62D04">
        <w:rPr>
          <w:sz w:val="24"/>
          <w:szCs w:val="24"/>
          <w:lang w:val="en-GB"/>
        </w:rPr>
        <w:t xml:space="preserve"> a cooperative relationship in order to achieve the purpose of foster care and shared responsibility for the child.</w:t>
      </w:r>
    </w:p>
    <w:p w14:paraId="4BA02A6A" w14:textId="77777777" w:rsidR="00FB4577" w:rsidRPr="00D62D04" w:rsidRDefault="00FB4577" w:rsidP="00FB4577">
      <w:pPr>
        <w:spacing w:after="0"/>
        <w:ind w:firstLine="720"/>
        <w:jc w:val="both"/>
        <w:rPr>
          <w:sz w:val="24"/>
          <w:szCs w:val="24"/>
          <w:lang w:val="en-GB"/>
        </w:rPr>
      </w:pPr>
      <w:r w:rsidRPr="00D62D04">
        <w:rPr>
          <w:sz w:val="24"/>
          <w:szCs w:val="24"/>
          <w:lang w:val="en-GB"/>
        </w:rPr>
        <w:t xml:space="preserve">Pursuant to Article 33 of the same Rulebook, for the selection of an adequate foster family for a child, it is necessary that it: 1) corresponds to the goals of the child's protection, according to his/her current and long-term needs; 2) meets the requirements regarding the age difference between the child and foster parent, which should correspond to the parent-child relationship; 3) meets the standards defined by this Rulebook in terms of space and equipment </w:t>
      </w:r>
      <w:r w:rsidRPr="00D62D04">
        <w:rPr>
          <w:sz w:val="24"/>
          <w:szCs w:val="24"/>
          <w:lang w:val="en-GB"/>
        </w:rPr>
        <w:lastRenderedPageBreak/>
        <w:t>for the child; 4) lives in an environment that has appropriate resources according to the developmental and specific needs of the child; 5) lives in an environment that will enable the preservation of established relationships of the child with relatives and other close persons; 6) ensures the nurturing and preservation of the child's personal, family and national identity; 7) meets the needs of the child in accordance with his/her national origin, age, gender, educational and other needs; 8) has special capacities and motivation to meet the needs of a child with severe health or developmental difficulties.</w:t>
      </w:r>
    </w:p>
    <w:p w14:paraId="5A87FEDF" w14:textId="77777777" w:rsidR="00FB4577" w:rsidRPr="00D62D04" w:rsidRDefault="00FB4577" w:rsidP="00FB4577">
      <w:pPr>
        <w:spacing w:after="0"/>
        <w:ind w:firstLine="720"/>
        <w:jc w:val="both"/>
        <w:rPr>
          <w:sz w:val="24"/>
          <w:szCs w:val="24"/>
          <w:lang w:val="en-GB"/>
        </w:rPr>
      </w:pPr>
      <w:r w:rsidRPr="00D62D04">
        <w:rPr>
          <w:sz w:val="24"/>
          <w:szCs w:val="24"/>
          <w:lang w:val="en-GB"/>
        </w:rPr>
        <w:t>The following tables provide data on the total number of children in residential care in 2020 and the number of Roma children in residential care by year.</w:t>
      </w:r>
    </w:p>
    <w:p w14:paraId="2E498D1A" w14:textId="77777777" w:rsidR="00CD32CE" w:rsidRPr="00D62D04" w:rsidRDefault="00CD32CE" w:rsidP="00CD32CE">
      <w:pPr>
        <w:spacing w:after="0"/>
        <w:jc w:val="both"/>
        <w:rPr>
          <w:sz w:val="24"/>
          <w:szCs w:val="24"/>
          <w:highlight w:val="cyan"/>
          <w:lang w:val="en-GB"/>
        </w:rPr>
      </w:pPr>
    </w:p>
    <w:tbl>
      <w:tblPr>
        <w:tblW w:w="7320" w:type="dxa"/>
        <w:tblInd w:w="849" w:type="dxa"/>
        <w:tblLook w:val="04A0" w:firstRow="1" w:lastRow="0" w:firstColumn="1" w:lastColumn="0" w:noHBand="0" w:noVBand="1"/>
      </w:tblPr>
      <w:tblGrid>
        <w:gridCol w:w="940"/>
        <w:gridCol w:w="2876"/>
        <w:gridCol w:w="3504"/>
      </w:tblGrid>
      <w:tr w:rsidR="00CD32CE" w:rsidRPr="00D62D04" w14:paraId="00559DC0" w14:textId="77777777" w:rsidTr="00086EBE">
        <w:trPr>
          <w:trHeight w:val="67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6DAFC" w14:textId="77777777" w:rsidR="00CD32CE" w:rsidRPr="00D62D04" w:rsidRDefault="00CD32CE" w:rsidP="00CD32CE">
            <w:pPr>
              <w:spacing w:after="0"/>
              <w:rPr>
                <w:rFonts w:eastAsia="Times New Roman"/>
                <w:color w:val="000000"/>
                <w:sz w:val="20"/>
                <w:szCs w:val="20"/>
                <w:lang w:val="en-GB"/>
              </w:rPr>
            </w:pPr>
            <w:r w:rsidRPr="00D62D04">
              <w:rPr>
                <w:rFonts w:eastAsia="Times New Roman"/>
                <w:color w:val="000000"/>
                <w:sz w:val="20"/>
                <w:szCs w:val="20"/>
                <w:lang w:val="en-GB"/>
              </w:rPr>
              <w:t> </w:t>
            </w:r>
          </w:p>
        </w:tc>
        <w:tc>
          <w:tcPr>
            <w:tcW w:w="6380" w:type="dxa"/>
            <w:gridSpan w:val="2"/>
            <w:tcBorders>
              <w:top w:val="single" w:sz="4" w:space="0" w:color="auto"/>
              <w:left w:val="nil"/>
              <w:bottom w:val="single" w:sz="4" w:space="0" w:color="auto"/>
              <w:right w:val="single" w:sz="4" w:space="0" w:color="auto"/>
            </w:tcBorders>
            <w:shd w:val="clear" w:color="auto" w:fill="auto"/>
            <w:vAlign w:val="center"/>
            <w:hideMark/>
          </w:tcPr>
          <w:p w14:paraId="3FFBECC2" w14:textId="77777777" w:rsidR="00A0687A" w:rsidRPr="00D62D04" w:rsidRDefault="00A0687A" w:rsidP="00A0687A">
            <w:pPr>
              <w:spacing w:after="0"/>
              <w:jc w:val="center"/>
              <w:rPr>
                <w:rFonts w:eastAsia="Times New Roman"/>
                <w:bCs/>
                <w:color w:val="000000"/>
                <w:sz w:val="20"/>
                <w:szCs w:val="20"/>
                <w:lang w:val="en-GB"/>
              </w:rPr>
            </w:pPr>
            <w:r w:rsidRPr="00D62D04">
              <w:rPr>
                <w:rFonts w:eastAsia="Times New Roman"/>
                <w:bCs/>
                <w:color w:val="000000"/>
                <w:sz w:val="20"/>
                <w:szCs w:val="20"/>
                <w:lang w:val="en-GB"/>
              </w:rPr>
              <w:t>NUMBER OF CHILDREN IN RESIDENTIAL CARE BY TYPE OF ACCOMMODATION</w:t>
            </w:r>
          </w:p>
          <w:p w14:paraId="3EB6A7F1" w14:textId="77777777" w:rsidR="00CD32CE" w:rsidRPr="00D62D04" w:rsidRDefault="00A0687A" w:rsidP="00A0687A">
            <w:pPr>
              <w:spacing w:after="0"/>
              <w:jc w:val="center"/>
              <w:rPr>
                <w:rFonts w:eastAsia="Times New Roman"/>
                <w:bCs/>
                <w:color w:val="000000"/>
                <w:sz w:val="20"/>
                <w:szCs w:val="20"/>
                <w:lang w:val="en-GB"/>
              </w:rPr>
            </w:pPr>
            <w:r w:rsidRPr="00D62D04">
              <w:rPr>
                <w:rFonts w:eastAsia="Times New Roman"/>
                <w:bCs/>
                <w:color w:val="000000"/>
                <w:sz w:val="20"/>
                <w:szCs w:val="20"/>
                <w:lang w:val="en-GB"/>
              </w:rPr>
              <w:t>(for 2020)</w:t>
            </w:r>
          </w:p>
        </w:tc>
      </w:tr>
      <w:tr w:rsidR="00CD32CE" w:rsidRPr="00D62D04" w14:paraId="204ABC81" w14:textId="77777777" w:rsidTr="00086EBE">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6F917004" w14:textId="77777777" w:rsidR="00CD32CE" w:rsidRPr="00D62D04" w:rsidRDefault="00CD32CE" w:rsidP="00CD32CE">
            <w:pPr>
              <w:spacing w:after="0"/>
              <w:rPr>
                <w:rFonts w:eastAsia="Times New Roman"/>
                <w:color w:val="000000"/>
                <w:sz w:val="20"/>
                <w:szCs w:val="20"/>
                <w:lang w:val="en-GB"/>
              </w:rPr>
            </w:pPr>
            <w:r w:rsidRPr="00D62D04">
              <w:rPr>
                <w:rFonts w:eastAsia="Times New Roman"/>
                <w:color w:val="000000"/>
                <w:sz w:val="20"/>
                <w:szCs w:val="20"/>
                <w:lang w:val="en-GB"/>
              </w:rPr>
              <w:t> </w:t>
            </w:r>
          </w:p>
        </w:tc>
        <w:tc>
          <w:tcPr>
            <w:tcW w:w="2876" w:type="dxa"/>
            <w:tcBorders>
              <w:top w:val="nil"/>
              <w:left w:val="nil"/>
              <w:bottom w:val="single" w:sz="4" w:space="0" w:color="auto"/>
              <w:right w:val="single" w:sz="4" w:space="0" w:color="auto"/>
            </w:tcBorders>
            <w:shd w:val="clear" w:color="auto" w:fill="auto"/>
            <w:noWrap/>
            <w:vAlign w:val="center"/>
            <w:hideMark/>
          </w:tcPr>
          <w:p w14:paraId="39833C2C" w14:textId="77777777" w:rsidR="00CD32CE" w:rsidRPr="00D62D04" w:rsidRDefault="00A0687A" w:rsidP="00CD32CE">
            <w:pPr>
              <w:spacing w:after="0"/>
              <w:jc w:val="center"/>
              <w:rPr>
                <w:rFonts w:eastAsia="Times New Roman"/>
                <w:bCs/>
                <w:color w:val="000000"/>
                <w:sz w:val="20"/>
                <w:szCs w:val="20"/>
                <w:lang w:val="en-GB"/>
              </w:rPr>
            </w:pPr>
            <w:r w:rsidRPr="00D62D04">
              <w:rPr>
                <w:rFonts w:eastAsia="Times New Roman"/>
                <w:bCs/>
                <w:color w:val="000000"/>
                <w:sz w:val="20"/>
                <w:szCs w:val="20"/>
                <w:lang w:val="en-GB"/>
              </w:rPr>
              <w:t>Children`s home accommodation</w:t>
            </w:r>
          </w:p>
        </w:tc>
        <w:tc>
          <w:tcPr>
            <w:tcW w:w="3504" w:type="dxa"/>
            <w:tcBorders>
              <w:top w:val="nil"/>
              <w:left w:val="nil"/>
              <w:bottom w:val="single" w:sz="4" w:space="0" w:color="auto"/>
              <w:right w:val="single" w:sz="4" w:space="0" w:color="auto"/>
            </w:tcBorders>
            <w:shd w:val="clear" w:color="auto" w:fill="auto"/>
            <w:noWrap/>
            <w:vAlign w:val="center"/>
            <w:hideMark/>
          </w:tcPr>
          <w:p w14:paraId="7AA82971" w14:textId="77777777" w:rsidR="00CD32CE" w:rsidRPr="00D62D04" w:rsidRDefault="00A0687A" w:rsidP="00CD32CE">
            <w:pPr>
              <w:spacing w:after="0"/>
              <w:jc w:val="center"/>
              <w:rPr>
                <w:rFonts w:eastAsia="Times New Roman"/>
                <w:bCs/>
                <w:color w:val="000000"/>
                <w:sz w:val="20"/>
                <w:szCs w:val="20"/>
                <w:lang w:val="en-GB"/>
              </w:rPr>
            </w:pPr>
            <w:r w:rsidRPr="00D62D04">
              <w:rPr>
                <w:rFonts w:eastAsia="Times New Roman"/>
                <w:bCs/>
                <w:color w:val="000000"/>
                <w:sz w:val="20"/>
                <w:szCs w:val="20"/>
                <w:lang w:val="en-GB"/>
              </w:rPr>
              <w:t>Family accommodation</w:t>
            </w:r>
          </w:p>
        </w:tc>
      </w:tr>
      <w:tr w:rsidR="00CD32CE" w:rsidRPr="00D62D04" w14:paraId="2AE56EF1" w14:textId="77777777" w:rsidTr="00086EBE">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6E2E5C6E" w14:textId="77777777" w:rsidR="00CD32CE" w:rsidRPr="00D62D04" w:rsidRDefault="00FF4A64" w:rsidP="00CD32CE">
            <w:pPr>
              <w:spacing w:after="0"/>
              <w:rPr>
                <w:rFonts w:eastAsia="Times New Roman"/>
                <w:color w:val="000000"/>
                <w:sz w:val="20"/>
                <w:szCs w:val="20"/>
                <w:lang w:val="en-GB"/>
              </w:rPr>
            </w:pPr>
            <w:r w:rsidRPr="00D62D04">
              <w:rPr>
                <w:rFonts w:eastAsia="Times New Roman"/>
                <w:color w:val="000000"/>
                <w:sz w:val="20"/>
                <w:szCs w:val="20"/>
                <w:lang w:val="en-GB"/>
              </w:rPr>
              <w:t>Children up to 18 years of age.</w:t>
            </w:r>
          </w:p>
        </w:tc>
        <w:tc>
          <w:tcPr>
            <w:tcW w:w="2876" w:type="dxa"/>
            <w:tcBorders>
              <w:top w:val="nil"/>
              <w:left w:val="nil"/>
              <w:bottom w:val="single" w:sz="4" w:space="0" w:color="auto"/>
              <w:right w:val="single" w:sz="4" w:space="0" w:color="auto"/>
            </w:tcBorders>
            <w:shd w:val="clear" w:color="auto" w:fill="auto"/>
            <w:noWrap/>
            <w:vAlign w:val="bottom"/>
            <w:hideMark/>
          </w:tcPr>
          <w:p w14:paraId="039CD150" w14:textId="77777777" w:rsidR="00CD32CE" w:rsidRPr="00D62D04" w:rsidRDefault="00CD32CE" w:rsidP="00CD32CE">
            <w:pPr>
              <w:spacing w:after="0"/>
              <w:jc w:val="right"/>
              <w:rPr>
                <w:rFonts w:eastAsia="Times New Roman"/>
                <w:color w:val="000000"/>
                <w:sz w:val="20"/>
                <w:szCs w:val="20"/>
                <w:lang w:val="en-GB"/>
              </w:rPr>
            </w:pPr>
            <w:r w:rsidRPr="00D62D04">
              <w:rPr>
                <w:rFonts w:eastAsia="Times New Roman"/>
                <w:color w:val="000000"/>
                <w:sz w:val="20"/>
                <w:szCs w:val="20"/>
                <w:lang w:val="en-GB"/>
              </w:rPr>
              <w:t>633</w:t>
            </w:r>
          </w:p>
        </w:tc>
        <w:tc>
          <w:tcPr>
            <w:tcW w:w="3504" w:type="dxa"/>
            <w:tcBorders>
              <w:top w:val="nil"/>
              <w:left w:val="nil"/>
              <w:bottom w:val="single" w:sz="4" w:space="0" w:color="auto"/>
              <w:right w:val="single" w:sz="4" w:space="0" w:color="auto"/>
            </w:tcBorders>
            <w:shd w:val="clear" w:color="auto" w:fill="auto"/>
            <w:noWrap/>
            <w:vAlign w:val="bottom"/>
            <w:hideMark/>
          </w:tcPr>
          <w:p w14:paraId="3216AC86" w14:textId="77777777" w:rsidR="00CD32CE" w:rsidRPr="00D62D04" w:rsidRDefault="00CD32CE" w:rsidP="00FF4A64">
            <w:pPr>
              <w:spacing w:after="0"/>
              <w:jc w:val="right"/>
              <w:rPr>
                <w:rFonts w:eastAsia="Times New Roman"/>
                <w:color w:val="000000"/>
                <w:sz w:val="20"/>
                <w:szCs w:val="20"/>
                <w:lang w:val="en-GB"/>
              </w:rPr>
            </w:pPr>
            <w:r w:rsidRPr="00D62D04">
              <w:rPr>
                <w:rFonts w:eastAsia="Times New Roman"/>
                <w:color w:val="000000"/>
                <w:sz w:val="20"/>
                <w:szCs w:val="20"/>
                <w:lang w:val="en-GB"/>
              </w:rPr>
              <w:t>5</w:t>
            </w:r>
            <w:r w:rsidR="00FF4A64" w:rsidRPr="00D62D04">
              <w:rPr>
                <w:rFonts w:eastAsia="Times New Roman"/>
                <w:color w:val="000000"/>
                <w:sz w:val="20"/>
                <w:szCs w:val="20"/>
                <w:lang w:val="en-GB"/>
              </w:rPr>
              <w:t>,</w:t>
            </w:r>
            <w:r w:rsidRPr="00D62D04">
              <w:rPr>
                <w:rFonts w:eastAsia="Times New Roman"/>
                <w:color w:val="000000"/>
                <w:sz w:val="20"/>
                <w:szCs w:val="20"/>
                <w:lang w:val="en-GB"/>
              </w:rPr>
              <w:t>149</w:t>
            </w:r>
          </w:p>
        </w:tc>
      </w:tr>
    </w:tbl>
    <w:p w14:paraId="3EDDDA5C" w14:textId="77777777" w:rsidR="00CD32CE" w:rsidRPr="00D62D04" w:rsidRDefault="00CD32CE" w:rsidP="00CD32CE">
      <w:pPr>
        <w:spacing w:after="0"/>
        <w:jc w:val="both"/>
        <w:rPr>
          <w:sz w:val="24"/>
          <w:szCs w:val="24"/>
          <w:highlight w:val="cyan"/>
          <w:lang w:val="en-GB"/>
        </w:rPr>
      </w:pPr>
    </w:p>
    <w:tbl>
      <w:tblPr>
        <w:tblW w:w="7320" w:type="dxa"/>
        <w:tblInd w:w="849" w:type="dxa"/>
        <w:tblLook w:val="04A0" w:firstRow="1" w:lastRow="0" w:firstColumn="1" w:lastColumn="0" w:noHBand="0" w:noVBand="1"/>
      </w:tblPr>
      <w:tblGrid>
        <w:gridCol w:w="940"/>
        <w:gridCol w:w="2876"/>
        <w:gridCol w:w="3504"/>
      </w:tblGrid>
      <w:tr w:rsidR="00CD32CE" w:rsidRPr="00D62D04" w14:paraId="05AD6B0E" w14:textId="77777777" w:rsidTr="00086EBE">
        <w:trPr>
          <w:trHeight w:val="67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0EC7D9" w14:textId="77777777" w:rsidR="00CD32CE" w:rsidRPr="00D62D04" w:rsidRDefault="00CD32CE" w:rsidP="00CD32CE">
            <w:pPr>
              <w:spacing w:after="0"/>
              <w:rPr>
                <w:rFonts w:eastAsia="Times New Roman"/>
                <w:color w:val="000000"/>
                <w:sz w:val="20"/>
                <w:szCs w:val="20"/>
                <w:lang w:val="en-GB"/>
              </w:rPr>
            </w:pPr>
            <w:r w:rsidRPr="00D62D04">
              <w:rPr>
                <w:rFonts w:eastAsia="Times New Roman"/>
                <w:color w:val="000000"/>
                <w:sz w:val="20"/>
                <w:szCs w:val="20"/>
                <w:lang w:val="en-GB"/>
              </w:rPr>
              <w:t> </w:t>
            </w:r>
          </w:p>
        </w:tc>
        <w:tc>
          <w:tcPr>
            <w:tcW w:w="6380" w:type="dxa"/>
            <w:gridSpan w:val="2"/>
            <w:tcBorders>
              <w:top w:val="single" w:sz="4" w:space="0" w:color="auto"/>
              <w:left w:val="nil"/>
              <w:bottom w:val="single" w:sz="4" w:space="0" w:color="auto"/>
              <w:right w:val="single" w:sz="4" w:space="0" w:color="auto"/>
            </w:tcBorders>
            <w:shd w:val="clear" w:color="auto" w:fill="auto"/>
            <w:vAlign w:val="center"/>
            <w:hideMark/>
          </w:tcPr>
          <w:p w14:paraId="3215B42A" w14:textId="77777777" w:rsidR="00CD32CE" w:rsidRPr="00D62D04" w:rsidRDefault="00A0687A" w:rsidP="00A0687A">
            <w:pPr>
              <w:spacing w:after="0"/>
              <w:jc w:val="center"/>
              <w:rPr>
                <w:rFonts w:eastAsia="Times New Roman"/>
                <w:bCs/>
                <w:color w:val="000000"/>
                <w:sz w:val="20"/>
                <w:szCs w:val="20"/>
                <w:lang w:val="en-GB"/>
              </w:rPr>
            </w:pPr>
            <w:r w:rsidRPr="00D62D04">
              <w:rPr>
                <w:rFonts w:eastAsia="Times New Roman"/>
                <w:bCs/>
                <w:color w:val="000000"/>
                <w:sz w:val="20"/>
                <w:szCs w:val="20"/>
                <w:lang w:val="en-GB"/>
              </w:rPr>
              <w:t>NUMBER OF ROMA CHILDREN IN RESIDENTIAL CARE BY TYPE OF ACCOMMODATION</w:t>
            </w:r>
            <w:r w:rsidR="00CD32CE" w:rsidRPr="00D62D04">
              <w:rPr>
                <w:rFonts w:eastAsia="Times New Roman"/>
                <w:bCs/>
                <w:color w:val="000000"/>
                <w:sz w:val="20"/>
                <w:szCs w:val="20"/>
                <w:lang w:val="en-GB"/>
              </w:rPr>
              <w:t xml:space="preserve"> (</w:t>
            </w:r>
            <w:r w:rsidRPr="00D62D04">
              <w:rPr>
                <w:rFonts w:eastAsia="Times New Roman"/>
                <w:bCs/>
                <w:color w:val="000000"/>
                <w:sz w:val="20"/>
                <w:szCs w:val="20"/>
                <w:lang w:val="en-GB"/>
              </w:rPr>
              <w:t>BY YEAR</w:t>
            </w:r>
            <w:r w:rsidR="00CD32CE" w:rsidRPr="00D62D04">
              <w:rPr>
                <w:rFonts w:eastAsia="Times New Roman"/>
                <w:bCs/>
                <w:color w:val="000000"/>
                <w:sz w:val="20"/>
                <w:szCs w:val="20"/>
                <w:lang w:val="en-GB"/>
              </w:rPr>
              <w:t>)</w:t>
            </w:r>
          </w:p>
        </w:tc>
      </w:tr>
      <w:tr w:rsidR="00A0687A" w:rsidRPr="00D62D04" w14:paraId="3AD8F037" w14:textId="77777777" w:rsidTr="00086EBE">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68F0A99D" w14:textId="77777777" w:rsidR="00A0687A" w:rsidRPr="00D62D04" w:rsidRDefault="00A0687A" w:rsidP="00A0687A">
            <w:pPr>
              <w:spacing w:after="0"/>
              <w:rPr>
                <w:rFonts w:eastAsia="Times New Roman"/>
                <w:color w:val="000000"/>
                <w:sz w:val="20"/>
                <w:szCs w:val="20"/>
                <w:highlight w:val="cyan"/>
                <w:lang w:val="en-GB"/>
              </w:rPr>
            </w:pPr>
            <w:r w:rsidRPr="00D62D04">
              <w:rPr>
                <w:rFonts w:eastAsia="Times New Roman"/>
                <w:color w:val="000000"/>
                <w:sz w:val="20"/>
                <w:szCs w:val="20"/>
                <w:lang w:val="en-GB"/>
              </w:rPr>
              <w:t>Children up to 18 years of age.</w:t>
            </w:r>
          </w:p>
        </w:tc>
        <w:tc>
          <w:tcPr>
            <w:tcW w:w="2876" w:type="dxa"/>
            <w:tcBorders>
              <w:top w:val="nil"/>
              <w:left w:val="nil"/>
              <w:bottom w:val="single" w:sz="4" w:space="0" w:color="auto"/>
              <w:right w:val="single" w:sz="4" w:space="0" w:color="auto"/>
            </w:tcBorders>
            <w:shd w:val="clear" w:color="auto" w:fill="auto"/>
            <w:noWrap/>
            <w:vAlign w:val="center"/>
            <w:hideMark/>
          </w:tcPr>
          <w:p w14:paraId="73A7C858" w14:textId="77777777" w:rsidR="00A0687A" w:rsidRPr="00D62D04" w:rsidRDefault="00A0687A" w:rsidP="00A0687A">
            <w:pPr>
              <w:spacing w:after="0"/>
              <w:jc w:val="center"/>
              <w:rPr>
                <w:rFonts w:eastAsia="Times New Roman"/>
                <w:bCs/>
                <w:color w:val="000000"/>
                <w:sz w:val="20"/>
                <w:szCs w:val="20"/>
                <w:lang w:val="en-GB"/>
              </w:rPr>
            </w:pPr>
            <w:r w:rsidRPr="00D62D04">
              <w:rPr>
                <w:rFonts w:eastAsia="Times New Roman"/>
                <w:bCs/>
                <w:color w:val="000000"/>
                <w:sz w:val="20"/>
                <w:szCs w:val="20"/>
                <w:lang w:val="en-GB"/>
              </w:rPr>
              <w:t>Children`s home accommodation</w:t>
            </w:r>
          </w:p>
        </w:tc>
        <w:tc>
          <w:tcPr>
            <w:tcW w:w="3504" w:type="dxa"/>
            <w:tcBorders>
              <w:top w:val="nil"/>
              <w:left w:val="nil"/>
              <w:bottom w:val="single" w:sz="4" w:space="0" w:color="auto"/>
              <w:right w:val="single" w:sz="4" w:space="0" w:color="auto"/>
            </w:tcBorders>
            <w:shd w:val="clear" w:color="auto" w:fill="auto"/>
            <w:noWrap/>
            <w:vAlign w:val="center"/>
            <w:hideMark/>
          </w:tcPr>
          <w:p w14:paraId="06BDCFC8" w14:textId="77777777" w:rsidR="00A0687A" w:rsidRPr="00D62D04" w:rsidRDefault="00A0687A" w:rsidP="00A0687A">
            <w:pPr>
              <w:spacing w:after="0"/>
              <w:jc w:val="center"/>
              <w:rPr>
                <w:rFonts w:eastAsia="Times New Roman"/>
                <w:bCs/>
                <w:color w:val="000000"/>
                <w:sz w:val="20"/>
                <w:szCs w:val="20"/>
                <w:lang w:val="en-GB"/>
              </w:rPr>
            </w:pPr>
            <w:r w:rsidRPr="00D62D04">
              <w:rPr>
                <w:rFonts w:eastAsia="Times New Roman"/>
                <w:bCs/>
                <w:color w:val="000000"/>
                <w:sz w:val="20"/>
                <w:szCs w:val="20"/>
                <w:lang w:val="en-GB"/>
              </w:rPr>
              <w:t>Family accommodation</w:t>
            </w:r>
          </w:p>
        </w:tc>
      </w:tr>
      <w:tr w:rsidR="00CD32CE" w:rsidRPr="00D62D04" w14:paraId="79A8F796" w14:textId="77777777" w:rsidTr="00086EBE">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tcPr>
          <w:p w14:paraId="2F844F8A" w14:textId="77777777" w:rsidR="00CD32CE" w:rsidRPr="00D62D04" w:rsidRDefault="00CD32CE" w:rsidP="00CD32CE">
            <w:pPr>
              <w:spacing w:after="0"/>
              <w:rPr>
                <w:rFonts w:eastAsia="Times New Roman"/>
                <w:color w:val="000000"/>
                <w:sz w:val="20"/>
                <w:szCs w:val="20"/>
                <w:lang w:val="en-GB"/>
              </w:rPr>
            </w:pPr>
            <w:r w:rsidRPr="00D62D04">
              <w:rPr>
                <w:rFonts w:eastAsia="Times New Roman"/>
                <w:color w:val="000000"/>
                <w:sz w:val="20"/>
                <w:szCs w:val="20"/>
                <w:lang w:val="en-GB"/>
              </w:rPr>
              <w:t>2017</w:t>
            </w:r>
          </w:p>
        </w:tc>
        <w:tc>
          <w:tcPr>
            <w:tcW w:w="2876" w:type="dxa"/>
            <w:tcBorders>
              <w:top w:val="nil"/>
              <w:left w:val="nil"/>
              <w:bottom w:val="single" w:sz="4" w:space="0" w:color="auto"/>
              <w:right w:val="single" w:sz="4" w:space="0" w:color="auto"/>
            </w:tcBorders>
            <w:shd w:val="clear" w:color="auto" w:fill="auto"/>
            <w:noWrap/>
            <w:vAlign w:val="bottom"/>
          </w:tcPr>
          <w:p w14:paraId="01EC27A5" w14:textId="77777777" w:rsidR="00CD32CE" w:rsidRPr="00D62D04" w:rsidRDefault="00CD32CE" w:rsidP="00CD32CE">
            <w:pPr>
              <w:spacing w:after="0"/>
              <w:jc w:val="right"/>
              <w:rPr>
                <w:rFonts w:eastAsia="Times New Roman"/>
                <w:color w:val="000000"/>
                <w:sz w:val="20"/>
                <w:szCs w:val="20"/>
                <w:lang w:val="en-GB"/>
              </w:rPr>
            </w:pPr>
            <w:r w:rsidRPr="00D62D04">
              <w:rPr>
                <w:rFonts w:eastAsia="Times New Roman"/>
                <w:color w:val="000000"/>
                <w:sz w:val="20"/>
                <w:szCs w:val="20"/>
                <w:lang w:val="en-GB"/>
              </w:rPr>
              <w:t>120</w:t>
            </w:r>
          </w:p>
        </w:tc>
        <w:tc>
          <w:tcPr>
            <w:tcW w:w="3504" w:type="dxa"/>
            <w:tcBorders>
              <w:top w:val="nil"/>
              <w:left w:val="nil"/>
              <w:bottom w:val="single" w:sz="4" w:space="0" w:color="auto"/>
              <w:right w:val="single" w:sz="4" w:space="0" w:color="auto"/>
            </w:tcBorders>
            <w:shd w:val="clear" w:color="auto" w:fill="auto"/>
            <w:noWrap/>
            <w:vAlign w:val="bottom"/>
          </w:tcPr>
          <w:p w14:paraId="5BB9957E" w14:textId="77777777" w:rsidR="00CD32CE" w:rsidRPr="00D62D04" w:rsidRDefault="00CD32CE" w:rsidP="00CD32CE">
            <w:pPr>
              <w:spacing w:after="0"/>
              <w:jc w:val="right"/>
              <w:rPr>
                <w:rFonts w:eastAsia="Times New Roman"/>
                <w:color w:val="000000"/>
                <w:sz w:val="20"/>
                <w:szCs w:val="20"/>
                <w:lang w:val="en-GB"/>
              </w:rPr>
            </w:pPr>
            <w:r w:rsidRPr="00D62D04">
              <w:rPr>
                <w:rFonts w:eastAsia="Times New Roman"/>
                <w:color w:val="000000"/>
                <w:sz w:val="20"/>
                <w:szCs w:val="20"/>
                <w:lang w:val="en-GB"/>
              </w:rPr>
              <w:t>915</w:t>
            </w:r>
          </w:p>
        </w:tc>
      </w:tr>
      <w:tr w:rsidR="00CD32CE" w:rsidRPr="00D62D04" w14:paraId="330D0ADA" w14:textId="77777777" w:rsidTr="00086EBE">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tcPr>
          <w:p w14:paraId="622F2D27" w14:textId="77777777" w:rsidR="00CD32CE" w:rsidRPr="00D62D04" w:rsidRDefault="00CD32CE" w:rsidP="00CD32CE">
            <w:pPr>
              <w:spacing w:after="0"/>
              <w:rPr>
                <w:rFonts w:eastAsia="Times New Roman"/>
                <w:color w:val="000000"/>
                <w:sz w:val="20"/>
                <w:szCs w:val="20"/>
                <w:lang w:val="en-GB"/>
              </w:rPr>
            </w:pPr>
            <w:r w:rsidRPr="00D62D04">
              <w:rPr>
                <w:rFonts w:eastAsia="Times New Roman"/>
                <w:color w:val="000000"/>
                <w:sz w:val="20"/>
                <w:szCs w:val="20"/>
                <w:lang w:val="en-GB"/>
              </w:rPr>
              <w:t>2018</w:t>
            </w:r>
          </w:p>
        </w:tc>
        <w:tc>
          <w:tcPr>
            <w:tcW w:w="2876" w:type="dxa"/>
            <w:tcBorders>
              <w:top w:val="nil"/>
              <w:left w:val="nil"/>
              <w:bottom w:val="single" w:sz="4" w:space="0" w:color="auto"/>
              <w:right w:val="single" w:sz="4" w:space="0" w:color="auto"/>
            </w:tcBorders>
            <w:shd w:val="clear" w:color="auto" w:fill="auto"/>
            <w:noWrap/>
            <w:vAlign w:val="bottom"/>
          </w:tcPr>
          <w:p w14:paraId="46E40E27" w14:textId="77777777" w:rsidR="00CD32CE" w:rsidRPr="00D62D04" w:rsidRDefault="00CD32CE" w:rsidP="00CD32CE">
            <w:pPr>
              <w:spacing w:after="0"/>
              <w:jc w:val="right"/>
              <w:rPr>
                <w:rFonts w:eastAsia="Times New Roman"/>
                <w:color w:val="000000"/>
                <w:sz w:val="20"/>
                <w:szCs w:val="20"/>
                <w:lang w:val="en-GB"/>
              </w:rPr>
            </w:pPr>
            <w:r w:rsidRPr="00D62D04">
              <w:rPr>
                <w:rFonts w:eastAsia="Times New Roman"/>
                <w:color w:val="000000"/>
                <w:sz w:val="20"/>
                <w:szCs w:val="20"/>
                <w:lang w:val="en-GB"/>
              </w:rPr>
              <w:t>115</w:t>
            </w:r>
          </w:p>
        </w:tc>
        <w:tc>
          <w:tcPr>
            <w:tcW w:w="3504" w:type="dxa"/>
            <w:tcBorders>
              <w:top w:val="nil"/>
              <w:left w:val="nil"/>
              <w:bottom w:val="single" w:sz="4" w:space="0" w:color="auto"/>
              <w:right w:val="single" w:sz="4" w:space="0" w:color="auto"/>
            </w:tcBorders>
            <w:shd w:val="clear" w:color="auto" w:fill="auto"/>
            <w:noWrap/>
            <w:vAlign w:val="bottom"/>
          </w:tcPr>
          <w:p w14:paraId="35FFD7F8" w14:textId="77777777" w:rsidR="00CD32CE" w:rsidRPr="00D62D04" w:rsidRDefault="00CD32CE" w:rsidP="00CD32CE">
            <w:pPr>
              <w:spacing w:after="0"/>
              <w:jc w:val="right"/>
              <w:rPr>
                <w:rFonts w:eastAsia="Times New Roman"/>
                <w:color w:val="000000"/>
                <w:sz w:val="20"/>
                <w:szCs w:val="20"/>
                <w:lang w:val="en-GB"/>
              </w:rPr>
            </w:pPr>
            <w:r w:rsidRPr="00D62D04">
              <w:rPr>
                <w:rFonts w:eastAsia="Times New Roman"/>
                <w:color w:val="000000"/>
                <w:sz w:val="20"/>
                <w:szCs w:val="20"/>
                <w:lang w:val="en-GB"/>
              </w:rPr>
              <w:t>830</w:t>
            </w:r>
          </w:p>
        </w:tc>
      </w:tr>
      <w:tr w:rsidR="00CD32CE" w:rsidRPr="00D62D04" w14:paraId="627B41ED" w14:textId="77777777" w:rsidTr="00086EBE">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tcPr>
          <w:p w14:paraId="16662B29" w14:textId="77777777" w:rsidR="00CD32CE" w:rsidRPr="00D62D04" w:rsidRDefault="00CD32CE" w:rsidP="00CD32CE">
            <w:pPr>
              <w:spacing w:after="0"/>
              <w:rPr>
                <w:rFonts w:eastAsia="Times New Roman"/>
                <w:color w:val="000000"/>
                <w:sz w:val="20"/>
                <w:szCs w:val="20"/>
                <w:lang w:val="en-GB"/>
              </w:rPr>
            </w:pPr>
            <w:r w:rsidRPr="00D62D04">
              <w:rPr>
                <w:rFonts w:eastAsia="Times New Roman"/>
                <w:color w:val="000000"/>
                <w:sz w:val="20"/>
                <w:szCs w:val="20"/>
                <w:lang w:val="en-GB"/>
              </w:rPr>
              <w:t>2019</w:t>
            </w:r>
          </w:p>
        </w:tc>
        <w:tc>
          <w:tcPr>
            <w:tcW w:w="2876" w:type="dxa"/>
            <w:tcBorders>
              <w:top w:val="nil"/>
              <w:left w:val="nil"/>
              <w:bottom w:val="single" w:sz="4" w:space="0" w:color="auto"/>
              <w:right w:val="single" w:sz="4" w:space="0" w:color="auto"/>
            </w:tcBorders>
            <w:shd w:val="clear" w:color="auto" w:fill="auto"/>
            <w:noWrap/>
            <w:vAlign w:val="bottom"/>
          </w:tcPr>
          <w:p w14:paraId="68926ED4" w14:textId="77777777" w:rsidR="00CD32CE" w:rsidRPr="00D62D04" w:rsidRDefault="00CD32CE" w:rsidP="00CD32CE">
            <w:pPr>
              <w:spacing w:after="0"/>
              <w:jc w:val="right"/>
              <w:rPr>
                <w:rFonts w:eastAsia="Times New Roman"/>
                <w:color w:val="000000"/>
                <w:sz w:val="20"/>
                <w:szCs w:val="20"/>
                <w:lang w:val="en-GB"/>
              </w:rPr>
            </w:pPr>
            <w:r w:rsidRPr="00D62D04">
              <w:rPr>
                <w:rFonts w:eastAsia="Times New Roman"/>
                <w:color w:val="000000"/>
                <w:sz w:val="20"/>
                <w:szCs w:val="20"/>
                <w:lang w:val="en-GB"/>
              </w:rPr>
              <w:t>100</w:t>
            </w:r>
          </w:p>
        </w:tc>
        <w:tc>
          <w:tcPr>
            <w:tcW w:w="3504" w:type="dxa"/>
            <w:tcBorders>
              <w:top w:val="nil"/>
              <w:left w:val="nil"/>
              <w:bottom w:val="single" w:sz="4" w:space="0" w:color="auto"/>
              <w:right w:val="single" w:sz="4" w:space="0" w:color="auto"/>
            </w:tcBorders>
            <w:shd w:val="clear" w:color="auto" w:fill="auto"/>
            <w:noWrap/>
            <w:vAlign w:val="bottom"/>
          </w:tcPr>
          <w:p w14:paraId="54B297ED" w14:textId="77777777" w:rsidR="00CD32CE" w:rsidRPr="00D62D04" w:rsidRDefault="00CD32CE" w:rsidP="00CD32CE">
            <w:pPr>
              <w:spacing w:after="0"/>
              <w:jc w:val="right"/>
              <w:rPr>
                <w:rFonts w:eastAsia="Times New Roman"/>
                <w:color w:val="000000"/>
                <w:sz w:val="20"/>
                <w:szCs w:val="20"/>
                <w:lang w:val="en-GB"/>
              </w:rPr>
            </w:pPr>
            <w:r w:rsidRPr="00D62D04">
              <w:rPr>
                <w:rFonts w:eastAsia="Times New Roman"/>
                <w:color w:val="000000"/>
                <w:sz w:val="20"/>
                <w:szCs w:val="20"/>
                <w:lang w:val="en-GB"/>
              </w:rPr>
              <w:t>790</w:t>
            </w:r>
          </w:p>
        </w:tc>
      </w:tr>
      <w:tr w:rsidR="00CD32CE" w:rsidRPr="00D62D04" w14:paraId="4C3B4EEA" w14:textId="77777777" w:rsidTr="00086EBE">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tcPr>
          <w:p w14:paraId="2D9D1157" w14:textId="77777777" w:rsidR="00CD32CE" w:rsidRPr="00D62D04" w:rsidRDefault="00CD32CE" w:rsidP="00CD32CE">
            <w:pPr>
              <w:spacing w:after="0"/>
              <w:rPr>
                <w:rFonts w:eastAsia="Times New Roman"/>
                <w:color w:val="000000"/>
                <w:sz w:val="20"/>
                <w:szCs w:val="20"/>
                <w:lang w:val="en-GB"/>
              </w:rPr>
            </w:pPr>
            <w:r w:rsidRPr="00D62D04">
              <w:rPr>
                <w:rFonts w:eastAsia="Times New Roman"/>
                <w:color w:val="000000"/>
                <w:sz w:val="20"/>
                <w:szCs w:val="20"/>
                <w:lang w:val="en-GB"/>
              </w:rPr>
              <w:t>2020</w:t>
            </w:r>
          </w:p>
        </w:tc>
        <w:tc>
          <w:tcPr>
            <w:tcW w:w="2876" w:type="dxa"/>
            <w:tcBorders>
              <w:top w:val="nil"/>
              <w:left w:val="nil"/>
              <w:bottom w:val="single" w:sz="4" w:space="0" w:color="auto"/>
              <w:right w:val="single" w:sz="4" w:space="0" w:color="auto"/>
            </w:tcBorders>
            <w:shd w:val="clear" w:color="auto" w:fill="auto"/>
            <w:noWrap/>
            <w:vAlign w:val="bottom"/>
          </w:tcPr>
          <w:p w14:paraId="7DAF1430" w14:textId="77777777" w:rsidR="00CD32CE" w:rsidRPr="00D62D04" w:rsidRDefault="00CD32CE" w:rsidP="00CD32CE">
            <w:pPr>
              <w:spacing w:after="0"/>
              <w:jc w:val="right"/>
              <w:rPr>
                <w:rFonts w:eastAsia="Times New Roman"/>
                <w:color w:val="000000"/>
                <w:sz w:val="20"/>
                <w:szCs w:val="20"/>
                <w:lang w:val="en-GB"/>
              </w:rPr>
            </w:pPr>
            <w:r w:rsidRPr="00D62D04">
              <w:rPr>
                <w:rFonts w:eastAsia="Times New Roman"/>
                <w:color w:val="000000"/>
                <w:sz w:val="20"/>
                <w:szCs w:val="20"/>
                <w:lang w:val="en-GB"/>
              </w:rPr>
              <w:t>86</w:t>
            </w:r>
          </w:p>
        </w:tc>
        <w:tc>
          <w:tcPr>
            <w:tcW w:w="3504" w:type="dxa"/>
            <w:tcBorders>
              <w:top w:val="nil"/>
              <w:left w:val="nil"/>
              <w:bottom w:val="single" w:sz="4" w:space="0" w:color="auto"/>
              <w:right w:val="single" w:sz="4" w:space="0" w:color="auto"/>
            </w:tcBorders>
            <w:shd w:val="clear" w:color="auto" w:fill="auto"/>
            <w:noWrap/>
            <w:vAlign w:val="bottom"/>
          </w:tcPr>
          <w:p w14:paraId="40A6709F" w14:textId="77777777" w:rsidR="00CD32CE" w:rsidRPr="00D62D04" w:rsidRDefault="00CD32CE" w:rsidP="00CD32CE">
            <w:pPr>
              <w:spacing w:after="0"/>
              <w:jc w:val="right"/>
              <w:rPr>
                <w:rFonts w:eastAsia="Times New Roman"/>
                <w:color w:val="000000"/>
                <w:sz w:val="20"/>
                <w:szCs w:val="20"/>
                <w:lang w:val="en-GB"/>
              </w:rPr>
            </w:pPr>
            <w:r w:rsidRPr="00D62D04">
              <w:rPr>
                <w:rFonts w:eastAsia="Times New Roman"/>
                <w:color w:val="000000"/>
                <w:sz w:val="20"/>
                <w:szCs w:val="20"/>
                <w:lang w:val="en-GB"/>
              </w:rPr>
              <w:t>752</w:t>
            </w:r>
          </w:p>
        </w:tc>
      </w:tr>
      <w:tr w:rsidR="00CD32CE" w:rsidRPr="00D62D04" w14:paraId="1C8FCB1B" w14:textId="77777777" w:rsidTr="00086EBE">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1A4F47F8" w14:textId="77777777" w:rsidR="00CD32CE" w:rsidRPr="00D62D04" w:rsidRDefault="00CD32CE" w:rsidP="00CD32CE">
            <w:pPr>
              <w:spacing w:after="0"/>
              <w:rPr>
                <w:rFonts w:eastAsia="Times New Roman"/>
                <w:color w:val="000000"/>
                <w:sz w:val="20"/>
                <w:szCs w:val="20"/>
                <w:lang w:val="en-GB"/>
              </w:rPr>
            </w:pPr>
            <w:r w:rsidRPr="00D62D04">
              <w:rPr>
                <w:rFonts w:eastAsia="Times New Roman"/>
                <w:color w:val="000000"/>
                <w:sz w:val="20"/>
                <w:szCs w:val="20"/>
                <w:lang w:val="en-GB"/>
              </w:rPr>
              <w:t>2021</w:t>
            </w:r>
          </w:p>
        </w:tc>
        <w:tc>
          <w:tcPr>
            <w:tcW w:w="2876" w:type="dxa"/>
            <w:tcBorders>
              <w:top w:val="nil"/>
              <w:left w:val="nil"/>
              <w:bottom w:val="single" w:sz="4" w:space="0" w:color="auto"/>
              <w:right w:val="single" w:sz="4" w:space="0" w:color="auto"/>
            </w:tcBorders>
            <w:shd w:val="clear" w:color="auto" w:fill="auto"/>
            <w:noWrap/>
            <w:vAlign w:val="bottom"/>
          </w:tcPr>
          <w:p w14:paraId="6E88AA37" w14:textId="77777777" w:rsidR="00CD32CE" w:rsidRPr="00D62D04" w:rsidRDefault="00CD32CE" w:rsidP="00CD32CE">
            <w:pPr>
              <w:spacing w:after="0"/>
              <w:jc w:val="right"/>
              <w:rPr>
                <w:rFonts w:eastAsia="Times New Roman"/>
                <w:color w:val="000000"/>
                <w:sz w:val="20"/>
                <w:szCs w:val="20"/>
                <w:lang w:val="en-GB"/>
              </w:rPr>
            </w:pPr>
            <w:r w:rsidRPr="00D62D04">
              <w:rPr>
                <w:rFonts w:eastAsia="Times New Roman"/>
                <w:color w:val="000000"/>
                <w:sz w:val="20"/>
                <w:szCs w:val="20"/>
                <w:lang w:val="en-GB"/>
              </w:rPr>
              <w:t>87</w:t>
            </w:r>
          </w:p>
        </w:tc>
        <w:tc>
          <w:tcPr>
            <w:tcW w:w="3504" w:type="dxa"/>
            <w:tcBorders>
              <w:top w:val="nil"/>
              <w:left w:val="nil"/>
              <w:bottom w:val="single" w:sz="4" w:space="0" w:color="auto"/>
              <w:right w:val="single" w:sz="4" w:space="0" w:color="auto"/>
            </w:tcBorders>
            <w:shd w:val="clear" w:color="auto" w:fill="auto"/>
            <w:noWrap/>
            <w:vAlign w:val="bottom"/>
          </w:tcPr>
          <w:p w14:paraId="0BF6F7DF" w14:textId="77777777" w:rsidR="00CD32CE" w:rsidRPr="00D62D04" w:rsidRDefault="00CD32CE" w:rsidP="00CD32CE">
            <w:pPr>
              <w:spacing w:after="0"/>
              <w:jc w:val="right"/>
              <w:rPr>
                <w:rFonts w:eastAsia="Times New Roman"/>
                <w:color w:val="000000"/>
                <w:sz w:val="20"/>
                <w:szCs w:val="20"/>
                <w:lang w:val="en-GB"/>
              </w:rPr>
            </w:pPr>
            <w:r w:rsidRPr="00D62D04">
              <w:rPr>
                <w:rFonts w:eastAsia="Times New Roman"/>
                <w:color w:val="000000"/>
                <w:sz w:val="20"/>
                <w:szCs w:val="20"/>
                <w:lang w:val="en-GB"/>
              </w:rPr>
              <w:t>725</w:t>
            </w:r>
          </w:p>
        </w:tc>
      </w:tr>
    </w:tbl>
    <w:p w14:paraId="536F7AE9" w14:textId="77777777" w:rsidR="00982B8D" w:rsidRPr="00D62D04" w:rsidRDefault="00982B8D" w:rsidP="002D2488">
      <w:pPr>
        <w:spacing w:after="0"/>
        <w:ind w:firstLine="720"/>
        <w:rPr>
          <w:i/>
          <w:sz w:val="20"/>
          <w:szCs w:val="20"/>
          <w:lang w:val="en-GB"/>
        </w:rPr>
      </w:pPr>
      <w:r w:rsidRPr="00D62D04">
        <w:rPr>
          <w:i/>
          <w:sz w:val="20"/>
          <w:szCs w:val="20"/>
          <w:lang w:val="en-GB"/>
        </w:rPr>
        <w:t>Source: Data from the Information System of the Ministry of Labour, Employment, Veterans and Social Affairs</w:t>
      </w:r>
    </w:p>
    <w:p w14:paraId="76CB2E02" w14:textId="77777777" w:rsidR="00CD32CE" w:rsidRPr="00D62D04" w:rsidRDefault="00CD32CE" w:rsidP="00CD32CE">
      <w:pPr>
        <w:pStyle w:val="TableParagraph"/>
        <w:ind w:right="96"/>
        <w:jc w:val="both"/>
        <w:rPr>
          <w:b/>
          <w:sz w:val="24"/>
          <w:szCs w:val="24"/>
          <w:highlight w:val="cyan"/>
          <w:lang w:val="en-GB"/>
        </w:rPr>
      </w:pPr>
    </w:p>
    <w:p w14:paraId="6BB0FC1C" w14:textId="77777777" w:rsidR="002775BC" w:rsidRPr="00D62D04" w:rsidRDefault="002775BC" w:rsidP="002775BC">
      <w:pPr>
        <w:pStyle w:val="TableParagraph"/>
        <w:ind w:right="96" w:firstLine="611"/>
        <w:jc w:val="both"/>
        <w:rPr>
          <w:sz w:val="24"/>
          <w:szCs w:val="24"/>
          <w:lang w:val="en-GB"/>
        </w:rPr>
      </w:pPr>
      <w:r w:rsidRPr="00D62D04">
        <w:rPr>
          <w:sz w:val="24"/>
          <w:szCs w:val="24"/>
          <w:lang w:val="en-GB"/>
        </w:rPr>
        <w:t>From the given data, it can be concluded that the information available to the Advisory Committee that about 30% of children of Roma nationality are in foster families is not correct, but that percentage is half as low, i.e. about 15% of children (compared to 2020).</w:t>
      </w:r>
    </w:p>
    <w:p w14:paraId="7FC4A1E6" w14:textId="77777777" w:rsidR="002775BC" w:rsidRPr="00D62D04" w:rsidRDefault="002775BC" w:rsidP="002775BC">
      <w:pPr>
        <w:pStyle w:val="TableParagraph"/>
        <w:spacing w:line="276" w:lineRule="auto"/>
        <w:ind w:left="0" w:right="96" w:firstLine="611"/>
        <w:jc w:val="both"/>
        <w:rPr>
          <w:sz w:val="24"/>
          <w:szCs w:val="24"/>
          <w:lang w:val="en-GB"/>
        </w:rPr>
      </w:pPr>
      <w:r w:rsidRPr="00D62D04">
        <w:rPr>
          <w:sz w:val="24"/>
          <w:szCs w:val="24"/>
          <w:lang w:val="en-GB"/>
        </w:rPr>
        <w:t xml:space="preserve">With regard to the finding of the Advisory Committee that </w:t>
      </w:r>
      <w:r w:rsidRPr="00D62D04">
        <w:rPr>
          <w:i/>
          <w:sz w:val="24"/>
          <w:szCs w:val="24"/>
          <w:lang w:val="en-GB"/>
        </w:rPr>
        <w:t>poverty was highlighted as a significant factor in making decisions about the removal of Roma children from their families</w:t>
      </w:r>
      <w:r w:rsidRPr="00D62D04">
        <w:rPr>
          <w:sz w:val="24"/>
          <w:szCs w:val="24"/>
          <w:lang w:val="en-GB"/>
        </w:rPr>
        <w:t>, it should be pointed out that based on Article 81 of the Family Law</w:t>
      </w:r>
      <w:r w:rsidRPr="00D62D04">
        <w:rPr>
          <w:rStyle w:val="FootnoteReference"/>
          <w:sz w:val="24"/>
          <w:szCs w:val="24"/>
          <w:lang w:val="en-GB"/>
        </w:rPr>
        <w:footnoteReference w:id="80"/>
      </w:r>
      <w:r w:rsidRPr="00D62D04">
        <w:rPr>
          <w:sz w:val="24"/>
          <w:szCs w:val="24"/>
          <w:lang w:val="en-GB"/>
        </w:rPr>
        <w:t>, parents can be deprived of parental rights only when they abuse or grossly neglect their parental duties. The essence of deprivation of parental rights is that the parents' behaviour and care for children is such that it requires deprivation of parental rights, and poverty is never a reason for deprivation as long as the parents are conscientious and adequately take care of the child.</w:t>
      </w:r>
    </w:p>
    <w:p w14:paraId="3583EBC4" w14:textId="77777777" w:rsidR="00274251" w:rsidRPr="00D62D04" w:rsidRDefault="00CD32CE" w:rsidP="00274251">
      <w:pPr>
        <w:pStyle w:val="TableParagraph"/>
        <w:spacing w:line="276" w:lineRule="auto"/>
        <w:ind w:left="0" w:right="96"/>
        <w:jc w:val="both"/>
        <w:rPr>
          <w:sz w:val="24"/>
          <w:szCs w:val="24"/>
          <w:lang w:val="en-GB"/>
        </w:rPr>
      </w:pPr>
      <w:r w:rsidRPr="00D62D04">
        <w:rPr>
          <w:sz w:val="24"/>
          <w:szCs w:val="24"/>
          <w:lang w:val="en-GB"/>
        </w:rPr>
        <w:tab/>
      </w:r>
      <w:r w:rsidR="00274251" w:rsidRPr="00D62D04">
        <w:rPr>
          <w:sz w:val="24"/>
          <w:szCs w:val="24"/>
          <w:lang w:val="en-GB"/>
        </w:rPr>
        <w:t xml:space="preserve">Pursuant to Article 81 of the Family Law, a parent abuses rights or grossly neglects </w:t>
      </w:r>
      <w:r w:rsidR="00274251" w:rsidRPr="00D62D04">
        <w:rPr>
          <w:sz w:val="24"/>
          <w:szCs w:val="24"/>
          <w:lang w:val="en-GB"/>
        </w:rPr>
        <w:lastRenderedPageBreak/>
        <w:t>duties from the content of parental rights if: physically, sexually or emotionally abuses the child, exploits the child by forcing him/her to work excessively or to work that endangers the child's morals, health or education, i.e. to work which is prohibited by law, if it incites the child to commit criminal offences, if it accustoms the child to indulge in bad tendencies, or otherwise abuses the rights of the child.</w:t>
      </w:r>
    </w:p>
    <w:p w14:paraId="20F897BF" w14:textId="77777777" w:rsidR="00274251" w:rsidRPr="00D62D04" w:rsidRDefault="00274251" w:rsidP="000B2FE6">
      <w:pPr>
        <w:pStyle w:val="TableParagraph"/>
        <w:spacing w:line="276" w:lineRule="auto"/>
        <w:ind w:left="0" w:right="96" w:firstLine="612"/>
        <w:jc w:val="both"/>
        <w:rPr>
          <w:sz w:val="24"/>
          <w:szCs w:val="24"/>
          <w:lang w:val="en-GB"/>
        </w:rPr>
      </w:pPr>
      <w:r w:rsidRPr="00D62D04">
        <w:rPr>
          <w:sz w:val="24"/>
          <w:szCs w:val="24"/>
          <w:lang w:val="en-GB"/>
        </w:rPr>
        <w:t>A parent grossly neglects duties from the content of parental rights: if he</w:t>
      </w:r>
      <w:r w:rsidR="000B2FE6" w:rsidRPr="00D62D04">
        <w:rPr>
          <w:sz w:val="24"/>
          <w:szCs w:val="24"/>
          <w:lang w:val="en-GB"/>
        </w:rPr>
        <w:t>/she</w:t>
      </w:r>
      <w:r w:rsidRPr="00D62D04">
        <w:rPr>
          <w:sz w:val="24"/>
          <w:szCs w:val="24"/>
          <w:lang w:val="en-GB"/>
        </w:rPr>
        <w:t xml:space="preserve"> abandoned the child; if he</w:t>
      </w:r>
      <w:r w:rsidR="000B2FE6" w:rsidRPr="00D62D04">
        <w:rPr>
          <w:sz w:val="24"/>
          <w:szCs w:val="24"/>
          <w:lang w:val="en-GB"/>
        </w:rPr>
        <w:t>/she</w:t>
      </w:r>
      <w:r w:rsidRPr="00D62D04">
        <w:rPr>
          <w:sz w:val="24"/>
          <w:szCs w:val="24"/>
          <w:lang w:val="en-GB"/>
        </w:rPr>
        <w:t xml:space="preserve"> does not take care of the child with whom he</w:t>
      </w:r>
      <w:r w:rsidR="000B2FE6" w:rsidRPr="00D62D04">
        <w:rPr>
          <w:sz w:val="24"/>
          <w:szCs w:val="24"/>
          <w:lang w:val="en-GB"/>
        </w:rPr>
        <w:t>/she</w:t>
      </w:r>
      <w:r w:rsidRPr="00D62D04">
        <w:rPr>
          <w:sz w:val="24"/>
          <w:szCs w:val="24"/>
          <w:lang w:val="en-GB"/>
        </w:rPr>
        <w:t xml:space="preserve"> lives; if he</w:t>
      </w:r>
      <w:r w:rsidR="000B2FE6" w:rsidRPr="00D62D04">
        <w:rPr>
          <w:sz w:val="24"/>
          <w:szCs w:val="24"/>
          <w:lang w:val="en-GB"/>
        </w:rPr>
        <w:t>/she</w:t>
      </w:r>
      <w:r w:rsidRPr="00D62D04">
        <w:rPr>
          <w:sz w:val="24"/>
          <w:szCs w:val="24"/>
          <w:lang w:val="en-GB"/>
        </w:rPr>
        <w:t xml:space="preserve"> avoids supporting the child or maintaining personal relations with the child with whom he</w:t>
      </w:r>
      <w:r w:rsidR="000B2FE6" w:rsidRPr="00D62D04">
        <w:rPr>
          <w:sz w:val="24"/>
          <w:szCs w:val="24"/>
          <w:lang w:val="en-GB"/>
        </w:rPr>
        <w:t>/she</w:t>
      </w:r>
      <w:r w:rsidRPr="00D62D04">
        <w:rPr>
          <w:sz w:val="24"/>
          <w:szCs w:val="24"/>
          <w:lang w:val="en-GB"/>
        </w:rPr>
        <w:t xml:space="preserve"> does not live, i.e. if he</w:t>
      </w:r>
      <w:r w:rsidR="000B2FE6" w:rsidRPr="00D62D04">
        <w:rPr>
          <w:sz w:val="24"/>
          <w:szCs w:val="24"/>
          <w:lang w:val="en-GB"/>
        </w:rPr>
        <w:t>/she</w:t>
      </w:r>
      <w:r w:rsidRPr="00D62D04">
        <w:rPr>
          <w:sz w:val="24"/>
          <w:szCs w:val="24"/>
          <w:lang w:val="en-GB"/>
        </w:rPr>
        <w:t xml:space="preserve"> prevents the maintenance of personal relations between the child and the parents with whom the child does not live; if he</w:t>
      </w:r>
      <w:r w:rsidR="000B2FE6" w:rsidRPr="00D62D04">
        <w:rPr>
          <w:sz w:val="24"/>
          <w:szCs w:val="24"/>
          <w:lang w:val="en-GB"/>
        </w:rPr>
        <w:t>/she</w:t>
      </w:r>
      <w:r w:rsidRPr="00D62D04">
        <w:rPr>
          <w:sz w:val="24"/>
          <w:szCs w:val="24"/>
          <w:lang w:val="en-GB"/>
        </w:rPr>
        <w:t xml:space="preserve"> intentionally and unjustifiably avoids creating the conditions for living together with a child who is in a social protection institution for </w:t>
      </w:r>
      <w:r w:rsidR="000B2FE6" w:rsidRPr="00D62D04">
        <w:rPr>
          <w:sz w:val="24"/>
          <w:szCs w:val="24"/>
          <w:lang w:val="en-GB"/>
        </w:rPr>
        <w:t>residential care</w:t>
      </w:r>
      <w:r w:rsidRPr="00D62D04">
        <w:rPr>
          <w:sz w:val="24"/>
          <w:szCs w:val="24"/>
          <w:lang w:val="en-GB"/>
        </w:rPr>
        <w:t>; if in any other way grossly neglects duties from the content of parental rights.</w:t>
      </w:r>
    </w:p>
    <w:p w14:paraId="7BE2302F" w14:textId="77777777" w:rsidR="0088007B" w:rsidRPr="00D62D04" w:rsidRDefault="0088007B" w:rsidP="00D7283E">
      <w:pPr>
        <w:pStyle w:val="TableParagraph"/>
        <w:spacing w:line="276" w:lineRule="auto"/>
        <w:ind w:left="0" w:right="96" w:firstLine="720"/>
        <w:jc w:val="both"/>
        <w:rPr>
          <w:sz w:val="24"/>
          <w:szCs w:val="24"/>
          <w:lang w:val="en-GB"/>
        </w:rPr>
      </w:pPr>
      <w:r w:rsidRPr="00D62D04">
        <w:rPr>
          <w:sz w:val="24"/>
          <w:szCs w:val="24"/>
          <w:lang w:val="en-GB"/>
        </w:rPr>
        <w:t>In regard with the findings of the Advisory Committee, according to which legal and practical obstacles are still reported in terms of administrative procedures for birth registration, acquisition of citizenship, as well as registration of permanent residence and issuance of identity cards, the authorities first emphasise that the legal framework in the Republic of Serbia provides every child the right to be entered in the birth register. Identification of the parents, that is, the mother, in the manner provided for in Items. 10 and 24 of the Instructions on Keeping Registers and Forms of Registers</w:t>
      </w:r>
      <w:r w:rsidRPr="00D62D04">
        <w:rPr>
          <w:rStyle w:val="FootnoteReference"/>
          <w:sz w:val="24"/>
          <w:szCs w:val="24"/>
          <w:lang w:val="en-GB"/>
        </w:rPr>
        <w:footnoteReference w:id="81"/>
      </w:r>
      <w:r w:rsidRPr="00D62D04">
        <w:rPr>
          <w:sz w:val="24"/>
          <w:szCs w:val="24"/>
          <w:lang w:val="en-GB"/>
        </w:rPr>
        <w:t xml:space="preserve"> and Article 5 of the Rulebook on the Procedure for Issuing a Birth Registration of a Child and the Form of a Registration of the Birth of a Child in a Health Institution,</w:t>
      </w:r>
      <w:r w:rsidRPr="00D62D04">
        <w:rPr>
          <w:rStyle w:val="FootnoteReference"/>
          <w:sz w:val="24"/>
          <w:szCs w:val="24"/>
          <w:lang w:val="en-GB"/>
        </w:rPr>
        <w:footnoteReference w:id="82"/>
      </w:r>
      <w:r w:rsidRPr="00D62D04">
        <w:rPr>
          <w:sz w:val="24"/>
          <w:szCs w:val="24"/>
          <w:lang w:val="en-GB"/>
        </w:rPr>
        <w:t xml:space="preserve"> is harmonised with the positive regulations of the Republic of Serbia regarding the identification of persons. In this way, the legal security of the child is ensured, and this identification does not in any case represent an obstacle for the registration of the child's birth immediately after birth. By implementing this standard in the procedures in which decisions are made about children's rights, a protection mechanism is </w:t>
      </w:r>
      <w:r w:rsidR="005C2E72" w:rsidRPr="00D62D04">
        <w:rPr>
          <w:sz w:val="24"/>
          <w:szCs w:val="24"/>
          <w:lang w:val="en-GB"/>
        </w:rPr>
        <w:t>provided</w:t>
      </w:r>
      <w:r w:rsidRPr="00D62D04">
        <w:rPr>
          <w:sz w:val="24"/>
          <w:szCs w:val="24"/>
          <w:lang w:val="en-GB"/>
        </w:rPr>
        <w:t xml:space="preserve"> in order to prevent any possible type of abuse (e.g. trafficking in children and people) and in this </w:t>
      </w:r>
      <w:r w:rsidR="005C2E72" w:rsidRPr="00D62D04">
        <w:rPr>
          <w:sz w:val="24"/>
          <w:szCs w:val="24"/>
          <w:lang w:val="en-GB"/>
        </w:rPr>
        <w:t>manner,</w:t>
      </w:r>
      <w:r w:rsidRPr="00D62D04">
        <w:rPr>
          <w:sz w:val="24"/>
          <w:szCs w:val="24"/>
          <w:lang w:val="en-GB"/>
        </w:rPr>
        <w:t xml:space="preserve"> the Republic of Serbia </w:t>
      </w:r>
      <w:r w:rsidR="005C2E72" w:rsidRPr="00D62D04">
        <w:rPr>
          <w:sz w:val="24"/>
          <w:szCs w:val="24"/>
          <w:lang w:val="en-GB"/>
        </w:rPr>
        <w:t>observes</w:t>
      </w:r>
      <w:r w:rsidRPr="00D62D04">
        <w:rPr>
          <w:sz w:val="24"/>
          <w:szCs w:val="24"/>
          <w:lang w:val="en-GB"/>
        </w:rPr>
        <w:t xml:space="preserve"> and implements the obligations it has undertaken in accordance with the Council of Europe Convention on the </w:t>
      </w:r>
      <w:r w:rsidR="005C2E72" w:rsidRPr="00D62D04">
        <w:rPr>
          <w:sz w:val="24"/>
          <w:szCs w:val="24"/>
          <w:lang w:val="en-GB"/>
        </w:rPr>
        <w:t>F</w:t>
      </w:r>
      <w:r w:rsidRPr="00D62D04">
        <w:rPr>
          <w:sz w:val="24"/>
          <w:szCs w:val="24"/>
          <w:lang w:val="en-GB"/>
        </w:rPr>
        <w:t xml:space="preserve">ight </w:t>
      </w:r>
      <w:r w:rsidR="005C2E72" w:rsidRPr="00D62D04">
        <w:rPr>
          <w:sz w:val="24"/>
          <w:szCs w:val="24"/>
          <w:lang w:val="en-GB"/>
        </w:rPr>
        <w:t>A</w:t>
      </w:r>
      <w:r w:rsidRPr="00D62D04">
        <w:rPr>
          <w:sz w:val="24"/>
          <w:szCs w:val="24"/>
          <w:lang w:val="en-GB"/>
        </w:rPr>
        <w:t xml:space="preserve">gainst </w:t>
      </w:r>
      <w:r w:rsidR="005C2E72" w:rsidRPr="00D62D04">
        <w:rPr>
          <w:sz w:val="24"/>
          <w:szCs w:val="24"/>
          <w:lang w:val="en-GB"/>
        </w:rPr>
        <w:t>H</w:t>
      </w:r>
      <w:r w:rsidRPr="00D62D04">
        <w:rPr>
          <w:sz w:val="24"/>
          <w:szCs w:val="24"/>
          <w:lang w:val="en-GB"/>
        </w:rPr>
        <w:t xml:space="preserve">uman </w:t>
      </w:r>
      <w:r w:rsidR="005C2E72" w:rsidRPr="00D62D04">
        <w:rPr>
          <w:sz w:val="24"/>
          <w:szCs w:val="24"/>
          <w:lang w:val="en-GB"/>
        </w:rPr>
        <w:t>T</w:t>
      </w:r>
      <w:r w:rsidRPr="00D62D04">
        <w:rPr>
          <w:sz w:val="24"/>
          <w:szCs w:val="24"/>
          <w:lang w:val="en-GB"/>
        </w:rPr>
        <w:t>rafficking.</w:t>
      </w:r>
    </w:p>
    <w:p w14:paraId="2F5F64F3" w14:textId="77777777" w:rsidR="00864B88" w:rsidRPr="00D62D04" w:rsidRDefault="00864B88" w:rsidP="00864B88">
      <w:pPr>
        <w:pStyle w:val="TableParagraph"/>
        <w:spacing w:line="276" w:lineRule="auto"/>
        <w:ind w:left="0" w:right="96" w:firstLine="720"/>
        <w:jc w:val="both"/>
        <w:rPr>
          <w:sz w:val="24"/>
          <w:szCs w:val="24"/>
          <w:lang w:val="en-GB"/>
        </w:rPr>
      </w:pPr>
      <w:r w:rsidRPr="00D62D04">
        <w:rPr>
          <w:sz w:val="24"/>
          <w:szCs w:val="24"/>
          <w:lang w:val="en-GB"/>
        </w:rPr>
        <w:t>In the course of the implementation of the second Memorandum of Understanding between the Ministry of Public Administration and Local Self-Government, the Protector of Citizens and the United Nations High Commissioner for Refugees – Representation Office in Serbia, in 2020, the efficiency of the actions of officers in this area was additionally improved by the adoption of Instructions for handling cases of birth of a child whose parents do not have personal documents in order to enable registration in the birth register.</w:t>
      </w:r>
      <w:r w:rsidRPr="00D62D04">
        <w:rPr>
          <w:rStyle w:val="FootnoteReference"/>
          <w:sz w:val="24"/>
          <w:szCs w:val="24"/>
          <w:lang w:val="en-GB"/>
        </w:rPr>
        <w:footnoteReference w:id="83"/>
      </w:r>
      <w:r w:rsidRPr="00D62D04">
        <w:rPr>
          <w:sz w:val="24"/>
          <w:szCs w:val="24"/>
          <w:lang w:val="en-GB"/>
        </w:rPr>
        <w:t xml:space="preserve">  The instruction foresees the coordinated work of officers (according to the principle of urgency and the best interest of the child), regardless of whether the child was born in a health institution or outside it, so that the identification of the parents, that is, the mother, is ensured in order to register the child in the birth register.</w:t>
      </w:r>
    </w:p>
    <w:p w14:paraId="79B08B13" w14:textId="77777777" w:rsidR="00864B88" w:rsidRPr="00D62D04" w:rsidRDefault="00864B88" w:rsidP="00864B88">
      <w:pPr>
        <w:pStyle w:val="TableParagraph"/>
        <w:spacing w:line="276" w:lineRule="auto"/>
        <w:ind w:left="0" w:right="96" w:firstLine="720"/>
        <w:jc w:val="both"/>
        <w:rPr>
          <w:sz w:val="24"/>
          <w:szCs w:val="24"/>
          <w:lang w:val="en-GB"/>
        </w:rPr>
      </w:pPr>
      <w:r w:rsidRPr="00D62D04">
        <w:rPr>
          <w:sz w:val="24"/>
          <w:szCs w:val="24"/>
          <w:lang w:val="en-GB"/>
        </w:rPr>
        <w:lastRenderedPageBreak/>
        <w:t>For the purpose of registration in the birth register, in accordance with this instruction, immediately after the birth of the child, the identification procedure of the mother is initiated in cooperation with the offic</w:t>
      </w:r>
      <w:r w:rsidR="008F505F" w:rsidRPr="00D62D04">
        <w:rPr>
          <w:sz w:val="24"/>
          <w:szCs w:val="24"/>
          <w:lang w:val="en-GB"/>
        </w:rPr>
        <w:t>ers</w:t>
      </w:r>
      <w:r w:rsidRPr="00D62D04">
        <w:rPr>
          <w:sz w:val="24"/>
          <w:szCs w:val="24"/>
          <w:lang w:val="en-GB"/>
        </w:rPr>
        <w:t xml:space="preserve"> of the Ministry of the Interior and competent registrars in order to simultaneously initiate the appropriate procedure of securing personal documents for the mother or her subsequent registration in the </w:t>
      </w:r>
      <w:r w:rsidR="008F505F" w:rsidRPr="00D62D04">
        <w:rPr>
          <w:sz w:val="24"/>
          <w:szCs w:val="24"/>
          <w:lang w:val="en-GB"/>
        </w:rPr>
        <w:t xml:space="preserve">birth </w:t>
      </w:r>
      <w:r w:rsidRPr="00D62D04">
        <w:rPr>
          <w:sz w:val="24"/>
          <w:szCs w:val="24"/>
          <w:lang w:val="en-GB"/>
        </w:rPr>
        <w:t xml:space="preserve">register. The instruction is applied regardless of whether the child was born in a health institution or outside it, and aims not only to efficiently and quickly register a </w:t>
      </w:r>
      <w:proofErr w:type="spellStart"/>
      <w:r w:rsidRPr="00D62D04">
        <w:rPr>
          <w:sz w:val="24"/>
          <w:szCs w:val="24"/>
          <w:lang w:val="en-GB"/>
        </w:rPr>
        <w:t>newborn</w:t>
      </w:r>
      <w:proofErr w:type="spellEnd"/>
      <w:r w:rsidRPr="00D62D04">
        <w:rPr>
          <w:sz w:val="24"/>
          <w:szCs w:val="24"/>
          <w:lang w:val="en-GB"/>
        </w:rPr>
        <w:t xml:space="preserve"> child in the register of births, but also to solve the possible generational problem of persons who are not registered in the register of births and at the same time determining whether the mother has other children who are not r</w:t>
      </w:r>
      <w:r w:rsidR="00953DFE" w:rsidRPr="00D62D04">
        <w:rPr>
          <w:sz w:val="24"/>
          <w:szCs w:val="24"/>
          <w:lang w:val="en-GB"/>
        </w:rPr>
        <w:t>egistered in the birth register</w:t>
      </w:r>
      <w:r w:rsidRPr="00D62D04">
        <w:rPr>
          <w:sz w:val="24"/>
          <w:szCs w:val="24"/>
          <w:lang w:val="en-GB"/>
        </w:rPr>
        <w:t xml:space="preserve"> in order to identify and resolve those cases as well. Bearing in mind that according to the latest UNHCR research from November 2020, cases where a person is not registered in the birth register now appear as an exception, in this way the problem of the so-called legal invisibility is solved at the level of the whole family, which effectively eliminates the risks of statelessness.</w:t>
      </w:r>
    </w:p>
    <w:p w14:paraId="04D45F14" w14:textId="77777777" w:rsidR="00BC586D" w:rsidRPr="00D62D04" w:rsidRDefault="00BC586D" w:rsidP="00D7283E">
      <w:pPr>
        <w:pStyle w:val="TableParagraph"/>
        <w:spacing w:line="276" w:lineRule="auto"/>
        <w:ind w:left="0" w:right="96" w:firstLine="720"/>
        <w:jc w:val="both"/>
        <w:rPr>
          <w:sz w:val="24"/>
          <w:szCs w:val="24"/>
          <w:lang w:val="en-GB"/>
        </w:rPr>
      </w:pPr>
      <w:r w:rsidRPr="00D62D04">
        <w:rPr>
          <w:sz w:val="24"/>
          <w:szCs w:val="24"/>
          <w:lang w:val="en-GB"/>
        </w:rPr>
        <w:t>The Republic of Serbia continues to be committed to solving this issue in the coming period as well, within the framework of the third Agreement on Understanding that was signed on 10 February 2022, within which additional efforts will be made so that the general public, with an emphasis on members of the Roma of national minorities, was informed about the way in which the right to be registered in the birth register, as well as access to personal documents, can be exercised, while providing support for the resolution of individual cases of persons who have not resolved this status issue.</w:t>
      </w:r>
    </w:p>
    <w:p w14:paraId="62502974" w14:textId="77777777" w:rsidR="00F66900" w:rsidRPr="00D62D04" w:rsidRDefault="00F66900" w:rsidP="00F66900">
      <w:pPr>
        <w:pStyle w:val="TableParagraph"/>
        <w:ind w:right="96" w:firstLine="720"/>
        <w:jc w:val="both"/>
        <w:rPr>
          <w:sz w:val="24"/>
          <w:szCs w:val="24"/>
          <w:lang w:val="en-GB"/>
        </w:rPr>
      </w:pPr>
      <w:r w:rsidRPr="00D62D04">
        <w:rPr>
          <w:sz w:val="24"/>
          <w:szCs w:val="24"/>
          <w:lang w:val="en-GB"/>
        </w:rPr>
        <w:t>Also, it is important to point out that the birth registration procedure excludes the payment of any fees, because the Law on Republic Administrative Fees</w:t>
      </w:r>
      <w:r w:rsidRPr="00D62D04">
        <w:rPr>
          <w:rStyle w:val="FootnoteReference"/>
          <w:sz w:val="24"/>
          <w:szCs w:val="24"/>
          <w:lang w:val="en-GB"/>
        </w:rPr>
        <w:footnoteReference w:id="84"/>
      </w:r>
      <w:r w:rsidRPr="00D62D04">
        <w:rPr>
          <w:sz w:val="24"/>
          <w:szCs w:val="24"/>
          <w:lang w:val="en-GB"/>
        </w:rPr>
        <w:t xml:space="preserve">  stipulates that no fee shall be paid for applications for registration in the register of births, and as early as 2011, the same law established an exemption from the payment of administrative fees for documents and actions related to the procedure for the subsequent registration of the fact of birth in the register of births.</w:t>
      </w:r>
    </w:p>
    <w:p w14:paraId="385320E8" w14:textId="77777777" w:rsidR="00F66900" w:rsidRPr="00D62D04" w:rsidRDefault="00F66900" w:rsidP="00F66900">
      <w:pPr>
        <w:pStyle w:val="TableParagraph"/>
        <w:spacing w:line="276" w:lineRule="auto"/>
        <w:ind w:left="0" w:right="96" w:firstLine="720"/>
        <w:jc w:val="both"/>
        <w:rPr>
          <w:sz w:val="24"/>
          <w:szCs w:val="24"/>
          <w:lang w:val="en-GB"/>
        </w:rPr>
      </w:pPr>
      <w:r w:rsidRPr="00D62D04">
        <w:rPr>
          <w:sz w:val="24"/>
          <w:szCs w:val="24"/>
          <w:lang w:val="en-GB"/>
        </w:rPr>
        <w:t xml:space="preserve">In addition, any person who is not registered in the register of births can exercise that right in the procedure of subsequent registration. For persons who cannot register in the administrative procedure, it is possible to register through a simplified non-litigation procedure for determining the time and place of birth. The right to subsequent </w:t>
      </w:r>
      <w:r w:rsidR="00E03D24" w:rsidRPr="00D62D04">
        <w:rPr>
          <w:sz w:val="24"/>
          <w:szCs w:val="24"/>
          <w:lang w:val="en-GB"/>
        </w:rPr>
        <w:t>registration</w:t>
      </w:r>
      <w:r w:rsidRPr="00D62D04">
        <w:rPr>
          <w:sz w:val="24"/>
          <w:szCs w:val="24"/>
          <w:lang w:val="en-GB"/>
        </w:rPr>
        <w:t xml:space="preserve"> is exercised smoothly, and by monitoring the situation in this area, the table below provides statistical data on the number of </w:t>
      </w:r>
      <w:r w:rsidR="00E03D24" w:rsidRPr="00D62D04">
        <w:rPr>
          <w:sz w:val="24"/>
          <w:szCs w:val="24"/>
          <w:lang w:val="en-GB"/>
        </w:rPr>
        <w:t>registrations per</w:t>
      </w:r>
      <w:r w:rsidRPr="00D62D04">
        <w:rPr>
          <w:sz w:val="24"/>
          <w:szCs w:val="24"/>
          <w:lang w:val="en-GB"/>
        </w:rPr>
        <w:t xml:space="preserve"> year.</w:t>
      </w:r>
    </w:p>
    <w:p w14:paraId="68222EFC" w14:textId="77777777" w:rsidR="00D7283E" w:rsidRPr="00D62D04" w:rsidRDefault="00D7283E" w:rsidP="007331C1">
      <w:pPr>
        <w:pStyle w:val="TableParagraph"/>
        <w:spacing w:line="276" w:lineRule="auto"/>
        <w:ind w:left="0" w:right="96"/>
        <w:jc w:val="both"/>
        <w:rPr>
          <w:sz w:val="24"/>
          <w:szCs w:val="24"/>
          <w:highlight w:val="cyan"/>
          <w:lang w:val="en-GB"/>
        </w:rPr>
      </w:pPr>
    </w:p>
    <w:tbl>
      <w:tblPr>
        <w:tblStyle w:val="TableGrid"/>
        <w:tblW w:w="0" w:type="auto"/>
        <w:tblLook w:val="04A0" w:firstRow="1" w:lastRow="0" w:firstColumn="1" w:lastColumn="0" w:noHBand="0" w:noVBand="1"/>
      </w:tblPr>
      <w:tblGrid>
        <w:gridCol w:w="3005"/>
        <w:gridCol w:w="3005"/>
        <w:gridCol w:w="3006"/>
      </w:tblGrid>
      <w:tr w:rsidR="00D7283E" w:rsidRPr="00D62D04" w14:paraId="5125A84D" w14:textId="77777777" w:rsidTr="00086EBE">
        <w:tc>
          <w:tcPr>
            <w:tcW w:w="9016" w:type="dxa"/>
            <w:gridSpan w:val="3"/>
          </w:tcPr>
          <w:p w14:paraId="02715710" w14:textId="77777777" w:rsidR="00D7283E" w:rsidRPr="00D62D04" w:rsidRDefault="00743357" w:rsidP="00D7283E">
            <w:pPr>
              <w:pStyle w:val="TableParagraph"/>
              <w:spacing w:line="276" w:lineRule="auto"/>
              <w:ind w:left="0" w:right="96"/>
              <w:jc w:val="center"/>
              <w:rPr>
                <w:sz w:val="20"/>
                <w:szCs w:val="20"/>
                <w:highlight w:val="cyan"/>
                <w:lang w:val="en-GB"/>
              </w:rPr>
            </w:pPr>
            <w:r w:rsidRPr="00D62D04">
              <w:rPr>
                <w:sz w:val="20"/>
                <w:szCs w:val="20"/>
                <w:lang w:val="en-GB"/>
              </w:rPr>
              <w:t>Persons registered in the registers</w:t>
            </w:r>
          </w:p>
        </w:tc>
      </w:tr>
      <w:tr w:rsidR="00D7283E" w:rsidRPr="00D62D04" w14:paraId="43D0A695" w14:textId="77777777" w:rsidTr="00D7283E">
        <w:tc>
          <w:tcPr>
            <w:tcW w:w="3005" w:type="dxa"/>
          </w:tcPr>
          <w:p w14:paraId="2CB66140" w14:textId="77777777" w:rsidR="00D7283E" w:rsidRPr="00D62D04" w:rsidRDefault="00743357" w:rsidP="00D7283E">
            <w:pPr>
              <w:pStyle w:val="TableParagraph"/>
              <w:spacing w:line="276" w:lineRule="auto"/>
              <w:ind w:left="0" w:right="96"/>
              <w:jc w:val="center"/>
              <w:rPr>
                <w:sz w:val="20"/>
                <w:szCs w:val="20"/>
                <w:lang w:val="en-GB"/>
              </w:rPr>
            </w:pPr>
            <w:r w:rsidRPr="00D62D04">
              <w:rPr>
                <w:sz w:val="20"/>
                <w:szCs w:val="20"/>
                <w:lang w:val="en-GB"/>
              </w:rPr>
              <w:t xml:space="preserve">Year </w:t>
            </w:r>
          </w:p>
        </w:tc>
        <w:tc>
          <w:tcPr>
            <w:tcW w:w="3005" w:type="dxa"/>
          </w:tcPr>
          <w:p w14:paraId="6BBDA578" w14:textId="77777777" w:rsidR="00D7283E" w:rsidRPr="00D62D04" w:rsidRDefault="00743357" w:rsidP="00743357">
            <w:pPr>
              <w:pStyle w:val="TableParagraph"/>
              <w:spacing w:line="276" w:lineRule="auto"/>
              <w:ind w:left="0" w:right="96"/>
              <w:jc w:val="center"/>
              <w:rPr>
                <w:sz w:val="20"/>
                <w:szCs w:val="20"/>
                <w:lang w:val="en-GB"/>
              </w:rPr>
            </w:pPr>
            <w:r w:rsidRPr="00D62D04">
              <w:rPr>
                <w:sz w:val="20"/>
                <w:szCs w:val="20"/>
                <w:lang w:val="en-GB"/>
              </w:rPr>
              <w:t>Administrative procedure - subsequent registration of the fact of birth in the birth register</w:t>
            </w:r>
          </w:p>
        </w:tc>
        <w:tc>
          <w:tcPr>
            <w:tcW w:w="3006" w:type="dxa"/>
          </w:tcPr>
          <w:p w14:paraId="6581E8E6" w14:textId="77777777" w:rsidR="00D7283E" w:rsidRPr="00D62D04" w:rsidRDefault="00743357" w:rsidP="00D7283E">
            <w:pPr>
              <w:pStyle w:val="TableParagraph"/>
              <w:spacing w:line="276" w:lineRule="auto"/>
              <w:ind w:left="0" w:right="96"/>
              <w:jc w:val="center"/>
              <w:rPr>
                <w:sz w:val="20"/>
                <w:szCs w:val="20"/>
                <w:lang w:val="en-GB"/>
              </w:rPr>
            </w:pPr>
            <w:r w:rsidRPr="00D62D04">
              <w:rPr>
                <w:sz w:val="20"/>
                <w:szCs w:val="20"/>
                <w:lang w:val="en-GB"/>
              </w:rPr>
              <w:t>Non-litigation procedure - determination of time and place of birth</w:t>
            </w:r>
          </w:p>
        </w:tc>
      </w:tr>
      <w:tr w:rsidR="00D7283E" w:rsidRPr="00D62D04" w14:paraId="510D3E19" w14:textId="77777777" w:rsidTr="00D7283E">
        <w:tc>
          <w:tcPr>
            <w:tcW w:w="3005" w:type="dxa"/>
          </w:tcPr>
          <w:p w14:paraId="3693729A" w14:textId="77777777" w:rsidR="00D7283E" w:rsidRPr="00D62D04" w:rsidRDefault="00743357" w:rsidP="007331C1">
            <w:pPr>
              <w:pStyle w:val="TableParagraph"/>
              <w:spacing w:line="276" w:lineRule="auto"/>
              <w:ind w:left="0" w:right="96"/>
              <w:jc w:val="both"/>
              <w:rPr>
                <w:sz w:val="20"/>
                <w:szCs w:val="20"/>
                <w:lang w:val="en-GB"/>
              </w:rPr>
            </w:pPr>
            <w:r w:rsidRPr="00D62D04">
              <w:rPr>
                <w:sz w:val="20"/>
                <w:szCs w:val="20"/>
                <w:lang w:val="en-GB"/>
              </w:rPr>
              <w:t>2017</w:t>
            </w:r>
          </w:p>
        </w:tc>
        <w:tc>
          <w:tcPr>
            <w:tcW w:w="3005" w:type="dxa"/>
          </w:tcPr>
          <w:p w14:paraId="51A05AEE" w14:textId="77777777" w:rsidR="00D7283E" w:rsidRPr="00D62D04" w:rsidRDefault="00D7283E" w:rsidP="00D7283E">
            <w:pPr>
              <w:pStyle w:val="TableParagraph"/>
              <w:spacing w:line="276" w:lineRule="auto"/>
              <w:ind w:left="0" w:right="96"/>
              <w:jc w:val="center"/>
              <w:rPr>
                <w:sz w:val="20"/>
                <w:szCs w:val="20"/>
                <w:lang w:val="en-GB"/>
              </w:rPr>
            </w:pPr>
            <w:r w:rsidRPr="00D62D04">
              <w:rPr>
                <w:sz w:val="20"/>
                <w:szCs w:val="20"/>
                <w:lang w:val="en-GB"/>
              </w:rPr>
              <w:t>1</w:t>
            </w:r>
            <w:r w:rsidR="00743357" w:rsidRPr="00D62D04">
              <w:rPr>
                <w:sz w:val="20"/>
                <w:szCs w:val="20"/>
                <w:lang w:val="en-GB"/>
              </w:rPr>
              <w:t>,</w:t>
            </w:r>
            <w:r w:rsidRPr="00D62D04">
              <w:rPr>
                <w:sz w:val="20"/>
                <w:szCs w:val="20"/>
                <w:lang w:val="en-GB"/>
              </w:rPr>
              <w:t>537</w:t>
            </w:r>
          </w:p>
        </w:tc>
        <w:tc>
          <w:tcPr>
            <w:tcW w:w="3006" w:type="dxa"/>
          </w:tcPr>
          <w:p w14:paraId="0FCD4643" w14:textId="77777777" w:rsidR="00D7283E" w:rsidRPr="00D62D04" w:rsidRDefault="00D7283E" w:rsidP="00D7283E">
            <w:pPr>
              <w:pStyle w:val="TableParagraph"/>
              <w:spacing w:line="276" w:lineRule="auto"/>
              <w:ind w:left="0" w:right="96"/>
              <w:jc w:val="center"/>
              <w:rPr>
                <w:sz w:val="20"/>
                <w:szCs w:val="20"/>
                <w:lang w:val="en-GB"/>
              </w:rPr>
            </w:pPr>
            <w:r w:rsidRPr="00D62D04">
              <w:rPr>
                <w:sz w:val="20"/>
                <w:szCs w:val="20"/>
                <w:lang w:val="en-GB"/>
              </w:rPr>
              <w:t>508</w:t>
            </w:r>
          </w:p>
        </w:tc>
      </w:tr>
      <w:tr w:rsidR="00D7283E" w:rsidRPr="00D62D04" w14:paraId="64A3715C" w14:textId="77777777" w:rsidTr="00D7283E">
        <w:tc>
          <w:tcPr>
            <w:tcW w:w="3005" w:type="dxa"/>
          </w:tcPr>
          <w:p w14:paraId="0414230C" w14:textId="77777777" w:rsidR="00D7283E" w:rsidRPr="00D62D04" w:rsidRDefault="00743357" w:rsidP="007331C1">
            <w:pPr>
              <w:pStyle w:val="TableParagraph"/>
              <w:spacing w:line="276" w:lineRule="auto"/>
              <w:ind w:left="0" w:right="96"/>
              <w:jc w:val="both"/>
              <w:rPr>
                <w:sz w:val="20"/>
                <w:szCs w:val="20"/>
                <w:lang w:val="en-GB"/>
              </w:rPr>
            </w:pPr>
            <w:r w:rsidRPr="00D62D04">
              <w:rPr>
                <w:sz w:val="20"/>
                <w:szCs w:val="20"/>
                <w:lang w:val="en-GB"/>
              </w:rPr>
              <w:t>2018</w:t>
            </w:r>
          </w:p>
        </w:tc>
        <w:tc>
          <w:tcPr>
            <w:tcW w:w="3005" w:type="dxa"/>
          </w:tcPr>
          <w:p w14:paraId="13912E4C" w14:textId="77777777" w:rsidR="00D7283E" w:rsidRPr="00D62D04" w:rsidRDefault="00D7283E" w:rsidP="00D7283E">
            <w:pPr>
              <w:pStyle w:val="TableParagraph"/>
              <w:spacing w:line="276" w:lineRule="auto"/>
              <w:ind w:left="0" w:right="96"/>
              <w:jc w:val="center"/>
              <w:rPr>
                <w:sz w:val="20"/>
                <w:szCs w:val="20"/>
                <w:lang w:val="en-GB"/>
              </w:rPr>
            </w:pPr>
            <w:r w:rsidRPr="00D62D04">
              <w:rPr>
                <w:sz w:val="20"/>
                <w:szCs w:val="20"/>
                <w:lang w:val="en-GB"/>
              </w:rPr>
              <w:t>846</w:t>
            </w:r>
          </w:p>
        </w:tc>
        <w:tc>
          <w:tcPr>
            <w:tcW w:w="3006" w:type="dxa"/>
          </w:tcPr>
          <w:p w14:paraId="43A9D028" w14:textId="77777777" w:rsidR="00D7283E" w:rsidRPr="00D62D04" w:rsidRDefault="00D7283E" w:rsidP="00D7283E">
            <w:pPr>
              <w:pStyle w:val="TableParagraph"/>
              <w:spacing w:line="276" w:lineRule="auto"/>
              <w:ind w:left="0" w:right="96"/>
              <w:jc w:val="center"/>
              <w:rPr>
                <w:sz w:val="20"/>
                <w:szCs w:val="20"/>
                <w:lang w:val="en-GB"/>
              </w:rPr>
            </w:pPr>
            <w:r w:rsidRPr="00D62D04">
              <w:rPr>
                <w:sz w:val="20"/>
                <w:szCs w:val="20"/>
                <w:lang w:val="en-GB"/>
              </w:rPr>
              <w:t>261</w:t>
            </w:r>
          </w:p>
        </w:tc>
      </w:tr>
      <w:tr w:rsidR="00D7283E" w:rsidRPr="00D62D04" w14:paraId="47829168" w14:textId="77777777" w:rsidTr="00D7283E">
        <w:tc>
          <w:tcPr>
            <w:tcW w:w="3005" w:type="dxa"/>
          </w:tcPr>
          <w:p w14:paraId="6D40C6A9" w14:textId="77777777" w:rsidR="00D7283E" w:rsidRPr="00D62D04" w:rsidRDefault="00743357" w:rsidP="007331C1">
            <w:pPr>
              <w:pStyle w:val="TableParagraph"/>
              <w:spacing w:line="276" w:lineRule="auto"/>
              <w:ind w:left="0" w:right="96"/>
              <w:jc w:val="both"/>
              <w:rPr>
                <w:sz w:val="20"/>
                <w:szCs w:val="20"/>
                <w:lang w:val="en-GB"/>
              </w:rPr>
            </w:pPr>
            <w:r w:rsidRPr="00D62D04">
              <w:rPr>
                <w:sz w:val="20"/>
                <w:szCs w:val="20"/>
                <w:lang w:val="en-GB"/>
              </w:rPr>
              <w:lastRenderedPageBreak/>
              <w:t>2019</w:t>
            </w:r>
          </w:p>
        </w:tc>
        <w:tc>
          <w:tcPr>
            <w:tcW w:w="3005" w:type="dxa"/>
          </w:tcPr>
          <w:p w14:paraId="69124557" w14:textId="77777777" w:rsidR="00D7283E" w:rsidRPr="00D62D04" w:rsidRDefault="00D7283E" w:rsidP="00D7283E">
            <w:pPr>
              <w:pStyle w:val="TableParagraph"/>
              <w:spacing w:line="276" w:lineRule="auto"/>
              <w:ind w:left="0" w:right="96"/>
              <w:jc w:val="center"/>
              <w:rPr>
                <w:sz w:val="20"/>
                <w:szCs w:val="20"/>
                <w:lang w:val="en-GB"/>
              </w:rPr>
            </w:pPr>
            <w:r w:rsidRPr="00D62D04">
              <w:rPr>
                <w:sz w:val="20"/>
                <w:szCs w:val="20"/>
                <w:lang w:val="en-GB"/>
              </w:rPr>
              <w:t>476</w:t>
            </w:r>
          </w:p>
        </w:tc>
        <w:tc>
          <w:tcPr>
            <w:tcW w:w="3006" w:type="dxa"/>
          </w:tcPr>
          <w:p w14:paraId="7CFB15DC" w14:textId="77777777" w:rsidR="00D7283E" w:rsidRPr="00D62D04" w:rsidRDefault="00D7283E" w:rsidP="00D7283E">
            <w:pPr>
              <w:pStyle w:val="TableParagraph"/>
              <w:spacing w:line="276" w:lineRule="auto"/>
              <w:ind w:left="0" w:right="96"/>
              <w:jc w:val="center"/>
              <w:rPr>
                <w:sz w:val="20"/>
                <w:szCs w:val="20"/>
                <w:lang w:val="en-GB"/>
              </w:rPr>
            </w:pPr>
            <w:r w:rsidRPr="00D62D04">
              <w:rPr>
                <w:sz w:val="20"/>
                <w:szCs w:val="20"/>
                <w:lang w:val="en-GB"/>
              </w:rPr>
              <w:t>451</w:t>
            </w:r>
          </w:p>
        </w:tc>
      </w:tr>
      <w:tr w:rsidR="00D7283E" w:rsidRPr="00D62D04" w14:paraId="16DE4A8F" w14:textId="77777777" w:rsidTr="00D7283E">
        <w:tc>
          <w:tcPr>
            <w:tcW w:w="3005" w:type="dxa"/>
          </w:tcPr>
          <w:p w14:paraId="77111F9D" w14:textId="77777777" w:rsidR="00D7283E" w:rsidRPr="00D62D04" w:rsidRDefault="00743357" w:rsidP="007331C1">
            <w:pPr>
              <w:pStyle w:val="TableParagraph"/>
              <w:spacing w:line="276" w:lineRule="auto"/>
              <w:ind w:left="0" w:right="96"/>
              <w:jc w:val="both"/>
              <w:rPr>
                <w:sz w:val="20"/>
                <w:szCs w:val="20"/>
                <w:lang w:val="en-GB"/>
              </w:rPr>
            </w:pPr>
            <w:r w:rsidRPr="00D62D04">
              <w:rPr>
                <w:sz w:val="20"/>
                <w:szCs w:val="20"/>
                <w:lang w:val="en-GB"/>
              </w:rPr>
              <w:t>2020</w:t>
            </w:r>
          </w:p>
        </w:tc>
        <w:tc>
          <w:tcPr>
            <w:tcW w:w="3005" w:type="dxa"/>
          </w:tcPr>
          <w:p w14:paraId="66F6CC42" w14:textId="77777777" w:rsidR="00D7283E" w:rsidRPr="00D62D04" w:rsidRDefault="00D7283E" w:rsidP="00D7283E">
            <w:pPr>
              <w:pStyle w:val="TableParagraph"/>
              <w:spacing w:line="276" w:lineRule="auto"/>
              <w:ind w:left="0" w:right="96"/>
              <w:jc w:val="center"/>
              <w:rPr>
                <w:sz w:val="20"/>
                <w:szCs w:val="20"/>
                <w:lang w:val="en-GB"/>
              </w:rPr>
            </w:pPr>
            <w:r w:rsidRPr="00D62D04">
              <w:rPr>
                <w:sz w:val="20"/>
                <w:szCs w:val="20"/>
                <w:lang w:val="en-GB"/>
              </w:rPr>
              <w:t>430</w:t>
            </w:r>
          </w:p>
        </w:tc>
        <w:tc>
          <w:tcPr>
            <w:tcW w:w="3006" w:type="dxa"/>
          </w:tcPr>
          <w:p w14:paraId="2506F47E" w14:textId="77777777" w:rsidR="00D7283E" w:rsidRPr="00D62D04" w:rsidRDefault="00D7283E" w:rsidP="00D7283E">
            <w:pPr>
              <w:pStyle w:val="TableParagraph"/>
              <w:spacing w:line="276" w:lineRule="auto"/>
              <w:ind w:left="0" w:right="96"/>
              <w:jc w:val="center"/>
              <w:rPr>
                <w:sz w:val="20"/>
                <w:szCs w:val="20"/>
                <w:lang w:val="en-GB"/>
              </w:rPr>
            </w:pPr>
            <w:r w:rsidRPr="00D62D04">
              <w:rPr>
                <w:sz w:val="20"/>
                <w:szCs w:val="20"/>
                <w:lang w:val="en-GB"/>
              </w:rPr>
              <w:t>299</w:t>
            </w:r>
          </w:p>
        </w:tc>
      </w:tr>
      <w:tr w:rsidR="00D7283E" w:rsidRPr="00D62D04" w14:paraId="77EC222F" w14:textId="77777777" w:rsidTr="00D7283E">
        <w:tc>
          <w:tcPr>
            <w:tcW w:w="3005" w:type="dxa"/>
          </w:tcPr>
          <w:p w14:paraId="68DF200C" w14:textId="77777777" w:rsidR="00D7283E" w:rsidRPr="00D62D04" w:rsidRDefault="00743357" w:rsidP="007331C1">
            <w:pPr>
              <w:pStyle w:val="TableParagraph"/>
              <w:spacing w:line="276" w:lineRule="auto"/>
              <w:ind w:left="0" w:right="96"/>
              <w:jc w:val="both"/>
              <w:rPr>
                <w:sz w:val="20"/>
                <w:szCs w:val="20"/>
                <w:lang w:val="en-GB"/>
              </w:rPr>
            </w:pPr>
            <w:r w:rsidRPr="00D62D04">
              <w:rPr>
                <w:sz w:val="20"/>
                <w:szCs w:val="20"/>
                <w:lang w:val="en-GB"/>
              </w:rPr>
              <w:t>2021</w:t>
            </w:r>
          </w:p>
        </w:tc>
        <w:tc>
          <w:tcPr>
            <w:tcW w:w="3005" w:type="dxa"/>
          </w:tcPr>
          <w:p w14:paraId="52DD4CDE" w14:textId="77777777" w:rsidR="00D7283E" w:rsidRPr="00D62D04" w:rsidRDefault="00D7283E" w:rsidP="00D7283E">
            <w:pPr>
              <w:pStyle w:val="TableParagraph"/>
              <w:spacing w:line="276" w:lineRule="auto"/>
              <w:ind w:left="0" w:right="96"/>
              <w:jc w:val="center"/>
              <w:rPr>
                <w:sz w:val="20"/>
                <w:szCs w:val="20"/>
                <w:lang w:val="en-GB"/>
              </w:rPr>
            </w:pPr>
            <w:r w:rsidRPr="00D62D04">
              <w:rPr>
                <w:sz w:val="20"/>
                <w:szCs w:val="20"/>
                <w:lang w:val="en-GB"/>
              </w:rPr>
              <w:t>316</w:t>
            </w:r>
          </w:p>
        </w:tc>
        <w:tc>
          <w:tcPr>
            <w:tcW w:w="3006" w:type="dxa"/>
          </w:tcPr>
          <w:p w14:paraId="0EDAB8B1" w14:textId="77777777" w:rsidR="00D7283E" w:rsidRPr="00D62D04" w:rsidRDefault="00D7283E" w:rsidP="00D7283E">
            <w:pPr>
              <w:pStyle w:val="TableParagraph"/>
              <w:spacing w:line="276" w:lineRule="auto"/>
              <w:ind w:left="0" w:right="96"/>
              <w:jc w:val="center"/>
              <w:rPr>
                <w:sz w:val="20"/>
                <w:szCs w:val="20"/>
                <w:lang w:val="en-GB"/>
              </w:rPr>
            </w:pPr>
            <w:r w:rsidRPr="00D62D04">
              <w:rPr>
                <w:sz w:val="20"/>
                <w:szCs w:val="20"/>
                <w:lang w:val="en-GB"/>
              </w:rPr>
              <w:t>221</w:t>
            </w:r>
          </w:p>
        </w:tc>
      </w:tr>
    </w:tbl>
    <w:p w14:paraId="38E854A5" w14:textId="77777777" w:rsidR="00D7283E" w:rsidRPr="00D62D04" w:rsidRDefault="00D7283E" w:rsidP="007331C1">
      <w:pPr>
        <w:pStyle w:val="TableParagraph"/>
        <w:spacing w:line="276" w:lineRule="auto"/>
        <w:ind w:left="0" w:right="96"/>
        <w:jc w:val="both"/>
        <w:rPr>
          <w:sz w:val="24"/>
          <w:szCs w:val="24"/>
          <w:highlight w:val="cyan"/>
          <w:lang w:val="en-GB"/>
        </w:rPr>
      </w:pPr>
    </w:p>
    <w:p w14:paraId="44040340" w14:textId="77777777" w:rsidR="00220F78" w:rsidRPr="00D62D04" w:rsidRDefault="00220F78" w:rsidP="00220F78">
      <w:pPr>
        <w:pStyle w:val="TableParagraph"/>
        <w:spacing w:line="276" w:lineRule="auto"/>
        <w:ind w:left="0" w:right="96" w:firstLine="720"/>
        <w:jc w:val="both"/>
        <w:rPr>
          <w:sz w:val="24"/>
          <w:szCs w:val="24"/>
          <w:lang w:val="en-GB"/>
        </w:rPr>
      </w:pPr>
      <w:r w:rsidRPr="00D62D04">
        <w:rPr>
          <w:sz w:val="24"/>
          <w:szCs w:val="24"/>
          <w:lang w:val="en-GB"/>
        </w:rPr>
        <w:t xml:space="preserve">In regard with the allegations that </w:t>
      </w:r>
      <w:r w:rsidRPr="00D62D04">
        <w:rPr>
          <w:i/>
          <w:sz w:val="24"/>
          <w:szCs w:val="24"/>
          <w:lang w:val="en-GB"/>
        </w:rPr>
        <w:t>Roma returnees with children born abroad encounter particular difficulties when registering their children in the birth register</w:t>
      </w:r>
      <w:r w:rsidRPr="00D62D04">
        <w:rPr>
          <w:sz w:val="24"/>
          <w:szCs w:val="24"/>
          <w:lang w:val="en-GB"/>
        </w:rPr>
        <w:t>, we point out that, in accordance with positive regulations in the Republic of Serbia that regulate the area of ​​registers, every child born abroad with one parent being is a citizen of the Republic of Serbia, is entered in the register of births upon application by the parents, based on birth certificate of a foreign authority.</w:t>
      </w:r>
    </w:p>
    <w:p w14:paraId="68FD88C3" w14:textId="77777777" w:rsidR="00220F78" w:rsidRPr="00D62D04" w:rsidRDefault="00220F78" w:rsidP="00220F78">
      <w:pPr>
        <w:pStyle w:val="TableParagraph"/>
        <w:spacing w:line="276" w:lineRule="auto"/>
        <w:ind w:left="0" w:right="96" w:firstLine="720"/>
        <w:jc w:val="both"/>
        <w:rPr>
          <w:sz w:val="24"/>
          <w:szCs w:val="24"/>
          <w:lang w:val="en-GB"/>
        </w:rPr>
      </w:pPr>
      <w:r w:rsidRPr="00D62D04">
        <w:rPr>
          <w:sz w:val="24"/>
          <w:szCs w:val="24"/>
          <w:lang w:val="en-GB"/>
        </w:rPr>
        <w:t>With regard to problems related to exercising rights from the social protection system, it is important to point out that personal documents are a prerequisite for someone to have access to financial social assistance or the use of services in the community. Inhabitants of informal settlements who did not have a formally registered place of residence had obstacles in accessing the right to material financial assistance. By improving the regulations and implementing the activities provided for in the aforementioned agreements on understanding, the majority of Roma in Serbia obtained the necessary documents to exercise these rights.</w:t>
      </w:r>
    </w:p>
    <w:p w14:paraId="61748ADD" w14:textId="77777777" w:rsidR="00760714" w:rsidRPr="00D62D04" w:rsidRDefault="00760714" w:rsidP="00761E91">
      <w:pPr>
        <w:pStyle w:val="TableParagraph"/>
        <w:spacing w:line="276" w:lineRule="auto"/>
        <w:ind w:left="0" w:right="96" w:firstLine="720"/>
        <w:jc w:val="both"/>
        <w:rPr>
          <w:sz w:val="24"/>
          <w:szCs w:val="24"/>
          <w:lang w:val="en-GB"/>
        </w:rPr>
      </w:pPr>
      <w:r w:rsidRPr="00D62D04">
        <w:rPr>
          <w:sz w:val="24"/>
          <w:szCs w:val="24"/>
          <w:lang w:val="en-GB"/>
        </w:rPr>
        <w:t xml:space="preserve">Ending with 28 March 2022, the Ministry of Internal Affairs </w:t>
      </w:r>
      <w:r w:rsidR="00B911E1" w:rsidRPr="00D62D04">
        <w:rPr>
          <w:sz w:val="24"/>
          <w:szCs w:val="24"/>
          <w:lang w:val="en-GB"/>
        </w:rPr>
        <w:t xml:space="preserve">by means of a decision determined the residence </w:t>
      </w:r>
      <w:r w:rsidRPr="00D62D04">
        <w:rPr>
          <w:sz w:val="24"/>
          <w:szCs w:val="24"/>
          <w:lang w:val="en-GB"/>
        </w:rPr>
        <w:t>for 4,037 persons, the majority of whom live in informal settlements, at the address of the competent cent</w:t>
      </w:r>
      <w:r w:rsidR="00B911E1" w:rsidRPr="00D62D04">
        <w:rPr>
          <w:sz w:val="24"/>
          <w:szCs w:val="24"/>
          <w:lang w:val="en-GB"/>
        </w:rPr>
        <w:t>res</w:t>
      </w:r>
      <w:r w:rsidRPr="00D62D04">
        <w:rPr>
          <w:sz w:val="24"/>
          <w:szCs w:val="24"/>
          <w:lang w:val="en-GB"/>
        </w:rPr>
        <w:t xml:space="preserve"> for social work (</w:t>
      </w:r>
      <w:r w:rsidR="00B911E1" w:rsidRPr="00D62D04">
        <w:rPr>
          <w:sz w:val="24"/>
          <w:szCs w:val="24"/>
          <w:lang w:val="en-GB"/>
        </w:rPr>
        <w:t>pursuant to</w:t>
      </w:r>
      <w:r w:rsidRPr="00D62D04">
        <w:rPr>
          <w:sz w:val="24"/>
          <w:szCs w:val="24"/>
          <w:lang w:val="en-GB"/>
        </w:rPr>
        <w:t xml:space="preserve"> the Law on Residence and </w:t>
      </w:r>
      <w:r w:rsidR="00B911E1" w:rsidRPr="00D62D04">
        <w:rPr>
          <w:sz w:val="24"/>
          <w:szCs w:val="24"/>
          <w:lang w:val="en-GB"/>
        </w:rPr>
        <w:t>Domicile</w:t>
      </w:r>
      <w:r w:rsidRPr="00D62D04">
        <w:rPr>
          <w:sz w:val="24"/>
          <w:szCs w:val="24"/>
          <w:lang w:val="en-GB"/>
        </w:rPr>
        <w:t xml:space="preserve"> of Citizens,</w:t>
      </w:r>
      <w:r w:rsidR="00B911E1" w:rsidRPr="00D62D04">
        <w:rPr>
          <w:rStyle w:val="FootnoteReference"/>
          <w:sz w:val="24"/>
          <w:szCs w:val="24"/>
          <w:lang w:val="en-GB"/>
        </w:rPr>
        <w:footnoteReference w:id="85"/>
      </w:r>
      <w:r w:rsidRPr="00D62D04">
        <w:rPr>
          <w:sz w:val="24"/>
          <w:szCs w:val="24"/>
          <w:lang w:val="en-GB"/>
        </w:rPr>
        <w:t xml:space="preserve"> which enabled registration of residence at the address of the social protection institution for persons who do not have a registered residence on another basis), after which personal documents were issued to those persons.</w:t>
      </w:r>
    </w:p>
    <w:p w14:paraId="4F001AF3" w14:textId="77777777" w:rsidR="004465DF" w:rsidRPr="00D62D04" w:rsidRDefault="004465DF" w:rsidP="00761E91">
      <w:pPr>
        <w:pStyle w:val="TableParagraph"/>
        <w:spacing w:line="276" w:lineRule="auto"/>
        <w:ind w:left="0" w:right="96" w:firstLine="720"/>
        <w:jc w:val="both"/>
        <w:rPr>
          <w:sz w:val="24"/>
          <w:szCs w:val="24"/>
          <w:lang w:val="en-GB"/>
        </w:rPr>
      </w:pPr>
      <w:r w:rsidRPr="00D62D04">
        <w:rPr>
          <w:sz w:val="24"/>
          <w:szCs w:val="24"/>
          <w:lang w:val="en-GB"/>
        </w:rPr>
        <w:t>In addition, the adoption of the Social Card Law</w:t>
      </w:r>
      <w:r w:rsidRPr="00D62D04">
        <w:rPr>
          <w:rStyle w:val="FootnoteReference"/>
          <w:sz w:val="24"/>
          <w:szCs w:val="24"/>
          <w:lang w:val="en-GB"/>
        </w:rPr>
        <w:footnoteReference w:id="86"/>
      </w:r>
      <w:r w:rsidRPr="00D62D04">
        <w:rPr>
          <w:sz w:val="24"/>
          <w:szCs w:val="24"/>
          <w:lang w:val="en-GB"/>
        </w:rPr>
        <w:t xml:space="preserve"> and the establishment of the Register of Social Cards enable easier exercise of rights for users, integration with the National Employment Service data on unemployment, systematic review and finding of the most vulnerable unemployed persons, as well as </w:t>
      </w:r>
      <w:proofErr w:type="spellStart"/>
      <w:r w:rsidRPr="00D62D04">
        <w:rPr>
          <w:sz w:val="24"/>
          <w:szCs w:val="24"/>
          <w:lang w:val="en-GB"/>
        </w:rPr>
        <w:t>georeferencing</w:t>
      </w:r>
      <w:proofErr w:type="spellEnd"/>
      <w:r w:rsidRPr="00D62D04">
        <w:rPr>
          <w:sz w:val="24"/>
          <w:szCs w:val="24"/>
          <w:lang w:val="en-GB"/>
        </w:rPr>
        <w:t xml:space="preserve"> of vulnerable groups and individuals </w:t>
      </w:r>
      <w:r w:rsidR="000C2B5F" w:rsidRPr="00D62D04">
        <w:rPr>
          <w:sz w:val="24"/>
          <w:szCs w:val="24"/>
          <w:lang w:val="en-GB"/>
        </w:rPr>
        <w:t>i</w:t>
      </w:r>
      <w:r w:rsidRPr="00D62D04">
        <w:rPr>
          <w:sz w:val="24"/>
          <w:szCs w:val="24"/>
          <w:lang w:val="en-GB"/>
        </w:rPr>
        <w:t>n the territory of the Republic of Serbia. It also contributes to the easier exercise of users' rights through e-</w:t>
      </w:r>
      <w:r w:rsidR="000C2B5F" w:rsidRPr="00D62D04">
        <w:rPr>
          <w:sz w:val="24"/>
          <w:szCs w:val="24"/>
          <w:lang w:val="en-GB"/>
        </w:rPr>
        <w:t>Government</w:t>
      </w:r>
      <w:r w:rsidRPr="00D62D04">
        <w:rPr>
          <w:sz w:val="24"/>
          <w:szCs w:val="24"/>
          <w:lang w:val="en-GB"/>
        </w:rPr>
        <w:t>, because they will be enabled to exercise their rights electronically through a single access point in an easier way. At the same time, it relieves the potential user of the obligation to collect various documents and complicated administrative procedures, given that all necessary databases are networked through the Registry.</w:t>
      </w:r>
    </w:p>
    <w:p w14:paraId="5216ADE0" w14:textId="77777777" w:rsidR="00761E91" w:rsidRPr="00D62D04" w:rsidRDefault="00761E91" w:rsidP="00CD32CE">
      <w:pPr>
        <w:pStyle w:val="TableParagraph"/>
        <w:spacing w:line="276" w:lineRule="auto"/>
        <w:ind w:left="0" w:right="96"/>
        <w:jc w:val="both"/>
        <w:rPr>
          <w:b/>
          <w:sz w:val="24"/>
          <w:szCs w:val="24"/>
          <w:highlight w:val="cyan"/>
          <w:lang w:val="en-GB"/>
        </w:rPr>
      </w:pPr>
    </w:p>
    <w:p w14:paraId="4B193CCC" w14:textId="77777777" w:rsidR="002A3E69" w:rsidRPr="00D62D04" w:rsidRDefault="00811B58" w:rsidP="00CD32CE">
      <w:pPr>
        <w:pStyle w:val="TableParagraph"/>
        <w:spacing w:line="276" w:lineRule="auto"/>
        <w:ind w:left="0" w:right="96"/>
        <w:jc w:val="both"/>
        <w:rPr>
          <w:i/>
          <w:sz w:val="24"/>
          <w:szCs w:val="24"/>
          <w:lang w:val="en-GB"/>
        </w:rPr>
      </w:pPr>
      <w:r w:rsidRPr="00D62D04">
        <w:rPr>
          <w:i/>
          <w:sz w:val="24"/>
          <w:szCs w:val="24"/>
          <w:lang w:val="en-GB"/>
        </w:rPr>
        <w:t xml:space="preserve">43. </w:t>
      </w:r>
      <w:r w:rsidR="002A3E69" w:rsidRPr="00D62D04">
        <w:rPr>
          <w:i/>
          <w:sz w:val="24"/>
          <w:szCs w:val="24"/>
          <w:lang w:val="en-GB"/>
        </w:rPr>
        <w:t>The Advisory Committee calls on the authorities to significantly increase their efforts in implementing and monitoring the action plans within the set deadlines. The measures should be regularly monitored and periodically revised in order to confirm that the indicators have been achieved and that the needs of the interested parties are taken into account. Assessment and evaluation should be carried out in consultation with users.</w:t>
      </w:r>
    </w:p>
    <w:p w14:paraId="223E3075" w14:textId="77777777" w:rsidR="00D9350E" w:rsidRPr="00D62D04" w:rsidRDefault="00D9350E" w:rsidP="00AA3916">
      <w:pPr>
        <w:pStyle w:val="TableParagraph"/>
        <w:spacing w:line="276" w:lineRule="auto"/>
        <w:ind w:left="0" w:right="96"/>
        <w:jc w:val="both"/>
        <w:rPr>
          <w:i/>
          <w:sz w:val="24"/>
          <w:szCs w:val="24"/>
          <w:highlight w:val="cyan"/>
          <w:lang w:val="en-GB"/>
        </w:rPr>
      </w:pPr>
    </w:p>
    <w:p w14:paraId="46D5C3E2" w14:textId="77777777" w:rsidR="00A601F6" w:rsidRPr="00D62D04" w:rsidRDefault="003073A1" w:rsidP="00A601F6">
      <w:pPr>
        <w:pStyle w:val="TableParagraph"/>
        <w:spacing w:line="276" w:lineRule="auto"/>
        <w:ind w:left="0" w:right="96"/>
        <w:jc w:val="both"/>
        <w:rPr>
          <w:sz w:val="24"/>
          <w:szCs w:val="24"/>
          <w:lang w:val="en-GB"/>
        </w:rPr>
      </w:pPr>
      <w:r w:rsidRPr="00D62D04">
        <w:rPr>
          <w:sz w:val="24"/>
          <w:szCs w:val="24"/>
          <w:lang w:val="en-GB"/>
        </w:rPr>
        <w:tab/>
      </w:r>
      <w:r w:rsidR="00A601F6" w:rsidRPr="00D62D04">
        <w:rPr>
          <w:sz w:val="24"/>
          <w:szCs w:val="24"/>
          <w:lang w:val="en-GB"/>
        </w:rPr>
        <w:t xml:space="preserve">Since a number of strategic documents that are important for the exercise of the rights of national minorities expired in the reporting period, the Republic of Serbia began the process of developing and introducing new strategies and action plans, the implementation of which </w:t>
      </w:r>
      <w:r w:rsidR="00A601F6" w:rsidRPr="00D62D04">
        <w:rPr>
          <w:sz w:val="24"/>
          <w:szCs w:val="24"/>
          <w:lang w:val="en-GB"/>
        </w:rPr>
        <w:lastRenderedPageBreak/>
        <w:t>will further improve the status of national minorities or sensitive social groups.</w:t>
      </w:r>
    </w:p>
    <w:p w14:paraId="11C8849B" w14:textId="77777777" w:rsidR="00A601F6" w:rsidRPr="00D62D04" w:rsidRDefault="00A601F6" w:rsidP="00571797">
      <w:pPr>
        <w:pStyle w:val="TableParagraph"/>
        <w:spacing w:line="276" w:lineRule="auto"/>
        <w:ind w:left="0" w:right="96"/>
        <w:jc w:val="both"/>
        <w:rPr>
          <w:sz w:val="24"/>
          <w:szCs w:val="24"/>
          <w:lang w:val="en-GB"/>
        </w:rPr>
      </w:pPr>
      <w:r w:rsidRPr="00D62D04">
        <w:rPr>
          <w:sz w:val="24"/>
          <w:szCs w:val="24"/>
          <w:lang w:val="en-GB"/>
        </w:rPr>
        <w:t xml:space="preserve">As a result of the revision of the measures and activities from the strategic document for the social inclusion of Roma men and women, which was envisaged for the period 2016-2025, as well as the need to harmonise the strategic measures with the new European framework for the inclusion of Roma, on 3 February 2022, the Government adopted the new Strategy for the social inclusion of Roma in the Republic of Serbia for the period 2022-2030. In addition, since the public </w:t>
      </w:r>
      <w:r w:rsidR="00571797" w:rsidRPr="00D62D04">
        <w:rPr>
          <w:sz w:val="24"/>
          <w:szCs w:val="24"/>
          <w:lang w:val="en-GB"/>
        </w:rPr>
        <w:t>hearing</w:t>
      </w:r>
      <w:r w:rsidRPr="00D62D04">
        <w:rPr>
          <w:sz w:val="24"/>
          <w:szCs w:val="24"/>
          <w:lang w:val="en-GB"/>
        </w:rPr>
        <w:t xml:space="preserve"> regarding the Action Plan for the implementation of the Strategy for the Social Inclusion of Roma in the Republic of Serbia for the period 2022-2024 has ended, it is expected to be adopted soon.</w:t>
      </w:r>
      <w:r w:rsidR="00571797" w:rsidRPr="00D62D04">
        <w:rPr>
          <w:rStyle w:val="FootnoteReference"/>
          <w:sz w:val="24"/>
          <w:szCs w:val="24"/>
          <w:lang w:val="en-GB"/>
        </w:rPr>
        <w:footnoteReference w:id="87"/>
      </w:r>
    </w:p>
    <w:p w14:paraId="5493D712" w14:textId="00DC6A3C" w:rsidR="00F7585D" w:rsidRPr="00D62D04" w:rsidRDefault="00F7585D" w:rsidP="00705426">
      <w:pPr>
        <w:spacing w:after="0"/>
        <w:ind w:firstLine="720"/>
        <w:jc w:val="both"/>
        <w:rPr>
          <w:sz w:val="24"/>
          <w:szCs w:val="24"/>
          <w:lang w:val="en-GB"/>
        </w:rPr>
      </w:pPr>
      <w:r w:rsidRPr="00D62D04">
        <w:rPr>
          <w:sz w:val="24"/>
          <w:szCs w:val="24"/>
          <w:lang w:val="en-GB"/>
        </w:rPr>
        <w:t xml:space="preserve">In June 2021, the Government established a new </w:t>
      </w:r>
      <w:r w:rsidR="00DB31DC">
        <w:rPr>
          <w:sz w:val="24"/>
          <w:szCs w:val="24"/>
          <w:lang w:val="en-US"/>
        </w:rPr>
        <w:t>Coordination Body,</w:t>
      </w:r>
      <w:r w:rsidR="00DB31DC" w:rsidRPr="00DB31DC">
        <w:rPr>
          <w:sz w:val="24"/>
          <w:szCs w:val="24"/>
          <w:lang w:val="en-GB"/>
        </w:rPr>
        <w:t xml:space="preserve"> </w:t>
      </w:r>
      <w:r w:rsidRPr="00D62D04">
        <w:rPr>
          <w:sz w:val="24"/>
          <w:szCs w:val="24"/>
          <w:lang w:val="en-GB"/>
        </w:rPr>
        <w:t xml:space="preserve">chaired by the Prime Minister, with the task of monitoring the process of social inclusion of Roma and monitoring the implementation of the strategy and action plan in this area. In order to be more operational, the </w:t>
      </w:r>
      <w:r w:rsidR="00DB31DC" w:rsidRPr="00D62D04">
        <w:rPr>
          <w:sz w:val="24"/>
          <w:szCs w:val="24"/>
          <w:lang w:val="en-GB"/>
        </w:rPr>
        <w:t xml:space="preserve">Coordination Body </w:t>
      </w:r>
      <w:r w:rsidRPr="00D62D04">
        <w:rPr>
          <w:sz w:val="24"/>
          <w:szCs w:val="24"/>
          <w:lang w:val="en-GB"/>
        </w:rPr>
        <w:t>also has an expert group within its framework made up of representatives of all departments relevant to the implementation of the measures defined by the strategy, while administrative and technical support in the work of the expert group is provided by the Department for Roma Inclusion within the competent ministry.</w:t>
      </w:r>
    </w:p>
    <w:p w14:paraId="46AEA02F" w14:textId="77777777" w:rsidR="00C70AD7" w:rsidRPr="00D62D04" w:rsidRDefault="00C70AD7" w:rsidP="00C70AD7">
      <w:pPr>
        <w:spacing w:after="0"/>
        <w:ind w:firstLine="720"/>
        <w:jc w:val="both"/>
        <w:rPr>
          <w:sz w:val="24"/>
          <w:szCs w:val="24"/>
          <w:lang w:val="en-GB"/>
        </w:rPr>
      </w:pPr>
      <w:r w:rsidRPr="00D62D04">
        <w:rPr>
          <w:sz w:val="24"/>
          <w:szCs w:val="24"/>
          <w:lang w:val="en-GB"/>
        </w:rPr>
        <w:t>For the sake of systematic and more comprehensive management of public policies in the area of ​​inclusion of Roma people, as well as for the purpose of greater involvement of representatives of Roma from the civil sector, the relevant Ministry has started the process of forming the Civil Society Platform, which includes a mechanism for regular exchange of information between citizen associations and institutions, which will be supported by an electronic platform for faster and more efficient communication.</w:t>
      </w:r>
    </w:p>
    <w:p w14:paraId="34441254" w14:textId="77777777" w:rsidR="00C70AD7" w:rsidRPr="00D62D04" w:rsidRDefault="00C70AD7" w:rsidP="00C70AD7">
      <w:pPr>
        <w:spacing w:after="0"/>
        <w:ind w:firstLine="720"/>
        <w:jc w:val="both"/>
        <w:rPr>
          <w:sz w:val="24"/>
          <w:szCs w:val="24"/>
          <w:lang w:val="en-GB"/>
        </w:rPr>
      </w:pPr>
      <w:r w:rsidRPr="00D62D04">
        <w:rPr>
          <w:sz w:val="24"/>
          <w:szCs w:val="24"/>
          <w:lang w:val="en-GB"/>
        </w:rPr>
        <w:t>The strategy for prevention and protection against discrimination for the period from 2022 to 2030 was adopted on 20 January 2022. The public hearing on the Action Plan Proposal (2022-2023) for the implementation of the Strategy for Prevention and Protection against Discrimination for the period from 2022 to 2030 was held from 10-29 June 2022.</w:t>
      </w:r>
    </w:p>
    <w:p w14:paraId="327FDF88" w14:textId="77777777" w:rsidR="00361E18" w:rsidRPr="00D62D04" w:rsidRDefault="00361E18" w:rsidP="00705426">
      <w:pPr>
        <w:spacing w:after="0"/>
        <w:ind w:firstLine="720"/>
        <w:jc w:val="both"/>
        <w:rPr>
          <w:rStyle w:val="None"/>
          <w:bCs/>
          <w:sz w:val="24"/>
          <w:szCs w:val="24"/>
          <w:lang w:val="en-GB"/>
        </w:rPr>
      </w:pPr>
      <w:r w:rsidRPr="00D62D04">
        <w:rPr>
          <w:rStyle w:val="None"/>
          <w:bCs/>
          <w:sz w:val="24"/>
          <w:szCs w:val="24"/>
          <w:lang w:val="en-GB"/>
        </w:rPr>
        <w:t>At the end of 2021, a Special Working Group was formed to prepare the text of the Action Plan Proposal for the exercise of rights of national minorities, which co</w:t>
      </w:r>
      <w:r w:rsidR="00F152D4" w:rsidRPr="00D62D04">
        <w:rPr>
          <w:rStyle w:val="None"/>
          <w:bCs/>
          <w:sz w:val="24"/>
          <w:szCs w:val="24"/>
          <w:lang w:val="en-GB"/>
        </w:rPr>
        <w:t>mprises</w:t>
      </w:r>
      <w:r w:rsidRPr="00D62D04">
        <w:rPr>
          <w:rStyle w:val="None"/>
          <w:bCs/>
          <w:sz w:val="24"/>
          <w:szCs w:val="24"/>
          <w:lang w:val="en-GB"/>
        </w:rPr>
        <w:t xml:space="preserve"> representatives of competent institutions, national councils of national minorities and civil society organisations. The action plan will be based, among other things, on the Report on </w:t>
      </w:r>
      <w:r w:rsidR="00F152D4" w:rsidRPr="00D62D04">
        <w:rPr>
          <w:rStyle w:val="None"/>
          <w:bCs/>
          <w:sz w:val="24"/>
          <w:szCs w:val="24"/>
          <w:lang w:val="en-GB"/>
        </w:rPr>
        <w:t>P</w:t>
      </w:r>
      <w:r w:rsidRPr="00D62D04">
        <w:rPr>
          <w:rStyle w:val="None"/>
          <w:bCs/>
          <w:sz w:val="24"/>
          <w:szCs w:val="24"/>
          <w:lang w:val="en-GB"/>
        </w:rPr>
        <w:t>rogress in the process of Serbia's accession to the European Union, recommendations from the Fourth Opinion of the Advisory Committee on the implementation of the Framework Convention for the Protection of National Minorities, as well as on the conclusions and recommendations from the "</w:t>
      </w:r>
      <w:r w:rsidRPr="00D62D04">
        <w:rPr>
          <w:rStyle w:val="None"/>
          <w:bCs/>
          <w:i/>
          <w:sz w:val="24"/>
          <w:szCs w:val="24"/>
          <w:lang w:val="en-GB"/>
        </w:rPr>
        <w:t>Ex-post</w:t>
      </w:r>
      <w:r w:rsidRPr="00D62D04">
        <w:rPr>
          <w:rStyle w:val="None"/>
          <w:bCs/>
          <w:sz w:val="24"/>
          <w:szCs w:val="24"/>
          <w:lang w:val="en-GB"/>
        </w:rPr>
        <w:t xml:space="preserve"> </w:t>
      </w:r>
      <w:r w:rsidR="00F152D4" w:rsidRPr="00D62D04">
        <w:rPr>
          <w:rStyle w:val="None"/>
          <w:bCs/>
          <w:sz w:val="24"/>
          <w:szCs w:val="24"/>
          <w:lang w:val="en-GB"/>
        </w:rPr>
        <w:t>A</w:t>
      </w:r>
      <w:r w:rsidRPr="00D62D04">
        <w:rPr>
          <w:rStyle w:val="None"/>
          <w:bCs/>
          <w:sz w:val="24"/>
          <w:szCs w:val="24"/>
          <w:lang w:val="en-GB"/>
        </w:rPr>
        <w:t xml:space="preserve">nalysis on the </w:t>
      </w:r>
      <w:r w:rsidR="00F152D4" w:rsidRPr="00D62D04">
        <w:rPr>
          <w:rStyle w:val="None"/>
          <w:bCs/>
          <w:sz w:val="24"/>
          <w:szCs w:val="24"/>
          <w:lang w:val="en-GB"/>
        </w:rPr>
        <w:t>I</w:t>
      </w:r>
      <w:r w:rsidRPr="00D62D04">
        <w:rPr>
          <w:rStyle w:val="None"/>
          <w:bCs/>
          <w:sz w:val="24"/>
          <w:szCs w:val="24"/>
          <w:lang w:val="en-GB"/>
        </w:rPr>
        <w:t xml:space="preserve">mplementation of the Action Plan for </w:t>
      </w:r>
      <w:r w:rsidR="00F152D4" w:rsidRPr="00D62D04">
        <w:rPr>
          <w:rStyle w:val="None"/>
          <w:bCs/>
          <w:sz w:val="24"/>
          <w:szCs w:val="24"/>
          <w:lang w:val="en-GB"/>
        </w:rPr>
        <w:t>Exercising</w:t>
      </w:r>
      <w:r w:rsidRPr="00D62D04">
        <w:rPr>
          <w:rStyle w:val="None"/>
          <w:bCs/>
          <w:sz w:val="24"/>
          <w:szCs w:val="24"/>
          <w:lang w:val="en-GB"/>
        </w:rPr>
        <w:t xml:space="preserve"> the </w:t>
      </w:r>
      <w:r w:rsidR="00F152D4" w:rsidRPr="00D62D04">
        <w:rPr>
          <w:rStyle w:val="None"/>
          <w:bCs/>
          <w:sz w:val="24"/>
          <w:szCs w:val="24"/>
          <w:lang w:val="en-GB"/>
        </w:rPr>
        <w:t>R</w:t>
      </w:r>
      <w:r w:rsidRPr="00D62D04">
        <w:rPr>
          <w:rStyle w:val="None"/>
          <w:bCs/>
          <w:sz w:val="24"/>
          <w:szCs w:val="24"/>
          <w:lang w:val="en-GB"/>
        </w:rPr>
        <w:t xml:space="preserve">ights of </w:t>
      </w:r>
      <w:r w:rsidR="00F152D4" w:rsidRPr="00D62D04">
        <w:rPr>
          <w:rStyle w:val="None"/>
          <w:bCs/>
          <w:sz w:val="24"/>
          <w:szCs w:val="24"/>
          <w:lang w:val="en-GB"/>
        </w:rPr>
        <w:t>N</w:t>
      </w:r>
      <w:r w:rsidRPr="00D62D04">
        <w:rPr>
          <w:rStyle w:val="None"/>
          <w:bCs/>
          <w:sz w:val="24"/>
          <w:szCs w:val="24"/>
          <w:lang w:val="en-GB"/>
        </w:rPr>
        <w:t xml:space="preserve">ational </w:t>
      </w:r>
      <w:r w:rsidR="00F152D4" w:rsidRPr="00D62D04">
        <w:rPr>
          <w:rStyle w:val="None"/>
          <w:bCs/>
          <w:sz w:val="24"/>
          <w:szCs w:val="24"/>
          <w:lang w:val="en-GB"/>
        </w:rPr>
        <w:t>M</w:t>
      </w:r>
      <w:r w:rsidRPr="00D62D04">
        <w:rPr>
          <w:rStyle w:val="None"/>
          <w:bCs/>
          <w:sz w:val="24"/>
          <w:szCs w:val="24"/>
          <w:lang w:val="en-GB"/>
        </w:rPr>
        <w:t>inorities". The working group has held a large number of meetings so far, and in order to define the measures and activities from the Action Plan as precisely as possible, individual consultative meetings are regularly held with representatives of relevant state authorities, as well as with representatives of national councils of national minorities.</w:t>
      </w:r>
    </w:p>
    <w:p w14:paraId="6EAF3507" w14:textId="77777777" w:rsidR="00883C9E" w:rsidRPr="00D62D04" w:rsidRDefault="00883C9E" w:rsidP="00FC290F">
      <w:pPr>
        <w:spacing w:after="0"/>
        <w:ind w:firstLine="720"/>
        <w:jc w:val="both"/>
        <w:rPr>
          <w:rStyle w:val="None"/>
          <w:bCs/>
          <w:sz w:val="24"/>
          <w:szCs w:val="24"/>
          <w:lang w:val="en-GB"/>
        </w:rPr>
      </w:pPr>
      <w:r w:rsidRPr="00D62D04">
        <w:rPr>
          <w:rStyle w:val="None"/>
          <w:bCs/>
          <w:sz w:val="24"/>
          <w:szCs w:val="24"/>
          <w:lang w:val="en-GB"/>
        </w:rPr>
        <w:lastRenderedPageBreak/>
        <w:t xml:space="preserve">All the mentioned documents provide for measures aimed at monitoring their implementation, as well as collecting relevant data. Moreover, in the reporting period, measures were taken for the effective implementation and monitoring of the implementation of previously valid strategic documents, which, among other things, were used for the revision and adoption of new strategic documents. Thus, in the period June - October 2017, the Analysis of the </w:t>
      </w:r>
      <w:r w:rsidR="00794627" w:rsidRPr="00D62D04">
        <w:rPr>
          <w:rStyle w:val="None"/>
          <w:bCs/>
          <w:sz w:val="24"/>
          <w:szCs w:val="24"/>
          <w:lang w:val="en-GB"/>
        </w:rPr>
        <w:t>I</w:t>
      </w:r>
      <w:r w:rsidRPr="00D62D04">
        <w:rPr>
          <w:rStyle w:val="None"/>
          <w:bCs/>
          <w:sz w:val="24"/>
          <w:szCs w:val="24"/>
          <w:lang w:val="en-GB"/>
        </w:rPr>
        <w:t xml:space="preserve">mplementation of the Strategy for </w:t>
      </w:r>
      <w:r w:rsidR="00794627" w:rsidRPr="00D62D04">
        <w:rPr>
          <w:rStyle w:val="None"/>
          <w:bCs/>
          <w:sz w:val="24"/>
          <w:szCs w:val="24"/>
          <w:lang w:val="en-GB"/>
        </w:rPr>
        <w:t>P</w:t>
      </w:r>
      <w:r w:rsidRPr="00D62D04">
        <w:rPr>
          <w:rStyle w:val="None"/>
          <w:bCs/>
          <w:sz w:val="24"/>
          <w:szCs w:val="24"/>
          <w:lang w:val="en-GB"/>
        </w:rPr>
        <w:t xml:space="preserve">revention and </w:t>
      </w:r>
      <w:r w:rsidR="00794627" w:rsidRPr="00D62D04">
        <w:rPr>
          <w:rStyle w:val="None"/>
          <w:bCs/>
          <w:sz w:val="24"/>
          <w:szCs w:val="24"/>
          <w:lang w:val="en-GB"/>
        </w:rPr>
        <w:t>P</w:t>
      </w:r>
      <w:r w:rsidRPr="00D62D04">
        <w:rPr>
          <w:rStyle w:val="None"/>
          <w:bCs/>
          <w:sz w:val="24"/>
          <w:szCs w:val="24"/>
          <w:lang w:val="en-GB"/>
        </w:rPr>
        <w:t xml:space="preserve">rotection </w:t>
      </w:r>
      <w:r w:rsidR="00794627" w:rsidRPr="00D62D04">
        <w:rPr>
          <w:rStyle w:val="None"/>
          <w:bCs/>
          <w:sz w:val="24"/>
          <w:szCs w:val="24"/>
          <w:lang w:val="en-GB"/>
        </w:rPr>
        <w:t>A</w:t>
      </w:r>
      <w:r w:rsidRPr="00D62D04">
        <w:rPr>
          <w:rStyle w:val="None"/>
          <w:bCs/>
          <w:sz w:val="24"/>
          <w:szCs w:val="24"/>
          <w:lang w:val="en-GB"/>
        </w:rPr>
        <w:t xml:space="preserve">gainst </w:t>
      </w:r>
      <w:r w:rsidR="00794627" w:rsidRPr="00D62D04">
        <w:rPr>
          <w:rStyle w:val="None"/>
          <w:bCs/>
          <w:sz w:val="24"/>
          <w:szCs w:val="24"/>
          <w:lang w:val="en-GB"/>
        </w:rPr>
        <w:t>D</w:t>
      </w:r>
      <w:r w:rsidRPr="00D62D04">
        <w:rPr>
          <w:rStyle w:val="None"/>
          <w:bCs/>
          <w:sz w:val="24"/>
          <w:szCs w:val="24"/>
          <w:lang w:val="en-GB"/>
        </w:rPr>
        <w:t xml:space="preserve">iscrimination for the </w:t>
      </w:r>
      <w:r w:rsidR="00794627" w:rsidRPr="00D62D04">
        <w:rPr>
          <w:rStyle w:val="None"/>
          <w:bCs/>
          <w:sz w:val="24"/>
          <w:szCs w:val="24"/>
          <w:lang w:val="en-GB"/>
        </w:rPr>
        <w:t>P</w:t>
      </w:r>
      <w:r w:rsidRPr="00D62D04">
        <w:rPr>
          <w:rStyle w:val="None"/>
          <w:bCs/>
          <w:sz w:val="24"/>
          <w:szCs w:val="24"/>
          <w:lang w:val="en-GB"/>
        </w:rPr>
        <w:t xml:space="preserve">eriod 2014-2018 was prepared. Also, in November 2018, an Analysis of the report on the implementation of the Action Plan for the </w:t>
      </w:r>
      <w:r w:rsidR="00794627" w:rsidRPr="00D62D04">
        <w:rPr>
          <w:rStyle w:val="None"/>
          <w:bCs/>
          <w:sz w:val="24"/>
          <w:szCs w:val="24"/>
          <w:lang w:val="en-GB"/>
        </w:rPr>
        <w:t xml:space="preserve">Exercise </w:t>
      </w:r>
      <w:r w:rsidRPr="00D62D04">
        <w:rPr>
          <w:rStyle w:val="None"/>
          <w:bCs/>
          <w:sz w:val="24"/>
          <w:szCs w:val="24"/>
          <w:lang w:val="en-GB"/>
        </w:rPr>
        <w:t xml:space="preserve">of the </w:t>
      </w:r>
      <w:r w:rsidR="00794627" w:rsidRPr="00D62D04">
        <w:rPr>
          <w:rStyle w:val="None"/>
          <w:bCs/>
          <w:sz w:val="24"/>
          <w:szCs w:val="24"/>
          <w:lang w:val="en-GB"/>
        </w:rPr>
        <w:t>R</w:t>
      </w:r>
      <w:r w:rsidRPr="00D62D04">
        <w:rPr>
          <w:rStyle w:val="None"/>
          <w:bCs/>
          <w:sz w:val="24"/>
          <w:szCs w:val="24"/>
          <w:lang w:val="en-GB"/>
        </w:rPr>
        <w:t xml:space="preserve">ights of </w:t>
      </w:r>
      <w:r w:rsidR="00794627" w:rsidRPr="00D62D04">
        <w:rPr>
          <w:rStyle w:val="None"/>
          <w:bCs/>
          <w:sz w:val="24"/>
          <w:szCs w:val="24"/>
          <w:lang w:val="en-GB"/>
        </w:rPr>
        <w:t>N</w:t>
      </w:r>
      <w:r w:rsidRPr="00D62D04">
        <w:rPr>
          <w:rStyle w:val="None"/>
          <w:bCs/>
          <w:sz w:val="24"/>
          <w:szCs w:val="24"/>
          <w:lang w:val="en-GB"/>
        </w:rPr>
        <w:t xml:space="preserve">ational </w:t>
      </w:r>
      <w:r w:rsidR="00794627" w:rsidRPr="00D62D04">
        <w:rPr>
          <w:rStyle w:val="None"/>
          <w:bCs/>
          <w:sz w:val="24"/>
          <w:szCs w:val="24"/>
          <w:lang w:val="en-GB"/>
        </w:rPr>
        <w:t>M</w:t>
      </w:r>
      <w:r w:rsidRPr="00D62D04">
        <w:rPr>
          <w:rStyle w:val="None"/>
          <w:bCs/>
          <w:sz w:val="24"/>
          <w:szCs w:val="24"/>
          <w:lang w:val="en-GB"/>
        </w:rPr>
        <w:t xml:space="preserve">inorities was carried out within the project </w:t>
      </w:r>
      <w:r w:rsidR="00794627" w:rsidRPr="00D62D04">
        <w:rPr>
          <w:rStyle w:val="None"/>
          <w:bCs/>
          <w:sz w:val="24"/>
          <w:szCs w:val="24"/>
          <w:lang w:val="en-GB"/>
        </w:rPr>
        <w:t xml:space="preserve">entitled </w:t>
      </w:r>
      <w:r w:rsidRPr="00D62D04">
        <w:rPr>
          <w:rStyle w:val="None"/>
          <w:bCs/>
          <w:sz w:val="24"/>
          <w:szCs w:val="24"/>
          <w:lang w:val="en-GB"/>
        </w:rPr>
        <w:t>"Strengthening the Protection of National Minorities in Serbia", which was an integral part of the "Horizontal Facility for the Western Balkans and Turkey" - a joint program</w:t>
      </w:r>
      <w:r w:rsidR="00794627" w:rsidRPr="00D62D04">
        <w:rPr>
          <w:rStyle w:val="None"/>
          <w:bCs/>
          <w:sz w:val="24"/>
          <w:szCs w:val="24"/>
          <w:lang w:val="en-GB"/>
        </w:rPr>
        <w:t>me</w:t>
      </w:r>
      <w:r w:rsidRPr="00D62D04">
        <w:rPr>
          <w:rStyle w:val="None"/>
          <w:bCs/>
          <w:sz w:val="24"/>
          <w:szCs w:val="24"/>
          <w:lang w:val="en-GB"/>
        </w:rPr>
        <w:t xml:space="preserve"> between the European Union and the Council of Europe. Finally, as part of the project "Promotion of </w:t>
      </w:r>
      <w:r w:rsidR="00794627" w:rsidRPr="00D62D04">
        <w:rPr>
          <w:rStyle w:val="None"/>
          <w:bCs/>
          <w:sz w:val="24"/>
          <w:szCs w:val="24"/>
          <w:lang w:val="en-GB"/>
        </w:rPr>
        <w:t>D</w:t>
      </w:r>
      <w:r w:rsidRPr="00D62D04">
        <w:rPr>
          <w:rStyle w:val="None"/>
          <w:bCs/>
          <w:sz w:val="24"/>
          <w:szCs w:val="24"/>
          <w:lang w:val="en-GB"/>
        </w:rPr>
        <w:t xml:space="preserve">iversity and </w:t>
      </w:r>
      <w:r w:rsidR="00794627" w:rsidRPr="00D62D04">
        <w:rPr>
          <w:rStyle w:val="None"/>
          <w:bCs/>
          <w:sz w:val="24"/>
          <w:szCs w:val="24"/>
          <w:lang w:val="en-GB"/>
        </w:rPr>
        <w:t>E</w:t>
      </w:r>
      <w:r w:rsidRPr="00D62D04">
        <w:rPr>
          <w:rStyle w:val="None"/>
          <w:bCs/>
          <w:sz w:val="24"/>
          <w:szCs w:val="24"/>
          <w:lang w:val="en-GB"/>
        </w:rPr>
        <w:t>quality in Serbia", which is part of the joint program</w:t>
      </w:r>
      <w:r w:rsidR="00794627" w:rsidRPr="00D62D04">
        <w:rPr>
          <w:rStyle w:val="None"/>
          <w:bCs/>
          <w:sz w:val="24"/>
          <w:szCs w:val="24"/>
          <w:lang w:val="en-GB"/>
        </w:rPr>
        <w:t>me</w:t>
      </w:r>
      <w:r w:rsidRPr="00D62D04">
        <w:rPr>
          <w:rStyle w:val="None"/>
          <w:bCs/>
          <w:sz w:val="24"/>
          <w:szCs w:val="24"/>
          <w:lang w:val="en-GB"/>
        </w:rPr>
        <w:t xml:space="preserve"> of the European Union and the Council of Europe "Horizontal Facility for the Western Balkans and Turkey 2019-2022", independent experts were engaged who prepared "</w:t>
      </w:r>
      <w:r w:rsidRPr="00D62D04">
        <w:rPr>
          <w:rStyle w:val="None"/>
          <w:bCs/>
          <w:i/>
          <w:sz w:val="24"/>
          <w:szCs w:val="24"/>
          <w:lang w:val="en-GB"/>
        </w:rPr>
        <w:t>Ex-post</w:t>
      </w:r>
      <w:r w:rsidRPr="00D62D04">
        <w:rPr>
          <w:rStyle w:val="None"/>
          <w:bCs/>
          <w:sz w:val="24"/>
          <w:szCs w:val="24"/>
          <w:lang w:val="en-GB"/>
        </w:rPr>
        <w:t xml:space="preserve"> </w:t>
      </w:r>
      <w:r w:rsidR="00794627" w:rsidRPr="00D62D04">
        <w:rPr>
          <w:rStyle w:val="None"/>
          <w:bCs/>
          <w:sz w:val="24"/>
          <w:szCs w:val="24"/>
          <w:lang w:val="en-GB"/>
        </w:rPr>
        <w:t>A</w:t>
      </w:r>
      <w:r w:rsidRPr="00D62D04">
        <w:rPr>
          <w:rStyle w:val="None"/>
          <w:bCs/>
          <w:sz w:val="24"/>
          <w:szCs w:val="24"/>
          <w:lang w:val="en-GB"/>
        </w:rPr>
        <w:t xml:space="preserve">nalysis of </w:t>
      </w:r>
      <w:r w:rsidR="00794627" w:rsidRPr="00D62D04">
        <w:rPr>
          <w:rStyle w:val="None"/>
          <w:bCs/>
          <w:sz w:val="24"/>
          <w:szCs w:val="24"/>
          <w:lang w:val="en-GB"/>
        </w:rPr>
        <w:t>E</w:t>
      </w:r>
      <w:r w:rsidRPr="00D62D04">
        <w:rPr>
          <w:rStyle w:val="None"/>
          <w:bCs/>
          <w:sz w:val="24"/>
          <w:szCs w:val="24"/>
          <w:lang w:val="en-GB"/>
        </w:rPr>
        <w:t xml:space="preserve">ffects </w:t>
      </w:r>
      <w:r w:rsidR="00794627" w:rsidRPr="00D62D04">
        <w:rPr>
          <w:rStyle w:val="None"/>
          <w:bCs/>
          <w:sz w:val="24"/>
          <w:szCs w:val="24"/>
          <w:lang w:val="en-GB"/>
        </w:rPr>
        <w:t>I</w:t>
      </w:r>
      <w:r w:rsidRPr="00D62D04">
        <w:rPr>
          <w:rStyle w:val="None"/>
          <w:bCs/>
          <w:sz w:val="24"/>
          <w:szCs w:val="24"/>
          <w:lang w:val="en-GB"/>
        </w:rPr>
        <w:t xml:space="preserve">mplementation of the Action Plan for the </w:t>
      </w:r>
      <w:r w:rsidR="00794627" w:rsidRPr="00D62D04">
        <w:rPr>
          <w:rStyle w:val="None"/>
          <w:bCs/>
          <w:sz w:val="24"/>
          <w:szCs w:val="24"/>
          <w:lang w:val="en-GB"/>
        </w:rPr>
        <w:t>Exercise</w:t>
      </w:r>
      <w:r w:rsidRPr="00D62D04">
        <w:rPr>
          <w:rStyle w:val="None"/>
          <w:bCs/>
          <w:sz w:val="24"/>
          <w:szCs w:val="24"/>
          <w:lang w:val="en-GB"/>
        </w:rPr>
        <w:t xml:space="preserve"> of the </w:t>
      </w:r>
      <w:r w:rsidR="00794627" w:rsidRPr="00D62D04">
        <w:rPr>
          <w:rStyle w:val="None"/>
          <w:bCs/>
          <w:sz w:val="24"/>
          <w:szCs w:val="24"/>
          <w:lang w:val="en-GB"/>
        </w:rPr>
        <w:t>R</w:t>
      </w:r>
      <w:r w:rsidRPr="00D62D04">
        <w:rPr>
          <w:rStyle w:val="None"/>
          <w:bCs/>
          <w:sz w:val="24"/>
          <w:szCs w:val="24"/>
          <w:lang w:val="en-GB"/>
        </w:rPr>
        <w:t xml:space="preserve">ights of </w:t>
      </w:r>
      <w:r w:rsidR="00794627" w:rsidRPr="00D62D04">
        <w:rPr>
          <w:rStyle w:val="None"/>
          <w:bCs/>
          <w:sz w:val="24"/>
          <w:szCs w:val="24"/>
          <w:lang w:val="en-GB"/>
        </w:rPr>
        <w:t>N</w:t>
      </w:r>
      <w:r w:rsidRPr="00D62D04">
        <w:rPr>
          <w:rStyle w:val="None"/>
          <w:bCs/>
          <w:sz w:val="24"/>
          <w:szCs w:val="24"/>
          <w:lang w:val="en-GB"/>
        </w:rPr>
        <w:t xml:space="preserve">ational </w:t>
      </w:r>
      <w:r w:rsidR="00794627" w:rsidRPr="00D62D04">
        <w:rPr>
          <w:rStyle w:val="None"/>
          <w:bCs/>
          <w:sz w:val="24"/>
          <w:szCs w:val="24"/>
          <w:lang w:val="en-GB"/>
        </w:rPr>
        <w:t>M</w:t>
      </w:r>
      <w:r w:rsidRPr="00D62D04">
        <w:rPr>
          <w:rStyle w:val="None"/>
          <w:bCs/>
          <w:sz w:val="24"/>
          <w:szCs w:val="24"/>
          <w:lang w:val="en-GB"/>
        </w:rPr>
        <w:t>inorities". The main goal of the analysis was to provide an assessment of the effects of the Action Plan, i.e. to evaluate its relevance, effectiveness, efficiency and sustainability, in order to make a decision on future steps in planning public policies in the area of ​​the rights of national minorities.</w:t>
      </w:r>
    </w:p>
    <w:p w14:paraId="52923877" w14:textId="77777777" w:rsidR="004A1DD5" w:rsidRPr="00D62D04" w:rsidRDefault="004A1DD5" w:rsidP="008F512E">
      <w:pPr>
        <w:spacing w:after="0"/>
        <w:ind w:firstLine="720"/>
        <w:jc w:val="both"/>
        <w:rPr>
          <w:sz w:val="24"/>
          <w:szCs w:val="24"/>
          <w:lang w:val="en-GB"/>
        </w:rPr>
      </w:pPr>
      <w:r w:rsidRPr="00D62D04">
        <w:rPr>
          <w:sz w:val="24"/>
          <w:szCs w:val="24"/>
          <w:lang w:val="en-GB"/>
        </w:rPr>
        <w:t>The Analysis states that, based on the available data, it can be concluded that most of the strategic objectives have been "partially achieved". When it came to individual activities, they generally led to the achievement of results, but it was noted that there was often not a sufficiently concrete connection between individual results and activities, and that due to insufficient assessment of the available capacities for the implementation of activities, the delay of one activity often caused the delay of others.</w:t>
      </w:r>
    </w:p>
    <w:p w14:paraId="4E8D0EDD" w14:textId="77777777" w:rsidR="007C769B" w:rsidRPr="00D62D04" w:rsidRDefault="007C769B" w:rsidP="007C769B">
      <w:pPr>
        <w:spacing w:after="0"/>
        <w:ind w:firstLine="720"/>
        <w:jc w:val="both"/>
        <w:rPr>
          <w:sz w:val="24"/>
          <w:szCs w:val="24"/>
          <w:lang w:val="en-GB"/>
        </w:rPr>
      </w:pPr>
      <w:r w:rsidRPr="00D62D04">
        <w:rPr>
          <w:sz w:val="24"/>
          <w:szCs w:val="24"/>
          <w:lang w:val="en-GB"/>
        </w:rPr>
        <w:t xml:space="preserve">According to the Analysis, the greatest results were achieved in the field of legal solutions and their more consistent application. All activities were completed aimed at amending the legislation necessary to create a legal basis for entering data on nationality into data collections and creating measures of affirmative action, training of registrars, improvement of </w:t>
      </w:r>
      <w:proofErr w:type="spellStart"/>
      <w:r w:rsidRPr="00D62D04">
        <w:rPr>
          <w:sz w:val="24"/>
          <w:szCs w:val="24"/>
          <w:lang w:val="en-GB"/>
        </w:rPr>
        <w:t>a</w:t>
      </w:r>
      <w:proofErr w:type="spellEnd"/>
      <w:r w:rsidRPr="00D62D04">
        <w:rPr>
          <w:sz w:val="24"/>
          <w:szCs w:val="24"/>
          <w:lang w:val="en-GB"/>
        </w:rPr>
        <w:t xml:space="preserve"> electoral roll for national councils of national minorities and registration of persons in the birth register through subsequent registration. Progress is also made by changes to a large number of laws and by-laws, which created the basis for keeping, on a voluntary basis, data on the representation of national minorities and the introduction of specific affirmative measures for employment in the public sector and the judiciary, as well as changes to the legislative framework that regulates the work of national councils and operationali</w:t>
      </w:r>
      <w:r w:rsidR="00E32624" w:rsidRPr="00D62D04">
        <w:rPr>
          <w:sz w:val="24"/>
          <w:szCs w:val="24"/>
          <w:lang w:val="en-GB"/>
        </w:rPr>
        <w:t>s</w:t>
      </w:r>
      <w:r w:rsidRPr="00D62D04">
        <w:rPr>
          <w:sz w:val="24"/>
          <w:szCs w:val="24"/>
          <w:lang w:val="en-GB"/>
        </w:rPr>
        <w:t>es the Budget Fund for National Minorities.</w:t>
      </w:r>
    </w:p>
    <w:p w14:paraId="148001C4" w14:textId="77777777" w:rsidR="007C769B" w:rsidRPr="00D62D04" w:rsidRDefault="007C769B" w:rsidP="007C769B">
      <w:pPr>
        <w:spacing w:after="0"/>
        <w:ind w:firstLine="720"/>
        <w:jc w:val="both"/>
        <w:rPr>
          <w:sz w:val="24"/>
          <w:szCs w:val="24"/>
          <w:lang w:val="en-GB"/>
        </w:rPr>
      </w:pPr>
      <w:r w:rsidRPr="00D62D04">
        <w:rPr>
          <w:sz w:val="24"/>
          <w:szCs w:val="24"/>
          <w:lang w:val="en-GB"/>
        </w:rPr>
        <w:t xml:space="preserve">In order to create a higher quality, more effective, more efficient and sustainable Action Plan in the future, appropriate recommendations were given in the Analysis. Based on the conclusions and recommendations from the </w:t>
      </w:r>
      <w:r w:rsidRPr="00D62D04">
        <w:rPr>
          <w:i/>
          <w:sz w:val="24"/>
          <w:szCs w:val="24"/>
          <w:lang w:val="en-GB"/>
        </w:rPr>
        <w:t xml:space="preserve">ex-post </w:t>
      </w:r>
      <w:r w:rsidRPr="00D62D04">
        <w:rPr>
          <w:sz w:val="24"/>
          <w:szCs w:val="24"/>
          <w:lang w:val="en-GB"/>
        </w:rPr>
        <w:t xml:space="preserve">analysis, work began on the preparation of a new strategic document for the </w:t>
      </w:r>
      <w:r w:rsidR="00143A39" w:rsidRPr="00D62D04">
        <w:rPr>
          <w:sz w:val="24"/>
          <w:szCs w:val="24"/>
          <w:lang w:val="en-GB"/>
        </w:rPr>
        <w:t>exercise</w:t>
      </w:r>
      <w:r w:rsidRPr="00D62D04">
        <w:rPr>
          <w:sz w:val="24"/>
          <w:szCs w:val="24"/>
          <w:lang w:val="en-GB"/>
        </w:rPr>
        <w:t xml:space="preserve"> of the rights of national minorities, which, as noted, was in the drafting phase at the time of preparation of this </w:t>
      </w:r>
      <w:r w:rsidR="00143A39" w:rsidRPr="00D62D04">
        <w:rPr>
          <w:sz w:val="24"/>
          <w:szCs w:val="24"/>
          <w:lang w:val="en-GB"/>
        </w:rPr>
        <w:t>R</w:t>
      </w:r>
      <w:r w:rsidRPr="00D62D04">
        <w:rPr>
          <w:sz w:val="24"/>
          <w:szCs w:val="24"/>
          <w:lang w:val="en-GB"/>
        </w:rPr>
        <w:t>eport.</w:t>
      </w:r>
    </w:p>
    <w:p w14:paraId="0DD068A4" w14:textId="77777777" w:rsidR="00811B58" w:rsidRPr="00D62D04" w:rsidRDefault="00811B58" w:rsidP="00CD32CE">
      <w:pPr>
        <w:pStyle w:val="TableParagraph"/>
        <w:spacing w:line="276" w:lineRule="auto"/>
        <w:ind w:left="0" w:right="96"/>
        <w:jc w:val="both"/>
        <w:rPr>
          <w:i/>
          <w:sz w:val="24"/>
          <w:szCs w:val="24"/>
          <w:highlight w:val="cyan"/>
          <w:lang w:val="en-GB"/>
        </w:rPr>
      </w:pPr>
    </w:p>
    <w:p w14:paraId="0F4B040B" w14:textId="77777777" w:rsidR="00A435D1" w:rsidRPr="00D62D04" w:rsidRDefault="00A25643" w:rsidP="005F59AC">
      <w:pPr>
        <w:pStyle w:val="TableParagraph"/>
        <w:spacing w:line="276" w:lineRule="auto"/>
        <w:ind w:left="0" w:right="-46"/>
        <w:jc w:val="both"/>
        <w:rPr>
          <w:i/>
          <w:sz w:val="24"/>
          <w:szCs w:val="24"/>
          <w:lang w:val="en-GB"/>
        </w:rPr>
      </w:pPr>
      <w:r w:rsidRPr="00D62D04">
        <w:rPr>
          <w:i/>
          <w:sz w:val="24"/>
          <w:szCs w:val="24"/>
          <w:lang w:val="en-GB"/>
        </w:rPr>
        <w:t xml:space="preserve">44. </w:t>
      </w:r>
      <w:r w:rsidR="00A435D1" w:rsidRPr="00D62D04">
        <w:rPr>
          <w:i/>
          <w:sz w:val="24"/>
          <w:szCs w:val="24"/>
          <w:lang w:val="en-GB"/>
        </w:rPr>
        <w:t xml:space="preserve">The Advisory Committee urges the authorities to decisively address the structural discrimination faced by members of the Roma national minority in terms of their citizenship </w:t>
      </w:r>
      <w:r w:rsidR="00A435D1" w:rsidRPr="00D62D04">
        <w:rPr>
          <w:i/>
          <w:sz w:val="24"/>
          <w:szCs w:val="24"/>
          <w:lang w:val="en-GB"/>
        </w:rPr>
        <w:lastRenderedPageBreak/>
        <w:t>status, as well as housing, health, education and employment, including taking the necessary affirmative measures to address the root causes of the discrimination the Roma are facing.</w:t>
      </w:r>
    </w:p>
    <w:p w14:paraId="4BE6D0C5" w14:textId="77777777" w:rsidR="00A25643" w:rsidRPr="00D62D04" w:rsidRDefault="00A25643" w:rsidP="00A25643">
      <w:pPr>
        <w:spacing w:after="0"/>
        <w:jc w:val="both"/>
        <w:rPr>
          <w:i/>
          <w:sz w:val="24"/>
          <w:szCs w:val="24"/>
          <w:highlight w:val="cyan"/>
          <w:lang w:val="en-GB"/>
        </w:rPr>
      </w:pPr>
    </w:p>
    <w:p w14:paraId="70E3E6F0" w14:textId="251CA2C2" w:rsidR="00334F7A" w:rsidRPr="00D62D04" w:rsidRDefault="000F3D8B" w:rsidP="00334F7A">
      <w:pPr>
        <w:spacing w:after="0"/>
        <w:jc w:val="both"/>
        <w:rPr>
          <w:sz w:val="24"/>
          <w:szCs w:val="24"/>
          <w:lang w:val="en-GB"/>
        </w:rPr>
      </w:pPr>
      <w:r w:rsidRPr="00D62D04">
        <w:rPr>
          <w:sz w:val="24"/>
          <w:szCs w:val="24"/>
          <w:lang w:val="en-GB"/>
        </w:rPr>
        <w:t xml:space="preserve">The </w:t>
      </w:r>
      <w:r w:rsidR="008B23D1">
        <w:rPr>
          <w:sz w:val="24"/>
          <w:szCs w:val="24"/>
          <w:lang w:val="en-GB"/>
        </w:rPr>
        <w:t>response</w:t>
      </w:r>
      <w:r w:rsidRPr="00D62D04">
        <w:rPr>
          <w:sz w:val="24"/>
          <w:szCs w:val="24"/>
          <w:lang w:val="en-GB"/>
        </w:rPr>
        <w:t xml:space="preserve"> to this recommendation is given in the </w:t>
      </w:r>
      <w:r w:rsidR="008B23D1">
        <w:rPr>
          <w:sz w:val="24"/>
          <w:szCs w:val="24"/>
          <w:lang w:val="en-GB"/>
        </w:rPr>
        <w:t>response</w:t>
      </w:r>
      <w:r w:rsidRPr="00D62D04">
        <w:rPr>
          <w:sz w:val="24"/>
          <w:szCs w:val="24"/>
          <w:lang w:val="en-GB"/>
        </w:rPr>
        <w:t xml:space="preserve"> to recommendation 1 of the </w:t>
      </w:r>
      <w:r w:rsidR="00AC33C4">
        <w:rPr>
          <w:sz w:val="24"/>
          <w:szCs w:val="24"/>
          <w:lang w:val="en-GB"/>
        </w:rPr>
        <w:t>Committee of Ministers Resolution</w:t>
      </w:r>
      <w:r w:rsidRPr="00D62D04">
        <w:rPr>
          <w:sz w:val="24"/>
          <w:szCs w:val="24"/>
          <w:lang w:val="en-GB"/>
        </w:rPr>
        <w:t>.</w:t>
      </w:r>
    </w:p>
    <w:p w14:paraId="721F6910" w14:textId="77777777" w:rsidR="000F3D8B" w:rsidRPr="00D62D04" w:rsidRDefault="000F3D8B" w:rsidP="00334F7A">
      <w:pPr>
        <w:spacing w:after="0"/>
        <w:jc w:val="both"/>
        <w:rPr>
          <w:sz w:val="24"/>
          <w:szCs w:val="24"/>
          <w:highlight w:val="cyan"/>
          <w:lang w:val="en-GB"/>
        </w:rPr>
      </w:pPr>
    </w:p>
    <w:p w14:paraId="3A0E8FF6" w14:textId="77777777" w:rsidR="00841498" w:rsidRPr="00D62D04" w:rsidRDefault="000F3D8B" w:rsidP="00F333CD">
      <w:pPr>
        <w:pStyle w:val="Heading2"/>
        <w:jc w:val="center"/>
        <w:rPr>
          <w:rFonts w:ascii="Times New Roman" w:hAnsi="Times New Roman" w:cs="Times New Roman"/>
          <w:b/>
          <w:sz w:val="24"/>
          <w:szCs w:val="24"/>
          <w:lang w:val="en-GB"/>
        </w:rPr>
      </w:pPr>
      <w:bookmarkStart w:id="15" w:name="_Toc112932716"/>
      <w:r w:rsidRPr="00D62D04">
        <w:rPr>
          <w:rFonts w:ascii="Times New Roman" w:hAnsi="Times New Roman" w:cs="Times New Roman"/>
          <w:b/>
          <w:color w:val="auto"/>
          <w:sz w:val="24"/>
          <w:szCs w:val="24"/>
          <w:lang w:val="en-GB"/>
        </w:rPr>
        <w:t>Article 5 of the Framework Convention</w:t>
      </w:r>
      <w:bookmarkEnd w:id="15"/>
      <w:r w:rsidRPr="00D62D04">
        <w:rPr>
          <w:rFonts w:ascii="Times New Roman" w:hAnsi="Times New Roman" w:cs="Times New Roman"/>
          <w:b/>
          <w:color w:val="auto"/>
          <w:sz w:val="24"/>
          <w:szCs w:val="24"/>
          <w:lang w:val="en-GB"/>
        </w:rPr>
        <w:t xml:space="preserve"> </w:t>
      </w:r>
    </w:p>
    <w:p w14:paraId="5BB5A1AA" w14:textId="77777777" w:rsidR="00841498" w:rsidRPr="00D62D04" w:rsidRDefault="000F3D8B" w:rsidP="00F333CD">
      <w:pPr>
        <w:pStyle w:val="Heading3"/>
        <w:jc w:val="center"/>
        <w:rPr>
          <w:rFonts w:ascii="Times New Roman" w:hAnsi="Times New Roman" w:cs="Times New Roman"/>
          <w:b/>
          <w:highlight w:val="cyan"/>
          <w:lang w:val="en-GB"/>
        </w:rPr>
      </w:pPr>
      <w:r w:rsidRPr="00D62D04">
        <w:rPr>
          <w:lang w:val="en-GB"/>
        </w:rPr>
        <w:t xml:space="preserve"> </w:t>
      </w:r>
      <w:bookmarkStart w:id="16" w:name="_Toc112932717"/>
      <w:r w:rsidRPr="00D62D04">
        <w:rPr>
          <w:rFonts w:ascii="Times New Roman" w:hAnsi="Times New Roman" w:cs="Times New Roman"/>
          <w:b/>
          <w:color w:val="auto"/>
          <w:lang w:val="en-GB"/>
        </w:rPr>
        <w:t>Preservation and promotion of all identities and cultures of national minorities</w:t>
      </w:r>
      <w:bookmarkEnd w:id="16"/>
    </w:p>
    <w:p w14:paraId="6207D3AB" w14:textId="77777777" w:rsidR="00841498" w:rsidRPr="00D62D04" w:rsidRDefault="00841498" w:rsidP="0077600F">
      <w:pPr>
        <w:spacing w:after="0"/>
        <w:jc w:val="both"/>
        <w:rPr>
          <w:sz w:val="24"/>
          <w:szCs w:val="24"/>
          <w:highlight w:val="cyan"/>
          <w:lang w:val="en-GB"/>
        </w:rPr>
      </w:pPr>
    </w:p>
    <w:p w14:paraId="615029F3" w14:textId="77777777" w:rsidR="00305398" w:rsidRPr="00D62D04" w:rsidRDefault="00671635" w:rsidP="00671635">
      <w:pPr>
        <w:spacing w:after="0"/>
        <w:jc w:val="both"/>
        <w:rPr>
          <w:i/>
          <w:sz w:val="24"/>
          <w:szCs w:val="24"/>
          <w:lang w:val="en-GB"/>
        </w:rPr>
      </w:pPr>
      <w:r w:rsidRPr="00D62D04">
        <w:rPr>
          <w:i/>
          <w:sz w:val="24"/>
          <w:szCs w:val="24"/>
          <w:lang w:val="en-GB"/>
        </w:rPr>
        <w:t xml:space="preserve">51. </w:t>
      </w:r>
      <w:r w:rsidR="00305398" w:rsidRPr="00D62D04">
        <w:rPr>
          <w:i/>
          <w:sz w:val="24"/>
          <w:szCs w:val="24"/>
          <w:lang w:val="en-GB"/>
        </w:rPr>
        <w:t>The Advisory Committee calls on the authorities to further increase the funds allocated to the Budget Fund for National Minorities and to take the necessary measures to provide additional funds for national minorities in central and southern Serbia. It also calls on the authorities to develop capacity-building opportunities for organisations with fewer resources to increase their chances of bidding for funding from the Budget Fund for National Minorities and to ensure that bidding procedures are designed to take into account the specific needs of minorities.</w:t>
      </w:r>
    </w:p>
    <w:p w14:paraId="5B663F85" w14:textId="77777777" w:rsidR="00671635" w:rsidRPr="00D62D04" w:rsidRDefault="00671635" w:rsidP="00671635">
      <w:pPr>
        <w:spacing w:after="0"/>
        <w:jc w:val="both"/>
        <w:rPr>
          <w:i/>
          <w:sz w:val="24"/>
          <w:szCs w:val="24"/>
          <w:highlight w:val="cyan"/>
          <w:lang w:val="en-GB"/>
        </w:rPr>
      </w:pPr>
    </w:p>
    <w:p w14:paraId="7C9FAEE6" w14:textId="51FBE1F3" w:rsidR="00F31B10" w:rsidRPr="00D62D04" w:rsidRDefault="000F3D8B" w:rsidP="00F31B10">
      <w:pPr>
        <w:spacing w:after="0"/>
        <w:ind w:firstLine="720"/>
        <w:jc w:val="both"/>
        <w:rPr>
          <w:sz w:val="24"/>
          <w:szCs w:val="24"/>
          <w:lang w:val="en-GB"/>
        </w:rPr>
      </w:pPr>
      <w:r w:rsidRPr="00D62D04">
        <w:rPr>
          <w:sz w:val="24"/>
          <w:szCs w:val="24"/>
          <w:lang w:val="en-GB"/>
        </w:rPr>
        <w:t xml:space="preserve">The </w:t>
      </w:r>
      <w:r w:rsidR="008B23D1">
        <w:rPr>
          <w:sz w:val="24"/>
          <w:szCs w:val="24"/>
          <w:lang w:val="en-GB"/>
        </w:rPr>
        <w:t>response</w:t>
      </w:r>
      <w:r w:rsidRPr="00D62D04">
        <w:rPr>
          <w:sz w:val="24"/>
          <w:szCs w:val="24"/>
          <w:lang w:val="en-GB"/>
        </w:rPr>
        <w:t xml:space="preserve"> to this recommendation is given in the </w:t>
      </w:r>
      <w:r w:rsidR="008B23D1">
        <w:rPr>
          <w:sz w:val="24"/>
          <w:szCs w:val="24"/>
          <w:lang w:val="en-GB"/>
        </w:rPr>
        <w:t>response</w:t>
      </w:r>
      <w:r w:rsidRPr="00D62D04">
        <w:rPr>
          <w:sz w:val="24"/>
          <w:szCs w:val="24"/>
          <w:lang w:val="en-GB"/>
        </w:rPr>
        <w:t xml:space="preserve"> to recommendation 12 of the </w:t>
      </w:r>
      <w:r w:rsidR="00AC33C4">
        <w:rPr>
          <w:sz w:val="24"/>
          <w:szCs w:val="24"/>
          <w:lang w:val="en-GB"/>
        </w:rPr>
        <w:t>Committee of Ministers Resolution</w:t>
      </w:r>
      <w:r w:rsidRPr="00D62D04">
        <w:rPr>
          <w:sz w:val="24"/>
          <w:szCs w:val="24"/>
          <w:lang w:val="en-GB"/>
        </w:rPr>
        <w:t>.</w:t>
      </w:r>
    </w:p>
    <w:p w14:paraId="1505A8BD" w14:textId="77777777" w:rsidR="00D34941" w:rsidRPr="00D62D04" w:rsidRDefault="00D34941" w:rsidP="00671635">
      <w:pPr>
        <w:spacing w:after="0"/>
        <w:jc w:val="both"/>
        <w:rPr>
          <w:sz w:val="24"/>
          <w:szCs w:val="24"/>
          <w:lang w:val="en-GB"/>
        </w:rPr>
      </w:pPr>
      <w:r w:rsidRPr="00D62D04">
        <w:rPr>
          <w:sz w:val="24"/>
          <w:szCs w:val="24"/>
          <w:lang w:val="en-GB"/>
        </w:rPr>
        <w:tab/>
      </w:r>
    </w:p>
    <w:p w14:paraId="152725D1" w14:textId="77777777" w:rsidR="005824DD" w:rsidRPr="00D62D04" w:rsidRDefault="00671635" w:rsidP="003E3814">
      <w:pPr>
        <w:spacing w:after="0"/>
        <w:jc w:val="both"/>
        <w:rPr>
          <w:i/>
          <w:sz w:val="24"/>
          <w:szCs w:val="24"/>
          <w:lang w:val="en-GB"/>
        </w:rPr>
      </w:pPr>
      <w:r w:rsidRPr="00D62D04">
        <w:rPr>
          <w:i/>
          <w:sz w:val="24"/>
          <w:szCs w:val="24"/>
          <w:lang w:val="en-GB"/>
        </w:rPr>
        <w:t xml:space="preserve">52. </w:t>
      </w:r>
      <w:r w:rsidR="005824DD" w:rsidRPr="00D62D04">
        <w:rPr>
          <w:i/>
          <w:sz w:val="24"/>
          <w:szCs w:val="24"/>
          <w:lang w:val="en-GB"/>
        </w:rPr>
        <w:t>The Advisory Committee also calls on the authorities, at the national and provincial levels, to further promote and support multicultural and intercultural projects and ensure regular funding as well as sustainability.</w:t>
      </w:r>
    </w:p>
    <w:p w14:paraId="19E27D86" w14:textId="77777777" w:rsidR="00FC49CE" w:rsidRPr="00D62D04" w:rsidRDefault="00FC49CE" w:rsidP="00671635">
      <w:pPr>
        <w:spacing w:after="0"/>
        <w:jc w:val="both"/>
        <w:rPr>
          <w:i/>
          <w:sz w:val="24"/>
          <w:szCs w:val="24"/>
          <w:highlight w:val="cyan"/>
          <w:lang w:val="en-GB"/>
        </w:rPr>
      </w:pPr>
    </w:p>
    <w:p w14:paraId="20F632CE" w14:textId="77777777" w:rsidR="00F31B10" w:rsidRPr="00D62D04" w:rsidRDefault="005824DD" w:rsidP="00671635">
      <w:pPr>
        <w:spacing w:after="0"/>
        <w:jc w:val="both"/>
        <w:rPr>
          <w:i/>
          <w:sz w:val="24"/>
          <w:szCs w:val="24"/>
          <w:highlight w:val="cyan"/>
          <w:lang w:val="en-GB"/>
        </w:rPr>
      </w:pPr>
      <w:r w:rsidRPr="00D62D04">
        <w:rPr>
          <w:i/>
          <w:sz w:val="24"/>
          <w:szCs w:val="24"/>
          <w:lang w:val="en-GB"/>
        </w:rPr>
        <w:t>Multicultural and intercultural projects</w:t>
      </w:r>
    </w:p>
    <w:p w14:paraId="2007DA5C" w14:textId="77777777" w:rsidR="00F31B10" w:rsidRPr="00D62D04" w:rsidRDefault="00F31B10" w:rsidP="00671635">
      <w:pPr>
        <w:spacing w:after="0"/>
        <w:jc w:val="both"/>
        <w:rPr>
          <w:i/>
          <w:sz w:val="24"/>
          <w:szCs w:val="24"/>
          <w:highlight w:val="cyan"/>
          <w:lang w:val="en-GB"/>
        </w:rPr>
      </w:pPr>
    </w:p>
    <w:p w14:paraId="6850C6DF" w14:textId="77777777" w:rsidR="006A28C6" w:rsidRPr="00D62D04" w:rsidRDefault="006A28C6" w:rsidP="00FC49CE">
      <w:pPr>
        <w:spacing w:after="0"/>
        <w:ind w:firstLine="720"/>
        <w:jc w:val="both"/>
        <w:rPr>
          <w:sz w:val="24"/>
          <w:szCs w:val="24"/>
          <w:lang w:val="en-GB"/>
        </w:rPr>
      </w:pPr>
      <w:r w:rsidRPr="00D62D04">
        <w:rPr>
          <w:sz w:val="24"/>
          <w:szCs w:val="24"/>
          <w:lang w:val="en-GB"/>
        </w:rPr>
        <w:t>On the occasion of the competitive co-financing of projects of importance for national minorities, which is carried out every year, the Ministry of Culture and Information emphasised on several occasions that the nature of the submitted projects was usually such that the projects did not sufficiently communicate with the wider community, that is, they were closed within the framework of one minority. Bearing this in mind, the competition priorities have been redefined, so that priority is given to projects that nurture the cultural and linguistic peculiarities of several national minorities and encourage intercultural dialogue. Within the competition for cultural activities of national minorities, the number of competition applications for the field of multicultural creativity increased in the reporting period, but, unfortunately, their quality was not at a satisfactory level for the number of supported projects to copy these statistics. In the coming period, as part of the planned educational measures, work will be done on raising awareness of the importance of a multicultural approach, as well as on the content quality of the offered projects. The table below contains data on multicultural projects in specialised tenders that are exclusively intended for co-financing the cultural activities of national minorities.</w:t>
      </w:r>
    </w:p>
    <w:p w14:paraId="7DEA55D7" w14:textId="77777777" w:rsidR="00FC49CE" w:rsidRPr="00D62D04" w:rsidRDefault="00FC49CE" w:rsidP="00FC49CE">
      <w:pPr>
        <w:spacing w:after="0"/>
        <w:jc w:val="both"/>
        <w:rPr>
          <w:sz w:val="24"/>
          <w:szCs w:val="24"/>
          <w:highlight w:val="cyan"/>
          <w:lang w:val="en-GB"/>
        </w:rPr>
      </w:pP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FC49CE" w:rsidRPr="00D62D04" w14:paraId="00D6555D" w14:textId="77777777" w:rsidTr="00CC11E2">
        <w:tc>
          <w:tcPr>
            <w:tcW w:w="1502" w:type="dxa"/>
          </w:tcPr>
          <w:p w14:paraId="21EC0A79" w14:textId="77777777" w:rsidR="00FC49CE" w:rsidRPr="00D62D04" w:rsidRDefault="00FC49CE" w:rsidP="00CC11E2">
            <w:pPr>
              <w:spacing w:after="0"/>
              <w:jc w:val="center"/>
              <w:rPr>
                <w:sz w:val="20"/>
                <w:szCs w:val="20"/>
                <w:lang w:val="en-GB"/>
              </w:rPr>
            </w:pPr>
          </w:p>
        </w:tc>
        <w:tc>
          <w:tcPr>
            <w:tcW w:w="1502" w:type="dxa"/>
          </w:tcPr>
          <w:p w14:paraId="775A970D" w14:textId="77777777" w:rsidR="00FC49CE" w:rsidRPr="00D62D04" w:rsidRDefault="006A28C6" w:rsidP="00CC11E2">
            <w:pPr>
              <w:spacing w:after="0"/>
              <w:jc w:val="center"/>
              <w:rPr>
                <w:sz w:val="20"/>
                <w:szCs w:val="20"/>
                <w:lang w:val="en-GB"/>
              </w:rPr>
            </w:pPr>
            <w:r w:rsidRPr="00D62D04">
              <w:rPr>
                <w:sz w:val="20"/>
                <w:szCs w:val="20"/>
                <w:lang w:val="en-GB"/>
              </w:rPr>
              <w:t>2017</w:t>
            </w:r>
          </w:p>
        </w:tc>
        <w:tc>
          <w:tcPr>
            <w:tcW w:w="1503" w:type="dxa"/>
          </w:tcPr>
          <w:p w14:paraId="6961B86B" w14:textId="77777777" w:rsidR="00FC49CE" w:rsidRPr="00D62D04" w:rsidRDefault="006A28C6" w:rsidP="00CC11E2">
            <w:pPr>
              <w:spacing w:after="0"/>
              <w:jc w:val="center"/>
              <w:rPr>
                <w:sz w:val="20"/>
                <w:szCs w:val="20"/>
                <w:lang w:val="en-GB"/>
              </w:rPr>
            </w:pPr>
            <w:r w:rsidRPr="00D62D04">
              <w:rPr>
                <w:sz w:val="20"/>
                <w:szCs w:val="20"/>
                <w:lang w:val="en-GB"/>
              </w:rPr>
              <w:t>2018</w:t>
            </w:r>
          </w:p>
        </w:tc>
        <w:tc>
          <w:tcPr>
            <w:tcW w:w="1503" w:type="dxa"/>
          </w:tcPr>
          <w:p w14:paraId="64ECD3E2" w14:textId="77777777" w:rsidR="00FC49CE" w:rsidRPr="00D62D04" w:rsidRDefault="006A28C6" w:rsidP="00CC11E2">
            <w:pPr>
              <w:spacing w:after="0"/>
              <w:jc w:val="center"/>
              <w:rPr>
                <w:sz w:val="20"/>
                <w:szCs w:val="20"/>
                <w:lang w:val="en-GB"/>
              </w:rPr>
            </w:pPr>
            <w:r w:rsidRPr="00D62D04">
              <w:rPr>
                <w:sz w:val="20"/>
                <w:szCs w:val="20"/>
                <w:lang w:val="en-GB"/>
              </w:rPr>
              <w:t>2019</w:t>
            </w:r>
          </w:p>
        </w:tc>
        <w:tc>
          <w:tcPr>
            <w:tcW w:w="1503" w:type="dxa"/>
          </w:tcPr>
          <w:p w14:paraId="6C897E55" w14:textId="77777777" w:rsidR="00FC49CE" w:rsidRPr="00D62D04" w:rsidRDefault="006A28C6" w:rsidP="00CC11E2">
            <w:pPr>
              <w:spacing w:after="0"/>
              <w:jc w:val="center"/>
              <w:rPr>
                <w:sz w:val="20"/>
                <w:szCs w:val="20"/>
                <w:lang w:val="en-GB"/>
              </w:rPr>
            </w:pPr>
            <w:r w:rsidRPr="00D62D04">
              <w:rPr>
                <w:sz w:val="20"/>
                <w:szCs w:val="20"/>
                <w:lang w:val="en-GB"/>
              </w:rPr>
              <w:t>2020</w:t>
            </w:r>
          </w:p>
        </w:tc>
        <w:tc>
          <w:tcPr>
            <w:tcW w:w="1503" w:type="dxa"/>
          </w:tcPr>
          <w:p w14:paraId="71C07F08" w14:textId="77777777" w:rsidR="00FC49CE" w:rsidRPr="00D62D04" w:rsidRDefault="006A28C6" w:rsidP="00CC11E2">
            <w:pPr>
              <w:spacing w:after="0"/>
              <w:jc w:val="center"/>
              <w:rPr>
                <w:sz w:val="20"/>
                <w:szCs w:val="20"/>
                <w:lang w:val="en-GB"/>
              </w:rPr>
            </w:pPr>
            <w:r w:rsidRPr="00D62D04">
              <w:rPr>
                <w:sz w:val="20"/>
                <w:szCs w:val="20"/>
                <w:lang w:val="en-GB"/>
              </w:rPr>
              <w:t>2021</w:t>
            </w:r>
          </w:p>
        </w:tc>
      </w:tr>
      <w:tr w:rsidR="00FC49CE" w:rsidRPr="00D62D04" w14:paraId="1CB09816" w14:textId="77777777" w:rsidTr="00CC11E2">
        <w:tc>
          <w:tcPr>
            <w:tcW w:w="1502" w:type="dxa"/>
            <w:vAlign w:val="bottom"/>
          </w:tcPr>
          <w:p w14:paraId="39958336" w14:textId="77777777" w:rsidR="00FC49CE" w:rsidRPr="00D62D04" w:rsidRDefault="006A28C6" w:rsidP="00CC11E2">
            <w:pPr>
              <w:spacing w:after="0"/>
              <w:rPr>
                <w:rFonts w:eastAsia="Times New Roman"/>
                <w:color w:val="000000"/>
                <w:sz w:val="20"/>
                <w:szCs w:val="20"/>
                <w:lang w:val="en-GB"/>
              </w:rPr>
            </w:pPr>
            <w:r w:rsidRPr="00D62D04">
              <w:rPr>
                <w:rFonts w:eastAsia="Times New Roman"/>
                <w:color w:val="000000"/>
                <w:sz w:val="20"/>
                <w:szCs w:val="20"/>
                <w:lang w:val="en-GB"/>
              </w:rPr>
              <w:lastRenderedPageBreak/>
              <w:t>Number of registered projects</w:t>
            </w:r>
          </w:p>
        </w:tc>
        <w:tc>
          <w:tcPr>
            <w:tcW w:w="1502" w:type="dxa"/>
            <w:vAlign w:val="center"/>
          </w:tcPr>
          <w:p w14:paraId="37D791D3" w14:textId="77777777" w:rsidR="00FC49CE" w:rsidRPr="00D62D04" w:rsidRDefault="00FC49CE" w:rsidP="00CC11E2">
            <w:pPr>
              <w:spacing w:after="0"/>
              <w:jc w:val="center"/>
              <w:rPr>
                <w:rFonts w:eastAsia="Times New Roman"/>
                <w:color w:val="000000"/>
                <w:sz w:val="20"/>
                <w:szCs w:val="20"/>
                <w:lang w:val="en-GB"/>
              </w:rPr>
            </w:pPr>
            <w:r w:rsidRPr="00D62D04">
              <w:rPr>
                <w:rFonts w:eastAsia="Times New Roman"/>
                <w:color w:val="000000"/>
                <w:sz w:val="20"/>
                <w:szCs w:val="20"/>
                <w:lang w:val="en-GB"/>
              </w:rPr>
              <w:t>9</w:t>
            </w:r>
          </w:p>
        </w:tc>
        <w:tc>
          <w:tcPr>
            <w:tcW w:w="1503" w:type="dxa"/>
            <w:vAlign w:val="center"/>
          </w:tcPr>
          <w:p w14:paraId="64021D79" w14:textId="77777777" w:rsidR="00FC49CE" w:rsidRPr="00D62D04" w:rsidRDefault="00FC49CE" w:rsidP="00CC11E2">
            <w:pPr>
              <w:spacing w:after="0"/>
              <w:jc w:val="center"/>
              <w:rPr>
                <w:rFonts w:eastAsia="Times New Roman"/>
                <w:color w:val="000000"/>
                <w:sz w:val="20"/>
                <w:szCs w:val="20"/>
                <w:lang w:val="en-GB"/>
              </w:rPr>
            </w:pPr>
            <w:r w:rsidRPr="00D62D04">
              <w:rPr>
                <w:rFonts w:eastAsia="Times New Roman"/>
                <w:color w:val="000000"/>
                <w:sz w:val="20"/>
                <w:szCs w:val="20"/>
                <w:lang w:val="en-GB"/>
              </w:rPr>
              <w:t>8</w:t>
            </w:r>
          </w:p>
        </w:tc>
        <w:tc>
          <w:tcPr>
            <w:tcW w:w="1503" w:type="dxa"/>
            <w:vAlign w:val="center"/>
          </w:tcPr>
          <w:p w14:paraId="40319249" w14:textId="77777777" w:rsidR="00FC49CE" w:rsidRPr="00D62D04" w:rsidRDefault="00FC49CE" w:rsidP="00CC11E2">
            <w:pPr>
              <w:spacing w:after="0"/>
              <w:jc w:val="center"/>
              <w:rPr>
                <w:rFonts w:eastAsia="Times New Roman"/>
                <w:color w:val="000000"/>
                <w:sz w:val="20"/>
                <w:szCs w:val="20"/>
                <w:lang w:val="en-GB"/>
              </w:rPr>
            </w:pPr>
            <w:r w:rsidRPr="00D62D04">
              <w:rPr>
                <w:rFonts w:eastAsia="Times New Roman"/>
                <w:color w:val="000000"/>
                <w:sz w:val="20"/>
                <w:szCs w:val="20"/>
                <w:lang w:val="en-GB"/>
              </w:rPr>
              <w:t>10</w:t>
            </w:r>
          </w:p>
        </w:tc>
        <w:tc>
          <w:tcPr>
            <w:tcW w:w="1503" w:type="dxa"/>
            <w:vAlign w:val="center"/>
          </w:tcPr>
          <w:p w14:paraId="48C5C081" w14:textId="77777777" w:rsidR="00FC49CE" w:rsidRPr="00D62D04" w:rsidRDefault="00FC49CE" w:rsidP="00CC11E2">
            <w:pPr>
              <w:spacing w:after="0"/>
              <w:jc w:val="center"/>
              <w:rPr>
                <w:rFonts w:eastAsia="Times New Roman"/>
                <w:color w:val="000000"/>
                <w:sz w:val="20"/>
                <w:szCs w:val="20"/>
                <w:lang w:val="en-GB"/>
              </w:rPr>
            </w:pPr>
            <w:r w:rsidRPr="00D62D04">
              <w:rPr>
                <w:rFonts w:eastAsia="Times New Roman"/>
                <w:color w:val="000000"/>
                <w:sz w:val="20"/>
                <w:szCs w:val="20"/>
                <w:lang w:val="en-GB"/>
              </w:rPr>
              <w:t>10</w:t>
            </w:r>
          </w:p>
        </w:tc>
        <w:tc>
          <w:tcPr>
            <w:tcW w:w="1503" w:type="dxa"/>
            <w:vAlign w:val="center"/>
          </w:tcPr>
          <w:p w14:paraId="6576E15D" w14:textId="77777777" w:rsidR="00FC49CE" w:rsidRPr="00D62D04" w:rsidRDefault="00FC49CE" w:rsidP="00B820A7">
            <w:pPr>
              <w:spacing w:after="0"/>
              <w:jc w:val="center"/>
              <w:rPr>
                <w:rFonts w:eastAsia="Times New Roman"/>
                <w:color w:val="000000"/>
                <w:sz w:val="20"/>
                <w:szCs w:val="20"/>
                <w:lang w:val="en-GB"/>
              </w:rPr>
            </w:pPr>
            <w:r w:rsidRPr="00D62D04">
              <w:rPr>
                <w:rFonts w:eastAsia="Times New Roman"/>
                <w:color w:val="000000"/>
                <w:sz w:val="20"/>
                <w:szCs w:val="20"/>
                <w:lang w:val="en-GB"/>
              </w:rPr>
              <w:t>1</w:t>
            </w:r>
            <w:r w:rsidR="00B820A7" w:rsidRPr="00D62D04">
              <w:rPr>
                <w:rFonts w:eastAsia="Times New Roman"/>
                <w:color w:val="000000"/>
                <w:sz w:val="20"/>
                <w:szCs w:val="20"/>
                <w:lang w:val="en-GB"/>
              </w:rPr>
              <w:t>2</w:t>
            </w:r>
          </w:p>
        </w:tc>
      </w:tr>
      <w:tr w:rsidR="00FC49CE" w:rsidRPr="00D62D04" w14:paraId="6F3AFB9D" w14:textId="77777777" w:rsidTr="00CC11E2">
        <w:tc>
          <w:tcPr>
            <w:tcW w:w="1502" w:type="dxa"/>
            <w:vAlign w:val="bottom"/>
          </w:tcPr>
          <w:p w14:paraId="3DC73BAA" w14:textId="77777777" w:rsidR="00FC49CE" w:rsidRPr="00D62D04" w:rsidRDefault="006A28C6" w:rsidP="00FC49CE">
            <w:pPr>
              <w:spacing w:after="0"/>
              <w:rPr>
                <w:rFonts w:eastAsia="Times New Roman"/>
                <w:color w:val="000000"/>
                <w:sz w:val="20"/>
                <w:szCs w:val="20"/>
                <w:lang w:val="en-GB"/>
              </w:rPr>
            </w:pPr>
            <w:r w:rsidRPr="00D62D04">
              <w:rPr>
                <w:rFonts w:eastAsia="Times New Roman"/>
                <w:color w:val="000000"/>
                <w:sz w:val="20"/>
                <w:szCs w:val="20"/>
                <w:lang w:val="en-GB"/>
              </w:rPr>
              <w:t>Number of supported projects</w:t>
            </w:r>
          </w:p>
        </w:tc>
        <w:tc>
          <w:tcPr>
            <w:tcW w:w="1502" w:type="dxa"/>
            <w:vAlign w:val="center"/>
          </w:tcPr>
          <w:p w14:paraId="1F48C107" w14:textId="77777777" w:rsidR="00FC49CE" w:rsidRPr="00D62D04" w:rsidRDefault="00FC49CE" w:rsidP="00CC11E2">
            <w:pPr>
              <w:spacing w:after="0"/>
              <w:jc w:val="center"/>
              <w:rPr>
                <w:rFonts w:eastAsia="Times New Roman"/>
                <w:color w:val="000000"/>
                <w:sz w:val="20"/>
                <w:szCs w:val="20"/>
                <w:lang w:val="en-GB"/>
              </w:rPr>
            </w:pPr>
            <w:r w:rsidRPr="00D62D04">
              <w:rPr>
                <w:rFonts w:eastAsia="Times New Roman"/>
                <w:color w:val="000000"/>
                <w:sz w:val="20"/>
                <w:szCs w:val="20"/>
                <w:lang w:val="en-GB"/>
              </w:rPr>
              <w:t>6</w:t>
            </w:r>
          </w:p>
        </w:tc>
        <w:tc>
          <w:tcPr>
            <w:tcW w:w="1503" w:type="dxa"/>
            <w:vAlign w:val="center"/>
          </w:tcPr>
          <w:p w14:paraId="4521DBF8" w14:textId="77777777" w:rsidR="00FC49CE" w:rsidRPr="00D62D04" w:rsidRDefault="00FC49CE" w:rsidP="00CC11E2">
            <w:pPr>
              <w:spacing w:after="0"/>
              <w:jc w:val="center"/>
              <w:rPr>
                <w:rFonts w:eastAsia="Times New Roman"/>
                <w:color w:val="000000"/>
                <w:sz w:val="20"/>
                <w:szCs w:val="20"/>
                <w:lang w:val="en-GB"/>
              </w:rPr>
            </w:pPr>
            <w:r w:rsidRPr="00D62D04">
              <w:rPr>
                <w:rFonts w:eastAsia="Times New Roman"/>
                <w:color w:val="000000"/>
                <w:sz w:val="20"/>
                <w:szCs w:val="20"/>
                <w:lang w:val="en-GB"/>
              </w:rPr>
              <w:t>6</w:t>
            </w:r>
          </w:p>
        </w:tc>
        <w:tc>
          <w:tcPr>
            <w:tcW w:w="1503" w:type="dxa"/>
            <w:vAlign w:val="center"/>
          </w:tcPr>
          <w:p w14:paraId="3F009C4D" w14:textId="77777777" w:rsidR="00FC49CE" w:rsidRPr="00D62D04" w:rsidRDefault="00FC49CE" w:rsidP="00CC11E2">
            <w:pPr>
              <w:spacing w:after="0"/>
              <w:jc w:val="center"/>
              <w:rPr>
                <w:rFonts w:eastAsia="Times New Roman"/>
                <w:color w:val="000000"/>
                <w:sz w:val="20"/>
                <w:szCs w:val="20"/>
                <w:lang w:val="en-GB"/>
              </w:rPr>
            </w:pPr>
            <w:r w:rsidRPr="00D62D04">
              <w:rPr>
                <w:rFonts w:eastAsia="Times New Roman"/>
                <w:color w:val="000000"/>
                <w:sz w:val="20"/>
                <w:szCs w:val="20"/>
                <w:lang w:val="en-GB"/>
              </w:rPr>
              <w:t>5</w:t>
            </w:r>
          </w:p>
        </w:tc>
        <w:tc>
          <w:tcPr>
            <w:tcW w:w="1503" w:type="dxa"/>
            <w:vAlign w:val="center"/>
          </w:tcPr>
          <w:p w14:paraId="1578FC55" w14:textId="77777777" w:rsidR="00FC49CE" w:rsidRPr="00D62D04" w:rsidRDefault="00B820A7" w:rsidP="00CC11E2">
            <w:pPr>
              <w:spacing w:after="0"/>
              <w:jc w:val="center"/>
              <w:rPr>
                <w:rFonts w:eastAsia="Times New Roman"/>
                <w:color w:val="000000"/>
                <w:sz w:val="20"/>
                <w:szCs w:val="20"/>
                <w:lang w:val="en-GB"/>
              </w:rPr>
            </w:pPr>
            <w:r w:rsidRPr="00D62D04">
              <w:rPr>
                <w:rFonts w:eastAsia="Times New Roman"/>
                <w:color w:val="000000"/>
                <w:sz w:val="20"/>
                <w:szCs w:val="20"/>
                <w:lang w:val="en-GB"/>
              </w:rPr>
              <w:t>7</w:t>
            </w:r>
          </w:p>
        </w:tc>
        <w:tc>
          <w:tcPr>
            <w:tcW w:w="1503" w:type="dxa"/>
            <w:vAlign w:val="center"/>
          </w:tcPr>
          <w:p w14:paraId="5D7511DC" w14:textId="77777777" w:rsidR="00FC49CE" w:rsidRPr="00D62D04" w:rsidRDefault="00B820A7" w:rsidP="00CC11E2">
            <w:pPr>
              <w:spacing w:after="0"/>
              <w:jc w:val="center"/>
              <w:rPr>
                <w:rFonts w:eastAsia="Times New Roman"/>
                <w:color w:val="000000"/>
                <w:sz w:val="20"/>
                <w:szCs w:val="20"/>
                <w:lang w:val="en-GB"/>
              </w:rPr>
            </w:pPr>
            <w:r w:rsidRPr="00D62D04">
              <w:rPr>
                <w:rFonts w:eastAsia="Times New Roman"/>
                <w:color w:val="000000"/>
                <w:sz w:val="20"/>
                <w:szCs w:val="20"/>
                <w:lang w:val="en-GB"/>
              </w:rPr>
              <w:t>7</w:t>
            </w:r>
          </w:p>
        </w:tc>
      </w:tr>
      <w:tr w:rsidR="00FC49CE" w:rsidRPr="00D62D04" w14:paraId="7A52E1B4" w14:textId="77777777" w:rsidTr="00CC11E2">
        <w:tc>
          <w:tcPr>
            <w:tcW w:w="1502" w:type="dxa"/>
          </w:tcPr>
          <w:p w14:paraId="44D395F2" w14:textId="77777777" w:rsidR="00FC49CE" w:rsidRPr="00D62D04" w:rsidRDefault="006A28C6" w:rsidP="00CC11E2">
            <w:pPr>
              <w:spacing w:after="0"/>
              <w:jc w:val="both"/>
              <w:rPr>
                <w:sz w:val="20"/>
                <w:szCs w:val="20"/>
                <w:lang w:val="en-GB"/>
              </w:rPr>
            </w:pPr>
            <w:r w:rsidRPr="00D62D04">
              <w:rPr>
                <w:sz w:val="20"/>
                <w:szCs w:val="20"/>
                <w:lang w:val="en-GB"/>
              </w:rPr>
              <w:t>Amount of funds</w:t>
            </w:r>
          </w:p>
        </w:tc>
        <w:tc>
          <w:tcPr>
            <w:tcW w:w="1502" w:type="dxa"/>
            <w:vAlign w:val="center"/>
          </w:tcPr>
          <w:p w14:paraId="042C2B93" w14:textId="77777777" w:rsidR="00FC49CE" w:rsidRPr="00D62D04" w:rsidRDefault="00FC49CE" w:rsidP="006A28C6">
            <w:pPr>
              <w:spacing w:after="0"/>
              <w:jc w:val="center"/>
              <w:rPr>
                <w:sz w:val="20"/>
                <w:szCs w:val="20"/>
                <w:lang w:val="en-GB"/>
              </w:rPr>
            </w:pPr>
            <w:r w:rsidRPr="00D62D04">
              <w:rPr>
                <w:sz w:val="20"/>
                <w:szCs w:val="20"/>
                <w:lang w:val="en-GB"/>
              </w:rPr>
              <w:t>1</w:t>
            </w:r>
            <w:r w:rsidR="006A28C6" w:rsidRPr="00D62D04">
              <w:rPr>
                <w:sz w:val="20"/>
                <w:szCs w:val="20"/>
                <w:lang w:val="en-GB"/>
              </w:rPr>
              <w:t>,</w:t>
            </w:r>
            <w:r w:rsidRPr="00D62D04">
              <w:rPr>
                <w:sz w:val="20"/>
                <w:szCs w:val="20"/>
                <w:lang w:val="en-GB"/>
              </w:rPr>
              <w:t>100</w:t>
            </w:r>
            <w:r w:rsidR="006A28C6" w:rsidRPr="00D62D04">
              <w:rPr>
                <w:sz w:val="20"/>
                <w:szCs w:val="20"/>
                <w:lang w:val="en-GB"/>
              </w:rPr>
              <w:t>,</w:t>
            </w:r>
            <w:r w:rsidRPr="00D62D04">
              <w:rPr>
                <w:sz w:val="20"/>
                <w:szCs w:val="20"/>
                <w:lang w:val="en-GB"/>
              </w:rPr>
              <w:t>000</w:t>
            </w:r>
            <w:r w:rsidR="006A28C6" w:rsidRPr="00D62D04">
              <w:rPr>
                <w:sz w:val="20"/>
                <w:szCs w:val="20"/>
                <w:lang w:val="en-GB"/>
              </w:rPr>
              <w:t>.</w:t>
            </w:r>
            <w:r w:rsidRPr="00D62D04">
              <w:rPr>
                <w:sz w:val="20"/>
                <w:szCs w:val="20"/>
                <w:lang w:val="en-GB"/>
              </w:rPr>
              <w:t>00</w:t>
            </w:r>
          </w:p>
        </w:tc>
        <w:tc>
          <w:tcPr>
            <w:tcW w:w="1503" w:type="dxa"/>
            <w:vAlign w:val="center"/>
          </w:tcPr>
          <w:p w14:paraId="2D9064E5" w14:textId="77777777" w:rsidR="00FC49CE" w:rsidRPr="00D62D04" w:rsidRDefault="00FC49CE" w:rsidP="006A28C6">
            <w:pPr>
              <w:spacing w:after="0"/>
              <w:jc w:val="center"/>
              <w:rPr>
                <w:sz w:val="20"/>
                <w:szCs w:val="20"/>
                <w:lang w:val="en-GB"/>
              </w:rPr>
            </w:pPr>
            <w:r w:rsidRPr="00D62D04">
              <w:rPr>
                <w:rFonts w:eastAsia="Times New Roman"/>
                <w:color w:val="000000"/>
                <w:sz w:val="20"/>
                <w:szCs w:val="20"/>
                <w:lang w:val="en-GB"/>
              </w:rPr>
              <w:t>720</w:t>
            </w:r>
            <w:r w:rsidR="006A28C6" w:rsidRPr="00D62D04">
              <w:rPr>
                <w:rFonts w:eastAsia="Times New Roman"/>
                <w:color w:val="000000"/>
                <w:sz w:val="20"/>
                <w:szCs w:val="20"/>
                <w:lang w:val="en-GB"/>
              </w:rPr>
              <w:t>,</w:t>
            </w:r>
            <w:r w:rsidRPr="00D62D04">
              <w:rPr>
                <w:rFonts w:eastAsia="Times New Roman"/>
                <w:color w:val="000000"/>
                <w:sz w:val="20"/>
                <w:szCs w:val="20"/>
                <w:lang w:val="en-GB"/>
              </w:rPr>
              <w:t>000</w:t>
            </w:r>
            <w:r w:rsidR="006A28C6" w:rsidRPr="00D62D04">
              <w:rPr>
                <w:rFonts w:eastAsia="Times New Roman"/>
                <w:color w:val="000000"/>
                <w:sz w:val="20"/>
                <w:szCs w:val="20"/>
                <w:lang w:val="en-GB"/>
              </w:rPr>
              <w:t>.</w:t>
            </w:r>
            <w:r w:rsidRPr="00D62D04">
              <w:rPr>
                <w:rFonts w:eastAsia="Times New Roman"/>
                <w:color w:val="000000"/>
                <w:sz w:val="20"/>
                <w:szCs w:val="20"/>
                <w:lang w:val="en-GB"/>
              </w:rPr>
              <w:t>00</w:t>
            </w:r>
          </w:p>
        </w:tc>
        <w:tc>
          <w:tcPr>
            <w:tcW w:w="1503" w:type="dxa"/>
            <w:vAlign w:val="center"/>
          </w:tcPr>
          <w:p w14:paraId="177B6B67" w14:textId="77777777" w:rsidR="00FC49CE" w:rsidRPr="00D62D04" w:rsidRDefault="00FC49CE" w:rsidP="006A28C6">
            <w:pPr>
              <w:spacing w:after="0"/>
              <w:jc w:val="center"/>
              <w:rPr>
                <w:sz w:val="20"/>
                <w:szCs w:val="20"/>
                <w:lang w:val="en-GB"/>
              </w:rPr>
            </w:pPr>
            <w:r w:rsidRPr="00D62D04">
              <w:rPr>
                <w:rFonts w:eastAsia="Times New Roman"/>
                <w:color w:val="000000"/>
                <w:sz w:val="20"/>
                <w:szCs w:val="20"/>
                <w:lang w:val="en-GB"/>
              </w:rPr>
              <w:t>667</w:t>
            </w:r>
            <w:r w:rsidR="006A28C6" w:rsidRPr="00D62D04">
              <w:rPr>
                <w:rFonts w:eastAsia="Times New Roman"/>
                <w:color w:val="000000"/>
                <w:sz w:val="20"/>
                <w:szCs w:val="20"/>
                <w:lang w:val="en-GB"/>
              </w:rPr>
              <w:t>,</w:t>
            </w:r>
            <w:r w:rsidRPr="00D62D04">
              <w:rPr>
                <w:rFonts w:eastAsia="Times New Roman"/>
                <w:color w:val="000000"/>
                <w:sz w:val="20"/>
                <w:szCs w:val="20"/>
                <w:lang w:val="en-GB"/>
              </w:rPr>
              <w:t>000</w:t>
            </w:r>
            <w:r w:rsidR="006A28C6" w:rsidRPr="00D62D04">
              <w:rPr>
                <w:rFonts w:eastAsia="Times New Roman"/>
                <w:color w:val="000000"/>
                <w:sz w:val="20"/>
                <w:szCs w:val="20"/>
                <w:lang w:val="en-GB"/>
              </w:rPr>
              <w:t>.</w:t>
            </w:r>
            <w:r w:rsidRPr="00D62D04">
              <w:rPr>
                <w:rFonts w:eastAsia="Times New Roman"/>
                <w:color w:val="000000"/>
                <w:sz w:val="20"/>
                <w:szCs w:val="20"/>
                <w:lang w:val="en-GB"/>
              </w:rPr>
              <w:t>00</w:t>
            </w:r>
          </w:p>
        </w:tc>
        <w:tc>
          <w:tcPr>
            <w:tcW w:w="1503" w:type="dxa"/>
            <w:vAlign w:val="center"/>
          </w:tcPr>
          <w:p w14:paraId="74D40975" w14:textId="77777777" w:rsidR="00FC49CE" w:rsidRPr="00D62D04" w:rsidRDefault="00B820A7" w:rsidP="006A28C6">
            <w:pPr>
              <w:spacing w:after="0"/>
              <w:jc w:val="center"/>
              <w:rPr>
                <w:sz w:val="20"/>
                <w:szCs w:val="20"/>
                <w:lang w:val="en-GB"/>
              </w:rPr>
            </w:pPr>
            <w:r w:rsidRPr="00D62D04">
              <w:rPr>
                <w:rFonts w:eastAsia="Times New Roman"/>
                <w:color w:val="000000"/>
                <w:sz w:val="20"/>
                <w:szCs w:val="20"/>
                <w:lang w:val="en-GB"/>
              </w:rPr>
              <w:t>845</w:t>
            </w:r>
            <w:r w:rsidR="006A28C6" w:rsidRPr="00D62D04">
              <w:rPr>
                <w:rFonts w:eastAsia="Times New Roman"/>
                <w:color w:val="000000"/>
                <w:sz w:val="20"/>
                <w:szCs w:val="20"/>
                <w:lang w:val="en-GB"/>
              </w:rPr>
              <w:t>,</w:t>
            </w:r>
            <w:r w:rsidRPr="00D62D04">
              <w:rPr>
                <w:rFonts w:eastAsia="Times New Roman"/>
                <w:color w:val="000000"/>
                <w:sz w:val="20"/>
                <w:szCs w:val="20"/>
                <w:lang w:val="en-GB"/>
              </w:rPr>
              <w:t>000</w:t>
            </w:r>
            <w:r w:rsidR="006A28C6" w:rsidRPr="00D62D04">
              <w:rPr>
                <w:rFonts w:eastAsia="Times New Roman"/>
                <w:color w:val="000000"/>
                <w:sz w:val="20"/>
                <w:szCs w:val="20"/>
                <w:lang w:val="en-GB"/>
              </w:rPr>
              <w:t>.</w:t>
            </w:r>
            <w:r w:rsidRPr="00D62D04">
              <w:rPr>
                <w:rFonts w:eastAsia="Times New Roman"/>
                <w:color w:val="000000"/>
                <w:sz w:val="20"/>
                <w:szCs w:val="20"/>
                <w:lang w:val="en-GB"/>
              </w:rPr>
              <w:t>00</w:t>
            </w:r>
          </w:p>
        </w:tc>
        <w:tc>
          <w:tcPr>
            <w:tcW w:w="1503" w:type="dxa"/>
            <w:vAlign w:val="center"/>
          </w:tcPr>
          <w:p w14:paraId="057BD2CE" w14:textId="77777777" w:rsidR="00FC49CE" w:rsidRPr="00D62D04" w:rsidRDefault="00B820A7" w:rsidP="006A28C6">
            <w:pPr>
              <w:spacing w:after="0"/>
              <w:jc w:val="center"/>
              <w:rPr>
                <w:sz w:val="20"/>
                <w:szCs w:val="20"/>
                <w:lang w:val="en-GB"/>
              </w:rPr>
            </w:pPr>
            <w:r w:rsidRPr="00D62D04">
              <w:rPr>
                <w:rFonts w:eastAsia="Times New Roman"/>
                <w:color w:val="000000"/>
                <w:sz w:val="20"/>
                <w:szCs w:val="20"/>
                <w:lang w:val="en-GB"/>
              </w:rPr>
              <w:t>840</w:t>
            </w:r>
            <w:r w:rsidR="006A28C6" w:rsidRPr="00D62D04">
              <w:rPr>
                <w:rFonts w:eastAsia="Times New Roman"/>
                <w:color w:val="000000"/>
                <w:sz w:val="20"/>
                <w:szCs w:val="20"/>
                <w:lang w:val="en-GB"/>
              </w:rPr>
              <w:t>,</w:t>
            </w:r>
            <w:r w:rsidRPr="00D62D04">
              <w:rPr>
                <w:rFonts w:eastAsia="Times New Roman"/>
                <w:color w:val="000000"/>
                <w:sz w:val="20"/>
                <w:szCs w:val="20"/>
                <w:lang w:val="en-GB"/>
              </w:rPr>
              <w:t>000</w:t>
            </w:r>
            <w:r w:rsidR="006A28C6" w:rsidRPr="00D62D04">
              <w:rPr>
                <w:rFonts w:eastAsia="Times New Roman"/>
                <w:color w:val="000000"/>
                <w:sz w:val="20"/>
                <w:szCs w:val="20"/>
                <w:lang w:val="en-GB"/>
              </w:rPr>
              <w:t>.</w:t>
            </w:r>
            <w:r w:rsidRPr="00D62D04">
              <w:rPr>
                <w:rFonts w:eastAsia="Times New Roman"/>
                <w:color w:val="000000"/>
                <w:sz w:val="20"/>
                <w:szCs w:val="20"/>
                <w:lang w:val="en-GB"/>
              </w:rPr>
              <w:t>00</w:t>
            </w:r>
          </w:p>
        </w:tc>
      </w:tr>
    </w:tbl>
    <w:p w14:paraId="58A9B16C" w14:textId="77777777" w:rsidR="00FC49CE" w:rsidRPr="00D62D04" w:rsidRDefault="00FC49CE" w:rsidP="00FC49CE">
      <w:pPr>
        <w:spacing w:after="0"/>
        <w:jc w:val="both"/>
        <w:rPr>
          <w:sz w:val="24"/>
          <w:szCs w:val="24"/>
          <w:highlight w:val="cyan"/>
          <w:lang w:val="en-GB"/>
        </w:rPr>
      </w:pPr>
    </w:p>
    <w:p w14:paraId="01085FF8" w14:textId="77777777" w:rsidR="007C29B4" w:rsidRPr="00D62D04" w:rsidRDefault="007C29B4" w:rsidP="00B820A7">
      <w:pPr>
        <w:spacing w:after="0"/>
        <w:ind w:firstLine="720"/>
        <w:jc w:val="both"/>
        <w:rPr>
          <w:sz w:val="24"/>
          <w:szCs w:val="24"/>
          <w:lang w:val="en-GB"/>
        </w:rPr>
      </w:pPr>
      <w:r w:rsidRPr="00D62D04">
        <w:rPr>
          <w:sz w:val="24"/>
          <w:szCs w:val="24"/>
          <w:lang w:val="en-GB"/>
        </w:rPr>
        <w:t>Apart from the specialised tenders that are exclusively intended for the co-financing of the cultural activities of national minorities, the co-financing of multicultural projects was also carried out at other tenders of the Ministry, the information on which is given in the table below.</w:t>
      </w:r>
    </w:p>
    <w:p w14:paraId="39565781" w14:textId="77777777" w:rsidR="00B820A7" w:rsidRPr="00D62D04" w:rsidRDefault="00B820A7" w:rsidP="00B820A7">
      <w:pPr>
        <w:spacing w:after="0"/>
        <w:jc w:val="both"/>
        <w:rPr>
          <w:sz w:val="24"/>
          <w:szCs w:val="24"/>
          <w:highlight w:val="cyan"/>
          <w:lang w:val="en-GB"/>
        </w:rPr>
      </w:pP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B820A7" w:rsidRPr="00D62D04" w14:paraId="2B887F60" w14:textId="77777777" w:rsidTr="00CC11E2">
        <w:tc>
          <w:tcPr>
            <w:tcW w:w="1502" w:type="dxa"/>
          </w:tcPr>
          <w:p w14:paraId="4067C25C" w14:textId="77777777" w:rsidR="00B820A7" w:rsidRPr="00D62D04" w:rsidRDefault="00B820A7" w:rsidP="00CC11E2">
            <w:pPr>
              <w:spacing w:after="0"/>
              <w:jc w:val="center"/>
              <w:rPr>
                <w:sz w:val="20"/>
                <w:szCs w:val="20"/>
                <w:lang w:val="en-GB"/>
              </w:rPr>
            </w:pPr>
          </w:p>
        </w:tc>
        <w:tc>
          <w:tcPr>
            <w:tcW w:w="1502" w:type="dxa"/>
          </w:tcPr>
          <w:p w14:paraId="67982833" w14:textId="77777777" w:rsidR="00B820A7" w:rsidRPr="00D62D04" w:rsidRDefault="007C29B4" w:rsidP="00CC11E2">
            <w:pPr>
              <w:spacing w:after="0"/>
              <w:jc w:val="center"/>
              <w:rPr>
                <w:sz w:val="20"/>
                <w:szCs w:val="20"/>
                <w:lang w:val="en-GB"/>
              </w:rPr>
            </w:pPr>
            <w:r w:rsidRPr="00D62D04">
              <w:rPr>
                <w:sz w:val="20"/>
                <w:szCs w:val="20"/>
                <w:lang w:val="en-GB"/>
              </w:rPr>
              <w:t>2017</w:t>
            </w:r>
          </w:p>
        </w:tc>
        <w:tc>
          <w:tcPr>
            <w:tcW w:w="1503" w:type="dxa"/>
          </w:tcPr>
          <w:p w14:paraId="534B1221" w14:textId="77777777" w:rsidR="00B820A7" w:rsidRPr="00D62D04" w:rsidRDefault="007C29B4" w:rsidP="00CC11E2">
            <w:pPr>
              <w:spacing w:after="0"/>
              <w:jc w:val="center"/>
              <w:rPr>
                <w:sz w:val="20"/>
                <w:szCs w:val="20"/>
                <w:lang w:val="en-GB"/>
              </w:rPr>
            </w:pPr>
            <w:r w:rsidRPr="00D62D04">
              <w:rPr>
                <w:sz w:val="20"/>
                <w:szCs w:val="20"/>
                <w:lang w:val="en-GB"/>
              </w:rPr>
              <w:t>2018</w:t>
            </w:r>
          </w:p>
        </w:tc>
        <w:tc>
          <w:tcPr>
            <w:tcW w:w="1503" w:type="dxa"/>
          </w:tcPr>
          <w:p w14:paraId="02036185" w14:textId="77777777" w:rsidR="00B820A7" w:rsidRPr="00D62D04" w:rsidRDefault="007C29B4" w:rsidP="00CC11E2">
            <w:pPr>
              <w:spacing w:after="0"/>
              <w:jc w:val="center"/>
              <w:rPr>
                <w:sz w:val="20"/>
                <w:szCs w:val="20"/>
                <w:lang w:val="en-GB"/>
              </w:rPr>
            </w:pPr>
            <w:r w:rsidRPr="00D62D04">
              <w:rPr>
                <w:sz w:val="20"/>
                <w:szCs w:val="20"/>
                <w:lang w:val="en-GB"/>
              </w:rPr>
              <w:t>2019</w:t>
            </w:r>
          </w:p>
        </w:tc>
        <w:tc>
          <w:tcPr>
            <w:tcW w:w="1503" w:type="dxa"/>
          </w:tcPr>
          <w:p w14:paraId="56C0E383" w14:textId="77777777" w:rsidR="00B820A7" w:rsidRPr="00D62D04" w:rsidRDefault="007C29B4" w:rsidP="00CC11E2">
            <w:pPr>
              <w:spacing w:after="0"/>
              <w:jc w:val="center"/>
              <w:rPr>
                <w:sz w:val="20"/>
                <w:szCs w:val="20"/>
                <w:lang w:val="en-GB"/>
              </w:rPr>
            </w:pPr>
            <w:r w:rsidRPr="00D62D04">
              <w:rPr>
                <w:sz w:val="20"/>
                <w:szCs w:val="20"/>
                <w:lang w:val="en-GB"/>
              </w:rPr>
              <w:t>2020</w:t>
            </w:r>
          </w:p>
        </w:tc>
        <w:tc>
          <w:tcPr>
            <w:tcW w:w="1503" w:type="dxa"/>
          </w:tcPr>
          <w:p w14:paraId="40E4FB46" w14:textId="77777777" w:rsidR="00B820A7" w:rsidRPr="00D62D04" w:rsidRDefault="007C29B4" w:rsidP="00CC11E2">
            <w:pPr>
              <w:spacing w:after="0"/>
              <w:jc w:val="center"/>
              <w:rPr>
                <w:sz w:val="20"/>
                <w:szCs w:val="20"/>
                <w:lang w:val="en-GB"/>
              </w:rPr>
            </w:pPr>
            <w:r w:rsidRPr="00D62D04">
              <w:rPr>
                <w:sz w:val="20"/>
                <w:szCs w:val="20"/>
                <w:lang w:val="en-GB"/>
              </w:rPr>
              <w:t>2021</w:t>
            </w:r>
          </w:p>
        </w:tc>
      </w:tr>
      <w:tr w:rsidR="00B820A7" w:rsidRPr="00D62D04" w14:paraId="43705724" w14:textId="77777777" w:rsidTr="00CC11E2">
        <w:tc>
          <w:tcPr>
            <w:tcW w:w="1502" w:type="dxa"/>
            <w:vAlign w:val="bottom"/>
          </w:tcPr>
          <w:p w14:paraId="2E8B62A3" w14:textId="77777777" w:rsidR="00B820A7" w:rsidRPr="00D62D04" w:rsidRDefault="007C29B4" w:rsidP="00CC11E2">
            <w:pPr>
              <w:spacing w:after="0"/>
              <w:rPr>
                <w:rFonts w:eastAsia="Times New Roman"/>
                <w:color w:val="000000"/>
                <w:sz w:val="20"/>
                <w:szCs w:val="20"/>
                <w:lang w:val="en-GB"/>
              </w:rPr>
            </w:pPr>
            <w:r w:rsidRPr="00D62D04">
              <w:rPr>
                <w:rFonts w:eastAsia="Times New Roman"/>
                <w:color w:val="000000"/>
                <w:sz w:val="20"/>
                <w:szCs w:val="20"/>
                <w:lang w:val="en-GB"/>
              </w:rPr>
              <w:t>Number of supported projects</w:t>
            </w:r>
          </w:p>
        </w:tc>
        <w:tc>
          <w:tcPr>
            <w:tcW w:w="1502" w:type="dxa"/>
            <w:vAlign w:val="center"/>
          </w:tcPr>
          <w:p w14:paraId="3453DC1C" w14:textId="77777777" w:rsidR="00B820A7" w:rsidRPr="00D62D04" w:rsidRDefault="00B820A7" w:rsidP="00CC11E2">
            <w:pPr>
              <w:spacing w:after="0"/>
              <w:jc w:val="center"/>
              <w:rPr>
                <w:rFonts w:eastAsia="Times New Roman"/>
                <w:color w:val="000000"/>
                <w:sz w:val="20"/>
                <w:szCs w:val="20"/>
                <w:lang w:val="en-GB"/>
              </w:rPr>
            </w:pPr>
            <w:r w:rsidRPr="00D62D04">
              <w:rPr>
                <w:rFonts w:eastAsia="Times New Roman"/>
                <w:color w:val="000000"/>
                <w:sz w:val="20"/>
                <w:szCs w:val="20"/>
                <w:lang w:val="en-GB"/>
              </w:rPr>
              <w:t>5</w:t>
            </w:r>
          </w:p>
        </w:tc>
        <w:tc>
          <w:tcPr>
            <w:tcW w:w="1503" w:type="dxa"/>
            <w:vAlign w:val="center"/>
          </w:tcPr>
          <w:p w14:paraId="102FF04C" w14:textId="77777777" w:rsidR="00B820A7" w:rsidRPr="00D62D04" w:rsidRDefault="00B820A7" w:rsidP="00CC11E2">
            <w:pPr>
              <w:spacing w:after="0"/>
              <w:jc w:val="center"/>
              <w:rPr>
                <w:rFonts w:eastAsia="Times New Roman"/>
                <w:color w:val="000000"/>
                <w:sz w:val="20"/>
                <w:szCs w:val="20"/>
                <w:lang w:val="en-GB"/>
              </w:rPr>
            </w:pPr>
            <w:r w:rsidRPr="00D62D04">
              <w:rPr>
                <w:rFonts w:eastAsia="Times New Roman"/>
                <w:color w:val="000000"/>
                <w:sz w:val="20"/>
                <w:szCs w:val="20"/>
                <w:lang w:val="en-GB"/>
              </w:rPr>
              <w:t>4</w:t>
            </w:r>
          </w:p>
        </w:tc>
        <w:tc>
          <w:tcPr>
            <w:tcW w:w="1503" w:type="dxa"/>
            <w:vAlign w:val="center"/>
          </w:tcPr>
          <w:p w14:paraId="1A224A16" w14:textId="77777777" w:rsidR="00B820A7" w:rsidRPr="00D62D04" w:rsidRDefault="00B820A7" w:rsidP="00CC11E2">
            <w:pPr>
              <w:spacing w:after="0"/>
              <w:jc w:val="center"/>
              <w:rPr>
                <w:rFonts w:eastAsia="Times New Roman"/>
                <w:color w:val="000000"/>
                <w:sz w:val="20"/>
                <w:szCs w:val="20"/>
                <w:lang w:val="en-GB"/>
              </w:rPr>
            </w:pPr>
            <w:r w:rsidRPr="00D62D04">
              <w:rPr>
                <w:rFonts w:eastAsia="Times New Roman"/>
                <w:color w:val="000000"/>
                <w:sz w:val="20"/>
                <w:szCs w:val="20"/>
                <w:lang w:val="en-GB"/>
              </w:rPr>
              <w:t>7</w:t>
            </w:r>
          </w:p>
        </w:tc>
        <w:tc>
          <w:tcPr>
            <w:tcW w:w="1503" w:type="dxa"/>
            <w:vAlign w:val="center"/>
          </w:tcPr>
          <w:p w14:paraId="3080E37E" w14:textId="77777777" w:rsidR="00B820A7" w:rsidRPr="00D62D04" w:rsidRDefault="00B820A7" w:rsidP="00CC11E2">
            <w:pPr>
              <w:spacing w:after="0"/>
              <w:jc w:val="center"/>
              <w:rPr>
                <w:rFonts w:eastAsia="Times New Roman"/>
                <w:color w:val="000000"/>
                <w:sz w:val="20"/>
                <w:szCs w:val="20"/>
                <w:lang w:val="en-GB"/>
              </w:rPr>
            </w:pPr>
            <w:r w:rsidRPr="00D62D04">
              <w:rPr>
                <w:rFonts w:eastAsia="Times New Roman"/>
                <w:color w:val="000000"/>
                <w:sz w:val="20"/>
                <w:szCs w:val="20"/>
                <w:lang w:val="en-GB"/>
              </w:rPr>
              <w:t>9</w:t>
            </w:r>
          </w:p>
        </w:tc>
        <w:tc>
          <w:tcPr>
            <w:tcW w:w="1503" w:type="dxa"/>
            <w:vAlign w:val="center"/>
          </w:tcPr>
          <w:p w14:paraId="5BA426C6" w14:textId="77777777" w:rsidR="00B820A7" w:rsidRPr="00D62D04" w:rsidRDefault="00B820A7" w:rsidP="00CC11E2">
            <w:pPr>
              <w:spacing w:after="0"/>
              <w:jc w:val="center"/>
              <w:rPr>
                <w:rFonts w:eastAsia="Times New Roman"/>
                <w:color w:val="000000"/>
                <w:sz w:val="20"/>
                <w:szCs w:val="20"/>
                <w:lang w:val="en-GB"/>
              </w:rPr>
            </w:pPr>
            <w:r w:rsidRPr="00D62D04">
              <w:rPr>
                <w:rFonts w:eastAsia="Times New Roman"/>
                <w:color w:val="000000"/>
                <w:sz w:val="20"/>
                <w:szCs w:val="20"/>
                <w:lang w:val="en-GB"/>
              </w:rPr>
              <w:t>8</w:t>
            </w:r>
          </w:p>
        </w:tc>
      </w:tr>
      <w:tr w:rsidR="007C29B4" w:rsidRPr="00D62D04" w14:paraId="308E8D62" w14:textId="77777777" w:rsidTr="00CC11E2">
        <w:tc>
          <w:tcPr>
            <w:tcW w:w="1502" w:type="dxa"/>
          </w:tcPr>
          <w:p w14:paraId="47CBD86B" w14:textId="77777777" w:rsidR="007C29B4" w:rsidRPr="00D62D04" w:rsidRDefault="007C29B4" w:rsidP="007C29B4">
            <w:pPr>
              <w:spacing w:after="0"/>
              <w:jc w:val="both"/>
              <w:rPr>
                <w:sz w:val="20"/>
                <w:szCs w:val="20"/>
                <w:lang w:val="en-GB"/>
              </w:rPr>
            </w:pPr>
            <w:r w:rsidRPr="00D62D04">
              <w:rPr>
                <w:sz w:val="20"/>
                <w:szCs w:val="20"/>
                <w:lang w:val="en-GB"/>
              </w:rPr>
              <w:t>Amount of funds</w:t>
            </w:r>
          </w:p>
        </w:tc>
        <w:tc>
          <w:tcPr>
            <w:tcW w:w="1502" w:type="dxa"/>
            <w:vAlign w:val="center"/>
          </w:tcPr>
          <w:p w14:paraId="723A60A0" w14:textId="77777777" w:rsidR="007C29B4" w:rsidRPr="00D62D04" w:rsidRDefault="007C29B4" w:rsidP="007C29B4">
            <w:pPr>
              <w:spacing w:after="0"/>
              <w:jc w:val="center"/>
              <w:rPr>
                <w:sz w:val="20"/>
                <w:szCs w:val="20"/>
                <w:lang w:val="en-GB"/>
              </w:rPr>
            </w:pPr>
            <w:r w:rsidRPr="00D62D04">
              <w:rPr>
                <w:sz w:val="20"/>
                <w:szCs w:val="20"/>
                <w:lang w:val="en-GB"/>
              </w:rPr>
              <w:t>1,850,000.00</w:t>
            </w:r>
          </w:p>
        </w:tc>
        <w:tc>
          <w:tcPr>
            <w:tcW w:w="1503" w:type="dxa"/>
            <w:vAlign w:val="center"/>
          </w:tcPr>
          <w:p w14:paraId="4499DF93" w14:textId="77777777" w:rsidR="007C29B4" w:rsidRPr="00D62D04" w:rsidRDefault="007C29B4" w:rsidP="007C29B4">
            <w:pPr>
              <w:spacing w:after="0"/>
              <w:jc w:val="center"/>
              <w:rPr>
                <w:sz w:val="20"/>
                <w:szCs w:val="20"/>
                <w:lang w:val="en-GB"/>
              </w:rPr>
            </w:pPr>
            <w:r w:rsidRPr="00D62D04">
              <w:rPr>
                <w:sz w:val="20"/>
                <w:szCs w:val="20"/>
                <w:lang w:val="en-GB"/>
              </w:rPr>
              <w:t>2,310,000.00</w:t>
            </w:r>
          </w:p>
        </w:tc>
        <w:tc>
          <w:tcPr>
            <w:tcW w:w="1503" w:type="dxa"/>
            <w:vAlign w:val="center"/>
          </w:tcPr>
          <w:p w14:paraId="5E22D135" w14:textId="77777777" w:rsidR="007C29B4" w:rsidRPr="00D62D04" w:rsidRDefault="007C29B4" w:rsidP="007C29B4">
            <w:pPr>
              <w:spacing w:after="0"/>
              <w:jc w:val="center"/>
              <w:rPr>
                <w:sz w:val="20"/>
                <w:szCs w:val="20"/>
                <w:lang w:val="en-GB"/>
              </w:rPr>
            </w:pPr>
            <w:r w:rsidRPr="00D62D04">
              <w:rPr>
                <w:sz w:val="20"/>
                <w:szCs w:val="20"/>
                <w:lang w:val="en-GB"/>
              </w:rPr>
              <w:t>5,909,000.00</w:t>
            </w:r>
          </w:p>
        </w:tc>
        <w:tc>
          <w:tcPr>
            <w:tcW w:w="1503" w:type="dxa"/>
            <w:vAlign w:val="center"/>
          </w:tcPr>
          <w:p w14:paraId="78C0D10A" w14:textId="77777777" w:rsidR="007C29B4" w:rsidRPr="00D62D04" w:rsidRDefault="007C29B4" w:rsidP="007C29B4">
            <w:pPr>
              <w:spacing w:after="0"/>
              <w:jc w:val="center"/>
              <w:rPr>
                <w:sz w:val="20"/>
                <w:szCs w:val="20"/>
                <w:lang w:val="en-GB"/>
              </w:rPr>
            </w:pPr>
            <w:r w:rsidRPr="00D62D04">
              <w:rPr>
                <w:sz w:val="20"/>
                <w:szCs w:val="20"/>
                <w:lang w:val="en-GB"/>
              </w:rPr>
              <w:t>6,640,000.00</w:t>
            </w:r>
          </w:p>
        </w:tc>
        <w:tc>
          <w:tcPr>
            <w:tcW w:w="1503" w:type="dxa"/>
            <w:vAlign w:val="center"/>
          </w:tcPr>
          <w:p w14:paraId="18207754" w14:textId="77777777" w:rsidR="007C29B4" w:rsidRPr="00D62D04" w:rsidRDefault="007C29B4" w:rsidP="007C29B4">
            <w:pPr>
              <w:spacing w:after="0"/>
              <w:jc w:val="center"/>
              <w:rPr>
                <w:sz w:val="20"/>
                <w:szCs w:val="20"/>
                <w:lang w:val="en-GB"/>
              </w:rPr>
            </w:pPr>
            <w:r w:rsidRPr="00D62D04">
              <w:rPr>
                <w:sz w:val="20"/>
                <w:szCs w:val="20"/>
                <w:lang w:val="en-GB"/>
              </w:rPr>
              <w:t>7,020,000.00</w:t>
            </w:r>
          </w:p>
        </w:tc>
      </w:tr>
    </w:tbl>
    <w:p w14:paraId="67D2C775" w14:textId="77777777" w:rsidR="00B820A7" w:rsidRPr="00D62D04" w:rsidRDefault="00B820A7" w:rsidP="00B820A7">
      <w:pPr>
        <w:spacing w:after="0"/>
        <w:jc w:val="both"/>
        <w:rPr>
          <w:sz w:val="24"/>
          <w:szCs w:val="24"/>
          <w:highlight w:val="cyan"/>
          <w:lang w:val="en-GB"/>
        </w:rPr>
      </w:pPr>
    </w:p>
    <w:p w14:paraId="1C3AD20F" w14:textId="465F4FEB" w:rsidR="003F49E4" w:rsidRPr="00D62D04" w:rsidRDefault="003F49E4" w:rsidP="00A67214">
      <w:pPr>
        <w:spacing w:after="0"/>
        <w:ind w:firstLine="720"/>
        <w:jc w:val="both"/>
        <w:rPr>
          <w:sz w:val="24"/>
          <w:szCs w:val="24"/>
          <w:lang w:val="en-GB"/>
        </w:rPr>
      </w:pPr>
      <w:r w:rsidRPr="00D62D04">
        <w:rPr>
          <w:sz w:val="24"/>
          <w:szCs w:val="24"/>
          <w:lang w:val="en-GB"/>
        </w:rPr>
        <w:t xml:space="preserve">In the area of protection and preservation of cultural heritage in AP of </w:t>
      </w:r>
      <w:proofErr w:type="spellStart"/>
      <w:r w:rsidRPr="00D62D04">
        <w:rPr>
          <w:sz w:val="24"/>
          <w:szCs w:val="24"/>
          <w:lang w:val="en-GB"/>
        </w:rPr>
        <w:t>Vojvodina</w:t>
      </w:r>
      <w:proofErr w:type="spellEnd"/>
      <w:r w:rsidRPr="00D62D04">
        <w:rPr>
          <w:sz w:val="24"/>
          <w:szCs w:val="24"/>
          <w:lang w:val="en-GB"/>
        </w:rPr>
        <w:t xml:space="preserve">, the competition for financing - co-financing of projects, which is announced on an annual level, includes projects in the area of protection of immovable, movable and intangible heritage of all peoples and national minorities whose heritage, according to the law, is considered a cultural resource. In accordance with international standards, cultural heritage as an asset of civilization belongs to everyone, and the benefit from its protection and preservation is common, </w:t>
      </w:r>
      <w:r w:rsidR="008D6D86" w:rsidRPr="00D62D04">
        <w:rPr>
          <w:sz w:val="24"/>
          <w:szCs w:val="24"/>
          <w:lang w:val="en-GB"/>
        </w:rPr>
        <w:t>so</w:t>
      </w:r>
      <w:r w:rsidRPr="00D62D04">
        <w:rPr>
          <w:sz w:val="24"/>
          <w:szCs w:val="24"/>
          <w:lang w:val="en-GB"/>
        </w:rPr>
        <w:t xml:space="preserve"> the largest number of supported projects (more than 80%) according to this competition has a multicultural character. In the field of contemporary creativ</w:t>
      </w:r>
      <w:r w:rsidR="008D6D86" w:rsidRPr="00D62D04">
        <w:rPr>
          <w:sz w:val="24"/>
          <w:szCs w:val="24"/>
          <w:lang w:val="en-GB"/>
        </w:rPr>
        <w:t>e work</w:t>
      </w:r>
      <w:r w:rsidRPr="00D62D04">
        <w:rPr>
          <w:sz w:val="24"/>
          <w:szCs w:val="24"/>
          <w:lang w:val="en-GB"/>
        </w:rPr>
        <w:t>, projects with a multicultural dimension are also supported, and the number of supporte</w:t>
      </w:r>
      <w:r w:rsidR="008D6D86" w:rsidRPr="00D62D04">
        <w:rPr>
          <w:sz w:val="24"/>
          <w:szCs w:val="24"/>
          <w:lang w:val="en-GB"/>
        </w:rPr>
        <w:t>d multicultural projects depend</w:t>
      </w:r>
      <w:r w:rsidRPr="00D62D04">
        <w:rPr>
          <w:sz w:val="24"/>
          <w:szCs w:val="24"/>
          <w:lang w:val="en-GB"/>
        </w:rPr>
        <w:t xml:space="preserve"> primarily on the number and quality of submitted applications.</w:t>
      </w:r>
    </w:p>
    <w:p w14:paraId="17995B46" w14:textId="77777777" w:rsidR="00A67214" w:rsidRPr="00D62D04" w:rsidRDefault="00A67214" w:rsidP="00A67214">
      <w:pPr>
        <w:spacing w:after="0"/>
        <w:jc w:val="both"/>
        <w:rPr>
          <w:sz w:val="24"/>
          <w:szCs w:val="24"/>
          <w:highlight w:val="cyan"/>
          <w:lang w:val="en-GB"/>
        </w:rPr>
      </w:pPr>
    </w:p>
    <w:tbl>
      <w:tblPr>
        <w:tblStyle w:val="TableGrid"/>
        <w:tblW w:w="0" w:type="auto"/>
        <w:tblLook w:val="04A0" w:firstRow="1" w:lastRow="0" w:firstColumn="1" w:lastColumn="0" w:noHBand="0" w:noVBand="1"/>
      </w:tblPr>
      <w:tblGrid>
        <w:gridCol w:w="1587"/>
        <w:gridCol w:w="1503"/>
        <w:gridCol w:w="1504"/>
        <w:gridCol w:w="1504"/>
        <w:gridCol w:w="1453"/>
        <w:gridCol w:w="1465"/>
      </w:tblGrid>
      <w:tr w:rsidR="00A62F9D" w:rsidRPr="00D62D04" w14:paraId="0ED67681" w14:textId="77777777" w:rsidTr="00CC11E2">
        <w:tc>
          <w:tcPr>
            <w:tcW w:w="9016" w:type="dxa"/>
            <w:gridSpan w:val="6"/>
          </w:tcPr>
          <w:p w14:paraId="714F4D64" w14:textId="77777777" w:rsidR="00A62F9D" w:rsidRPr="00D62D04" w:rsidRDefault="00035A7E" w:rsidP="00A62F9D">
            <w:pPr>
              <w:spacing w:after="0"/>
              <w:jc w:val="center"/>
              <w:rPr>
                <w:rFonts w:eastAsia="Times New Roman"/>
                <w:color w:val="000000"/>
                <w:sz w:val="20"/>
                <w:szCs w:val="20"/>
                <w:lang w:val="en-GB"/>
              </w:rPr>
            </w:pPr>
            <w:r w:rsidRPr="00D62D04">
              <w:rPr>
                <w:rFonts w:eastAsia="Times New Roman"/>
                <w:color w:val="000000"/>
                <w:sz w:val="20"/>
                <w:szCs w:val="20"/>
                <w:lang w:val="en-GB"/>
              </w:rPr>
              <w:t>Protection and preservation of cultural heritage</w:t>
            </w:r>
          </w:p>
          <w:p w14:paraId="0A58E1AE" w14:textId="77777777" w:rsidR="00035A7E" w:rsidRPr="00D62D04" w:rsidRDefault="00035A7E" w:rsidP="00A62F9D">
            <w:pPr>
              <w:spacing w:after="0"/>
              <w:jc w:val="center"/>
              <w:rPr>
                <w:sz w:val="20"/>
                <w:szCs w:val="20"/>
                <w:highlight w:val="cyan"/>
                <w:lang w:val="en-GB"/>
              </w:rPr>
            </w:pPr>
          </w:p>
        </w:tc>
      </w:tr>
      <w:tr w:rsidR="00B73822" w:rsidRPr="00D62D04" w14:paraId="31656861" w14:textId="77777777" w:rsidTr="000B30D0">
        <w:tc>
          <w:tcPr>
            <w:tcW w:w="1587" w:type="dxa"/>
          </w:tcPr>
          <w:p w14:paraId="548CDF5F" w14:textId="77777777" w:rsidR="00A67214" w:rsidRPr="00D62D04" w:rsidRDefault="00A67214" w:rsidP="00CC11E2">
            <w:pPr>
              <w:spacing w:after="0"/>
              <w:jc w:val="center"/>
              <w:rPr>
                <w:sz w:val="20"/>
                <w:szCs w:val="20"/>
                <w:lang w:val="en-GB"/>
              </w:rPr>
            </w:pPr>
          </w:p>
        </w:tc>
        <w:tc>
          <w:tcPr>
            <w:tcW w:w="1503" w:type="dxa"/>
          </w:tcPr>
          <w:p w14:paraId="3B62154E" w14:textId="77777777" w:rsidR="00A67214" w:rsidRPr="00D62D04" w:rsidRDefault="00035A7E" w:rsidP="00CC11E2">
            <w:pPr>
              <w:spacing w:after="0"/>
              <w:jc w:val="center"/>
              <w:rPr>
                <w:sz w:val="20"/>
                <w:szCs w:val="20"/>
                <w:lang w:val="en-GB"/>
              </w:rPr>
            </w:pPr>
            <w:r w:rsidRPr="00D62D04">
              <w:rPr>
                <w:sz w:val="20"/>
                <w:szCs w:val="20"/>
                <w:lang w:val="en-GB"/>
              </w:rPr>
              <w:t>2017</w:t>
            </w:r>
          </w:p>
        </w:tc>
        <w:tc>
          <w:tcPr>
            <w:tcW w:w="1504" w:type="dxa"/>
          </w:tcPr>
          <w:p w14:paraId="3CD82A5A" w14:textId="77777777" w:rsidR="00A67214" w:rsidRPr="00D62D04" w:rsidRDefault="00035A7E" w:rsidP="00CC11E2">
            <w:pPr>
              <w:spacing w:after="0"/>
              <w:jc w:val="center"/>
              <w:rPr>
                <w:sz w:val="20"/>
                <w:szCs w:val="20"/>
                <w:lang w:val="en-GB"/>
              </w:rPr>
            </w:pPr>
            <w:r w:rsidRPr="00D62D04">
              <w:rPr>
                <w:sz w:val="20"/>
                <w:szCs w:val="20"/>
                <w:lang w:val="en-GB"/>
              </w:rPr>
              <w:t>2018</w:t>
            </w:r>
          </w:p>
        </w:tc>
        <w:tc>
          <w:tcPr>
            <w:tcW w:w="1504" w:type="dxa"/>
          </w:tcPr>
          <w:p w14:paraId="4BDD9071" w14:textId="77777777" w:rsidR="00A67214" w:rsidRPr="00D62D04" w:rsidRDefault="00035A7E" w:rsidP="00CC11E2">
            <w:pPr>
              <w:spacing w:after="0"/>
              <w:jc w:val="center"/>
              <w:rPr>
                <w:sz w:val="20"/>
                <w:szCs w:val="20"/>
                <w:lang w:val="en-GB"/>
              </w:rPr>
            </w:pPr>
            <w:r w:rsidRPr="00D62D04">
              <w:rPr>
                <w:sz w:val="20"/>
                <w:szCs w:val="20"/>
                <w:lang w:val="en-GB"/>
              </w:rPr>
              <w:t>2019</w:t>
            </w:r>
          </w:p>
        </w:tc>
        <w:tc>
          <w:tcPr>
            <w:tcW w:w="1453" w:type="dxa"/>
          </w:tcPr>
          <w:p w14:paraId="0DFB1F69" w14:textId="77777777" w:rsidR="00A67214" w:rsidRPr="00D62D04" w:rsidRDefault="00035A7E" w:rsidP="00CC11E2">
            <w:pPr>
              <w:spacing w:after="0"/>
              <w:jc w:val="center"/>
              <w:rPr>
                <w:sz w:val="20"/>
                <w:szCs w:val="20"/>
                <w:lang w:val="en-GB"/>
              </w:rPr>
            </w:pPr>
            <w:r w:rsidRPr="00D62D04">
              <w:rPr>
                <w:sz w:val="20"/>
                <w:szCs w:val="20"/>
                <w:lang w:val="en-GB"/>
              </w:rPr>
              <w:t>2020</w:t>
            </w:r>
          </w:p>
        </w:tc>
        <w:tc>
          <w:tcPr>
            <w:tcW w:w="1465" w:type="dxa"/>
          </w:tcPr>
          <w:p w14:paraId="75F0C93F" w14:textId="77777777" w:rsidR="00A67214" w:rsidRPr="00D62D04" w:rsidRDefault="00035A7E" w:rsidP="00CC11E2">
            <w:pPr>
              <w:spacing w:after="0"/>
              <w:jc w:val="center"/>
              <w:rPr>
                <w:sz w:val="20"/>
                <w:szCs w:val="20"/>
                <w:lang w:val="en-GB"/>
              </w:rPr>
            </w:pPr>
            <w:r w:rsidRPr="00D62D04">
              <w:rPr>
                <w:sz w:val="20"/>
                <w:szCs w:val="20"/>
                <w:lang w:val="en-GB"/>
              </w:rPr>
              <w:t>2021</w:t>
            </w:r>
          </w:p>
        </w:tc>
      </w:tr>
      <w:tr w:rsidR="00B73822" w:rsidRPr="00D62D04" w14:paraId="48FF6727" w14:textId="77777777" w:rsidTr="000B30D0">
        <w:tc>
          <w:tcPr>
            <w:tcW w:w="1587" w:type="dxa"/>
            <w:vAlign w:val="bottom"/>
          </w:tcPr>
          <w:p w14:paraId="1A6219B2" w14:textId="77777777" w:rsidR="00A67214" w:rsidRPr="00D62D04" w:rsidRDefault="00035A7E" w:rsidP="00B1174C">
            <w:pPr>
              <w:spacing w:after="0"/>
              <w:rPr>
                <w:rFonts w:eastAsia="Times New Roman"/>
                <w:color w:val="000000"/>
                <w:sz w:val="20"/>
                <w:szCs w:val="20"/>
                <w:lang w:val="en-GB"/>
              </w:rPr>
            </w:pPr>
            <w:r w:rsidRPr="00D62D04">
              <w:rPr>
                <w:rFonts w:eastAsia="Times New Roman"/>
                <w:color w:val="000000"/>
                <w:sz w:val="20"/>
                <w:szCs w:val="20"/>
                <w:lang w:val="en-GB"/>
              </w:rPr>
              <w:t>Total number of projects</w:t>
            </w:r>
          </w:p>
        </w:tc>
        <w:tc>
          <w:tcPr>
            <w:tcW w:w="1503" w:type="dxa"/>
            <w:vAlign w:val="center"/>
          </w:tcPr>
          <w:p w14:paraId="40808DF1" w14:textId="77777777" w:rsidR="00A67214" w:rsidRPr="00D62D04" w:rsidRDefault="00A62F9D" w:rsidP="00172885">
            <w:pPr>
              <w:spacing w:after="0"/>
              <w:jc w:val="center"/>
              <w:rPr>
                <w:rFonts w:eastAsia="Times New Roman"/>
                <w:color w:val="000000"/>
                <w:sz w:val="20"/>
                <w:szCs w:val="20"/>
                <w:lang w:val="en-GB"/>
              </w:rPr>
            </w:pPr>
            <w:r w:rsidRPr="00D62D04">
              <w:rPr>
                <w:rFonts w:eastAsia="Times New Roman"/>
                <w:color w:val="000000"/>
                <w:sz w:val="20"/>
                <w:szCs w:val="20"/>
                <w:lang w:val="en-GB"/>
              </w:rPr>
              <w:t>31</w:t>
            </w:r>
          </w:p>
        </w:tc>
        <w:tc>
          <w:tcPr>
            <w:tcW w:w="1504" w:type="dxa"/>
            <w:vAlign w:val="center"/>
          </w:tcPr>
          <w:p w14:paraId="1ED22CF2" w14:textId="77777777" w:rsidR="00A67214" w:rsidRPr="00D62D04" w:rsidRDefault="00B73822" w:rsidP="00172885">
            <w:pPr>
              <w:spacing w:after="0"/>
              <w:jc w:val="center"/>
              <w:rPr>
                <w:rFonts w:eastAsia="Times New Roman"/>
                <w:color w:val="000000"/>
                <w:sz w:val="20"/>
                <w:szCs w:val="20"/>
                <w:lang w:val="en-GB"/>
              </w:rPr>
            </w:pPr>
            <w:r w:rsidRPr="00D62D04">
              <w:rPr>
                <w:rFonts w:eastAsia="Times New Roman"/>
                <w:color w:val="000000"/>
                <w:sz w:val="20"/>
                <w:szCs w:val="20"/>
                <w:lang w:val="en-GB"/>
              </w:rPr>
              <w:t>64</w:t>
            </w:r>
          </w:p>
        </w:tc>
        <w:tc>
          <w:tcPr>
            <w:tcW w:w="1504" w:type="dxa"/>
            <w:vAlign w:val="center"/>
          </w:tcPr>
          <w:p w14:paraId="001303F4" w14:textId="77777777" w:rsidR="00A67214" w:rsidRPr="00D62D04" w:rsidRDefault="00B73822" w:rsidP="00172885">
            <w:pPr>
              <w:spacing w:after="0"/>
              <w:jc w:val="center"/>
              <w:rPr>
                <w:rFonts w:eastAsia="Times New Roman"/>
                <w:color w:val="000000"/>
                <w:sz w:val="20"/>
                <w:szCs w:val="20"/>
                <w:lang w:val="en-GB"/>
              </w:rPr>
            </w:pPr>
            <w:r w:rsidRPr="00D62D04">
              <w:rPr>
                <w:rFonts w:eastAsia="Times New Roman"/>
                <w:color w:val="000000"/>
                <w:sz w:val="20"/>
                <w:szCs w:val="20"/>
                <w:lang w:val="en-GB"/>
              </w:rPr>
              <w:t>36</w:t>
            </w:r>
          </w:p>
        </w:tc>
        <w:tc>
          <w:tcPr>
            <w:tcW w:w="1453" w:type="dxa"/>
            <w:vAlign w:val="center"/>
          </w:tcPr>
          <w:p w14:paraId="748B586B" w14:textId="77777777" w:rsidR="00A67214" w:rsidRPr="00D62D04" w:rsidRDefault="00B73822" w:rsidP="00172885">
            <w:pPr>
              <w:spacing w:after="0"/>
              <w:jc w:val="center"/>
              <w:rPr>
                <w:rFonts w:eastAsia="Times New Roman"/>
                <w:color w:val="000000"/>
                <w:sz w:val="20"/>
                <w:szCs w:val="20"/>
                <w:lang w:val="en-GB"/>
              </w:rPr>
            </w:pPr>
            <w:r w:rsidRPr="00D62D04">
              <w:rPr>
                <w:rFonts w:eastAsia="Times New Roman"/>
                <w:color w:val="000000"/>
                <w:sz w:val="20"/>
                <w:szCs w:val="20"/>
                <w:lang w:val="en-GB"/>
              </w:rPr>
              <w:t>30</w:t>
            </w:r>
          </w:p>
        </w:tc>
        <w:tc>
          <w:tcPr>
            <w:tcW w:w="1465" w:type="dxa"/>
            <w:vAlign w:val="center"/>
          </w:tcPr>
          <w:p w14:paraId="20CBE43B" w14:textId="77777777" w:rsidR="00A67214" w:rsidRPr="00D62D04" w:rsidRDefault="00B73822" w:rsidP="00172885">
            <w:pPr>
              <w:spacing w:after="0"/>
              <w:jc w:val="center"/>
              <w:rPr>
                <w:rFonts w:eastAsia="Times New Roman"/>
                <w:color w:val="000000"/>
                <w:sz w:val="20"/>
                <w:szCs w:val="20"/>
                <w:lang w:val="en-GB"/>
              </w:rPr>
            </w:pPr>
            <w:r w:rsidRPr="00D62D04">
              <w:rPr>
                <w:rFonts w:eastAsia="Times New Roman"/>
                <w:color w:val="000000"/>
                <w:sz w:val="20"/>
                <w:szCs w:val="20"/>
                <w:lang w:val="en-GB"/>
              </w:rPr>
              <w:t>91</w:t>
            </w:r>
          </w:p>
        </w:tc>
      </w:tr>
      <w:tr w:rsidR="00B1174C" w:rsidRPr="00D62D04" w14:paraId="32078B35" w14:textId="77777777" w:rsidTr="000B30D0">
        <w:tc>
          <w:tcPr>
            <w:tcW w:w="1587" w:type="dxa"/>
            <w:vAlign w:val="bottom"/>
          </w:tcPr>
          <w:p w14:paraId="09251418" w14:textId="77777777" w:rsidR="00B1174C" w:rsidRPr="00D62D04" w:rsidRDefault="00035A7E" w:rsidP="00CC11E2">
            <w:pPr>
              <w:spacing w:after="0"/>
              <w:rPr>
                <w:rFonts w:eastAsia="Times New Roman"/>
                <w:color w:val="000000"/>
                <w:sz w:val="20"/>
                <w:szCs w:val="20"/>
                <w:lang w:val="en-GB"/>
              </w:rPr>
            </w:pPr>
            <w:r w:rsidRPr="00D62D04">
              <w:rPr>
                <w:rFonts w:eastAsia="Times New Roman"/>
                <w:color w:val="000000"/>
                <w:sz w:val="20"/>
                <w:szCs w:val="20"/>
                <w:lang w:val="en-GB"/>
              </w:rPr>
              <w:t xml:space="preserve">Multicultural </w:t>
            </w:r>
          </w:p>
        </w:tc>
        <w:tc>
          <w:tcPr>
            <w:tcW w:w="1503" w:type="dxa"/>
            <w:vAlign w:val="center"/>
          </w:tcPr>
          <w:p w14:paraId="6E8096C9" w14:textId="77777777" w:rsidR="00B1174C" w:rsidRPr="00D62D04" w:rsidRDefault="00B73822" w:rsidP="00172885">
            <w:pPr>
              <w:spacing w:after="0"/>
              <w:jc w:val="center"/>
              <w:rPr>
                <w:rFonts w:eastAsia="Times New Roman"/>
                <w:color w:val="000000"/>
                <w:sz w:val="20"/>
                <w:szCs w:val="20"/>
                <w:lang w:val="en-GB"/>
              </w:rPr>
            </w:pPr>
            <w:r w:rsidRPr="00D62D04">
              <w:rPr>
                <w:rFonts w:eastAsia="Times New Roman"/>
                <w:color w:val="000000"/>
                <w:sz w:val="20"/>
                <w:szCs w:val="20"/>
                <w:lang w:val="en-GB"/>
              </w:rPr>
              <w:t>28</w:t>
            </w:r>
          </w:p>
        </w:tc>
        <w:tc>
          <w:tcPr>
            <w:tcW w:w="1504" w:type="dxa"/>
            <w:vAlign w:val="center"/>
          </w:tcPr>
          <w:p w14:paraId="56259474" w14:textId="77777777" w:rsidR="00B1174C" w:rsidRPr="00D62D04" w:rsidRDefault="00B73822" w:rsidP="00172885">
            <w:pPr>
              <w:spacing w:after="0"/>
              <w:jc w:val="center"/>
              <w:rPr>
                <w:rFonts w:eastAsia="Times New Roman"/>
                <w:color w:val="000000"/>
                <w:sz w:val="20"/>
                <w:szCs w:val="20"/>
                <w:lang w:val="en-GB"/>
              </w:rPr>
            </w:pPr>
            <w:r w:rsidRPr="00D62D04">
              <w:rPr>
                <w:rFonts w:eastAsia="Times New Roman"/>
                <w:color w:val="000000"/>
                <w:sz w:val="20"/>
                <w:szCs w:val="20"/>
                <w:lang w:val="en-GB"/>
              </w:rPr>
              <w:t>57</w:t>
            </w:r>
          </w:p>
        </w:tc>
        <w:tc>
          <w:tcPr>
            <w:tcW w:w="1504" w:type="dxa"/>
            <w:vAlign w:val="center"/>
          </w:tcPr>
          <w:p w14:paraId="7ABD14A8" w14:textId="77777777" w:rsidR="00B1174C" w:rsidRPr="00D62D04" w:rsidRDefault="00B73822" w:rsidP="00172885">
            <w:pPr>
              <w:spacing w:after="0"/>
              <w:jc w:val="center"/>
              <w:rPr>
                <w:rFonts w:eastAsia="Times New Roman"/>
                <w:color w:val="000000"/>
                <w:sz w:val="20"/>
                <w:szCs w:val="20"/>
                <w:lang w:val="en-GB"/>
              </w:rPr>
            </w:pPr>
            <w:r w:rsidRPr="00D62D04">
              <w:rPr>
                <w:rFonts w:eastAsia="Times New Roman"/>
                <w:color w:val="000000"/>
                <w:sz w:val="20"/>
                <w:szCs w:val="20"/>
                <w:lang w:val="en-GB"/>
              </w:rPr>
              <w:t>30</w:t>
            </w:r>
          </w:p>
        </w:tc>
        <w:tc>
          <w:tcPr>
            <w:tcW w:w="1453" w:type="dxa"/>
            <w:vAlign w:val="center"/>
          </w:tcPr>
          <w:p w14:paraId="42CE6E29" w14:textId="77777777" w:rsidR="00B1174C" w:rsidRPr="00D62D04" w:rsidRDefault="00B73822" w:rsidP="00172885">
            <w:pPr>
              <w:spacing w:after="0"/>
              <w:jc w:val="center"/>
              <w:rPr>
                <w:rFonts w:eastAsia="Times New Roman"/>
                <w:color w:val="000000"/>
                <w:sz w:val="20"/>
                <w:szCs w:val="20"/>
                <w:lang w:val="en-GB"/>
              </w:rPr>
            </w:pPr>
            <w:r w:rsidRPr="00D62D04">
              <w:rPr>
                <w:rFonts w:eastAsia="Times New Roman"/>
                <w:color w:val="000000"/>
                <w:sz w:val="20"/>
                <w:szCs w:val="20"/>
                <w:lang w:val="en-GB"/>
              </w:rPr>
              <w:t>25</w:t>
            </w:r>
          </w:p>
        </w:tc>
        <w:tc>
          <w:tcPr>
            <w:tcW w:w="1465" w:type="dxa"/>
            <w:vAlign w:val="center"/>
          </w:tcPr>
          <w:p w14:paraId="046501ED" w14:textId="77777777" w:rsidR="00B1174C" w:rsidRPr="00D62D04" w:rsidRDefault="00B73822" w:rsidP="00172885">
            <w:pPr>
              <w:spacing w:after="0"/>
              <w:jc w:val="center"/>
              <w:rPr>
                <w:rFonts w:eastAsia="Times New Roman"/>
                <w:color w:val="000000"/>
                <w:sz w:val="20"/>
                <w:szCs w:val="20"/>
                <w:lang w:val="en-GB"/>
              </w:rPr>
            </w:pPr>
            <w:r w:rsidRPr="00D62D04">
              <w:rPr>
                <w:rFonts w:eastAsia="Times New Roman"/>
                <w:color w:val="000000"/>
                <w:sz w:val="20"/>
                <w:szCs w:val="20"/>
                <w:lang w:val="en-GB"/>
              </w:rPr>
              <w:t>77</w:t>
            </w:r>
          </w:p>
        </w:tc>
      </w:tr>
      <w:tr w:rsidR="00B73822" w:rsidRPr="00D62D04" w14:paraId="55D0FEBA" w14:textId="77777777" w:rsidTr="000B30D0">
        <w:tc>
          <w:tcPr>
            <w:tcW w:w="1587" w:type="dxa"/>
          </w:tcPr>
          <w:p w14:paraId="66744D3D" w14:textId="77777777" w:rsidR="00A67214" w:rsidRPr="00D62D04" w:rsidRDefault="00035A7E" w:rsidP="000B30D0">
            <w:pPr>
              <w:spacing w:after="0"/>
              <w:rPr>
                <w:sz w:val="20"/>
                <w:szCs w:val="20"/>
                <w:lang w:val="en-GB"/>
              </w:rPr>
            </w:pPr>
            <w:r w:rsidRPr="00D62D04">
              <w:rPr>
                <w:sz w:val="20"/>
                <w:szCs w:val="20"/>
                <w:lang w:val="en-GB"/>
              </w:rPr>
              <w:t>The amount of funds in the competition</w:t>
            </w:r>
          </w:p>
        </w:tc>
        <w:tc>
          <w:tcPr>
            <w:tcW w:w="1503" w:type="dxa"/>
            <w:vAlign w:val="center"/>
          </w:tcPr>
          <w:p w14:paraId="16C406F6" w14:textId="77777777" w:rsidR="00A67214" w:rsidRPr="00D62D04" w:rsidRDefault="00A62F9D" w:rsidP="00035A7E">
            <w:pPr>
              <w:spacing w:after="0"/>
              <w:jc w:val="center"/>
              <w:rPr>
                <w:sz w:val="20"/>
                <w:szCs w:val="20"/>
                <w:lang w:val="en-GB"/>
              </w:rPr>
            </w:pPr>
            <w:r w:rsidRPr="00D62D04">
              <w:rPr>
                <w:sz w:val="20"/>
                <w:szCs w:val="20"/>
                <w:lang w:val="en-GB"/>
              </w:rPr>
              <w:t>7</w:t>
            </w:r>
            <w:r w:rsidR="00035A7E" w:rsidRPr="00D62D04">
              <w:rPr>
                <w:sz w:val="20"/>
                <w:szCs w:val="20"/>
                <w:lang w:val="en-GB"/>
              </w:rPr>
              <w:t>,</w:t>
            </w:r>
            <w:r w:rsidRPr="00D62D04">
              <w:rPr>
                <w:sz w:val="20"/>
                <w:szCs w:val="20"/>
                <w:lang w:val="en-GB"/>
              </w:rPr>
              <w:t>00</w:t>
            </w:r>
            <w:r w:rsidR="00A67214" w:rsidRPr="00D62D04">
              <w:rPr>
                <w:sz w:val="20"/>
                <w:szCs w:val="20"/>
                <w:lang w:val="en-GB"/>
              </w:rPr>
              <w:t>0</w:t>
            </w:r>
            <w:r w:rsidR="00035A7E" w:rsidRPr="00D62D04">
              <w:rPr>
                <w:sz w:val="20"/>
                <w:szCs w:val="20"/>
                <w:lang w:val="en-GB"/>
              </w:rPr>
              <w:t>,</w:t>
            </w:r>
            <w:r w:rsidR="00A67214" w:rsidRPr="00D62D04">
              <w:rPr>
                <w:sz w:val="20"/>
                <w:szCs w:val="20"/>
                <w:lang w:val="en-GB"/>
              </w:rPr>
              <w:t>000</w:t>
            </w:r>
            <w:r w:rsidR="00035A7E" w:rsidRPr="00D62D04">
              <w:rPr>
                <w:sz w:val="20"/>
                <w:szCs w:val="20"/>
                <w:lang w:val="en-GB"/>
              </w:rPr>
              <w:t>.</w:t>
            </w:r>
            <w:r w:rsidR="00A67214" w:rsidRPr="00D62D04">
              <w:rPr>
                <w:sz w:val="20"/>
                <w:szCs w:val="20"/>
                <w:lang w:val="en-GB"/>
              </w:rPr>
              <w:t>00</w:t>
            </w:r>
          </w:p>
        </w:tc>
        <w:tc>
          <w:tcPr>
            <w:tcW w:w="1504" w:type="dxa"/>
            <w:vAlign w:val="center"/>
          </w:tcPr>
          <w:p w14:paraId="794BD11F" w14:textId="77777777" w:rsidR="00A67214" w:rsidRPr="00D62D04" w:rsidRDefault="00A62F9D" w:rsidP="00035A7E">
            <w:pPr>
              <w:spacing w:after="0"/>
              <w:jc w:val="center"/>
              <w:rPr>
                <w:sz w:val="20"/>
                <w:szCs w:val="20"/>
                <w:lang w:val="en-GB"/>
              </w:rPr>
            </w:pPr>
            <w:r w:rsidRPr="00D62D04">
              <w:rPr>
                <w:sz w:val="20"/>
                <w:szCs w:val="20"/>
                <w:lang w:val="en-GB"/>
              </w:rPr>
              <w:t>7</w:t>
            </w:r>
            <w:r w:rsidR="00035A7E" w:rsidRPr="00D62D04">
              <w:rPr>
                <w:sz w:val="20"/>
                <w:szCs w:val="20"/>
                <w:lang w:val="en-GB"/>
              </w:rPr>
              <w:t>,</w:t>
            </w:r>
            <w:r w:rsidRPr="00D62D04">
              <w:rPr>
                <w:sz w:val="20"/>
                <w:szCs w:val="20"/>
                <w:lang w:val="en-GB"/>
              </w:rPr>
              <w:t>000</w:t>
            </w:r>
            <w:r w:rsidR="00035A7E" w:rsidRPr="00D62D04">
              <w:rPr>
                <w:sz w:val="20"/>
                <w:szCs w:val="20"/>
                <w:lang w:val="en-GB"/>
              </w:rPr>
              <w:t>,</w:t>
            </w:r>
            <w:r w:rsidRPr="00D62D04">
              <w:rPr>
                <w:sz w:val="20"/>
                <w:szCs w:val="20"/>
                <w:lang w:val="en-GB"/>
              </w:rPr>
              <w:t>000</w:t>
            </w:r>
            <w:r w:rsidR="00035A7E" w:rsidRPr="00D62D04">
              <w:rPr>
                <w:sz w:val="20"/>
                <w:szCs w:val="20"/>
                <w:lang w:val="en-GB"/>
              </w:rPr>
              <w:t>.</w:t>
            </w:r>
            <w:r w:rsidRPr="00D62D04">
              <w:rPr>
                <w:sz w:val="20"/>
                <w:szCs w:val="20"/>
                <w:lang w:val="en-GB"/>
              </w:rPr>
              <w:t>00</w:t>
            </w:r>
          </w:p>
        </w:tc>
        <w:tc>
          <w:tcPr>
            <w:tcW w:w="1504" w:type="dxa"/>
            <w:vAlign w:val="center"/>
          </w:tcPr>
          <w:p w14:paraId="6CA29695" w14:textId="77777777" w:rsidR="00A67214" w:rsidRPr="00D62D04" w:rsidRDefault="00A62F9D" w:rsidP="00035A7E">
            <w:pPr>
              <w:spacing w:after="0"/>
              <w:jc w:val="center"/>
              <w:rPr>
                <w:sz w:val="20"/>
                <w:szCs w:val="20"/>
                <w:lang w:val="en-GB"/>
              </w:rPr>
            </w:pPr>
            <w:r w:rsidRPr="00D62D04">
              <w:rPr>
                <w:sz w:val="20"/>
                <w:szCs w:val="20"/>
                <w:lang w:val="en-GB"/>
              </w:rPr>
              <w:t>7</w:t>
            </w:r>
            <w:r w:rsidR="00035A7E" w:rsidRPr="00D62D04">
              <w:rPr>
                <w:sz w:val="20"/>
                <w:szCs w:val="20"/>
                <w:lang w:val="en-GB"/>
              </w:rPr>
              <w:t>,</w:t>
            </w:r>
            <w:r w:rsidRPr="00D62D04">
              <w:rPr>
                <w:sz w:val="20"/>
                <w:szCs w:val="20"/>
                <w:lang w:val="en-GB"/>
              </w:rPr>
              <w:t>000</w:t>
            </w:r>
            <w:r w:rsidR="00035A7E" w:rsidRPr="00D62D04">
              <w:rPr>
                <w:sz w:val="20"/>
                <w:szCs w:val="20"/>
                <w:lang w:val="en-GB"/>
              </w:rPr>
              <w:t>,</w:t>
            </w:r>
            <w:r w:rsidRPr="00D62D04">
              <w:rPr>
                <w:sz w:val="20"/>
                <w:szCs w:val="20"/>
                <w:lang w:val="en-GB"/>
              </w:rPr>
              <w:t>000</w:t>
            </w:r>
            <w:r w:rsidR="00035A7E" w:rsidRPr="00D62D04">
              <w:rPr>
                <w:sz w:val="20"/>
                <w:szCs w:val="20"/>
                <w:lang w:val="en-GB"/>
              </w:rPr>
              <w:t>.</w:t>
            </w:r>
            <w:r w:rsidRPr="00D62D04">
              <w:rPr>
                <w:sz w:val="20"/>
                <w:szCs w:val="20"/>
                <w:lang w:val="en-GB"/>
              </w:rPr>
              <w:t>00</w:t>
            </w:r>
          </w:p>
        </w:tc>
        <w:tc>
          <w:tcPr>
            <w:tcW w:w="1453" w:type="dxa"/>
            <w:vAlign w:val="center"/>
          </w:tcPr>
          <w:p w14:paraId="3477C9F1" w14:textId="77777777" w:rsidR="00A67214" w:rsidRPr="00D62D04" w:rsidRDefault="00A62F9D" w:rsidP="00035A7E">
            <w:pPr>
              <w:spacing w:after="0"/>
              <w:jc w:val="center"/>
              <w:rPr>
                <w:sz w:val="20"/>
                <w:szCs w:val="20"/>
                <w:lang w:val="en-GB"/>
              </w:rPr>
            </w:pPr>
            <w:r w:rsidRPr="00D62D04">
              <w:rPr>
                <w:sz w:val="20"/>
                <w:szCs w:val="20"/>
                <w:lang w:val="en-GB"/>
              </w:rPr>
              <w:t>7</w:t>
            </w:r>
            <w:r w:rsidR="00035A7E" w:rsidRPr="00D62D04">
              <w:rPr>
                <w:sz w:val="20"/>
                <w:szCs w:val="20"/>
                <w:lang w:val="en-GB"/>
              </w:rPr>
              <w:t>,</w:t>
            </w:r>
            <w:r w:rsidRPr="00D62D04">
              <w:rPr>
                <w:sz w:val="20"/>
                <w:szCs w:val="20"/>
                <w:lang w:val="en-GB"/>
              </w:rPr>
              <w:t>000</w:t>
            </w:r>
            <w:r w:rsidR="00035A7E" w:rsidRPr="00D62D04">
              <w:rPr>
                <w:sz w:val="20"/>
                <w:szCs w:val="20"/>
                <w:lang w:val="en-GB"/>
              </w:rPr>
              <w:t>,</w:t>
            </w:r>
            <w:r w:rsidRPr="00D62D04">
              <w:rPr>
                <w:sz w:val="20"/>
                <w:szCs w:val="20"/>
                <w:lang w:val="en-GB"/>
              </w:rPr>
              <w:t>000</w:t>
            </w:r>
            <w:r w:rsidR="00035A7E" w:rsidRPr="00D62D04">
              <w:rPr>
                <w:sz w:val="20"/>
                <w:szCs w:val="20"/>
                <w:lang w:val="en-GB"/>
              </w:rPr>
              <w:t>.</w:t>
            </w:r>
            <w:r w:rsidRPr="00D62D04">
              <w:rPr>
                <w:sz w:val="20"/>
                <w:szCs w:val="20"/>
                <w:lang w:val="en-GB"/>
              </w:rPr>
              <w:t>00</w:t>
            </w:r>
          </w:p>
        </w:tc>
        <w:tc>
          <w:tcPr>
            <w:tcW w:w="1465" w:type="dxa"/>
            <w:vAlign w:val="center"/>
          </w:tcPr>
          <w:p w14:paraId="728AE71B" w14:textId="77777777" w:rsidR="00A67214" w:rsidRPr="00D62D04" w:rsidRDefault="00B1174C" w:rsidP="00035A7E">
            <w:pPr>
              <w:spacing w:after="0"/>
              <w:jc w:val="center"/>
              <w:rPr>
                <w:sz w:val="20"/>
                <w:szCs w:val="20"/>
                <w:lang w:val="en-GB"/>
              </w:rPr>
            </w:pPr>
            <w:r w:rsidRPr="00D62D04">
              <w:rPr>
                <w:sz w:val="20"/>
                <w:szCs w:val="20"/>
                <w:lang w:val="en-GB"/>
              </w:rPr>
              <w:t>32</w:t>
            </w:r>
            <w:r w:rsidR="00035A7E" w:rsidRPr="00D62D04">
              <w:rPr>
                <w:sz w:val="20"/>
                <w:szCs w:val="20"/>
                <w:lang w:val="en-GB"/>
              </w:rPr>
              <w:t>,</w:t>
            </w:r>
            <w:r w:rsidRPr="00D62D04">
              <w:rPr>
                <w:sz w:val="20"/>
                <w:szCs w:val="20"/>
                <w:lang w:val="en-GB"/>
              </w:rPr>
              <w:t>810</w:t>
            </w:r>
            <w:r w:rsidR="00035A7E" w:rsidRPr="00D62D04">
              <w:rPr>
                <w:sz w:val="20"/>
                <w:szCs w:val="20"/>
                <w:lang w:val="en-GB"/>
              </w:rPr>
              <w:t>,</w:t>
            </w:r>
            <w:r w:rsidRPr="00D62D04">
              <w:rPr>
                <w:sz w:val="20"/>
                <w:szCs w:val="20"/>
                <w:lang w:val="en-GB"/>
              </w:rPr>
              <w:t>400</w:t>
            </w:r>
            <w:r w:rsidR="00035A7E" w:rsidRPr="00D62D04">
              <w:rPr>
                <w:sz w:val="20"/>
                <w:szCs w:val="20"/>
                <w:lang w:val="en-GB"/>
              </w:rPr>
              <w:t>.</w:t>
            </w:r>
            <w:r w:rsidRPr="00D62D04">
              <w:rPr>
                <w:sz w:val="20"/>
                <w:szCs w:val="20"/>
                <w:lang w:val="en-GB"/>
              </w:rPr>
              <w:t>00</w:t>
            </w:r>
          </w:p>
        </w:tc>
      </w:tr>
      <w:tr w:rsidR="000B30D0" w:rsidRPr="00D62D04" w14:paraId="2FF67F54" w14:textId="77777777" w:rsidTr="00CC11E2">
        <w:tc>
          <w:tcPr>
            <w:tcW w:w="9016" w:type="dxa"/>
            <w:gridSpan w:val="6"/>
          </w:tcPr>
          <w:p w14:paraId="4DC91297" w14:textId="77777777" w:rsidR="000B30D0" w:rsidRPr="00D62D04" w:rsidRDefault="002D5591" w:rsidP="00CC11E2">
            <w:pPr>
              <w:spacing w:after="0"/>
              <w:jc w:val="center"/>
              <w:rPr>
                <w:sz w:val="20"/>
                <w:szCs w:val="20"/>
                <w:lang w:val="en-GB"/>
              </w:rPr>
            </w:pPr>
            <w:r w:rsidRPr="00D62D04">
              <w:rPr>
                <w:sz w:val="20"/>
                <w:szCs w:val="20"/>
                <w:lang w:val="en-GB"/>
              </w:rPr>
              <w:t>Contemporary creative work</w:t>
            </w:r>
          </w:p>
          <w:p w14:paraId="35DB0FB6" w14:textId="77777777" w:rsidR="000B30D0" w:rsidRPr="00D62D04" w:rsidRDefault="000B30D0" w:rsidP="00CC11E2">
            <w:pPr>
              <w:spacing w:after="0"/>
              <w:jc w:val="center"/>
              <w:rPr>
                <w:sz w:val="20"/>
                <w:szCs w:val="20"/>
                <w:lang w:val="en-GB"/>
              </w:rPr>
            </w:pPr>
          </w:p>
        </w:tc>
      </w:tr>
      <w:tr w:rsidR="002529CA" w:rsidRPr="00D62D04" w14:paraId="45F8DCA6" w14:textId="77777777" w:rsidTr="000B30D0">
        <w:tc>
          <w:tcPr>
            <w:tcW w:w="1587" w:type="dxa"/>
          </w:tcPr>
          <w:p w14:paraId="1E7F7490" w14:textId="77777777" w:rsidR="002529CA" w:rsidRPr="00D62D04" w:rsidRDefault="002D5591" w:rsidP="00CC11E2">
            <w:pPr>
              <w:spacing w:after="0"/>
              <w:jc w:val="both"/>
              <w:rPr>
                <w:sz w:val="20"/>
                <w:szCs w:val="20"/>
                <w:lang w:val="en-GB"/>
              </w:rPr>
            </w:pPr>
            <w:r w:rsidRPr="00D62D04">
              <w:rPr>
                <w:sz w:val="20"/>
                <w:szCs w:val="20"/>
                <w:lang w:val="en-GB"/>
              </w:rPr>
              <w:t>Number of projects</w:t>
            </w:r>
          </w:p>
        </w:tc>
        <w:tc>
          <w:tcPr>
            <w:tcW w:w="1503" w:type="dxa"/>
            <w:vAlign w:val="center"/>
          </w:tcPr>
          <w:p w14:paraId="1AA770E3" w14:textId="77777777" w:rsidR="002529CA" w:rsidRPr="00D62D04" w:rsidRDefault="00172885" w:rsidP="00A62F9D">
            <w:pPr>
              <w:spacing w:after="0"/>
              <w:jc w:val="center"/>
              <w:rPr>
                <w:sz w:val="20"/>
                <w:szCs w:val="20"/>
                <w:lang w:val="en-GB"/>
              </w:rPr>
            </w:pPr>
            <w:r w:rsidRPr="00D62D04">
              <w:rPr>
                <w:sz w:val="20"/>
                <w:szCs w:val="20"/>
                <w:lang w:val="en-GB"/>
              </w:rPr>
              <w:t>1</w:t>
            </w:r>
          </w:p>
        </w:tc>
        <w:tc>
          <w:tcPr>
            <w:tcW w:w="1504" w:type="dxa"/>
            <w:vAlign w:val="center"/>
          </w:tcPr>
          <w:p w14:paraId="24A26D43" w14:textId="77777777" w:rsidR="002529CA" w:rsidRPr="00D62D04" w:rsidRDefault="00172885" w:rsidP="00CC11E2">
            <w:pPr>
              <w:spacing w:after="0"/>
              <w:jc w:val="center"/>
              <w:rPr>
                <w:sz w:val="20"/>
                <w:szCs w:val="20"/>
                <w:lang w:val="en-GB"/>
              </w:rPr>
            </w:pPr>
            <w:r w:rsidRPr="00D62D04">
              <w:rPr>
                <w:sz w:val="20"/>
                <w:szCs w:val="20"/>
                <w:lang w:val="en-GB"/>
              </w:rPr>
              <w:t>1</w:t>
            </w:r>
          </w:p>
        </w:tc>
        <w:tc>
          <w:tcPr>
            <w:tcW w:w="1504" w:type="dxa"/>
            <w:vAlign w:val="center"/>
          </w:tcPr>
          <w:p w14:paraId="0646710B" w14:textId="77777777" w:rsidR="002529CA" w:rsidRPr="00D62D04" w:rsidRDefault="00172885" w:rsidP="00CC11E2">
            <w:pPr>
              <w:spacing w:after="0"/>
              <w:jc w:val="center"/>
              <w:rPr>
                <w:sz w:val="20"/>
                <w:szCs w:val="20"/>
                <w:lang w:val="en-GB"/>
              </w:rPr>
            </w:pPr>
            <w:r w:rsidRPr="00D62D04">
              <w:rPr>
                <w:sz w:val="20"/>
                <w:szCs w:val="20"/>
                <w:lang w:val="en-GB"/>
              </w:rPr>
              <w:t>1</w:t>
            </w:r>
          </w:p>
        </w:tc>
        <w:tc>
          <w:tcPr>
            <w:tcW w:w="1453" w:type="dxa"/>
            <w:vAlign w:val="center"/>
          </w:tcPr>
          <w:p w14:paraId="576B7455" w14:textId="77777777" w:rsidR="002529CA" w:rsidRPr="00D62D04" w:rsidRDefault="00172885" w:rsidP="00CC11E2">
            <w:pPr>
              <w:spacing w:after="0"/>
              <w:jc w:val="center"/>
              <w:rPr>
                <w:sz w:val="20"/>
                <w:szCs w:val="20"/>
                <w:lang w:val="en-GB"/>
              </w:rPr>
            </w:pPr>
            <w:r w:rsidRPr="00D62D04">
              <w:rPr>
                <w:sz w:val="20"/>
                <w:szCs w:val="20"/>
                <w:lang w:val="en-GB"/>
              </w:rPr>
              <w:t>2</w:t>
            </w:r>
          </w:p>
        </w:tc>
        <w:tc>
          <w:tcPr>
            <w:tcW w:w="1465" w:type="dxa"/>
            <w:vAlign w:val="center"/>
          </w:tcPr>
          <w:p w14:paraId="505AC9B4" w14:textId="77777777" w:rsidR="002529CA" w:rsidRPr="00D62D04" w:rsidRDefault="00172885" w:rsidP="00CC11E2">
            <w:pPr>
              <w:spacing w:after="0"/>
              <w:jc w:val="center"/>
              <w:rPr>
                <w:sz w:val="20"/>
                <w:szCs w:val="20"/>
                <w:lang w:val="en-GB"/>
              </w:rPr>
            </w:pPr>
            <w:r w:rsidRPr="00D62D04">
              <w:rPr>
                <w:sz w:val="20"/>
                <w:szCs w:val="20"/>
                <w:lang w:val="en-GB"/>
              </w:rPr>
              <w:t>2</w:t>
            </w:r>
          </w:p>
        </w:tc>
      </w:tr>
      <w:tr w:rsidR="000B30D0" w:rsidRPr="00D62D04" w14:paraId="3F30F9B6" w14:textId="77777777" w:rsidTr="000B30D0">
        <w:tc>
          <w:tcPr>
            <w:tcW w:w="1587" w:type="dxa"/>
          </w:tcPr>
          <w:p w14:paraId="7735B979" w14:textId="77777777" w:rsidR="000B30D0" w:rsidRPr="00D62D04" w:rsidRDefault="000B30D0" w:rsidP="00CC11E2">
            <w:pPr>
              <w:spacing w:after="0"/>
              <w:jc w:val="both"/>
              <w:rPr>
                <w:sz w:val="20"/>
                <w:szCs w:val="20"/>
                <w:lang w:val="en-GB"/>
              </w:rPr>
            </w:pPr>
          </w:p>
        </w:tc>
        <w:tc>
          <w:tcPr>
            <w:tcW w:w="1503" w:type="dxa"/>
            <w:vAlign w:val="center"/>
          </w:tcPr>
          <w:p w14:paraId="631949BF" w14:textId="77777777" w:rsidR="000B30D0" w:rsidRPr="00D62D04" w:rsidRDefault="00172885" w:rsidP="002D5591">
            <w:pPr>
              <w:spacing w:after="0"/>
              <w:jc w:val="center"/>
              <w:rPr>
                <w:sz w:val="20"/>
                <w:szCs w:val="20"/>
                <w:lang w:val="en-GB"/>
              </w:rPr>
            </w:pPr>
            <w:r w:rsidRPr="00D62D04">
              <w:rPr>
                <w:sz w:val="20"/>
                <w:szCs w:val="20"/>
                <w:lang w:val="en-GB"/>
              </w:rPr>
              <w:t>400</w:t>
            </w:r>
            <w:r w:rsidR="002D5591" w:rsidRPr="00D62D04">
              <w:rPr>
                <w:sz w:val="20"/>
                <w:szCs w:val="20"/>
                <w:lang w:val="en-GB"/>
              </w:rPr>
              <w:t>,</w:t>
            </w:r>
            <w:r w:rsidRPr="00D62D04">
              <w:rPr>
                <w:sz w:val="20"/>
                <w:szCs w:val="20"/>
                <w:lang w:val="en-GB"/>
              </w:rPr>
              <w:t>000</w:t>
            </w:r>
            <w:r w:rsidR="002D5591" w:rsidRPr="00D62D04">
              <w:rPr>
                <w:sz w:val="20"/>
                <w:szCs w:val="20"/>
                <w:lang w:val="en-GB"/>
              </w:rPr>
              <w:t>.</w:t>
            </w:r>
            <w:r w:rsidRPr="00D62D04">
              <w:rPr>
                <w:sz w:val="20"/>
                <w:szCs w:val="20"/>
                <w:lang w:val="en-GB"/>
              </w:rPr>
              <w:t>00</w:t>
            </w:r>
          </w:p>
        </w:tc>
        <w:tc>
          <w:tcPr>
            <w:tcW w:w="1504" w:type="dxa"/>
            <w:vAlign w:val="center"/>
          </w:tcPr>
          <w:p w14:paraId="5C2F08B7" w14:textId="77777777" w:rsidR="000B30D0" w:rsidRPr="00D62D04" w:rsidRDefault="00172885" w:rsidP="002D5591">
            <w:pPr>
              <w:spacing w:after="0"/>
              <w:jc w:val="center"/>
              <w:rPr>
                <w:sz w:val="20"/>
                <w:szCs w:val="20"/>
                <w:lang w:val="en-GB"/>
              </w:rPr>
            </w:pPr>
            <w:r w:rsidRPr="00D62D04">
              <w:rPr>
                <w:sz w:val="20"/>
                <w:szCs w:val="20"/>
                <w:lang w:val="en-GB"/>
              </w:rPr>
              <w:t>500</w:t>
            </w:r>
            <w:r w:rsidR="002D5591" w:rsidRPr="00D62D04">
              <w:rPr>
                <w:sz w:val="20"/>
                <w:szCs w:val="20"/>
                <w:lang w:val="en-GB"/>
              </w:rPr>
              <w:t>,</w:t>
            </w:r>
            <w:r w:rsidRPr="00D62D04">
              <w:rPr>
                <w:sz w:val="20"/>
                <w:szCs w:val="20"/>
                <w:lang w:val="en-GB"/>
              </w:rPr>
              <w:t>000</w:t>
            </w:r>
            <w:r w:rsidR="002D5591" w:rsidRPr="00D62D04">
              <w:rPr>
                <w:sz w:val="20"/>
                <w:szCs w:val="20"/>
                <w:lang w:val="en-GB"/>
              </w:rPr>
              <w:t>.</w:t>
            </w:r>
            <w:r w:rsidRPr="00D62D04">
              <w:rPr>
                <w:sz w:val="20"/>
                <w:szCs w:val="20"/>
                <w:lang w:val="en-GB"/>
              </w:rPr>
              <w:t>00</w:t>
            </w:r>
          </w:p>
        </w:tc>
        <w:tc>
          <w:tcPr>
            <w:tcW w:w="1504" w:type="dxa"/>
            <w:vAlign w:val="center"/>
          </w:tcPr>
          <w:p w14:paraId="136E36A4" w14:textId="77777777" w:rsidR="000B30D0" w:rsidRPr="00D62D04" w:rsidRDefault="00172885" w:rsidP="002D5591">
            <w:pPr>
              <w:spacing w:after="0"/>
              <w:jc w:val="center"/>
              <w:rPr>
                <w:sz w:val="20"/>
                <w:szCs w:val="20"/>
                <w:lang w:val="en-GB"/>
              </w:rPr>
            </w:pPr>
            <w:r w:rsidRPr="00D62D04">
              <w:rPr>
                <w:sz w:val="20"/>
                <w:szCs w:val="20"/>
                <w:lang w:val="en-GB"/>
              </w:rPr>
              <w:t>500</w:t>
            </w:r>
            <w:r w:rsidR="002D5591" w:rsidRPr="00D62D04">
              <w:rPr>
                <w:sz w:val="20"/>
                <w:szCs w:val="20"/>
                <w:lang w:val="en-GB"/>
              </w:rPr>
              <w:t>,</w:t>
            </w:r>
            <w:r w:rsidRPr="00D62D04">
              <w:rPr>
                <w:sz w:val="20"/>
                <w:szCs w:val="20"/>
                <w:lang w:val="en-GB"/>
              </w:rPr>
              <w:t>000</w:t>
            </w:r>
            <w:r w:rsidR="002D5591" w:rsidRPr="00D62D04">
              <w:rPr>
                <w:sz w:val="20"/>
                <w:szCs w:val="20"/>
                <w:lang w:val="en-GB"/>
              </w:rPr>
              <w:t>.</w:t>
            </w:r>
            <w:r w:rsidRPr="00D62D04">
              <w:rPr>
                <w:sz w:val="20"/>
                <w:szCs w:val="20"/>
                <w:lang w:val="en-GB"/>
              </w:rPr>
              <w:t>00</w:t>
            </w:r>
          </w:p>
        </w:tc>
        <w:tc>
          <w:tcPr>
            <w:tcW w:w="1453" w:type="dxa"/>
            <w:vAlign w:val="center"/>
          </w:tcPr>
          <w:p w14:paraId="0632E31C" w14:textId="77777777" w:rsidR="000B30D0" w:rsidRPr="00D62D04" w:rsidRDefault="00172885" w:rsidP="002D5591">
            <w:pPr>
              <w:spacing w:after="0"/>
              <w:jc w:val="center"/>
              <w:rPr>
                <w:sz w:val="20"/>
                <w:szCs w:val="20"/>
                <w:lang w:val="en-GB"/>
              </w:rPr>
            </w:pPr>
            <w:r w:rsidRPr="00D62D04">
              <w:rPr>
                <w:sz w:val="20"/>
                <w:szCs w:val="20"/>
                <w:lang w:val="en-GB"/>
              </w:rPr>
              <w:t>600</w:t>
            </w:r>
            <w:r w:rsidR="002D5591" w:rsidRPr="00D62D04">
              <w:rPr>
                <w:sz w:val="20"/>
                <w:szCs w:val="20"/>
                <w:lang w:val="en-GB"/>
              </w:rPr>
              <w:t>,</w:t>
            </w:r>
            <w:r w:rsidRPr="00D62D04">
              <w:rPr>
                <w:sz w:val="20"/>
                <w:szCs w:val="20"/>
                <w:lang w:val="en-GB"/>
              </w:rPr>
              <w:t>000</w:t>
            </w:r>
            <w:r w:rsidR="002D5591" w:rsidRPr="00D62D04">
              <w:rPr>
                <w:sz w:val="20"/>
                <w:szCs w:val="20"/>
                <w:lang w:val="en-GB"/>
              </w:rPr>
              <w:t>.</w:t>
            </w:r>
            <w:r w:rsidRPr="00D62D04">
              <w:rPr>
                <w:sz w:val="20"/>
                <w:szCs w:val="20"/>
                <w:lang w:val="en-GB"/>
              </w:rPr>
              <w:t>00</w:t>
            </w:r>
          </w:p>
        </w:tc>
        <w:tc>
          <w:tcPr>
            <w:tcW w:w="1465" w:type="dxa"/>
            <w:vAlign w:val="center"/>
          </w:tcPr>
          <w:p w14:paraId="693F5F1E" w14:textId="77777777" w:rsidR="000B30D0" w:rsidRPr="00D62D04" w:rsidRDefault="00172885" w:rsidP="002D5591">
            <w:pPr>
              <w:spacing w:after="0"/>
              <w:jc w:val="center"/>
              <w:rPr>
                <w:sz w:val="20"/>
                <w:szCs w:val="20"/>
                <w:lang w:val="en-GB"/>
              </w:rPr>
            </w:pPr>
            <w:r w:rsidRPr="00D62D04">
              <w:rPr>
                <w:sz w:val="20"/>
                <w:szCs w:val="20"/>
                <w:lang w:val="en-GB"/>
              </w:rPr>
              <w:t>400</w:t>
            </w:r>
            <w:r w:rsidR="002D5591" w:rsidRPr="00D62D04">
              <w:rPr>
                <w:sz w:val="20"/>
                <w:szCs w:val="20"/>
                <w:lang w:val="en-GB"/>
              </w:rPr>
              <w:t>,</w:t>
            </w:r>
            <w:r w:rsidRPr="00D62D04">
              <w:rPr>
                <w:sz w:val="20"/>
                <w:szCs w:val="20"/>
                <w:lang w:val="en-GB"/>
              </w:rPr>
              <w:t>000</w:t>
            </w:r>
            <w:r w:rsidR="002D5591" w:rsidRPr="00D62D04">
              <w:rPr>
                <w:sz w:val="20"/>
                <w:szCs w:val="20"/>
                <w:lang w:val="en-GB"/>
              </w:rPr>
              <w:t>.</w:t>
            </w:r>
            <w:r w:rsidRPr="00D62D04">
              <w:rPr>
                <w:sz w:val="20"/>
                <w:szCs w:val="20"/>
                <w:lang w:val="en-GB"/>
              </w:rPr>
              <w:t>00</w:t>
            </w:r>
          </w:p>
        </w:tc>
      </w:tr>
    </w:tbl>
    <w:p w14:paraId="54E87F9A" w14:textId="77777777" w:rsidR="005A6E59" w:rsidRPr="00D62D04" w:rsidRDefault="00172885" w:rsidP="00A475C5">
      <w:pPr>
        <w:spacing w:after="0"/>
        <w:jc w:val="both"/>
        <w:rPr>
          <w:sz w:val="24"/>
          <w:szCs w:val="24"/>
          <w:lang w:val="en-GB"/>
        </w:rPr>
      </w:pPr>
      <w:r w:rsidRPr="00D62D04">
        <w:rPr>
          <w:sz w:val="24"/>
          <w:szCs w:val="24"/>
          <w:lang w:val="en-GB"/>
        </w:rPr>
        <w:tab/>
      </w:r>
    </w:p>
    <w:p w14:paraId="76741188" w14:textId="77777777" w:rsidR="003409DD" w:rsidRPr="00D62D04" w:rsidRDefault="003409DD" w:rsidP="005A6E59">
      <w:pPr>
        <w:spacing w:after="0"/>
        <w:ind w:firstLine="720"/>
        <w:jc w:val="both"/>
        <w:rPr>
          <w:sz w:val="24"/>
          <w:szCs w:val="24"/>
          <w:lang w:val="en-GB"/>
        </w:rPr>
      </w:pPr>
      <w:r w:rsidRPr="00D62D04">
        <w:rPr>
          <w:sz w:val="24"/>
          <w:szCs w:val="24"/>
          <w:lang w:val="en-GB"/>
        </w:rPr>
        <w:t xml:space="preserve">The "Affirmation of Multiculturalism and Tolerance in </w:t>
      </w:r>
      <w:proofErr w:type="spellStart"/>
      <w:r w:rsidRPr="00D62D04">
        <w:rPr>
          <w:sz w:val="24"/>
          <w:szCs w:val="24"/>
          <w:lang w:val="en-GB"/>
        </w:rPr>
        <w:t>Vojvodina</w:t>
      </w:r>
      <w:proofErr w:type="spellEnd"/>
      <w:r w:rsidRPr="00D62D04">
        <w:rPr>
          <w:sz w:val="24"/>
          <w:szCs w:val="24"/>
          <w:lang w:val="en-GB"/>
        </w:rPr>
        <w:t xml:space="preserve">" project, the objective of which is to nurture cultural diversity and develop the spirit of inter-ethnic tolerance </w:t>
      </w:r>
      <w:r w:rsidRPr="00D62D04">
        <w:rPr>
          <w:sz w:val="24"/>
          <w:szCs w:val="24"/>
          <w:lang w:val="en-GB"/>
        </w:rPr>
        <w:lastRenderedPageBreak/>
        <w:t xml:space="preserve">among the citizens of </w:t>
      </w:r>
      <w:proofErr w:type="spellStart"/>
      <w:r w:rsidRPr="00D62D04">
        <w:rPr>
          <w:sz w:val="24"/>
          <w:szCs w:val="24"/>
          <w:lang w:val="en-GB"/>
        </w:rPr>
        <w:t>Vojvodina</w:t>
      </w:r>
      <w:proofErr w:type="spellEnd"/>
      <w:r w:rsidRPr="00D62D04">
        <w:rPr>
          <w:sz w:val="24"/>
          <w:szCs w:val="24"/>
          <w:lang w:val="en-GB"/>
        </w:rPr>
        <w:t xml:space="preserve">, has been successfully implemented since 2005. The project's activities are aimed at young people, primarily students in higher grades of primary school and all grades of secondary school, and bearing in mind that the projects involve the inclusion and direct contact of thousands of young people, the implementation of the project indirectly affects the wider population in </w:t>
      </w:r>
      <w:proofErr w:type="spellStart"/>
      <w:r w:rsidRPr="00D62D04">
        <w:rPr>
          <w:sz w:val="24"/>
          <w:szCs w:val="24"/>
          <w:lang w:val="en-GB"/>
        </w:rPr>
        <w:t>Vojvodina</w:t>
      </w:r>
      <w:proofErr w:type="spellEnd"/>
      <w:r w:rsidRPr="00D62D04">
        <w:rPr>
          <w:sz w:val="24"/>
          <w:szCs w:val="24"/>
          <w:lang w:val="en-GB"/>
        </w:rPr>
        <w:t>. In 2020 and 2021, some of the activities within the project were not implemented due to the disease pandemic caused by the COVID-19 virus, since they involved the participation of a large number of participants in the same space. The following table contains data on the activities carried out within this project in the reporting period.</w:t>
      </w:r>
    </w:p>
    <w:p w14:paraId="5DD17F66" w14:textId="77777777" w:rsidR="00F81F4A" w:rsidRPr="00D62D04" w:rsidRDefault="00F81F4A" w:rsidP="00F81F4A">
      <w:pPr>
        <w:spacing w:after="0"/>
        <w:jc w:val="both"/>
        <w:rPr>
          <w:sz w:val="24"/>
          <w:szCs w:val="24"/>
          <w:highlight w:val="cyan"/>
          <w:lang w:val="en-GB"/>
        </w:rPr>
      </w:pPr>
    </w:p>
    <w:tbl>
      <w:tblPr>
        <w:tblStyle w:val="TableGrid"/>
        <w:tblW w:w="9042" w:type="dxa"/>
        <w:tblLook w:val="04A0" w:firstRow="1" w:lastRow="0" w:firstColumn="1" w:lastColumn="0" w:noHBand="0" w:noVBand="1"/>
      </w:tblPr>
      <w:tblGrid>
        <w:gridCol w:w="3014"/>
        <w:gridCol w:w="3014"/>
        <w:gridCol w:w="3014"/>
      </w:tblGrid>
      <w:tr w:rsidR="00F81F4A" w:rsidRPr="00D62D04" w14:paraId="08BFB828" w14:textId="77777777" w:rsidTr="00F81F4A">
        <w:trPr>
          <w:trHeight w:val="345"/>
        </w:trPr>
        <w:tc>
          <w:tcPr>
            <w:tcW w:w="3014" w:type="dxa"/>
          </w:tcPr>
          <w:p w14:paraId="49114299" w14:textId="77777777" w:rsidR="00F81F4A" w:rsidRPr="00D62D04" w:rsidRDefault="00E64E35" w:rsidP="00A475C5">
            <w:pPr>
              <w:spacing w:after="0"/>
              <w:jc w:val="center"/>
              <w:rPr>
                <w:sz w:val="20"/>
                <w:szCs w:val="20"/>
                <w:lang w:val="en-GB"/>
              </w:rPr>
            </w:pPr>
            <w:r w:rsidRPr="00D62D04">
              <w:rPr>
                <w:sz w:val="20"/>
                <w:szCs w:val="20"/>
                <w:lang w:val="en-GB"/>
              </w:rPr>
              <w:t xml:space="preserve">Subprojects </w:t>
            </w:r>
          </w:p>
        </w:tc>
        <w:tc>
          <w:tcPr>
            <w:tcW w:w="3014" w:type="dxa"/>
          </w:tcPr>
          <w:p w14:paraId="3634B98E" w14:textId="77777777" w:rsidR="00F81F4A" w:rsidRPr="00D62D04" w:rsidRDefault="00E64E35" w:rsidP="00A475C5">
            <w:pPr>
              <w:spacing w:after="0"/>
              <w:jc w:val="center"/>
              <w:rPr>
                <w:sz w:val="20"/>
                <w:szCs w:val="20"/>
                <w:lang w:val="en-GB"/>
              </w:rPr>
            </w:pPr>
            <w:r w:rsidRPr="00D62D04">
              <w:rPr>
                <w:sz w:val="20"/>
                <w:szCs w:val="20"/>
                <w:lang w:val="en-GB"/>
              </w:rPr>
              <w:t xml:space="preserve">Participants </w:t>
            </w:r>
          </w:p>
        </w:tc>
        <w:tc>
          <w:tcPr>
            <w:tcW w:w="3014" w:type="dxa"/>
          </w:tcPr>
          <w:p w14:paraId="1FBF4B7D" w14:textId="77777777" w:rsidR="00F81F4A" w:rsidRPr="00D62D04" w:rsidRDefault="00E64E35" w:rsidP="00A475C5">
            <w:pPr>
              <w:spacing w:after="0"/>
              <w:jc w:val="center"/>
              <w:rPr>
                <w:sz w:val="20"/>
                <w:szCs w:val="20"/>
                <w:lang w:val="en-GB"/>
              </w:rPr>
            </w:pPr>
            <w:r w:rsidRPr="00D62D04">
              <w:rPr>
                <w:sz w:val="20"/>
                <w:szCs w:val="20"/>
                <w:lang w:val="en-GB"/>
              </w:rPr>
              <w:t>Supporting activities</w:t>
            </w:r>
          </w:p>
        </w:tc>
      </w:tr>
      <w:tr w:rsidR="00F81F4A" w:rsidRPr="00D62D04" w14:paraId="66C05620" w14:textId="77777777" w:rsidTr="00CC11E2">
        <w:trPr>
          <w:trHeight w:val="345"/>
        </w:trPr>
        <w:tc>
          <w:tcPr>
            <w:tcW w:w="9042" w:type="dxa"/>
            <w:gridSpan w:val="3"/>
          </w:tcPr>
          <w:p w14:paraId="3E087D6B" w14:textId="77777777" w:rsidR="00F81F4A" w:rsidRPr="00D62D04" w:rsidRDefault="00E64E35" w:rsidP="00F81F4A">
            <w:pPr>
              <w:spacing w:after="0"/>
              <w:jc w:val="center"/>
              <w:rPr>
                <w:sz w:val="20"/>
                <w:szCs w:val="20"/>
                <w:lang w:val="en-GB"/>
              </w:rPr>
            </w:pPr>
            <w:r w:rsidRPr="00D62D04">
              <w:rPr>
                <w:sz w:val="20"/>
                <w:szCs w:val="20"/>
                <w:lang w:val="en-GB"/>
              </w:rPr>
              <w:t>2017</w:t>
            </w:r>
          </w:p>
        </w:tc>
      </w:tr>
      <w:tr w:rsidR="00F81F4A" w:rsidRPr="00D62D04" w14:paraId="5CDD4893" w14:textId="77777777" w:rsidTr="00F81F4A">
        <w:trPr>
          <w:trHeight w:val="671"/>
        </w:trPr>
        <w:tc>
          <w:tcPr>
            <w:tcW w:w="3014" w:type="dxa"/>
          </w:tcPr>
          <w:p w14:paraId="7BB4E4CF" w14:textId="77777777" w:rsidR="00F81F4A" w:rsidRPr="00D62D04" w:rsidRDefault="000F5C7B" w:rsidP="0034105D">
            <w:pPr>
              <w:spacing w:after="0"/>
              <w:rPr>
                <w:sz w:val="20"/>
                <w:szCs w:val="20"/>
                <w:highlight w:val="cyan"/>
                <w:lang w:val="en-GB"/>
              </w:rPr>
            </w:pPr>
            <w:r w:rsidRPr="00D62D04">
              <w:rPr>
                <w:sz w:val="20"/>
                <w:szCs w:val="20"/>
                <w:lang w:val="en-GB"/>
              </w:rPr>
              <w:t>"How well do we know each other" quiz</w:t>
            </w:r>
          </w:p>
        </w:tc>
        <w:tc>
          <w:tcPr>
            <w:tcW w:w="3014" w:type="dxa"/>
          </w:tcPr>
          <w:p w14:paraId="65BADB93" w14:textId="77777777" w:rsidR="00F81F4A" w:rsidRPr="00D62D04" w:rsidRDefault="000F5C7B" w:rsidP="000F5C7B">
            <w:pPr>
              <w:spacing w:after="0"/>
              <w:rPr>
                <w:sz w:val="20"/>
                <w:szCs w:val="20"/>
                <w:highlight w:val="cyan"/>
                <w:lang w:val="en-GB"/>
              </w:rPr>
            </w:pPr>
            <w:r w:rsidRPr="00D62D04">
              <w:rPr>
                <w:sz w:val="20"/>
                <w:szCs w:val="20"/>
                <w:lang w:val="en-GB"/>
              </w:rPr>
              <w:t>Teams from 44 secondary schools</w:t>
            </w:r>
          </w:p>
        </w:tc>
        <w:tc>
          <w:tcPr>
            <w:tcW w:w="3014" w:type="dxa"/>
          </w:tcPr>
          <w:p w14:paraId="4C867257" w14:textId="77777777" w:rsidR="00F81F4A" w:rsidRPr="00D62D04" w:rsidRDefault="000F5C7B" w:rsidP="000F5C7B">
            <w:pPr>
              <w:spacing w:after="0"/>
              <w:rPr>
                <w:sz w:val="20"/>
                <w:szCs w:val="20"/>
                <w:highlight w:val="cyan"/>
                <w:lang w:val="en-GB"/>
              </w:rPr>
            </w:pPr>
            <w:r w:rsidRPr="00D62D04">
              <w:rPr>
                <w:sz w:val="20"/>
                <w:szCs w:val="20"/>
                <w:lang w:val="en-GB"/>
              </w:rPr>
              <w:t xml:space="preserve">Features from the regional and semi-final competitions and the entire final show were broadcast in the programmes of the RTV Public Media Institution </w:t>
            </w:r>
          </w:p>
        </w:tc>
      </w:tr>
      <w:tr w:rsidR="00F81F4A" w:rsidRPr="00D62D04" w14:paraId="6392B7C8" w14:textId="77777777" w:rsidTr="0034105D">
        <w:trPr>
          <w:trHeight w:val="568"/>
        </w:trPr>
        <w:tc>
          <w:tcPr>
            <w:tcW w:w="3014" w:type="dxa"/>
          </w:tcPr>
          <w:p w14:paraId="3036087E" w14:textId="77777777" w:rsidR="00F81F4A" w:rsidRPr="00D62D04" w:rsidRDefault="0078546B" w:rsidP="0034105D">
            <w:pPr>
              <w:spacing w:after="0"/>
              <w:rPr>
                <w:sz w:val="20"/>
                <w:szCs w:val="20"/>
                <w:highlight w:val="cyan"/>
                <w:lang w:val="en-GB"/>
              </w:rPr>
            </w:pPr>
            <w:r w:rsidRPr="00D62D04">
              <w:rPr>
                <w:sz w:val="20"/>
                <w:szCs w:val="20"/>
                <w:lang w:val="en-GB"/>
              </w:rPr>
              <w:t xml:space="preserve">"Camp without borders, </w:t>
            </w:r>
            <w:proofErr w:type="spellStart"/>
            <w:r w:rsidRPr="00D62D04">
              <w:rPr>
                <w:sz w:val="20"/>
                <w:szCs w:val="20"/>
                <w:lang w:val="en-GB"/>
              </w:rPr>
              <w:t>Kanjiža</w:t>
            </w:r>
            <w:proofErr w:type="spellEnd"/>
            <w:r w:rsidRPr="00D62D04">
              <w:rPr>
                <w:sz w:val="20"/>
                <w:szCs w:val="20"/>
                <w:lang w:val="en-GB"/>
              </w:rPr>
              <w:t xml:space="preserve"> 2017"</w:t>
            </w:r>
          </w:p>
        </w:tc>
        <w:tc>
          <w:tcPr>
            <w:tcW w:w="3014" w:type="dxa"/>
          </w:tcPr>
          <w:p w14:paraId="23F0A27E" w14:textId="77777777" w:rsidR="00F81F4A" w:rsidRPr="00D62D04" w:rsidRDefault="0078546B" w:rsidP="0078546B">
            <w:pPr>
              <w:spacing w:after="0"/>
              <w:rPr>
                <w:sz w:val="20"/>
                <w:szCs w:val="20"/>
                <w:highlight w:val="cyan"/>
                <w:lang w:val="en-GB"/>
              </w:rPr>
            </w:pPr>
            <w:r w:rsidRPr="00D62D04">
              <w:rPr>
                <w:sz w:val="20"/>
                <w:szCs w:val="20"/>
                <w:lang w:val="en-GB"/>
              </w:rPr>
              <w:t>144 competitors from 16 secondary schools</w:t>
            </w:r>
          </w:p>
        </w:tc>
        <w:tc>
          <w:tcPr>
            <w:tcW w:w="3014" w:type="dxa"/>
          </w:tcPr>
          <w:p w14:paraId="619671A5" w14:textId="77777777" w:rsidR="00F81F4A" w:rsidRPr="00D62D04" w:rsidRDefault="00F81F4A" w:rsidP="0034105D">
            <w:pPr>
              <w:spacing w:after="0"/>
              <w:rPr>
                <w:sz w:val="20"/>
                <w:szCs w:val="20"/>
                <w:highlight w:val="cyan"/>
                <w:lang w:val="en-GB"/>
              </w:rPr>
            </w:pPr>
          </w:p>
        </w:tc>
      </w:tr>
      <w:tr w:rsidR="00F81F4A" w:rsidRPr="00D62D04" w14:paraId="199C5043" w14:textId="77777777" w:rsidTr="0034105D">
        <w:trPr>
          <w:trHeight w:val="690"/>
        </w:trPr>
        <w:tc>
          <w:tcPr>
            <w:tcW w:w="3014" w:type="dxa"/>
          </w:tcPr>
          <w:p w14:paraId="0EA162A1" w14:textId="77777777" w:rsidR="00F81F4A" w:rsidRPr="00D62D04" w:rsidRDefault="0078546B" w:rsidP="0034105D">
            <w:pPr>
              <w:spacing w:after="0"/>
              <w:rPr>
                <w:sz w:val="20"/>
                <w:szCs w:val="20"/>
                <w:highlight w:val="cyan"/>
                <w:lang w:val="en-GB"/>
              </w:rPr>
            </w:pPr>
            <w:r w:rsidRPr="00D62D04">
              <w:rPr>
                <w:sz w:val="20"/>
                <w:szCs w:val="20"/>
                <w:lang w:val="en-GB"/>
              </w:rPr>
              <w:t>Educational trip - Slovenia</w:t>
            </w:r>
          </w:p>
        </w:tc>
        <w:tc>
          <w:tcPr>
            <w:tcW w:w="3014" w:type="dxa"/>
          </w:tcPr>
          <w:p w14:paraId="60516E56" w14:textId="77777777" w:rsidR="00F81F4A" w:rsidRPr="00D62D04" w:rsidRDefault="0078546B" w:rsidP="0078546B">
            <w:pPr>
              <w:spacing w:after="0"/>
              <w:rPr>
                <w:sz w:val="20"/>
                <w:szCs w:val="20"/>
                <w:highlight w:val="cyan"/>
                <w:lang w:val="en-GB"/>
              </w:rPr>
            </w:pPr>
            <w:r w:rsidRPr="00D62D04">
              <w:rPr>
                <w:sz w:val="20"/>
                <w:szCs w:val="20"/>
                <w:lang w:val="en-GB"/>
              </w:rPr>
              <w:t>40 students and six teachers</w:t>
            </w:r>
          </w:p>
        </w:tc>
        <w:tc>
          <w:tcPr>
            <w:tcW w:w="3014" w:type="dxa"/>
          </w:tcPr>
          <w:p w14:paraId="2F02CDC2" w14:textId="77777777" w:rsidR="00F81F4A" w:rsidRPr="00D62D04" w:rsidRDefault="0078546B" w:rsidP="0078546B">
            <w:pPr>
              <w:spacing w:after="0"/>
              <w:rPr>
                <w:sz w:val="20"/>
                <w:szCs w:val="20"/>
                <w:highlight w:val="cyan"/>
                <w:lang w:val="en-GB"/>
              </w:rPr>
            </w:pPr>
            <w:r w:rsidRPr="00D62D04">
              <w:rPr>
                <w:sz w:val="20"/>
                <w:szCs w:val="20"/>
                <w:lang w:val="en-GB"/>
              </w:rPr>
              <w:t xml:space="preserve">Features from the trip were broadcast in the programmes of the RTV Public Media Institution </w:t>
            </w:r>
          </w:p>
        </w:tc>
      </w:tr>
      <w:tr w:rsidR="00CF5CC0" w:rsidRPr="00D62D04" w14:paraId="34617535" w14:textId="77777777" w:rsidTr="00CF5CC0">
        <w:trPr>
          <w:trHeight w:val="460"/>
        </w:trPr>
        <w:tc>
          <w:tcPr>
            <w:tcW w:w="6028" w:type="dxa"/>
            <w:gridSpan w:val="2"/>
          </w:tcPr>
          <w:p w14:paraId="1CBFEA71" w14:textId="77777777" w:rsidR="00CF5CC0" w:rsidRPr="00D62D04" w:rsidRDefault="002520F0" w:rsidP="00CF5CC0">
            <w:pPr>
              <w:spacing w:after="0"/>
              <w:rPr>
                <w:b/>
                <w:sz w:val="20"/>
                <w:szCs w:val="20"/>
                <w:lang w:val="en-GB"/>
              </w:rPr>
            </w:pPr>
            <w:r w:rsidRPr="00D62D04">
              <w:rPr>
                <w:b/>
                <w:sz w:val="20"/>
                <w:szCs w:val="20"/>
                <w:lang w:val="en-GB"/>
              </w:rPr>
              <w:t>Total funds</w:t>
            </w:r>
          </w:p>
        </w:tc>
        <w:tc>
          <w:tcPr>
            <w:tcW w:w="3014" w:type="dxa"/>
          </w:tcPr>
          <w:p w14:paraId="0991AB33" w14:textId="77777777" w:rsidR="00CF5CC0" w:rsidRPr="00D62D04" w:rsidRDefault="00CF5CC0" w:rsidP="002520F0">
            <w:pPr>
              <w:spacing w:after="0"/>
              <w:jc w:val="right"/>
              <w:rPr>
                <w:b/>
                <w:sz w:val="20"/>
                <w:szCs w:val="20"/>
                <w:lang w:val="en-GB"/>
              </w:rPr>
            </w:pPr>
            <w:r w:rsidRPr="00D62D04">
              <w:rPr>
                <w:b/>
                <w:sz w:val="20"/>
                <w:szCs w:val="20"/>
                <w:lang w:val="en-GB"/>
              </w:rPr>
              <w:t>29</w:t>
            </w:r>
            <w:r w:rsidR="002520F0" w:rsidRPr="00D62D04">
              <w:rPr>
                <w:b/>
                <w:sz w:val="20"/>
                <w:szCs w:val="20"/>
                <w:lang w:val="en-GB"/>
              </w:rPr>
              <w:t>,</w:t>
            </w:r>
            <w:r w:rsidRPr="00D62D04">
              <w:rPr>
                <w:b/>
                <w:sz w:val="20"/>
                <w:szCs w:val="20"/>
                <w:lang w:val="en-GB"/>
              </w:rPr>
              <w:t>350</w:t>
            </w:r>
            <w:r w:rsidR="002520F0" w:rsidRPr="00D62D04">
              <w:rPr>
                <w:b/>
                <w:sz w:val="20"/>
                <w:szCs w:val="20"/>
                <w:lang w:val="en-GB"/>
              </w:rPr>
              <w:t>,</w:t>
            </w:r>
            <w:r w:rsidRPr="00D62D04">
              <w:rPr>
                <w:b/>
                <w:sz w:val="20"/>
                <w:szCs w:val="20"/>
                <w:lang w:val="en-GB"/>
              </w:rPr>
              <w:t>707</w:t>
            </w:r>
            <w:r w:rsidR="002520F0" w:rsidRPr="00D62D04">
              <w:rPr>
                <w:b/>
                <w:sz w:val="20"/>
                <w:szCs w:val="20"/>
                <w:lang w:val="en-GB"/>
              </w:rPr>
              <w:t>.</w:t>
            </w:r>
            <w:r w:rsidRPr="00D62D04">
              <w:rPr>
                <w:b/>
                <w:sz w:val="20"/>
                <w:szCs w:val="20"/>
                <w:lang w:val="en-GB"/>
              </w:rPr>
              <w:t>92</w:t>
            </w:r>
          </w:p>
        </w:tc>
      </w:tr>
      <w:tr w:rsidR="0034105D" w:rsidRPr="00D62D04" w14:paraId="635BCC48" w14:textId="77777777" w:rsidTr="0034105D">
        <w:trPr>
          <w:trHeight w:val="318"/>
        </w:trPr>
        <w:tc>
          <w:tcPr>
            <w:tcW w:w="9042" w:type="dxa"/>
            <w:gridSpan w:val="3"/>
          </w:tcPr>
          <w:p w14:paraId="19DA3624" w14:textId="77777777" w:rsidR="0034105D" w:rsidRPr="00D62D04" w:rsidRDefault="002520F0" w:rsidP="0034105D">
            <w:pPr>
              <w:spacing w:after="0"/>
              <w:jc w:val="center"/>
              <w:rPr>
                <w:sz w:val="20"/>
                <w:szCs w:val="20"/>
                <w:lang w:val="en-GB"/>
              </w:rPr>
            </w:pPr>
            <w:r w:rsidRPr="00D62D04">
              <w:rPr>
                <w:sz w:val="20"/>
                <w:szCs w:val="20"/>
                <w:lang w:val="en-GB"/>
              </w:rPr>
              <w:t>2018</w:t>
            </w:r>
          </w:p>
        </w:tc>
      </w:tr>
      <w:tr w:rsidR="002520F0" w:rsidRPr="00D62D04" w14:paraId="0F9B73CA" w14:textId="77777777" w:rsidTr="0034105D">
        <w:trPr>
          <w:trHeight w:val="690"/>
        </w:trPr>
        <w:tc>
          <w:tcPr>
            <w:tcW w:w="3014" w:type="dxa"/>
          </w:tcPr>
          <w:p w14:paraId="53B8D1C1" w14:textId="77777777" w:rsidR="002520F0" w:rsidRPr="00D62D04" w:rsidRDefault="002520F0" w:rsidP="002520F0">
            <w:pPr>
              <w:spacing w:after="0"/>
              <w:rPr>
                <w:sz w:val="20"/>
                <w:szCs w:val="20"/>
                <w:highlight w:val="cyan"/>
                <w:lang w:val="en-GB"/>
              </w:rPr>
            </w:pPr>
            <w:r w:rsidRPr="00D62D04">
              <w:rPr>
                <w:sz w:val="20"/>
                <w:szCs w:val="20"/>
                <w:lang w:val="en-GB"/>
              </w:rPr>
              <w:t>"How well do we know each other" quiz</w:t>
            </w:r>
          </w:p>
        </w:tc>
        <w:tc>
          <w:tcPr>
            <w:tcW w:w="3014" w:type="dxa"/>
          </w:tcPr>
          <w:p w14:paraId="7453ACA8" w14:textId="77777777" w:rsidR="002520F0" w:rsidRPr="00D62D04" w:rsidRDefault="00046561" w:rsidP="00046561">
            <w:pPr>
              <w:spacing w:after="0"/>
              <w:rPr>
                <w:sz w:val="20"/>
                <w:szCs w:val="20"/>
                <w:highlight w:val="cyan"/>
                <w:lang w:val="en-GB"/>
              </w:rPr>
            </w:pPr>
            <w:r w:rsidRPr="00D62D04">
              <w:rPr>
                <w:sz w:val="20"/>
                <w:szCs w:val="20"/>
                <w:lang w:val="en-GB"/>
              </w:rPr>
              <w:t>Teams from 27 secondary schools</w:t>
            </w:r>
          </w:p>
        </w:tc>
        <w:tc>
          <w:tcPr>
            <w:tcW w:w="3014" w:type="dxa"/>
          </w:tcPr>
          <w:p w14:paraId="4913972D" w14:textId="77777777" w:rsidR="002520F0" w:rsidRPr="00D62D04" w:rsidRDefault="00046561" w:rsidP="00046561">
            <w:pPr>
              <w:spacing w:after="0"/>
              <w:rPr>
                <w:sz w:val="20"/>
                <w:szCs w:val="20"/>
                <w:highlight w:val="cyan"/>
                <w:lang w:val="en-GB"/>
              </w:rPr>
            </w:pPr>
            <w:r w:rsidRPr="00D62D04">
              <w:rPr>
                <w:sz w:val="20"/>
                <w:szCs w:val="20"/>
                <w:lang w:val="en-GB"/>
              </w:rPr>
              <w:t xml:space="preserve">Features from the regional and semi-final competitions and the entire final show were broadcast in the programmes of the RTV Public Media Institution </w:t>
            </w:r>
          </w:p>
        </w:tc>
      </w:tr>
      <w:tr w:rsidR="002520F0" w:rsidRPr="00D62D04" w14:paraId="1C9C63D7" w14:textId="77777777" w:rsidTr="0034105D">
        <w:trPr>
          <w:trHeight w:val="498"/>
        </w:trPr>
        <w:tc>
          <w:tcPr>
            <w:tcW w:w="3014" w:type="dxa"/>
          </w:tcPr>
          <w:p w14:paraId="59B5C913" w14:textId="77777777" w:rsidR="002520F0" w:rsidRPr="00D62D04" w:rsidRDefault="002520F0" w:rsidP="002520F0">
            <w:pPr>
              <w:spacing w:after="0"/>
              <w:rPr>
                <w:sz w:val="20"/>
                <w:szCs w:val="20"/>
                <w:highlight w:val="cyan"/>
                <w:lang w:val="en-GB"/>
              </w:rPr>
            </w:pPr>
            <w:r w:rsidRPr="00D62D04">
              <w:rPr>
                <w:sz w:val="20"/>
                <w:szCs w:val="20"/>
                <w:lang w:val="en-GB"/>
              </w:rPr>
              <w:t xml:space="preserve">"Camp without borders, </w:t>
            </w:r>
            <w:proofErr w:type="spellStart"/>
            <w:r w:rsidRPr="00D62D04">
              <w:rPr>
                <w:sz w:val="20"/>
                <w:szCs w:val="20"/>
                <w:lang w:val="en-GB"/>
              </w:rPr>
              <w:t>Kanjiža</w:t>
            </w:r>
            <w:proofErr w:type="spellEnd"/>
            <w:r w:rsidRPr="00D62D04">
              <w:rPr>
                <w:sz w:val="20"/>
                <w:szCs w:val="20"/>
                <w:lang w:val="en-GB"/>
              </w:rPr>
              <w:t xml:space="preserve"> 2018"</w:t>
            </w:r>
          </w:p>
        </w:tc>
        <w:tc>
          <w:tcPr>
            <w:tcW w:w="3014" w:type="dxa"/>
          </w:tcPr>
          <w:p w14:paraId="2DEFBCB0" w14:textId="77777777" w:rsidR="002520F0" w:rsidRPr="00D62D04" w:rsidRDefault="00333BAB" w:rsidP="00333BAB">
            <w:pPr>
              <w:spacing w:after="0"/>
              <w:rPr>
                <w:sz w:val="20"/>
                <w:szCs w:val="20"/>
                <w:highlight w:val="cyan"/>
                <w:lang w:val="en-GB"/>
              </w:rPr>
            </w:pPr>
            <w:r w:rsidRPr="00D62D04">
              <w:rPr>
                <w:sz w:val="20"/>
                <w:szCs w:val="20"/>
                <w:lang w:val="en-GB"/>
              </w:rPr>
              <w:t>136 competitors from 16 secondary schools</w:t>
            </w:r>
          </w:p>
        </w:tc>
        <w:tc>
          <w:tcPr>
            <w:tcW w:w="3014" w:type="dxa"/>
          </w:tcPr>
          <w:p w14:paraId="61267D28" w14:textId="77777777" w:rsidR="002520F0" w:rsidRPr="00D62D04" w:rsidRDefault="002520F0" w:rsidP="002520F0">
            <w:pPr>
              <w:spacing w:after="0"/>
              <w:rPr>
                <w:sz w:val="20"/>
                <w:szCs w:val="20"/>
                <w:highlight w:val="cyan"/>
                <w:lang w:val="en-GB"/>
              </w:rPr>
            </w:pPr>
          </w:p>
        </w:tc>
      </w:tr>
      <w:tr w:rsidR="0034105D" w:rsidRPr="00D62D04" w14:paraId="0695E400" w14:textId="77777777" w:rsidTr="0034105D">
        <w:trPr>
          <w:trHeight w:val="690"/>
        </w:trPr>
        <w:tc>
          <w:tcPr>
            <w:tcW w:w="3014" w:type="dxa"/>
          </w:tcPr>
          <w:p w14:paraId="36AEEFB2" w14:textId="77777777" w:rsidR="0034105D" w:rsidRPr="00D62D04" w:rsidRDefault="00333BAB" w:rsidP="0034105D">
            <w:pPr>
              <w:spacing w:after="0"/>
              <w:rPr>
                <w:sz w:val="20"/>
                <w:szCs w:val="20"/>
                <w:highlight w:val="cyan"/>
                <w:lang w:val="en-GB"/>
              </w:rPr>
            </w:pPr>
            <w:r w:rsidRPr="00D62D04">
              <w:rPr>
                <w:sz w:val="20"/>
                <w:szCs w:val="20"/>
                <w:lang w:val="en-GB"/>
              </w:rPr>
              <w:t>Educational trip - Slovak Republic</w:t>
            </w:r>
          </w:p>
        </w:tc>
        <w:tc>
          <w:tcPr>
            <w:tcW w:w="3014" w:type="dxa"/>
          </w:tcPr>
          <w:p w14:paraId="702E492B" w14:textId="77777777" w:rsidR="0034105D" w:rsidRPr="00D62D04" w:rsidRDefault="00333BAB" w:rsidP="00333BAB">
            <w:pPr>
              <w:spacing w:after="0"/>
              <w:rPr>
                <w:sz w:val="20"/>
                <w:szCs w:val="20"/>
                <w:highlight w:val="cyan"/>
                <w:lang w:val="en-GB"/>
              </w:rPr>
            </w:pPr>
            <w:r w:rsidRPr="00D62D04">
              <w:rPr>
                <w:sz w:val="20"/>
                <w:szCs w:val="20"/>
                <w:lang w:val="en-GB"/>
              </w:rPr>
              <w:t>36 students and six teachers</w:t>
            </w:r>
          </w:p>
        </w:tc>
        <w:tc>
          <w:tcPr>
            <w:tcW w:w="3014" w:type="dxa"/>
          </w:tcPr>
          <w:p w14:paraId="3AB9D7BB" w14:textId="77777777" w:rsidR="0034105D" w:rsidRPr="00D62D04" w:rsidRDefault="00046561" w:rsidP="00046561">
            <w:pPr>
              <w:spacing w:after="0"/>
              <w:rPr>
                <w:sz w:val="20"/>
                <w:szCs w:val="20"/>
                <w:highlight w:val="cyan"/>
                <w:lang w:val="en-GB"/>
              </w:rPr>
            </w:pPr>
            <w:r w:rsidRPr="00D62D04">
              <w:rPr>
                <w:sz w:val="20"/>
                <w:szCs w:val="20"/>
                <w:lang w:val="en-GB"/>
              </w:rPr>
              <w:t xml:space="preserve">Features from the trip were broadcast in the programmes of the RTV Public Media Institution </w:t>
            </w:r>
          </w:p>
        </w:tc>
      </w:tr>
      <w:tr w:rsidR="00333BAB" w:rsidRPr="00D62D04" w14:paraId="319893D4" w14:textId="77777777" w:rsidTr="00CF5CC0">
        <w:trPr>
          <w:trHeight w:val="433"/>
        </w:trPr>
        <w:tc>
          <w:tcPr>
            <w:tcW w:w="6028" w:type="dxa"/>
            <w:gridSpan w:val="2"/>
          </w:tcPr>
          <w:p w14:paraId="3F5876EB" w14:textId="77777777" w:rsidR="00333BAB" w:rsidRPr="00D62D04" w:rsidRDefault="00333BAB" w:rsidP="00333BAB">
            <w:pPr>
              <w:spacing w:after="0"/>
              <w:rPr>
                <w:b/>
                <w:sz w:val="20"/>
                <w:szCs w:val="20"/>
                <w:lang w:val="en-GB"/>
              </w:rPr>
            </w:pPr>
            <w:r w:rsidRPr="00D62D04">
              <w:rPr>
                <w:b/>
                <w:sz w:val="20"/>
                <w:szCs w:val="20"/>
                <w:lang w:val="en-GB"/>
              </w:rPr>
              <w:t>Total funds</w:t>
            </w:r>
          </w:p>
        </w:tc>
        <w:tc>
          <w:tcPr>
            <w:tcW w:w="3014" w:type="dxa"/>
          </w:tcPr>
          <w:p w14:paraId="3FD6E193" w14:textId="77777777" w:rsidR="00333BAB" w:rsidRPr="00D62D04" w:rsidRDefault="00333BAB" w:rsidP="00333BAB">
            <w:pPr>
              <w:spacing w:after="0"/>
              <w:jc w:val="right"/>
              <w:rPr>
                <w:b/>
                <w:sz w:val="20"/>
                <w:szCs w:val="20"/>
                <w:lang w:val="en-GB"/>
              </w:rPr>
            </w:pPr>
            <w:r w:rsidRPr="00D62D04">
              <w:rPr>
                <w:b/>
                <w:sz w:val="20"/>
                <w:szCs w:val="20"/>
                <w:lang w:val="en-GB"/>
              </w:rPr>
              <w:t>22,443,212.63</w:t>
            </w:r>
          </w:p>
        </w:tc>
      </w:tr>
      <w:tr w:rsidR="0034105D" w:rsidRPr="00D62D04" w14:paraId="598312C0" w14:textId="77777777" w:rsidTr="0034105D">
        <w:trPr>
          <w:trHeight w:val="291"/>
        </w:trPr>
        <w:tc>
          <w:tcPr>
            <w:tcW w:w="9042" w:type="dxa"/>
            <w:gridSpan w:val="3"/>
          </w:tcPr>
          <w:p w14:paraId="456BF42C" w14:textId="77777777" w:rsidR="0034105D" w:rsidRPr="00D62D04" w:rsidRDefault="00333BAB" w:rsidP="0034105D">
            <w:pPr>
              <w:spacing w:after="0"/>
              <w:jc w:val="center"/>
              <w:rPr>
                <w:sz w:val="20"/>
                <w:szCs w:val="20"/>
                <w:lang w:val="en-GB"/>
              </w:rPr>
            </w:pPr>
            <w:r w:rsidRPr="00D62D04">
              <w:rPr>
                <w:sz w:val="20"/>
                <w:szCs w:val="20"/>
                <w:lang w:val="en-GB"/>
              </w:rPr>
              <w:t>2019</w:t>
            </w:r>
          </w:p>
        </w:tc>
      </w:tr>
      <w:tr w:rsidR="00046561" w:rsidRPr="00D62D04" w14:paraId="4E3E86D5" w14:textId="77777777" w:rsidTr="0034105D">
        <w:trPr>
          <w:trHeight w:val="690"/>
        </w:trPr>
        <w:tc>
          <w:tcPr>
            <w:tcW w:w="3014" w:type="dxa"/>
          </w:tcPr>
          <w:p w14:paraId="147336A1" w14:textId="77777777" w:rsidR="00046561" w:rsidRPr="00D62D04" w:rsidRDefault="00046561" w:rsidP="00046561">
            <w:pPr>
              <w:spacing w:after="0"/>
              <w:rPr>
                <w:sz w:val="20"/>
                <w:szCs w:val="20"/>
                <w:highlight w:val="cyan"/>
                <w:lang w:val="en-GB"/>
              </w:rPr>
            </w:pPr>
            <w:r w:rsidRPr="00D62D04">
              <w:rPr>
                <w:sz w:val="20"/>
                <w:szCs w:val="20"/>
                <w:lang w:val="en-GB"/>
              </w:rPr>
              <w:t>"How well do we know each other" quiz</w:t>
            </w:r>
          </w:p>
        </w:tc>
        <w:tc>
          <w:tcPr>
            <w:tcW w:w="3014" w:type="dxa"/>
          </w:tcPr>
          <w:p w14:paraId="23038107" w14:textId="77777777" w:rsidR="00046561" w:rsidRPr="00D62D04" w:rsidRDefault="00D42A4D" w:rsidP="00D42A4D">
            <w:pPr>
              <w:spacing w:after="0"/>
              <w:rPr>
                <w:sz w:val="20"/>
                <w:szCs w:val="20"/>
                <w:highlight w:val="cyan"/>
                <w:lang w:val="en-GB"/>
              </w:rPr>
            </w:pPr>
            <w:r w:rsidRPr="00D62D04">
              <w:rPr>
                <w:sz w:val="20"/>
                <w:szCs w:val="20"/>
                <w:lang w:val="en-GB"/>
              </w:rPr>
              <w:t>Teams from 27 secondary schools</w:t>
            </w:r>
          </w:p>
        </w:tc>
        <w:tc>
          <w:tcPr>
            <w:tcW w:w="3014" w:type="dxa"/>
          </w:tcPr>
          <w:p w14:paraId="5879A868" w14:textId="77777777" w:rsidR="00046561" w:rsidRPr="00D62D04" w:rsidRDefault="00046561" w:rsidP="00046561">
            <w:pPr>
              <w:spacing w:after="0"/>
              <w:rPr>
                <w:sz w:val="20"/>
                <w:szCs w:val="20"/>
                <w:highlight w:val="cyan"/>
                <w:lang w:val="en-GB"/>
              </w:rPr>
            </w:pPr>
            <w:r w:rsidRPr="00D62D04">
              <w:rPr>
                <w:sz w:val="20"/>
                <w:szCs w:val="20"/>
                <w:lang w:val="en-GB"/>
              </w:rPr>
              <w:t xml:space="preserve">Features from the regional and semi-final competitions and the entire final show were broadcast in the programmes of the RTV Public Media Institution </w:t>
            </w:r>
          </w:p>
        </w:tc>
      </w:tr>
      <w:tr w:rsidR="0034105D" w:rsidRPr="00D62D04" w14:paraId="105FB86A" w14:textId="77777777" w:rsidTr="0034105D">
        <w:trPr>
          <w:trHeight w:val="690"/>
        </w:trPr>
        <w:tc>
          <w:tcPr>
            <w:tcW w:w="3014" w:type="dxa"/>
          </w:tcPr>
          <w:p w14:paraId="4FC7662E" w14:textId="77777777" w:rsidR="0034105D" w:rsidRPr="00D62D04" w:rsidRDefault="00344623" w:rsidP="0034105D">
            <w:pPr>
              <w:spacing w:after="0"/>
              <w:rPr>
                <w:sz w:val="20"/>
                <w:szCs w:val="20"/>
                <w:highlight w:val="cyan"/>
                <w:lang w:val="en-GB"/>
              </w:rPr>
            </w:pPr>
            <w:r w:rsidRPr="00D62D04">
              <w:rPr>
                <w:sz w:val="20"/>
                <w:szCs w:val="20"/>
                <w:lang w:val="en-GB"/>
              </w:rPr>
              <w:t xml:space="preserve">Competition for co-financing projects to preserve and foster inter-ethnic tolerance in </w:t>
            </w:r>
            <w:proofErr w:type="spellStart"/>
            <w:r w:rsidRPr="00D62D04">
              <w:rPr>
                <w:sz w:val="20"/>
                <w:szCs w:val="20"/>
                <w:lang w:val="en-GB"/>
              </w:rPr>
              <w:t>Vojvodina</w:t>
            </w:r>
            <w:proofErr w:type="spellEnd"/>
          </w:p>
        </w:tc>
        <w:tc>
          <w:tcPr>
            <w:tcW w:w="3014" w:type="dxa"/>
          </w:tcPr>
          <w:p w14:paraId="2FA7D385" w14:textId="77777777" w:rsidR="00CF5CC0" w:rsidRPr="00D62D04" w:rsidRDefault="00344623" w:rsidP="00CF5CC0">
            <w:pPr>
              <w:spacing w:after="0"/>
              <w:rPr>
                <w:sz w:val="20"/>
                <w:szCs w:val="20"/>
                <w:highlight w:val="cyan"/>
                <w:lang w:val="en-GB"/>
              </w:rPr>
            </w:pPr>
            <w:r w:rsidRPr="00D62D04">
              <w:rPr>
                <w:sz w:val="20"/>
                <w:szCs w:val="20"/>
                <w:lang w:val="en-GB"/>
              </w:rPr>
              <w:t>Out of 288 projects that met the conditions of the competition, 139 projects were financed</w:t>
            </w:r>
          </w:p>
        </w:tc>
        <w:tc>
          <w:tcPr>
            <w:tcW w:w="3014" w:type="dxa"/>
          </w:tcPr>
          <w:p w14:paraId="546A62DE" w14:textId="77777777" w:rsidR="0034105D" w:rsidRPr="00D62D04" w:rsidRDefault="0034105D" w:rsidP="0034105D">
            <w:pPr>
              <w:spacing w:after="0"/>
              <w:rPr>
                <w:sz w:val="20"/>
                <w:szCs w:val="20"/>
                <w:highlight w:val="cyan"/>
                <w:lang w:val="en-GB"/>
              </w:rPr>
            </w:pPr>
          </w:p>
        </w:tc>
      </w:tr>
      <w:tr w:rsidR="0034105D" w:rsidRPr="00D62D04" w14:paraId="01336062" w14:textId="77777777" w:rsidTr="0034105D">
        <w:trPr>
          <w:trHeight w:val="690"/>
        </w:trPr>
        <w:tc>
          <w:tcPr>
            <w:tcW w:w="3014" w:type="dxa"/>
          </w:tcPr>
          <w:p w14:paraId="43328536" w14:textId="77777777" w:rsidR="0034105D" w:rsidRPr="00D62D04" w:rsidRDefault="00344623" w:rsidP="0034105D">
            <w:pPr>
              <w:spacing w:after="0"/>
              <w:rPr>
                <w:sz w:val="20"/>
                <w:szCs w:val="20"/>
                <w:highlight w:val="cyan"/>
                <w:lang w:val="en-GB"/>
              </w:rPr>
            </w:pPr>
            <w:r w:rsidRPr="00D62D04">
              <w:rPr>
                <w:sz w:val="20"/>
                <w:szCs w:val="20"/>
                <w:lang w:val="en-GB"/>
              </w:rPr>
              <w:t>Educational trip - Romania</w:t>
            </w:r>
          </w:p>
        </w:tc>
        <w:tc>
          <w:tcPr>
            <w:tcW w:w="3014" w:type="dxa"/>
          </w:tcPr>
          <w:p w14:paraId="042D4622" w14:textId="77777777" w:rsidR="0034105D" w:rsidRPr="00D62D04" w:rsidRDefault="00344623" w:rsidP="00344623">
            <w:pPr>
              <w:spacing w:after="0"/>
              <w:rPr>
                <w:sz w:val="20"/>
                <w:szCs w:val="20"/>
                <w:highlight w:val="cyan"/>
                <w:lang w:val="en-GB"/>
              </w:rPr>
            </w:pPr>
            <w:r w:rsidRPr="00D62D04">
              <w:rPr>
                <w:sz w:val="20"/>
                <w:szCs w:val="20"/>
                <w:lang w:val="en-GB"/>
              </w:rPr>
              <w:t>45 students and 11 teachers</w:t>
            </w:r>
          </w:p>
        </w:tc>
        <w:tc>
          <w:tcPr>
            <w:tcW w:w="3014" w:type="dxa"/>
          </w:tcPr>
          <w:p w14:paraId="57E82DD6" w14:textId="77777777" w:rsidR="0034105D" w:rsidRPr="00D62D04" w:rsidRDefault="0034105D" w:rsidP="0034105D">
            <w:pPr>
              <w:spacing w:after="0"/>
              <w:rPr>
                <w:sz w:val="20"/>
                <w:szCs w:val="20"/>
                <w:highlight w:val="cyan"/>
                <w:lang w:val="en-GB"/>
              </w:rPr>
            </w:pPr>
          </w:p>
        </w:tc>
      </w:tr>
      <w:tr w:rsidR="00333BAB" w:rsidRPr="00D62D04" w14:paraId="3429413D" w14:textId="77777777" w:rsidTr="00CF5CC0">
        <w:trPr>
          <w:trHeight w:val="483"/>
        </w:trPr>
        <w:tc>
          <w:tcPr>
            <w:tcW w:w="6028" w:type="dxa"/>
            <w:gridSpan w:val="2"/>
          </w:tcPr>
          <w:p w14:paraId="2B0549D3" w14:textId="77777777" w:rsidR="00333BAB" w:rsidRPr="00D62D04" w:rsidRDefault="00333BAB" w:rsidP="00333BAB">
            <w:pPr>
              <w:spacing w:after="0"/>
              <w:rPr>
                <w:b/>
                <w:sz w:val="20"/>
                <w:szCs w:val="20"/>
                <w:lang w:val="en-GB"/>
              </w:rPr>
            </w:pPr>
            <w:r w:rsidRPr="00D62D04">
              <w:rPr>
                <w:b/>
                <w:sz w:val="20"/>
                <w:szCs w:val="20"/>
                <w:lang w:val="en-GB"/>
              </w:rPr>
              <w:lastRenderedPageBreak/>
              <w:t>Total funds</w:t>
            </w:r>
          </w:p>
        </w:tc>
        <w:tc>
          <w:tcPr>
            <w:tcW w:w="3014" w:type="dxa"/>
          </w:tcPr>
          <w:p w14:paraId="04EDDC4E" w14:textId="77777777" w:rsidR="00333BAB" w:rsidRPr="00D62D04" w:rsidRDefault="00333BAB" w:rsidP="00344623">
            <w:pPr>
              <w:spacing w:after="0"/>
              <w:jc w:val="right"/>
              <w:rPr>
                <w:b/>
                <w:sz w:val="20"/>
                <w:szCs w:val="20"/>
                <w:lang w:val="en-GB"/>
              </w:rPr>
            </w:pPr>
            <w:r w:rsidRPr="00D62D04">
              <w:rPr>
                <w:b/>
                <w:sz w:val="20"/>
                <w:szCs w:val="20"/>
                <w:lang w:val="en-GB"/>
              </w:rPr>
              <w:t>20</w:t>
            </w:r>
            <w:r w:rsidR="00344623" w:rsidRPr="00D62D04">
              <w:rPr>
                <w:b/>
                <w:sz w:val="20"/>
                <w:szCs w:val="20"/>
                <w:lang w:val="en-GB"/>
              </w:rPr>
              <w:t>,</w:t>
            </w:r>
            <w:r w:rsidRPr="00D62D04">
              <w:rPr>
                <w:b/>
                <w:sz w:val="20"/>
                <w:szCs w:val="20"/>
                <w:lang w:val="en-GB"/>
              </w:rPr>
              <w:t>968</w:t>
            </w:r>
            <w:r w:rsidR="00344623" w:rsidRPr="00D62D04">
              <w:rPr>
                <w:b/>
                <w:sz w:val="20"/>
                <w:szCs w:val="20"/>
                <w:lang w:val="en-GB"/>
              </w:rPr>
              <w:t>,</w:t>
            </w:r>
            <w:r w:rsidRPr="00D62D04">
              <w:rPr>
                <w:b/>
                <w:sz w:val="20"/>
                <w:szCs w:val="20"/>
                <w:lang w:val="en-GB"/>
              </w:rPr>
              <w:t>647</w:t>
            </w:r>
            <w:r w:rsidR="00344623" w:rsidRPr="00D62D04">
              <w:rPr>
                <w:b/>
                <w:sz w:val="20"/>
                <w:szCs w:val="20"/>
                <w:lang w:val="en-GB"/>
              </w:rPr>
              <w:t>.</w:t>
            </w:r>
            <w:r w:rsidRPr="00D62D04">
              <w:rPr>
                <w:b/>
                <w:sz w:val="20"/>
                <w:szCs w:val="20"/>
                <w:lang w:val="en-GB"/>
              </w:rPr>
              <w:t>17</w:t>
            </w:r>
          </w:p>
        </w:tc>
      </w:tr>
      <w:tr w:rsidR="00CF5CC0" w:rsidRPr="00D62D04" w14:paraId="1DE15374" w14:textId="77777777" w:rsidTr="00CF5CC0">
        <w:trPr>
          <w:trHeight w:val="277"/>
        </w:trPr>
        <w:tc>
          <w:tcPr>
            <w:tcW w:w="9042" w:type="dxa"/>
            <w:gridSpan w:val="3"/>
          </w:tcPr>
          <w:p w14:paraId="2DB89964" w14:textId="77777777" w:rsidR="00CF5CC0" w:rsidRPr="00D62D04" w:rsidRDefault="006D169C" w:rsidP="00CF5CC0">
            <w:pPr>
              <w:spacing w:after="0"/>
              <w:jc w:val="center"/>
              <w:rPr>
                <w:sz w:val="20"/>
                <w:szCs w:val="20"/>
                <w:lang w:val="en-GB"/>
              </w:rPr>
            </w:pPr>
            <w:r w:rsidRPr="00D62D04">
              <w:rPr>
                <w:sz w:val="20"/>
                <w:szCs w:val="20"/>
                <w:lang w:val="en-GB"/>
              </w:rPr>
              <w:t>2020</w:t>
            </w:r>
          </w:p>
        </w:tc>
      </w:tr>
      <w:tr w:rsidR="00CF5CC0" w:rsidRPr="00D62D04" w14:paraId="08824575" w14:textId="77777777" w:rsidTr="0034105D">
        <w:trPr>
          <w:trHeight w:val="690"/>
        </w:trPr>
        <w:tc>
          <w:tcPr>
            <w:tcW w:w="3014" w:type="dxa"/>
          </w:tcPr>
          <w:p w14:paraId="684B5B39" w14:textId="77777777" w:rsidR="00CF5CC0" w:rsidRPr="00D62D04" w:rsidRDefault="006D169C" w:rsidP="006D169C">
            <w:pPr>
              <w:spacing w:after="0"/>
              <w:rPr>
                <w:sz w:val="20"/>
                <w:szCs w:val="20"/>
                <w:lang w:val="en-GB"/>
              </w:rPr>
            </w:pPr>
            <w:r w:rsidRPr="00D62D04">
              <w:rPr>
                <w:sz w:val="20"/>
                <w:szCs w:val="20"/>
                <w:lang w:val="en-GB"/>
              </w:rPr>
              <w:t xml:space="preserve">Video competition: "Multiculturalism and Ethnic Diversity in </w:t>
            </w:r>
            <w:proofErr w:type="spellStart"/>
            <w:r w:rsidRPr="00D62D04">
              <w:rPr>
                <w:sz w:val="20"/>
                <w:szCs w:val="20"/>
                <w:lang w:val="en-GB"/>
              </w:rPr>
              <w:t>Vojvodina</w:t>
            </w:r>
            <w:proofErr w:type="spellEnd"/>
            <w:r w:rsidRPr="00D62D04">
              <w:rPr>
                <w:sz w:val="20"/>
                <w:szCs w:val="20"/>
                <w:lang w:val="en-GB"/>
              </w:rPr>
              <w:t>"</w:t>
            </w:r>
          </w:p>
        </w:tc>
        <w:tc>
          <w:tcPr>
            <w:tcW w:w="3014" w:type="dxa"/>
          </w:tcPr>
          <w:p w14:paraId="2DF7863E" w14:textId="77777777" w:rsidR="00CF5CC0" w:rsidRPr="00D62D04" w:rsidRDefault="006D169C" w:rsidP="0034105D">
            <w:pPr>
              <w:spacing w:after="0"/>
              <w:rPr>
                <w:sz w:val="20"/>
                <w:szCs w:val="20"/>
                <w:lang w:val="en-GB"/>
              </w:rPr>
            </w:pPr>
            <w:r w:rsidRPr="00D62D04">
              <w:rPr>
                <w:sz w:val="20"/>
                <w:szCs w:val="20"/>
                <w:lang w:val="en-GB"/>
              </w:rPr>
              <w:t>Secondary school students</w:t>
            </w:r>
          </w:p>
        </w:tc>
        <w:tc>
          <w:tcPr>
            <w:tcW w:w="3014" w:type="dxa"/>
          </w:tcPr>
          <w:p w14:paraId="0BE5C34E" w14:textId="77777777" w:rsidR="00CF5CC0" w:rsidRPr="00D62D04" w:rsidRDefault="00CF5CC0" w:rsidP="0034105D">
            <w:pPr>
              <w:spacing w:after="0"/>
              <w:rPr>
                <w:sz w:val="20"/>
                <w:szCs w:val="20"/>
                <w:lang w:val="en-GB"/>
              </w:rPr>
            </w:pPr>
          </w:p>
        </w:tc>
      </w:tr>
      <w:tr w:rsidR="00CF5CC0" w:rsidRPr="00D62D04" w14:paraId="678778E8" w14:textId="77777777" w:rsidTr="0034105D">
        <w:trPr>
          <w:trHeight w:val="690"/>
        </w:trPr>
        <w:tc>
          <w:tcPr>
            <w:tcW w:w="3014" w:type="dxa"/>
          </w:tcPr>
          <w:p w14:paraId="08AF3CE0" w14:textId="77777777" w:rsidR="00CF5CC0" w:rsidRPr="00D62D04" w:rsidRDefault="00344623" w:rsidP="0034105D">
            <w:pPr>
              <w:spacing w:after="0"/>
              <w:rPr>
                <w:sz w:val="20"/>
                <w:szCs w:val="20"/>
                <w:highlight w:val="cyan"/>
                <w:lang w:val="en-GB"/>
              </w:rPr>
            </w:pPr>
            <w:r w:rsidRPr="00D62D04">
              <w:rPr>
                <w:sz w:val="20"/>
                <w:szCs w:val="20"/>
                <w:lang w:val="en-GB"/>
              </w:rPr>
              <w:t xml:space="preserve">Competition for co-financing projects to preserve and foster inter-ethnic tolerance in </w:t>
            </w:r>
            <w:proofErr w:type="spellStart"/>
            <w:r w:rsidRPr="00D62D04">
              <w:rPr>
                <w:sz w:val="20"/>
                <w:szCs w:val="20"/>
                <w:lang w:val="en-GB"/>
              </w:rPr>
              <w:t>Vojvodina</w:t>
            </w:r>
            <w:proofErr w:type="spellEnd"/>
          </w:p>
        </w:tc>
        <w:tc>
          <w:tcPr>
            <w:tcW w:w="3014" w:type="dxa"/>
          </w:tcPr>
          <w:p w14:paraId="45BF06A9" w14:textId="77777777" w:rsidR="00CF5CC0" w:rsidRPr="00D62D04" w:rsidRDefault="0012645C" w:rsidP="00486CD3">
            <w:pPr>
              <w:spacing w:after="0"/>
              <w:rPr>
                <w:sz w:val="20"/>
                <w:szCs w:val="20"/>
                <w:highlight w:val="cyan"/>
                <w:lang w:val="en-GB"/>
              </w:rPr>
            </w:pPr>
            <w:r w:rsidRPr="00D62D04">
              <w:rPr>
                <w:sz w:val="20"/>
                <w:szCs w:val="20"/>
                <w:lang w:val="en-GB"/>
              </w:rPr>
              <w:t>Out of 445 projects that met the conditions of the competition, 214 projects were financed</w:t>
            </w:r>
          </w:p>
        </w:tc>
        <w:tc>
          <w:tcPr>
            <w:tcW w:w="3014" w:type="dxa"/>
          </w:tcPr>
          <w:p w14:paraId="4C6F5E74" w14:textId="77777777" w:rsidR="00CF5CC0" w:rsidRPr="00D62D04" w:rsidRDefault="00CF5CC0" w:rsidP="0034105D">
            <w:pPr>
              <w:spacing w:after="0"/>
              <w:rPr>
                <w:sz w:val="20"/>
                <w:szCs w:val="20"/>
                <w:highlight w:val="cyan"/>
                <w:lang w:val="en-GB"/>
              </w:rPr>
            </w:pPr>
          </w:p>
        </w:tc>
      </w:tr>
      <w:tr w:rsidR="00333BAB" w:rsidRPr="00D62D04" w14:paraId="17771B8D" w14:textId="77777777" w:rsidTr="00486CD3">
        <w:trPr>
          <w:trHeight w:val="463"/>
        </w:trPr>
        <w:tc>
          <w:tcPr>
            <w:tcW w:w="6028" w:type="dxa"/>
            <w:gridSpan w:val="2"/>
          </w:tcPr>
          <w:p w14:paraId="53364448" w14:textId="77777777" w:rsidR="00333BAB" w:rsidRPr="00D62D04" w:rsidRDefault="00333BAB" w:rsidP="00333BAB">
            <w:pPr>
              <w:spacing w:after="0"/>
              <w:rPr>
                <w:b/>
                <w:sz w:val="20"/>
                <w:szCs w:val="20"/>
                <w:lang w:val="en-GB"/>
              </w:rPr>
            </w:pPr>
            <w:r w:rsidRPr="00D62D04">
              <w:rPr>
                <w:b/>
                <w:sz w:val="20"/>
                <w:szCs w:val="20"/>
                <w:lang w:val="en-GB"/>
              </w:rPr>
              <w:t>Total funds</w:t>
            </w:r>
          </w:p>
        </w:tc>
        <w:tc>
          <w:tcPr>
            <w:tcW w:w="3014" w:type="dxa"/>
          </w:tcPr>
          <w:p w14:paraId="63E65C7D" w14:textId="77777777" w:rsidR="00333BAB" w:rsidRPr="00D62D04" w:rsidRDefault="00333BAB" w:rsidP="0012645C">
            <w:pPr>
              <w:spacing w:after="0"/>
              <w:jc w:val="right"/>
              <w:rPr>
                <w:b/>
                <w:sz w:val="20"/>
                <w:szCs w:val="20"/>
                <w:lang w:val="en-GB"/>
              </w:rPr>
            </w:pPr>
            <w:r w:rsidRPr="00D62D04">
              <w:rPr>
                <w:b/>
                <w:sz w:val="20"/>
                <w:szCs w:val="20"/>
                <w:lang w:val="en-GB"/>
              </w:rPr>
              <w:t>15</w:t>
            </w:r>
            <w:r w:rsidR="0012645C" w:rsidRPr="00D62D04">
              <w:rPr>
                <w:b/>
                <w:sz w:val="20"/>
                <w:szCs w:val="20"/>
                <w:lang w:val="en-GB"/>
              </w:rPr>
              <w:t>,</w:t>
            </w:r>
            <w:r w:rsidRPr="00D62D04">
              <w:rPr>
                <w:b/>
                <w:sz w:val="20"/>
                <w:szCs w:val="20"/>
                <w:lang w:val="en-GB"/>
              </w:rPr>
              <w:t>130</w:t>
            </w:r>
            <w:r w:rsidR="0012645C" w:rsidRPr="00D62D04">
              <w:rPr>
                <w:b/>
                <w:sz w:val="20"/>
                <w:szCs w:val="20"/>
                <w:lang w:val="en-GB"/>
              </w:rPr>
              <w:t>,</w:t>
            </w:r>
            <w:r w:rsidRPr="00D62D04">
              <w:rPr>
                <w:b/>
                <w:sz w:val="20"/>
                <w:szCs w:val="20"/>
                <w:lang w:val="en-GB"/>
              </w:rPr>
              <w:t>000</w:t>
            </w:r>
            <w:r w:rsidR="0012645C" w:rsidRPr="00D62D04">
              <w:rPr>
                <w:b/>
                <w:sz w:val="20"/>
                <w:szCs w:val="20"/>
                <w:lang w:val="en-GB"/>
              </w:rPr>
              <w:t>.</w:t>
            </w:r>
            <w:r w:rsidRPr="00D62D04">
              <w:rPr>
                <w:b/>
                <w:sz w:val="20"/>
                <w:szCs w:val="20"/>
                <w:lang w:val="en-GB"/>
              </w:rPr>
              <w:t>00</w:t>
            </w:r>
          </w:p>
        </w:tc>
      </w:tr>
      <w:tr w:rsidR="00486CD3" w:rsidRPr="00D62D04" w14:paraId="7F7BF7BE" w14:textId="77777777" w:rsidTr="00486CD3">
        <w:trPr>
          <w:trHeight w:val="271"/>
        </w:trPr>
        <w:tc>
          <w:tcPr>
            <w:tcW w:w="9042" w:type="dxa"/>
            <w:gridSpan w:val="3"/>
          </w:tcPr>
          <w:p w14:paraId="4F68B887" w14:textId="77777777" w:rsidR="00486CD3" w:rsidRPr="00D62D04" w:rsidRDefault="0012645C" w:rsidP="00486CD3">
            <w:pPr>
              <w:spacing w:after="0"/>
              <w:jc w:val="center"/>
              <w:rPr>
                <w:sz w:val="20"/>
                <w:szCs w:val="20"/>
                <w:lang w:val="en-GB"/>
              </w:rPr>
            </w:pPr>
            <w:r w:rsidRPr="00D62D04">
              <w:rPr>
                <w:sz w:val="20"/>
                <w:szCs w:val="20"/>
                <w:lang w:val="en-GB"/>
              </w:rPr>
              <w:t>2021</w:t>
            </w:r>
          </w:p>
        </w:tc>
      </w:tr>
      <w:tr w:rsidR="00486CD3" w:rsidRPr="00D62D04" w14:paraId="7D700799" w14:textId="77777777" w:rsidTr="0034105D">
        <w:trPr>
          <w:trHeight w:val="690"/>
        </w:trPr>
        <w:tc>
          <w:tcPr>
            <w:tcW w:w="3014" w:type="dxa"/>
          </w:tcPr>
          <w:p w14:paraId="51DC3905" w14:textId="77777777" w:rsidR="00486CD3" w:rsidRPr="00D62D04" w:rsidRDefault="0012645C" w:rsidP="00486CD3">
            <w:pPr>
              <w:spacing w:after="0"/>
              <w:rPr>
                <w:sz w:val="20"/>
                <w:szCs w:val="20"/>
                <w:highlight w:val="cyan"/>
                <w:lang w:val="en-GB"/>
              </w:rPr>
            </w:pPr>
            <w:r w:rsidRPr="00D62D04">
              <w:rPr>
                <w:sz w:val="20"/>
                <w:szCs w:val="20"/>
                <w:lang w:val="en-GB"/>
              </w:rPr>
              <w:t>"Multiculturalism on a click" - 6 award-winning competitions (video work, photography, literary form, design, art work, etc.)</w:t>
            </w:r>
          </w:p>
        </w:tc>
        <w:tc>
          <w:tcPr>
            <w:tcW w:w="3014" w:type="dxa"/>
          </w:tcPr>
          <w:p w14:paraId="08845E8B" w14:textId="77777777" w:rsidR="00486CD3" w:rsidRPr="00D62D04" w:rsidRDefault="0012645C" w:rsidP="00486CD3">
            <w:pPr>
              <w:spacing w:after="0"/>
              <w:rPr>
                <w:sz w:val="20"/>
                <w:szCs w:val="20"/>
                <w:highlight w:val="cyan"/>
                <w:lang w:val="en-GB"/>
              </w:rPr>
            </w:pPr>
            <w:r w:rsidRPr="00D62D04">
              <w:rPr>
                <w:sz w:val="20"/>
                <w:szCs w:val="20"/>
                <w:lang w:val="en-GB"/>
              </w:rPr>
              <w:t>Primary and secondary school students</w:t>
            </w:r>
          </w:p>
        </w:tc>
        <w:tc>
          <w:tcPr>
            <w:tcW w:w="3014" w:type="dxa"/>
          </w:tcPr>
          <w:p w14:paraId="592BB949" w14:textId="77777777" w:rsidR="00486CD3" w:rsidRPr="00D62D04" w:rsidRDefault="00486CD3" w:rsidP="0034105D">
            <w:pPr>
              <w:spacing w:after="0"/>
              <w:rPr>
                <w:sz w:val="20"/>
                <w:szCs w:val="20"/>
                <w:highlight w:val="cyan"/>
                <w:lang w:val="en-GB"/>
              </w:rPr>
            </w:pPr>
          </w:p>
        </w:tc>
      </w:tr>
      <w:tr w:rsidR="00486CD3" w:rsidRPr="00D62D04" w14:paraId="2B1E5766" w14:textId="77777777" w:rsidTr="0034105D">
        <w:trPr>
          <w:trHeight w:val="690"/>
        </w:trPr>
        <w:tc>
          <w:tcPr>
            <w:tcW w:w="3014" w:type="dxa"/>
          </w:tcPr>
          <w:p w14:paraId="4DE06FDE" w14:textId="77777777" w:rsidR="00486CD3" w:rsidRPr="00D62D04" w:rsidRDefault="00344623" w:rsidP="0034105D">
            <w:pPr>
              <w:spacing w:after="0"/>
              <w:rPr>
                <w:sz w:val="20"/>
                <w:szCs w:val="20"/>
                <w:highlight w:val="cyan"/>
                <w:lang w:val="en-GB"/>
              </w:rPr>
            </w:pPr>
            <w:r w:rsidRPr="00D62D04">
              <w:rPr>
                <w:sz w:val="20"/>
                <w:szCs w:val="20"/>
                <w:lang w:val="en-GB"/>
              </w:rPr>
              <w:t xml:space="preserve">Competition for co-financing projects to preserve and foster inter-ethnic tolerance in </w:t>
            </w:r>
            <w:proofErr w:type="spellStart"/>
            <w:r w:rsidRPr="00D62D04">
              <w:rPr>
                <w:sz w:val="20"/>
                <w:szCs w:val="20"/>
                <w:lang w:val="en-GB"/>
              </w:rPr>
              <w:t>Vojvodina</w:t>
            </w:r>
            <w:proofErr w:type="spellEnd"/>
          </w:p>
        </w:tc>
        <w:tc>
          <w:tcPr>
            <w:tcW w:w="3014" w:type="dxa"/>
          </w:tcPr>
          <w:p w14:paraId="36307815" w14:textId="77777777" w:rsidR="00486CD3" w:rsidRPr="00D62D04" w:rsidRDefault="005C1913" w:rsidP="00A475C5">
            <w:pPr>
              <w:spacing w:after="0"/>
              <w:rPr>
                <w:sz w:val="20"/>
                <w:szCs w:val="20"/>
                <w:highlight w:val="cyan"/>
                <w:lang w:val="en-GB"/>
              </w:rPr>
            </w:pPr>
            <w:r w:rsidRPr="00D62D04">
              <w:rPr>
                <w:sz w:val="20"/>
                <w:szCs w:val="20"/>
                <w:lang w:val="en-GB"/>
              </w:rPr>
              <w:t>Out of 344 projects that met the conditions of the competition, 184 projects were financed</w:t>
            </w:r>
          </w:p>
        </w:tc>
        <w:tc>
          <w:tcPr>
            <w:tcW w:w="3014" w:type="dxa"/>
          </w:tcPr>
          <w:p w14:paraId="7C7B8EB3" w14:textId="77777777" w:rsidR="00486CD3" w:rsidRPr="00D62D04" w:rsidRDefault="00486CD3" w:rsidP="0034105D">
            <w:pPr>
              <w:spacing w:after="0"/>
              <w:rPr>
                <w:sz w:val="20"/>
                <w:szCs w:val="20"/>
                <w:highlight w:val="cyan"/>
                <w:lang w:val="en-GB"/>
              </w:rPr>
            </w:pPr>
          </w:p>
        </w:tc>
      </w:tr>
      <w:tr w:rsidR="00333BAB" w:rsidRPr="00D62D04" w14:paraId="4CF03B62" w14:textId="77777777" w:rsidTr="00A475C5">
        <w:trPr>
          <w:trHeight w:val="419"/>
        </w:trPr>
        <w:tc>
          <w:tcPr>
            <w:tcW w:w="6028" w:type="dxa"/>
            <w:gridSpan w:val="2"/>
          </w:tcPr>
          <w:p w14:paraId="460BACF6" w14:textId="77777777" w:rsidR="00333BAB" w:rsidRPr="00D62D04" w:rsidRDefault="00333BAB" w:rsidP="00333BAB">
            <w:pPr>
              <w:spacing w:after="0"/>
              <w:rPr>
                <w:b/>
                <w:sz w:val="20"/>
                <w:szCs w:val="20"/>
                <w:lang w:val="en-GB"/>
              </w:rPr>
            </w:pPr>
            <w:r w:rsidRPr="00D62D04">
              <w:rPr>
                <w:b/>
                <w:sz w:val="20"/>
                <w:szCs w:val="20"/>
                <w:lang w:val="en-GB"/>
              </w:rPr>
              <w:t>Total funds</w:t>
            </w:r>
          </w:p>
        </w:tc>
        <w:tc>
          <w:tcPr>
            <w:tcW w:w="3014" w:type="dxa"/>
          </w:tcPr>
          <w:p w14:paraId="48F72917" w14:textId="77777777" w:rsidR="00333BAB" w:rsidRPr="00D62D04" w:rsidRDefault="00333BAB" w:rsidP="005C1913">
            <w:pPr>
              <w:spacing w:after="0"/>
              <w:jc w:val="right"/>
              <w:rPr>
                <w:b/>
                <w:sz w:val="20"/>
                <w:szCs w:val="20"/>
                <w:lang w:val="en-GB"/>
              </w:rPr>
            </w:pPr>
            <w:r w:rsidRPr="00D62D04">
              <w:rPr>
                <w:b/>
                <w:sz w:val="20"/>
                <w:szCs w:val="20"/>
                <w:lang w:val="en-GB"/>
              </w:rPr>
              <w:t>14</w:t>
            </w:r>
            <w:r w:rsidR="005C1913" w:rsidRPr="00D62D04">
              <w:rPr>
                <w:b/>
                <w:sz w:val="20"/>
                <w:szCs w:val="20"/>
                <w:lang w:val="en-GB"/>
              </w:rPr>
              <w:t>,</w:t>
            </w:r>
            <w:r w:rsidRPr="00D62D04">
              <w:rPr>
                <w:b/>
                <w:sz w:val="20"/>
                <w:szCs w:val="20"/>
                <w:lang w:val="en-GB"/>
              </w:rPr>
              <w:t>619</w:t>
            </w:r>
            <w:r w:rsidR="005C1913" w:rsidRPr="00D62D04">
              <w:rPr>
                <w:b/>
                <w:sz w:val="20"/>
                <w:szCs w:val="20"/>
                <w:lang w:val="en-GB"/>
              </w:rPr>
              <w:t>,</w:t>
            </w:r>
            <w:r w:rsidRPr="00D62D04">
              <w:rPr>
                <w:b/>
                <w:sz w:val="20"/>
                <w:szCs w:val="20"/>
                <w:lang w:val="en-GB"/>
              </w:rPr>
              <w:t>645</w:t>
            </w:r>
            <w:r w:rsidR="005C1913" w:rsidRPr="00D62D04">
              <w:rPr>
                <w:b/>
                <w:sz w:val="20"/>
                <w:szCs w:val="20"/>
                <w:lang w:val="en-GB"/>
              </w:rPr>
              <w:t>.</w:t>
            </w:r>
            <w:r w:rsidRPr="00D62D04">
              <w:rPr>
                <w:b/>
                <w:sz w:val="20"/>
                <w:szCs w:val="20"/>
                <w:lang w:val="en-GB"/>
              </w:rPr>
              <w:t>00</w:t>
            </w:r>
          </w:p>
        </w:tc>
      </w:tr>
    </w:tbl>
    <w:p w14:paraId="37230B40" w14:textId="77777777" w:rsidR="00F81F4A" w:rsidRPr="00D62D04" w:rsidRDefault="00F81F4A" w:rsidP="00F81F4A">
      <w:pPr>
        <w:spacing w:after="0"/>
        <w:jc w:val="both"/>
        <w:rPr>
          <w:sz w:val="24"/>
          <w:szCs w:val="24"/>
          <w:highlight w:val="cyan"/>
          <w:lang w:val="en-GB"/>
        </w:rPr>
      </w:pPr>
    </w:p>
    <w:p w14:paraId="56735843" w14:textId="77777777" w:rsidR="009F7288" w:rsidRPr="00D62D04" w:rsidRDefault="009F7288" w:rsidP="00A475C5">
      <w:pPr>
        <w:spacing w:after="0"/>
        <w:ind w:firstLine="720"/>
        <w:jc w:val="both"/>
        <w:rPr>
          <w:sz w:val="24"/>
          <w:szCs w:val="24"/>
          <w:lang w:val="en-GB"/>
        </w:rPr>
      </w:pPr>
      <w:r w:rsidRPr="00D62D04">
        <w:rPr>
          <w:sz w:val="24"/>
          <w:szCs w:val="24"/>
          <w:lang w:val="en-GB"/>
        </w:rPr>
        <w:t>According to the available data, the table below provides an overview of the number of local self-government units, the number of supported multicultural projects and the amount of allocated funds in 2020.</w:t>
      </w:r>
    </w:p>
    <w:p w14:paraId="220DDD28" w14:textId="77777777" w:rsidR="00A475C5" w:rsidRPr="00D62D04" w:rsidRDefault="00A475C5" w:rsidP="00A475C5">
      <w:pPr>
        <w:spacing w:after="0"/>
        <w:jc w:val="both"/>
        <w:rPr>
          <w:sz w:val="24"/>
          <w:szCs w:val="24"/>
          <w:highlight w:val="cyan"/>
          <w:lang w:val="en-GB"/>
        </w:rPr>
      </w:pPr>
    </w:p>
    <w:tbl>
      <w:tblPr>
        <w:tblStyle w:val="TableGrid"/>
        <w:tblW w:w="0" w:type="auto"/>
        <w:tblLook w:val="04A0" w:firstRow="1" w:lastRow="0" w:firstColumn="1" w:lastColumn="0" w:noHBand="0" w:noVBand="1"/>
      </w:tblPr>
      <w:tblGrid>
        <w:gridCol w:w="3005"/>
        <w:gridCol w:w="3005"/>
        <w:gridCol w:w="3006"/>
      </w:tblGrid>
      <w:tr w:rsidR="00A475C5" w:rsidRPr="00D62D04" w14:paraId="4426820D" w14:textId="77777777" w:rsidTr="00A475C5">
        <w:tc>
          <w:tcPr>
            <w:tcW w:w="3005" w:type="dxa"/>
          </w:tcPr>
          <w:p w14:paraId="08EA00B5" w14:textId="77777777" w:rsidR="00A475C5" w:rsidRPr="00D62D04" w:rsidRDefault="009F7288" w:rsidP="008E4923">
            <w:pPr>
              <w:spacing w:after="0"/>
              <w:jc w:val="center"/>
              <w:rPr>
                <w:sz w:val="20"/>
                <w:szCs w:val="20"/>
                <w:lang w:val="en-GB"/>
              </w:rPr>
            </w:pPr>
            <w:r w:rsidRPr="00D62D04">
              <w:rPr>
                <w:sz w:val="20"/>
                <w:szCs w:val="20"/>
                <w:lang w:val="en-GB"/>
              </w:rPr>
              <w:t>Number of LSGUs</w:t>
            </w:r>
          </w:p>
        </w:tc>
        <w:tc>
          <w:tcPr>
            <w:tcW w:w="3005" w:type="dxa"/>
          </w:tcPr>
          <w:p w14:paraId="1429C393" w14:textId="77777777" w:rsidR="00A475C5" w:rsidRPr="00D62D04" w:rsidRDefault="009F7288" w:rsidP="008E4923">
            <w:pPr>
              <w:spacing w:after="0"/>
              <w:jc w:val="center"/>
              <w:rPr>
                <w:sz w:val="20"/>
                <w:szCs w:val="20"/>
                <w:lang w:val="en-GB"/>
              </w:rPr>
            </w:pPr>
            <w:r w:rsidRPr="00D62D04">
              <w:rPr>
                <w:sz w:val="20"/>
                <w:szCs w:val="20"/>
                <w:lang w:val="en-GB"/>
              </w:rPr>
              <w:t>Number of supported projects</w:t>
            </w:r>
          </w:p>
        </w:tc>
        <w:tc>
          <w:tcPr>
            <w:tcW w:w="3006" w:type="dxa"/>
          </w:tcPr>
          <w:p w14:paraId="21408B23" w14:textId="77777777" w:rsidR="00A475C5" w:rsidRPr="00D62D04" w:rsidRDefault="009F7288" w:rsidP="008E4923">
            <w:pPr>
              <w:spacing w:after="0"/>
              <w:jc w:val="center"/>
              <w:rPr>
                <w:sz w:val="20"/>
                <w:szCs w:val="20"/>
                <w:lang w:val="en-GB"/>
              </w:rPr>
            </w:pPr>
            <w:r w:rsidRPr="00D62D04">
              <w:rPr>
                <w:sz w:val="20"/>
                <w:szCs w:val="20"/>
                <w:lang w:val="en-GB"/>
              </w:rPr>
              <w:t>Amount of funds</w:t>
            </w:r>
          </w:p>
        </w:tc>
      </w:tr>
      <w:tr w:rsidR="00A475C5" w:rsidRPr="00D62D04" w14:paraId="653EB8B9" w14:textId="77777777" w:rsidTr="00A475C5">
        <w:tc>
          <w:tcPr>
            <w:tcW w:w="3005" w:type="dxa"/>
          </w:tcPr>
          <w:p w14:paraId="1457F961" w14:textId="77777777" w:rsidR="00A475C5" w:rsidRPr="00D62D04" w:rsidRDefault="008E4923" w:rsidP="008E4923">
            <w:pPr>
              <w:spacing w:after="0"/>
              <w:jc w:val="center"/>
              <w:rPr>
                <w:sz w:val="20"/>
                <w:szCs w:val="20"/>
                <w:lang w:val="en-GB"/>
              </w:rPr>
            </w:pPr>
            <w:r w:rsidRPr="00D62D04">
              <w:rPr>
                <w:sz w:val="20"/>
                <w:szCs w:val="20"/>
                <w:lang w:val="en-GB"/>
              </w:rPr>
              <w:t>14</w:t>
            </w:r>
          </w:p>
        </w:tc>
        <w:tc>
          <w:tcPr>
            <w:tcW w:w="3005" w:type="dxa"/>
          </w:tcPr>
          <w:p w14:paraId="0E06AAC0" w14:textId="77777777" w:rsidR="00A475C5" w:rsidRPr="00D62D04" w:rsidRDefault="008E4923" w:rsidP="008E4923">
            <w:pPr>
              <w:spacing w:after="0"/>
              <w:jc w:val="center"/>
              <w:rPr>
                <w:sz w:val="20"/>
                <w:szCs w:val="20"/>
                <w:lang w:val="en-GB"/>
              </w:rPr>
            </w:pPr>
            <w:r w:rsidRPr="00D62D04">
              <w:rPr>
                <w:sz w:val="20"/>
                <w:szCs w:val="20"/>
                <w:lang w:val="en-GB"/>
              </w:rPr>
              <w:t>29</w:t>
            </w:r>
          </w:p>
        </w:tc>
        <w:tc>
          <w:tcPr>
            <w:tcW w:w="3006" w:type="dxa"/>
          </w:tcPr>
          <w:p w14:paraId="30D1372E" w14:textId="77777777" w:rsidR="00A475C5" w:rsidRPr="00D62D04" w:rsidRDefault="008E4923" w:rsidP="009F7288">
            <w:pPr>
              <w:spacing w:after="0"/>
              <w:jc w:val="center"/>
              <w:rPr>
                <w:sz w:val="20"/>
                <w:szCs w:val="20"/>
                <w:lang w:val="en-GB"/>
              </w:rPr>
            </w:pPr>
            <w:r w:rsidRPr="00D62D04">
              <w:rPr>
                <w:sz w:val="20"/>
                <w:szCs w:val="20"/>
                <w:lang w:val="en-GB"/>
              </w:rPr>
              <w:t>6</w:t>
            </w:r>
            <w:r w:rsidR="009F7288" w:rsidRPr="00D62D04">
              <w:rPr>
                <w:sz w:val="20"/>
                <w:szCs w:val="20"/>
                <w:lang w:val="en-GB"/>
              </w:rPr>
              <w:t>,</w:t>
            </w:r>
            <w:r w:rsidRPr="00D62D04">
              <w:rPr>
                <w:sz w:val="20"/>
                <w:szCs w:val="20"/>
                <w:lang w:val="en-GB"/>
              </w:rPr>
              <w:t>475</w:t>
            </w:r>
            <w:r w:rsidR="009F7288" w:rsidRPr="00D62D04">
              <w:rPr>
                <w:sz w:val="20"/>
                <w:szCs w:val="20"/>
                <w:lang w:val="en-GB"/>
              </w:rPr>
              <w:t>.</w:t>
            </w:r>
            <w:r w:rsidRPr="00D62D04">
              <w:rPr>
                <w:sz w:val="20"/>
                <w:szCs w:val="20"/>
                <w:lang w:val="en-GB"/>
              </w:rPr>
              <w:t>800</w:t>
            </w:r>
            <w:r w:rsidR="009F7288" w:rsidRPr="00D62D04">
              <w:rPr>
                <w:sz w:val="20"/>
                <w:szCs w:val="20"/>
                <w:lang w:val="en-GB"/>
              </w:rPr>
              <w:t>.</w:t>
            </w:r>
            <w:r w:rsidRPr="00D62D04">
              <w:rPr>
                <w:sz w:val="20"/>
                <w:szCs w:val="20"/>
                <w:lang w:val="en-GB"/>
              </w:rPr>
              <w:t>00</w:t>
            </w:r>
          </w:p>
        </w:tc>
      </w:tr>
    </w:tbl>
    <w:p w14:paraId="32418951" w14:textId="77777777" w:rsidR="00A475C5" w:rsidRPr="00D62D04" w:rsidRDefault="00A475C5" w:rsidP="00A475C5">
      <w:pPr>
        <w:spacing w:after="0"/>
        <w:jc w:val="both"/>
        <w:rPr>
          <w:sz w:val="24"/>
          <w:szCs w:val="24"/>
          <w:highlight w:val="cyan"/>
          <w:lang w:val="en-GB"/>
        </w:rPr>
      </w:pPr>
    </w:p>
    <w:p w14:paraId="173DC8C9" w14:textId="77777777" w:rsidR="009F7288" w:rsidRPr="00D62D04" w:rsidRDefault="009F7288" w:rsidP="00967EB6">
      <w:pPr>
        <w:spacing w:after="0"/>
        <w:ind w:firstLine="720"/>
        <w:jc w:val="both"/>
        <w:rPr>
          <w:sz w:val="24"/>
          <w:szCs w:val="24"/>
          <w:lang w:val="en-GB"/>
        </w:rPr>
      </w:pPr>
      <w:r w:rsidRPr="00D62D04">
        <w:rPr>
          <w:sz w:val="24"/>
          <w:szCs w:val="24"/>
          <w:lang w:val="en-GB"/>
        </w:rPr>
        <w:t>Within the competition for co-financing of projects in the field of public information in the languages of national minorities, the Ministry of Culture and Information supports multilingual and multicultural projects that contribute to the development of dialogue, better acquaintance and understanding in multinational environments. The following table shows data on multilingual and multicultural projects that were supported by the budget of the Republic of Serbia in this reporting period.</w:t>
      </w:r>
    </w:p>
    <w:p w14:paraId="384C9120" w14:textId="77777777" w:rsidR="00967EB6" w:rsidRPr="00D62D04" w:rsidRDefault="00967EB6" w:rsidP="00967EB6">
      <w:pPr>
        <w:spacing w:after="0"/>
        <w:jc w:val="both"/>
        <w:rPr>
          <w:sz w:val="24"/>
          <w:szCs w:val="24"/>
          <w:highlight w:val="cyan"/>
          <w:lang w:val="en-GB"/>
        </w:rPr>
      </w:pP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967EB6" w:rsidRPr="00D62D04" w14:paraId="2D34FB37" w14:textId="77777777" w:rsidTr="00967EB6">
        <w:tc>
          <w:tcPr>
            <w:tcW w:w="1502" w:type="dxa"/>
          </w:tcPr>
          <w:p w14:paraId="6C6844C0" w14:textId="77777777" w:rsidR="00967EB6" w:rsidRPr="00D62D04" w:rsidRDefault="00967EB6" w:rsidP="00967EB6">
            <w:pPr>
              <w:spacing w:after="0"/>
              <w:jc w:val="center"/>
              <w:rPr>
                <w:sz w:val="20"/>
                <w:szCs w:val="20"/>
                <w:lang w:val="en-GB"/>
              </w:rPr>
            </w:pPr>
          </w:p>
        </w:tc>
        <w:tc>
          <w:tcPr>
            <w:tcW w:w="1502" w:type="dxa"/>
          </w:tcPr>
          <w:p w14:paraId="77226891" w14:textId="77777777" w:rsidR="00967EB6" w:rsidRPr="00D62D04" w:rsidRDefault="00461608" w:rsidP="00967EB6">
            <w:pPr>
              <w:spacing w:after="0"/>
              <w:jc w:val="center"/>
              <w:rPr>
                <w:sz w:val="20"/>
                <w:szCs w:val="20"/>
                <w:lang w:val="en-GB"/>
              </w:rPr>
            </w:pPr>
            <w:r w:rsidRPr="00D62D04">
              <w:rPr>
                <w:sz w:val="20"/>
                <w:szCs w:val="20"/>
                <w:lang w:val="en-GB"/>
              </w:rPr>
              <w:t>2017</w:t>
            </w:r>
          </w:p>
        </w:tc>
        <w:tc>
          <w:tcPr>
            <w:tcW w:w="1503" w:type="dxa"/>
          </w:tcPr>
          <w:p w14:paraId="7E127563" w14:textId="77777777" w:rsidR="00967EB6" w:rsidRPr="00D62D04" w:rsidRDefault="00461608" w:rsidP="00967EB6">
            <w:pPr>
              <w:spacing w:after="0"/>
              <w:jc w:val="center"/>
              <w:rPr>
                <w:sz w:val="20"/>
                <w:szCs w:val="20"/>
                <w:lang w:val="en-GB"/>
              </w:rPr>
            </w:pPr>
            <w:r w:rsidRPr="00D62D04">
              <w:rPr>
                <w:sz w:val="20"/>
                <w:szCs w:val="20"/>
                <w:lang w:val="en-GB"/>
              </w:rPr>
              <w:t>2018</w:t>
            </w:r>
          </w:p>
        </w:tc>
        <w:tc>
          <w:tcPr>
            <w:tcW w:w="1503" w:type="dxa"/>
          </w:tcPr>
          <w:p w14:paraId="252E5AC4" w14:textId="77777777" w:rsidR="00967EB6" w:rsidRPr="00D62D04" w:rsidRDefault="00461608" w:rsidP="00967EB6">
            <w:pPr>
              <w:spacing w:after="0"/>
              <w:jc w:val="center"/>
              <w:rPr>
                <w:sz w:val="20"/>
                <w:szCs w:val="20"/>
                <w:lang w:val="en-GB"/>
              </w:rPr>
            </w:pPr>
            <w:r w:rsidRPr="00D62D04">
              <w:rPr>
                <w:sz w:val="20"/>
                <w:szCs w:val="20"/>
                <w:lang w:val="en-GB"/>
              </w:rPr>
              <w:t>2019</w:t>
            </w:r>
          </w:p>
        </w:tc>
        <w:tc>
          <w:tcPr>
            <w:tcW w:w="1503" w:type="dxa"/>
          </w:tcPr>
          <w:p w14:paraId="7E5CD828" w14:textId="77777777" w:rsidR="00967EB6" w:rsidRPr="00D62D04" w:rsidRDefault="00461608" w:rsidP="00967EB6">
            <w:pPr>
              <w:spacing w:after="0"/>
              <w:jc w:val="center"/>
              <w:rPr>
                <w:sz w:val="20"/>
                <w:szCs w:val="20"/>
                <w:lang w:val="en-GB"/>
              </w:rPr>
            </w:pPr>
            <w:r w:rsidRPr="00D62D04">
              <w:rPr>
                <w:sz w:val="20"/>
                <w:szCs w:val="20"/>
                <w:lang w:val="en-GB"/>
              </w:rPr>
              <w:t>2020</w:t>
            </w:r>
          </w:p>
        </w:tc>
        <w:tc>
          <w:tcPr>
            <w:tcW w:w="1503" w:type="dxa"/>
          </w:tcPr>
          <w:p w14:paraId="4ADD7742" w14:textId="77777777" w:rsidR="00967EB6" w:rsidRPr="00D62D04" w:rsidRDefault="00461608" w:rsidP="00967EB6">
            <w:pPr>
              <w:spacing w:after="0"/>
              <w:jc w:val="center"/>
              <w:rPr>
                <w:sz w:val="20"/>
                <w:szCs w:val="20"/>
                <w:lang w:val="en-GB"/>
              </w:rPr>
            </w:pPr>
            <w:r w:rsidRPr="00D62D04">
              <w:rPr>
                <w:sz w:val="20"/>
                <w:szCs w:val="20"/>
                <w:lang w:val="en-GB"/>
              </w:rPr>
              <w:t>2021</w:t>
            </w:r>
          </w:p>
        </w:tc>
      </w:tr>
      <w:tr w:rsidR="009F7288" w:rsidRPr="00D62D04" w14:paraId="2B86B317" w14:textId="77777777" w:rsidTr="002137FD">
        <w:tc>
          <w:tcPr>
            <w:tcW w:w="1502" w:type="dxa"/>
          </w:tcPr>
          <w:p w14:paraId="64963775" w14:textId="77777777" w:rsidR="009F7288" w:rsidRPr="00D62D04" w:rsidRDefault="009F7288" w:rsidP="009F7288">
            <w:pPr>
              <w:spacing w:after="0"/>
              <w:jc w:val="center"/>
              <w:rPr>
                <w:sz w:val="20"/>
                <w:szCs w:val="20"/>
                <w:lang w:val="en-GB"/>
              </w:rPr>
            </w:pPr>
            <w:r w:rsidRPr="00D62D04">
              <w:rPr>
                <w:sz w:val="20"/>
                <w:szCs w:val="20"/>
                <w:lang w:val="en-GB"/>
              </w:rPr>
              <w:t>Number of supported projects</w:t>
            </w:r>
          </w:p>
        </w:tc>
        <w:tc>
          <w:tcPr>
            <w:tcW w:w="1502" w:type="dxa"/>
            <w:vAlign w:val="center"/>
          </w:tcPr>
          <w:p w14:paraId="71DA7278" w14:textId="77777777" w:rsidR="009F7288" w:rsidRPr="00D62D04" w:rsidRDefault="009F7288" w:rsidP="009F7288">
            <w:pPr>
              <w:spacing w:after="0"/>
              <w:jc w:val="center"/>
              <w:rPr>
                <w:rFonts w:eastAsia="Times New Roman"/>
                <w:color w:val="000000"/>
                <w:sz w:val="20"/>
                <w:szCs w:val="20"/>
                <w:lang w:val="en-GB"/>
              </w:rPr>
            </w:pPr>
            <w:r w:rsidRPr="00D62D04">
              <w:rPr>
                <w:rFonts w:eastAsia="Times New Roman"/>
                <w:color w:val="000000"/>
                <w:sz w:val="20"/>
                <w:szCs w:val="20"/>
                <w:lang w:val="en-GB"/>
              </w:rPr>
              <w:t>8</w:t>
            </w:r>
          </w:p>
        </w:tc>
        <w:tc>
          <w:tcPr>
            <w:tcW w:w="1503" w:type="dxa"/>
            <w:vAlign w:val="center"/>
          </w:tcPr>
          <w:p w14:paraId="6466662B" w14:textId="77777777" w:rsidR="009F7288" w:rsidRPr="00D62D04" w:rsidRDefault="009F7288" w:rsidP="009F7288">
            <w:pPr>
              <w:spacing w:after="0"/>
              <w:jc w:val="center"/>
              <w:rPr>
                <w:rFonts w:eastAsia="Times New Roman"/>
                <w:color w:val="000000"/>
                <w:sz w:val="20"/>
                <w:szCs w:val="20"/>
                <w:lang w:val="en-GB"/>
              </w:rPr>
            </w:pPr>
            <w:r w:rsidRPr="00D62D04">
              <w:rPr>
                <w:rFonts w:eastAsia="Times New Roman"/>
                <w:color w:val="000000"/>
                <w:sz w:val="20"/>
                <w:szCs w:val="20"/>
                <w:lang w:val="en-GB"/>
              </w:rPr>
              <w:t>12</w:t>
            </w:r>
          </w:p>
        </w:tc>
        <w:tc>
          <w:tcPr>
            <w:tcW w:w="1503" w:type="dxa"/>
            <w:vAlign w:val="center"/>
          </w:tcPr>
          <w:p w14:paraId="476A7422" w14:textId="77777777" w:rsidR="009F7288" w:rsidRPr="00D62D04" w:rsidRDefault="009F7288" w:rsidP="009F7288">
            <w:pPr>
              <w:spacing w:after="0"/>
              <w:jc w:val="center"/>
              <w:rPr>
                <w:rFonts w:eastAsia="Times New Roman"/>
                <w:color w:val="000000"/>
                <w:sz w:val="20"/>
                <w:szCs w:val="20"/>
                <w:lang w:val="en-GB"/>
              </w:rPr>
            </w:pPr>
            <w:r w:rsidRPr="00D62D04">
              <w:rPr>
                <w:rFonts w:eastAsia="Times New Roman"/>
                <w:color w:val="000000"/>
                <w:sz w:val="20"/>
                <w:szCs w:val="20"/>
                <w:lang w:val="en-GB"/>
              </w:rPr>
              <w:t>10</w:t>
            </w:r>
          </w:p>
        </w:tc>
        <w:tc>
          <w:tcPr>
            <w:tcW w:w="1503" w:type="dxa"/>
            <w:vAlign w:val="center"/>
          </w:tcPr>
          <w:p w14:paraId="59F6277F" w14:textId="77777777" w:rsidR="009F7288" w:rsidRPr="00D62D04" w:rsidRDefault="009F7288" w:rsidP="009F7288">
            <w:pPr>
              <w:spacing w:after="0"/>
              <w:jc w:val="center"/>
              <w:rPr>
                <w:rFonts w:eastAsia="Times New Roman"/>
                <w:color w:val="000000"/>
                <w:sz w:val="20"/>
                <w:szCs w:val="20"/>
                <w:lang w:val="en-GB"/>
              </w:rPr>
            </w:pPr>
            <w:r w:rsidRPr="00D62D04">
              <w:rPr>
                <w:rFonts w:eastAsia="Times New Roman"/>
                <w:color w:val="000000"/>
                <w:sz w:val="20"/>
                <w:szCs w:val="20"/>
                <w:lang w:val="en-GB"/>
              </w:rPr>
              <w:t>9</w:t>
            </w:r>
          </w:p>
        </w:tc>
        <w:tc>
          <w:tcPr>
            <w:tcW w:w="1503" w:type="dxa"/>
            <w:vAlign w:val="center"/>
          </w:tcPr>
          <w:p w14:paraId="53562999" w14:textId="77777777" w:rsidR="009F7288" w:rsidRPr="00D62D04" w:rsidRDefault="009F7288" w:rsidP="009F7288">
            <w:pPr>
              <w:spacing w:after="0"/>
              <w:jc w:val="center"/>
              <w:rPr>
                <w:rFonts w:eastAsia="Times New Roman"/>
                <w:color w:val="000000"/>
                <w:sz w:val="20"/>
                <w:szCs w:val="20"/>
                <w:lang w:val="en-GB"/>
              </w:rPr>
            </w:pPr>
            <w:r w:rsidRPr="00D62D04">
              <w:rPr>
                <w:rFonts w:eastAsia="Times New Roman"/>
                <w:color w:val="000000"/>
                <w:sz w:val="20"/>
                <w:szCs w:val="20"/>
                <w:lang w:val="en-GB"/>
              </w:rPr>
              <w:t>6</w:t>
            </w:r>
          </w:p>
        </w:tc>
      </w:tr>
      <w:tr w:rsidR="009F7288" w:rsidRPr="00D62D04" w14:paraId="15A4C46D" w14:textId="77777777" w:rsidTr="00967EB6">
        <w:tc>
          <w:tcPr>
            <w:tcW w:w="1502" w:type="dxa"/>
          </w:tcPr>
          <w:p w14:paraId="69915165" w14:textId="77777777" w:rsidR="009F7288" w:rsidRPr="00D62D04" w:rsidRDefault="009F7288" w:rsidP="009F7288">
            <w:pPr>
              <w:spacing w:after="0"/>
              <w:jc w:val="center"/>
              <w:rPr>
                <w:sz w:val="20"/>
                <w:szCs w:val="20"/>
                <w:lang w:val="en-GB"/>
              </w:rPr>
            </w:pPr>
            <w:r w:rsidRPr="00D62D04">
              <w:rPr>
                <w:sz w:val="20"/>
                <w:szCs w:val="20"/>
                <w:lang w:val="en-GB"/>
              </w:rPr>
              <w:t>Amount of funds</w:t>
            </w:r>
          </w:p>
        </w:tc>
        <w:tc>
          <w:tcPr>
            <w:tcW w:w="1502" w:type="dxa"/>
            <w:vAlign w:val="center"/>
          </w:tcPr>
          <w:p w14:paraId="06EC79F2" w14:textId="77777777" w:rsidR="009F7288" w:rsidRPr="00D62D04" w:rsidRDefault="009F7288" w:rsidP="00461608">
            <w:pPr>
              <w:spacing w:after="0"/>
              <w:jc w:val="center"/>
              <w:rPr>
                <w:sz w:val="20"/>
                <w:szCs w:val="20"/>
                <w:lang w:val="en-GB"/>
              </w:rPr>
            </w:pPr>
            <w:r w:rsidRPr="00D62D04">
              <w:rPr>
                <w:sz w:val="20"/>
                <w:szCs w:val="20"/>
                <w:lang w:val="en-GB"/>
              </w:rPr>
              <w:t>3</w:t>
            </w:r>
            <w:r w:rsidR="00461608" w:rsidRPr="00D62D04">
              <w:rPr>
                <w:sz w:val="20"/>
                <w:szCs w:val="20"/>
                <w:lang w:val="en-GB"/>
              </w:rPr>
              <w:t>,</w:t>
            </w:r>
            <w:r w:rsidRPr="00D62D04">
              <w:rPr>
                <w:sz w:val="20"/>
                <w:szCs w:val="20"/>
                <w:lang w:val="en-GB"/>
              </w:rPr>
              <w:t>200</w:t>
            </w:r>
            <w:r w:rsidR="00461608" w:rsidRPr="00D62D04">
              <w:rPr>
                <w:sz w:val="20"/>
                <w:szCs w:val="20"/>
                <w:lang w:val="en-GB"/>
              </w:rPr>
              <w:t>,</w:t>
            </w:r>
            <w:r w:rsidRPr="00D62D04">
              <w:rPr>
                <w:sz w:val="20"/>
                <w:szCs w:val="20"/>
                <w:lang w:val="en-GB"/>
              </w:rPr>
              <w:t>000</w:t>
            </w:r>
            <w:r w:rsidR="00461608" w:rsidRPr="00D62D04">
              <w:rPr>
                <w:sz w:val="20"/>
                <w:szCs w:val="20"/>
                <w:lang w:val="en-GB"/>
              </w:rPr>
              <w:t>.</w:t>
            </w:r>
            <w:r w:rsidRPr="00D62D04">
              <w:rPr>
                <w:sz w:val="20"/>
                <w:szCs w:val="20"/>
                <w:lang w:val="en-GB"/>
              </w:rPr>
              <w:t>00</w:t>
            </w:r>
          </w:p>
        </w:tc>
        <w:tc>
          <w:tcPr>
            <w:tcW w:w="1503" w:type="dxa"/>
            <w:vAlign w:val="center"/>
          </w:tcPr>
          <w:p w14:paraId="390EDBC2" w14:textId="77777777" w:rsidR="009F7288" w:rsidRPr="00D62D04" w:rsidRDefault="009F7288" w:rsidP="00461608">
            <w:pPr>
              <w:spacing w:after="0"/>
              <w:jc w:val="center"/>
              <w:rPr>
                <w:sz w:val="20"/>
                <w:szCs w:val="20"/>
                <w:lang w:val="en-GB"/>
              </w:rPr>
            </w:pPr>
            <w:r w:rsidRPr="00D62D04">
              <w:rPr>
                <w:sz w:val="20"/>
                <w:szCs w:val="20"/>
                <w:lang w:val="en-GB"/>
              </w:rPr>
              <w:t>5</w:t>
            </w:r>
            <w:r w:rsidR="00461608" w:rsidRPr="00D62D04">
              <w:rPr>
                <w:sz w:val="20"/>
                <w:szCs w:val="20"/>
                <w:lang w:val="en-GB"/>
              </w:rPr>
              <w:t>,</w:t>
            </w:r>
            <w:r w:rsidRPr="00D62D04">
              <w:rPr>
                <w:sz w:val="20"/>
                <w:szCs w:val="20"/>
                <w:lang w:val="en-GB"/>
              </w:rPr>
              <w:t>800</w:t>
            </w:r>
            <w:r w:rsidR="00461608" w:rsidRPr="00D62D04">
              <w:rPr>
                <w:sz w:val="20"/>
                <w:szCs w:val="20"/>
                <w:lang w:val="en-GB"/>
              </w:rPr>
              <w:t>,</w:t>
            </w:r>
            <w:r w:rsidRPr="00D62D04">
              <w:rPr>
                <w:sz w:val="20"/>
                <w:szCs w:val="20"/>
                <w:lang w:val="en-GB"/>
              </w:rPr>
              <w:t>000</w:t>
            </w:r>
            <w:r w:rsidR="00461608" w:rsidRPr="00D62D04">
              <w:rPr>
                <w:sz w:val="20"/>
                <w:szCs w:val="20"/>
                <w:lang w:val="en-GB"/>
              </w:rPr>
              <w:t>.</w:t>
            </w:r>
            <w:r w:rsidRPr="00D62D04">
              <w:rPr>
                <w:sz w:val="20"/>
                <w:szCs w:val="20"/>
                <w:lang w:val="en-GB"/>
              </w:rPr>
              <w:t>00</w:t>
            </w:r>
          </w:p>
        </w:tc>
        <w:tc>
          <w:tcPr>
            <w:tcW w:w="1503" w:type="dxa"/>
            <w:vAlign w:val="center"/>
          </w:tcPr>
          <w:p w14:paraId="0A1166B7" w14:textId="77777777" w:rsidR="009F7288" w:rsidRPr="00D62D04" w:rsidRDefault="009F7288" w:rsidP="00461608">
            <w:pPr>
              <w:spacing w:after="0"/>
              <w:jc w:val="center"/>
              <w:rPr>
                <w:sz w:val="20"/>
                <w:szCs w:val="20"/>
                <w:lang w:val="en-GB"/>
              </w:rPr>
            </w:pPr>
            <w:r w:rsidRPr="00D62D04">
              <w:rPr>
                <w:sz w:val="20"/>
                <w:szCs w:val="20"/>
                <w:lang w:val="en-GB"/>
              </w:rPr>
              <w:t>4</w:t>
            </w:r>
            <w:r w:rsidR="00461608" w:rsidRPr="00D62D04">
              <w:rPr>
                <w:sz w:val="20"/>
                <w:szCs w:val="20"/>
                <w:lang w:val="en-GB"/>
              </w:rPr>
              <w:t>,</w:t>
            </w:r>
            <w:r w:rsidRPr="00D62D04">
              <w:rPr>
                <w:sz w:val="20"/>
                <w:szCs w:val="20"/>
                <w:lang w:val="en-GB"/>
              </w:rPr>
              <w:t>569</w:t>
            </w:r>
            <w:r w:rsidR="00461608" w:rsidRPr="00D62D04">
              <w:rPr>
                <w:sz w:val="20"/>
                <w:szCs w:val="20"/>
                <w:lang w:val="en-GB"/>
              </w:rPr>
              <w:t>,</w:t>
            </w:r>
            <w:r w:rsidRPr="00D62D04">
              <w:rPr>
                <w:sz w:val="20"/>
                <w:szCs w:val="20"/>
                <w:lang w:val="en-GB"/>
              </w:rPr>
              <w:t>400</w:t>
            </w:r>
            <w:r w:rsidR="00461608" w:rsidRPr="00D62D04">
              <w:rPr>
                <w:sz w:val="20"/>
                <w:szCs w:val="20"/>
                <w:lang w:val="en-GB"/>
              </w:rPr>
              <w:t>.</w:t>
            </w:r>
            <w:r w:rsidRPr="00D62D04">
              <w:rPr>
                <w:sz w:val="20"/>
                <w:szCs w:val="20"/>
                <w:lang w:val="en-GB"/>
              </w:rPr>
              <w:t>00</w:t>
            </w:r>
          </w:p>
        </w:tc>
        <w:tc>
          <w:tcPr>
            <w:tcW w:w="1503" w:type="dxa"/>
            <w:vAlign w:val="center"/>
          </w:tcPr>
          <w:p w14:paraId="589E27A9" w14:textId="77777777" w:rsidR="009F7288" w:rsidRPr="00D62D04" w:rsidRDefault="009F7288" w:rsidP="00461608">
            <w:pPr>
              <w:spacing w:after="0"/>
              <w:jc w:val="center"/>
              <w:rPr>
                <w:sz w:val="20"/>
                <w:szCs w:val="20"/>
                <w:lang w:val="en-GB"/>
              </w:rPr>
            </w:pPr>
            <w:r w:rsidRPr="00D62D04">
              <w:rPr>
                <w:sz w:val="20"/>
                <w:szCs w:val="20"/>
                <w:lang w:val="en-GB"/>
              </w:rPr>
              <w:t>4</w:t>
            </w:r>
            <w:r w:rsidR="00461608" w:rsidRPr="00D62D04">
              <w:rPr>
                <w:sz w:val="20"/>
                <w:szCs w:val="20"/>
                <w:lang w:val="en-GB"/>
              </w:rPr>
              <w:t>,</w:t>
            </w:r>
            <w:r w:rsidRPr="00D62D04">
              <w:rPr>
                <w:sz w:val="20"/>
                <w:szCs w:val="20"/>
                <w:lang w:val="en-GB"/>
              </w:rPr>
              <w:t>550</w:t>
            </w:r>
            <w:r w:rsidR="00461608" w:rsidRPr="00D62D04">
              <w:rPr>
                <w:sz w:val="20"/>
                <w:szCs w:val="20"/>
                <w:lang w:val="en-GB"/>
              </w:rPr>
              <w:t>,</w:t>
            </w:r>
            <w:r w:rsidRPr="00D62D04">
              <w:rPr>
                <w:sz w:val="20"/>
                <w:szCs w:val="20"/>
                <w:lang w:val="en-GB"/>
              </w:rPr>
              <w:t>000</w:t>
            </w:r>
            <w:r w:rsidR="00461608" w:rsidRPr="00D62D04">
              <w:rPr>
                <w:sz w:val="20"/>
                <w:szCs w:val="20"/>
                <w:lang w:val="en-GB"/>
              </w:rPr>
              <w:t>.</w:t>
            </w:r>
            <w:r w:rsidRPr="00D62D04">
              <w:rPr>
                <w:sz w:val="20"/>
                <w:szCs w:val="20"/>
                <w:lang w:val="en-GB"/>
              </w:rPr>
              <w:t>00</w:t>
            </w:r>
          </w:p>
        </w:tc>
        <w:tc>
          <w:tcPr>
            <w:tcW w:w="1503" w:type="dxa"/>
            <w:vAlign w:val="center"/>
          </w:tcPr>
          <w:p w14:paraId="46646C8A" w14:textId="77777777" w:rsidR="009F7288" w:rsidRPr="00D62D04" w:rsidRDefault="009F7288" w:rsidP="00461608">
            <w:pPr>
              <w:spacing w:after="0"/>
              <w:jc w:val="center"/>
              <w:rPr>
                <w:sz w:val="20"/>
                <w:szCs w:val="20"/>
                <w:lang w:val="en-GB"/>
              </w:rPr>
            </w:pPr>
            <w:r w:rsidRPr="00D62D04">
              <w:rPr>
                <w:sz w:val="20"/>
                <w:szCs w:val="20"/>
                <w:lang w:val="en-GB"/>
              </w:rPr>
              <w:t>3</w:t>
            </w:r>
            <w:r w:rsidR="00461608" w:rsidRPr="00D62D04">
              <w:rPr>
                <w:sz w:val="20"/>
                <w:szCs w:val="20"/>
                <w:lang w:val="en-GB"/>
              </w:rPr>
              <w:t>,</w:t>
            </w:r>
            <w:r w:rsidRPr="00D62D04">
              <w:rPr>
                <w:sz w:val="20"/>
                <w:szCs w:val="20"/>
                <w:lang w:val="en-GB"/>
              </w:rPr>
              <w:t>800</w:t>
            </w:r>
            <w:r w:rsidR="00461608" w:rsidRPr="00D62D04">
              <w:rPr>
                <w:sz w:val="20"/>
                <w:szCs w:val="20"/>
                <w:lang w:val="en-GB"/>
              </w:rPr>
              <w:t>,</w:t>
            </w:r>
            <w:r w:rsidRPr="00D62D04">
              <w:rPr>
                <w:sz w:val="20"/>
                <w:szCs w:val="20"/>
                <w:lang w:val="en-GB"/>
              </w:rPr>
              <w:t>000</w:t>
            </w:r>
            <w:r w:rsidR="00461608" w:rsidRPr="00D62D04">
              <w:rPr>
                <w:sz w:val="20"/>
                <w:szCs w:val="20"/>
                <w:lang w:val="en-GB"/>
              </w:rPr>
              <w:t>.</w:t>
            </w:r>
            <w:r w:rsidRPr="00D62D04">
              <w:rPr>
                <w:sz w:val="20"/>
                <w:szCs w:val="20"/>
                <w:lang w:val="en-GB"/>
              </w:rPr>
              <w:t>00</w:t>
            </w:r>
          </w:p>
        </w:tc>
      </w:tr>
    </w:tbl>
    <w:p w14:paraId="6D10385A" w14:textId="77777777" w:rsidR="00967EB6" w:rsidRPr="00D62D04" w:rsidRDefault="00967EB6" w:rsidP="00967EB6">
      <w:pPr>
        <w:spacing w:after="0"/>
        <w:jc w:val="both"/>
        <w:rPr>
          <w:sz w:val="24"/>
          <w:szCs w:val="24"/>
          <w:highlight w:val="cyan"/>
          <w:lang w:val="en-GB"/>
        </w:rPr>
      </w:pPr>
    </w:p>
    <w:p w14:paraId="224EBBB9" w14:textId="77777777" w:rsidR="00461608" w:rsidRPr="00D62D04" w:rsidRDefault="00461608" w:rsidP="0073407D">
      <w:pPr>
        <w:spacing w:after="0"/>
        <w:ind w:firstLine="720"/>
        <w:jc w:val="both"/>
        <w:rPr>
          <w:sz w:val="24"/>
          <w:szCs w:val="24"/>
          <w:lang w:val="en-GB"/>
        </w:rPr>
      </w:pPr>
      <w:r w:rsidRPr="00D62D04">
        <w:rPr>
          <w:sz w:val="24"/>
          <w:szCs w:val="24"/>
          <w:lang w:val="en-GB"/>
        </w:rPr>
        <w:t>Such projects are also supported in other competitions in the field of public information announced by the Ministry. Data on supported multilingual and multicultural projects in those competitions are available for 2020 and are presented in the table below.</w:t>
      </w:r>
    </w:p>
    <w:p w14:paraId="418478C1" w14:textId="77777777" w:rsidR="0073407D" w:rsidRPr="00D62D04" w:rsidRDefault="0073407D" w:rsidP="0073407D">
      <w:pPr>
        <w:spacing w:after="0"/>
        <w:ind w:firstLine="720"/>
        <w:jc w:val="both"/>
        <w:rPr>
          <w:sz w:val="24"/>
          <w:szCs w:val="24"/>
          <w:highlight w:val="cyan"/>
          <w:lang w:val="en-GB"/>
        </w:rPr>
      </w:pPr>
    </w:p>
    <w:tbl>
      <w:tblPr>
        <w:tblStyle w:val="TableGrid"/>
        <w:tblW w:w="0" w:type="auto"/>
        <w:tblLook w:val="04A0" w:firstRow="1" w:lastRow="0" w:firstColumn="1" w:lastColumn="0" w:noHBand="0" w:noVBand="1"/>
      </w:tblPr>
      <w:tblGrid>
        <w:gridCol w:w="3005"/>
        <w:gridCol w:w="3005"/>
        <w:gridCol w:w="3006"/>
      </w:tblGrid>
      <w:tr w:rsidR="009F7288" w:rsidRPr="00D62D04" w14:paraId="1F6CFCBE" w14:textId="77777777" w:rsidTr="00A772E1">
        <w:tc>
          <w:tcPr>
            <w:tcW w:w="3005" w:type="dxa"/>
          </w:tcPr>
          <w:p w14:paraId="12196812" w14:textId="77777777" w:rsidR="009F7288" w:rsidRPr="00D62D04" w:rsidRDefault="00461608" w:rsidP="009F7288">
            <w:pPr>
              <w:spacing w:after="0"/>
              <w:jc w:val="center"/>
              <w:rPr>
                <w:sz w:val="20"/>
                <w:szCs w:val="20"/>
                <w:lang w:val="en-GB"/>
              </w:rPr>
            </w:pPr>
            <w:r w:rsidRPr="00D62D04">
              <w:rPr>
                <w:sz w:val="20"/>
                <w:szCs w:val="20"/>
                <w:lang w:val="en-GB"/>
              </w:rPr>
              <w:lastRenderedPageBreak/>
              <w:t xml:space="preserve">Competition </w:t>
            </w:r>
          </w:p>
        </w:tc>
        <w:tc>
          <w:tcPr>
            <w:tcW w:w="3005" w:type="dxa"/>
          </w:tcPr>
          <w:p w14:paraId="73BA39DA" w14:textId="77777777" w:rsidR="009F7288" w:rsidRPr="00D62D04" w:rsidRDefault="009F7288" w:rsidP="009F7288">
            <w:pPr>
              <w:spacing w:after="0"/>
              <w:jc w:val="center"/>
              <w:rPr>
                <w:sz w:val="20"/>
                <w:szCs w:val="20"/>
                <w:lang w:val="en-GB"/>
              </w:rPr>
            </w:pPr>
            <w:r w:rsidRPr="00D62D04">
              <w:rPr>
                <w:sz w:val="20"/>
                <w:szCs w:val="20"/>
                <w:lang w:val="en-GB"/>
              </w:rPr>
              <w:t>Number of supported projects</w:t>
            </w:r>
          </w:p>
        </w:tc>
        <w:tc>
          <w:tcPr>
            <w:tcW w:w="3006" w:type="dxa"/>
          </w:tcPr>
          <w:p w14:paraId="4A4A4CB1" w14:textId="77777777" w:rsidR="009F7288" w:rsidRPr="00D62D04" w:rsidRDefault="009F7288" w:rsidP="009F7288">
            <w:pPr>
              <w:spacing w:after="0"/>
              <w:jc w:val="center"/>
              <w:rPr>
                <w:sz w:val="20"/>
                <w:szCs w:val="20"/>
                <w:lang w:val="en-GB"/>
              </w:rPr>
            </w:pPr>
            <w:r w:rsidRPr="00D62D04">
              <w:rPr>
                <w:sz w:val="20"/>
                <w:szCs w:val="20"/>
                <w:lang w:val="en-GB"/>
              </w:rPr>
              <w:t>Amount of funds</w:t>
            </w:r>
          </w:p>
        </w:tc>
      </w:tr>
      <w:tr w:rsidR="0073407D" w:rsidRPr="00D62D04" w14:paraId="4D475F0A" w14:textId="77777777" w:rsidTr="00A772E1">
        <w:tc>
          <w:tcPr>
            <w:tcW w:w="3005" w:type="dxa"/>
          </w:tcPr>
          <w:p w14:paraId="3328C1B7" w14:textId="77777777" w:rsidR="0073407D" w:rsidRPr="00D62D04" w:rsidRDefault="00814F52" w:rsidP="0073407D">
            <w:pPr>
              <w:spacing w:after="0"/>
              <w:rPr>
                <w:sz w:val="20"/>
                <w:szCs w:val="20"/>
                <w:lang w:val="en-GB"/>
              </w:rPr>
            </w:pPr>
            <w:r w:rsidRPr="00D62D04">
              <w:rPr>
                <w:sz w:val="20"/>
                <w:szCs w:val="20"/>
                <w:lang w:val="en-GB"/>
              </w:rPr>
              <w:t>Production of media content for internet media</w:t>
            </w:r>
          </w:p>
        </w:tc>
        <w:tc>
          <w:tcPr>
            <w:tcW w:w="3005" w:type="dxa"/>
          </w:tcPr>
          <w:p w14:paraId="3D9C6844" w14:textId="77777777" w:rsidR="0073407D" w:rsidRPr="00D62D04" w:rsidRDefault="0073407D" w:rsidP="00A772E1">
            <w:pPr>
              <w:spacing w:after="0"/>
              <w:jc w:val="center"/>
              <w:rPr>
                <w:sz w:val="20"/>
                <w:szCs w:val="20"/>
                <w:lang w:val="en-GB"/>
              </w:rPr>
            </w:pPr>
            <w:r w:rsidRPr="00D62D04">
              <w:rPr>
                <w:sz w:val="20"/>
                <w:szCs w:val="20"/>
                <w:lang w:val="en-GB"/>
              </w:rPr>
              <w:t>2</w:t>
            </w:r>
          </w:p>
        </w:tc>
        <w:tc>
          <w:tcPr>
            <w:tcW w:w="3006" w:type="dxa"/>
          </w:tcPr>
          <w:p w14:paraId="3458C9ED" w14:textId="77777777" w:rsidR="0073407D" w:rsidRPr="00D62D04" w:rsidRDefault="0073407D" w:rsidP="00814F52">
            <w:pPr>
              <w:spacing w:after="0"/>
              <w:jc w:val="center"/>
              <w:rPr>
                <w:sz w:val="20"/>
                <w:szCs w:val="20"/>
                <w:lang w:val="en-GB"/>
              </w:rPr>
            </w:pPr>
            <w:r w:rsidRPr="00D62D04">
              <w:rPr>
                <w:sz w:val="20"/>
                <w:szCs w:val="20"/>
                <w:lang w:val="en-GB"/>
              </w:rPr>
              <w:t>750</w:t>
            </w:r>
            <w:r w:rsidR="00814F52" w:rsidRPr="00D62D04">
              <w:rPr>
                <w:sz w:val="20"/>
                <w:szCs w:val="20"/>
                <w:lang w:val="en-GB"/>
              </w:rPr>
              <w:t>,</w:t>
            </w:r>
            <w:r w:rsidRPr="00D62D04">
              <w:rPr>
                <w:sz w:val="20"/>
                <w:szCs w:val="20"/>
                <w:lang w:val="en-GB"/>
              </w:rPr>
              <w:t>000</w:t>
            </w:r>
            <w:r w:rsidR="00814F52" w:rsidRPr="00D62D04">
              <w:rPr>
                <w:sz w:val="20"/>
                <w:szCs w:val="20"/>
                <w:lang w:val="en-GB"/>
              </w:rPr>
              <w:t>.</w:t>
            </w:r>
            <w:r w:rsidRPr="00D62D04">
              <w:rPr>
                <w:sz w:val="20"/>
                <w:szCs w:val="20"/>
                <w:lang w:val="en-GB"/>
              </w:rPr>
              <w:t>00</w:t>
            </w:r>
          </w:p>
        </w:tc>
      </w:tr>
      <w:tr w:rsidR="0073407D" w:rsidRPr="00D62D04" w14:paraId="6DBEE572" w14:textId="77777777" w:rsidTr="00A772E1">
        <w:tc>
          <w:tcPr>
            <w:tcW w:w="3005" w:type="dxa"/>
          </w:tcPr>
          <w:p w14:paraId="4615E996" w14:textId="77777777" w:rsidR="0073407D" w:rsidRPr="00D62D04" w:rsidRDefault="00814F52" w:rsidP="001D0BBB">
            <w:pPr>
              <w:spacing w:after="0"/>
              <w:rPr>
                <w:sz w:val="20"/>
                <w:szCs w:val="20"/>
                <w:lang w:val="en-GB"/>
              </w:rPr>
            </w:pPr>
            <w:r w:rsidRPr="00D62D04">
              <w:rPr>
                <w:sz w:val="20"/>
                <w:szCs w:val="20"/>
                <w:lang w:val="en-GB"/>
              </w:rPr>
              <w:t>Production of media content for television</w:t>
            </w:r>
          </w:p>
        </w:tc>
        <w:tc>
          <w:tcPr>
            <w:tcW w:w="3005" w:type="dxa"/>
          </w:tcPr>
          <w:p w14:paraId="51AEE8FF" w14:textId="77777777" w:rsidR="0073407D" w:rsidRPr="00D62D04" w:rsidRDefault="001D0BBB" w:rsidP="00A772E1">
            <w:pPr>
              <w:spacing w:after="0"/>
              <w:jc w:val="center"/>
              <w:rPr>
                <w:sz w:val="20"/>
                <w:szCs w:val="20"/>
                <w:lang w:val="en-GB"/>
              </w:rPr>
            </w:pPr>
            <w:r w:rsidRPr="00D62D04">
              <w:rPr>
                <w:sz w:val="20"/>
                <w:szCs w:val="20"/>
                <w:lang w:val="en-GB"/>
              </w:rPr>
              <w:t>7</w:t>
            </w:r>
          </w:p>
        </w:tc>
        <w:tc>
          <w:tcPr>
            <w:tcW w:w="3006" w:type="dxa"/>
          </w:tcPr>
          <w:p w14:paraId="3E2D5FBF" w14:textId="77777777" w:rsidR="0073407D" w:rsidRPr="00D62D04" w:rsidRDefault="001D0BBB" w:rsidP="00814F52">
            <w:pPr>
              <w:spacing w:after="0"/>
              <w:jc w:val="center"/>
              <w:rPr>
                <w:sz w:val="20"/>
                <w:szCs w:val="20"/>
                <w:lang w:val="en-GB"/>
              </w:rPr>
            </w:pPr>
            <w:r w:rsidRPr="00D62D04">
              <w:rPr>
                <w:sz w:val="20"/>
                <w:szCs w:val="20"/>
                <w:lang w:val="en-GB"/>
              </w:rPr>
              <w:t>5</w:t>
            </w:r>
            <w:r w:rsidR="00814F52" w:rsidRPr="00D62D04">
              <w:rPr>
                <w:sz w:val="20"/>
                <w:szCs w:val="20"/>
                <w:lang w:val="en-GB"/>
              </w:rPr>
              <w:t>,</w:t>
            </w:r>
            <w:r w:rsidRPr="00D62D04">
              <w:rPr>
                <w:sz w:val="20"/>
                <w:szCs w:val="20"/>
                <w:lang w:val="en-GB"/>
              </w:rPr>
              <w:t>750</w:t>
            </w:r>
            <w:r w:rsidR="00814F52" w:rsidRPr="00D62D04">
              <w:rPr>
                <w:sz w:val="20"/>
                <w:szCs w:val="20"/>
                <w:lang w:val="en-GB"/>
              </w:rPr>
              <w:t>,</w:t>
            </w:r>
            <w:r w:rsidRPr="00D62D04">
              <w:rPr>
                <w:sz w:val="20"/>
                <w:szCs w:val="20"/>
                <w:lang w:val="en-GB"/>
              </w:rPr>
              <w:t>000</w:t>
            </w:r>
            <w:r w:rsidR="00814F52" w:rsidRPr="00D62D04">
              <w:rPr>
                <w:sz w:val="20"/>
                <w:szCs w:val="20"/>
                <w:lang w:val="en-GB"/>
              </w:rPr>
              <w:t>.</w:t>
            </w:r>
            <w:r w:rsidRPr="00D62D04">
              <w:rPr>
                <w:sz w:val="20"/>
                <w:szCs w:val="20"/>
                <w:lang w:val="en-GB"/>
              </w:rPr>
              <w:t>00</w:t>
            </w:r>
          </w:p>
        </w:tc>
      </w:tr>
      <w:tr w:rsidR="0073407D" w:rsidRPr="00D62D04" w14:paraId="2288A3A8" w14:textId="77777777" w:rsidTr="00A772E1">
        <w:tc>
          <w:tcPr>
            <w:tcW w:w="3005" w:type="dxa"/>
          </w:tcPr>
          <w:p w14:paraId="4F75360E" w14:textId="77777777" w:rsidR="0073407D" w:rsidRPr="00D62D04" w:rsidRDefault="00814F52" w:rsidP="001D0BBB">
            <w:pPr>
              <w:spacing w:after="0"/>
              <w:rPr>
                <w:sz w:val="20"/>
                <w:szCs w:val="20"/>
                <w:lang w:val="en-GB"/>
              </w:rPr>
            </w:pPr>
            <w:r w:rsidRPr="00D62D04">
              <w:rPr>
                <w:sz w:val="20"/>
                <w:szCs w:val="20"/>
                <w:lang w:val="en-GB"/>
              </w:rPr>
              <w:t>Production of media content, print media and services of news agencies</w:t>
            </w:r>
          </w:p>
        </w:tc>
        <w:tc>
          <w:tcPr>
            <w:tcW w:w="3005" w:type="dxa"/>
          </w:tcPr>
          <w:p w14:paraId="5EA7A9CD" w14:textId="77777777" w:rsidR="0073407D" w:rsidRPr="00D62D04" w:rsidRDefault="001D0BBB" w:rsidP="00A772E1">
            <w:pPr>
              <w:spacing w:after="0"/>
              <w:jc w:val="center"/>
              <w:rPr>
                <w:sz w:val="20"/>
                <w:szCs w:val="20"/>
                <w:lang w:val="en-GB"/>
              </w:rPr>
            </w:pPr>
            <w:r w:rsidRPr="00D62D04">
              <w:rPr>
                <w:sz w:val="20"/>
                <w:szCs w:val="20"/>
                <w:lang w:val="en-GB"/>
              </w:rPr>
              <w:t>2</w:t>
            </w:r>
          </w:p>
        </w:tc>
        <w:tc>
          <w:tcPr>
            <w:tcW w:w="3006" w:type="dxa"/>
          </w:tcPr>
          <w:p w14:paraId="6129FAD5" w14:textId="77777777" w:rsidR="0073407D" w:rsidRPr="00D62D04" w:rsidRDefault="001D0BBB" w:rsidP="00814F52">
            <w:pPr>
              <w:spacing w:after="0"/>
              <w:jc w:val="center"/>
              <w:rPr>
                <w:sz w:val="20"/>
                <w:szCs w:val="20"/>
                <w:lang w:val="en-GB"/>
              </w:rPr>
            </w:pPr>
            <w:r w:rsidRPr="00D62D04">
              <w:rPr>
                <w:sz w:val="20"/>
                <w:szCs w:val="20"/>
                <w:lang w:val="en-GB"/>
              </w:rPr>
              <w:t>1</w:t>
            </w:r>
            <w:r w:rsidR="00814F52" w:rsidRPr="00D62D04">
              <w:rPr>
                <w:sz w:val="20"/>
                <w:szCs w:val="20"/>
                <w:lang w:val="en-GB"/>
              </w:rPr>
              <w:t>,</w:t>
            </w:r>
            <w:r w:rsidRPr="00D62D04">
              <w:rPr>
                <w:sz w:val="20"/>
                <w:szCs w:val="20"/>
                <w:lang w:val="en-GB"/>
              </w:rPr>
              <w:t>300</w:t>
            </w:r>
            <w:r w:rsidR="00814F52" w:rsidRPr="00D62D04">
              <w:rPr>
                <w:sz w:val="20"/>
                <w:szCs w:val="20"/>
                <w:lang w:val="en-GB"/>
              </w:rPr>
              <w:t>,</w:t>
            </w:r>
            <w:r w:rsidRPr="00D62D04">
              <w:rPr>
                <w:sz w:val="20"/>
                <w:szCs w:val="20"/>
                <w:lang w:val="en-GB"/>
              </w:rPr>
              <w:t>000</w:t>
            </w:r>
            <w:r w:rsidR="00814F52" w:rsidRPr="00D62D04">
              <w:rPr>
                <w:sz w:val="20"/>
                <w:szCs w:val="20"/>
                <w:lang w:val="en-GB"/>
              </w:rPr>
              <w:t>.</w:t>
            </w:r>
            <w:r w:rsidRPr="00D62D04">
              <w:rPr>
                <w:sz w:val="20"/>
                <w:szCs w:val="20"/>
                <w:lang w:val="en-GB"/>
              </w:rPr>
              <w:t>00</w:t>
            </w:r>
          </w:p>
        </w:tc>
      </w:tr>
      <w:tr w:rsidR="001D0BBB" w:rsidRPr="00D62D04" w14:paraId="55FDD28A" w14:textId="77777777" w:rsidTr="00A772E1">
        <w:tc>
          <w:tcPr>
            <w:tcW w:w="3005" w:type="dxa"/>
          </w:tcPr>
          <w:p w14:paraId="6EFB3B8C" w14:textId="77777777" w:rsidR="001D0BBB" w:rsidRPr="00D62D04" w:rsidRDefault="003924AA" w:rsidP="003924AA">
            <w:pPr>
              <w:spacing w:after="0"/>
              <w:rPr>
                <w:sz w:val="20"/>
                <w:szCs w:val="20"/>
                <w:lang w:val="en-GB"/>
              </w:rPr>
            </w:pPr>
            <w:r w:rsidRPr="00D62D04">
              <w:rPr>
                <w:sz w:val="20"/>
                <w:szCs w:val="20"/>
                <w:lang w:val="en-GB"/>
              </w:rPr>
              <w:t>Organising and participating in professional, scientific and special gatherings, as well as improving professional and ethical standards</w:t>
            </w:r>
          </w:p>
        </w:tc>
        <w:tc>
          <w:tcPr>
            <w:tcW w:w="3005" w:type="dxa"/>
          </w:tcPr>
          <w:p w14:paraId="372849B2" w14:textId="77777777" w:rsidR="001D0BBB" w:rsidRPr="00D62D04" w:rsidRDefault="001D0BBB" w:rsidP="00A772E1">
            <w:pPr>
              <w:spacing w:after="0"/>
              <w:jc w:val="center"/>
              <w:rPr>
                <w:sz w:val="20"/>
                <w:szCs w:val="20"/>
                <w:lang w:val="en-GB"/>
              </w:rPr>
            </w:pPr>
            <w:r w:rsidRPr="00D62D04">
              <w:rPr>
                <w:sz w:val="20"/>
                <w:szCs w:val="20"/>
                <w:lang w:val="en-GB"/>
              </w:rPr>
              <w:t>3</w:t>
            </w:r>
          </w:p>
        </w:tc>
        <w:tc>
          <w:tcPr>
            <w:tcW w:w="3006" w:type="dxa"/>
          </w:tcPr>
          <w:p w14:paraId="1F9FF16E" w14:textId="77777777" w:rsidR="001D0BBB" w:rsidRPr="00D62D04" w:rsidRDefault="001D0BBB" w:rsidP="003924AA">
            <w:pPr>
              <w:spacing w:after="0"/>
              <w:jc w:val="center"/>
              <w:rPr>
                <w:sz w:val="20"/>
                <w:szCs w:val="20"/>
                <w:lang w:val="en-GB"/>
              </w:rPr>
            </w:pPr>
            <w:r w:rsidRPr="00D62D04">
              <w:rPr>
                <w:sz w:val="20"/>
                <w:szCs w:val="20"/>
                <w:lang w:val="en-GB"/>
              </w:rPr>
              <w:t>1</w:t>
            </w:r>
            <w:r w:rsidR="003924AA" w:rsidRPr="00D62D04">
              <w:rPr>
                <w:sz w:val="20"/>
                <w:szCs w:val="20"/>
                <w:lang w:val="en-GB"/>
              </w:rPr>
              <w:t>,</w:t>
            </w:r>
            <w:r w:rsidRPr="00D62D04">
              <w:rPr>
                <w:sz w:val="20"/>
                <w:szCs w:val="20"/>
                <w:lang w:val="en-GB"/>
              </w:rPr>
              <w:t>600</w:t>
            </w:r>
            <w:r w:rsidR="003924AA" w:rsidRPr="00D62D04">
              <w:rPr>
                <w:sz w:val="20"/>
                <w:szCs w:val="20"/>
                <w:lang w:val="en-GB"/>
              </w:rPr>
              <w:t>,</w:t>
            </w:r>
            <w:r w:rsidRPr="00D62D04">
              <w:rPr>
                <w:sz w:val="20"/>
                <w:szCs w:val="20"/>
                <w:lang w:val="en-GB"/>
              </w:rPr>
              <w:t>000</w:t>
            </w:r>
            <w:r w:rsidR="003924AA" w:rsidRPr="00D62D04">
              <w:rPr>
                <w:sz w:val="20"/>
                <w:szCs w:val="20"/>
                <w:lang w:val="en-GB"/>
              </w:rPr>
              <w:t>.</w:t>
            </w:r>
            <w:r w:rsidRPr="00D62D04">
              <w:rPr>
                <w:sz w:val="20"/>
                <w:szCs w:val="20"/>
                <w:lang w:val="en-GB"/>
              </w:rPr>
              <w:t>00</w:t>
            </w:r>
          </w:p>
        </w:tc>
      </w:tr>
      <w:tr w:rsidR="001D0BBB" w:rsidRPr="00D62D04" w14:paraId="54A463FD" w14:textId="77777777" w:rsidTr="00A772E1">
        <w:tc>
          <w:tcPr>
            <w:tcW w:w="3005" w:type="dxa"/>
          </w:tcPr>
          <w:p w14:paraId="0582E036" w14:textId="77777777" w:rsidR="001D0BBB" w:rsidRPr="00D62D04" w:rsidRDefault="003924AA" w:rsidP="001D0BBB">
            <w:pPr>
              <w:spacing w:after="0"/>
              <w:rPr>
                <w:sz w:val="20"/>
                <w:szCs w:val="20"/>
                <w:lang w:val="en-GB"/>
              </w:rPr>
            </w:pPr>
            <w:r w:rsidRPr="00D62D04">
              <w:rPr>
                <w:sz w:val="20"/>
                <w:szCs w:val="20"/>
                <w:lang w:val="en-GB"/>
              </w:rPr>
              <w:t xml:space="preserve">Production of media content of electronic media whose publishers are based in the territory of AP of Kosovo and </w:t>
            </w:r>
            <w:proofErr w:type="spellStart"/>
            <w:r w:rsidRPr="00D62D04">
              <w:rPr>
                <w:sz w:val="20"/>
                <w:szCs w:val="20"/>
                <w:lang w:val="en-GB"/>
              </w:rPr>
              <w:t>Metohija</w:t>
            </w:r>
            <w:proofErr w:type="spellEnd"/>
          </w:p>
        </w:tc>
        <w:tc>
          <w:tcPr>
            <w:tcW w:w="3005" w:type="dxa"/>
          </w:tcPr>
          <w:p w14:paraId="08E03690" w14:textId="77777777" w:rsidR="001D0BBB" w:rsidRPr="00D62D04" w:rsidRDefault="001D0BBB" w:rsidP="00A772E1">
            <w:pPr>
              <w:spacing w:after="0"/>
              <w:jc w:val="center"/>
              <w:rPr>
                <w:sz w:val="20"/>
                <w:szCs w:val="20"/>
                <w:lang w:val="en-GB"/>
              </w:rPr>
            </w:pPr>
            <w:r w:rsidRPr="00D62D04">
              <w:rPr>
                <w:sz w:val="20"/>
                <w:szCs w:val="20"/>
                <w:lang w:val="en-GB"/>
              </w:rPr>
              <w:t>1</w:t>
            </w:r>
          </w:p>
        </w:tc>
        <w:tc>
          <w:tcPr>
            <w:tcW w:w="3006" w:type="dxa"/>
          </w:tcPr>
          <w:p w14:paraId="1C99D59B" w14:textId="77777777" w:rsidR="001D0BBB" w:rsidRPr="00D62D04" w:rsidRDefault="001D0BBB" w:rsidP="003924AA">
            <w:pPr>
              <w:spacing w:after="0"/>
              <w:jc w:val="center"/>
              <w:rPr>
                <w:sz w:val="20"/>
                <w:szCs w:val="20"/>
                <w:lang w:val="en-GB"/>
              </w:rPr>
            </w:pPr>
            <w:r w:rsidRPr="00D62D04">
              <w:rPr>
                <w:sz w:val="20"/>
                <w:szCs w:val="20"/>
                <w:lang w:val="en-GB"/>
              </w:rPr>
              <w:t>850</w:t>
            </w:r>
            <w:r w:rsidR="003924AA" w:rsidRPr="00D62D04">
              <w:rPr>
                <w:sz w:val="20"/>
                <w:szCs w:val="20"/>
                <w:lang w:val="en-GB"/>
              </w:rPr>
              <w:t>,</w:t>
            </w:r>
            <w:r w:rsidRPr="00D62D04">
              <w:rPr>
                <w:sz w:val="20"/>
                <w:szCs w:val="20"/>
                <w:lang w:val="en-GB"/>
              </w:rPr>
              <w:t>000</w:t>
            </w:r>
            <w:r w:rsidR="003924AA" w:rsidRPr="00D62D04">
              <w:rPr>
                <w:sz w:val="20"/>
                <w:szCs w:val="20"/>
                <w:lang w:val="en-GB"/>
              </w:rPr>
              <w:t>.</w:t>
            </w:r>
            <w:r w:rsidRPr="00D62D04">
              <w:rPr>
                <w:sz w:val="20"/>
                <w:szCs w:val="20"/>
                <w:lang w:val="en-GB"/>
              </w:rPr>
              <w:t>00</w:t>
            </w:r>
          </w:p>
        </w:tc>
      </w:tr>
    </w:tbl>
    <w:p w14:paraId="419CC218" w14:textId="77777777" w:rsidR="0073407D" w:rsidRPr="00D62D04" w:rsidRDefault="0073407D" w:rsidP="00A475C5">
      <w:pPr>
        <w:spacing w:after="0"/>
        <w:jc w:val="both"/>
        <w:rPr>
          <w:sz w:val="24"/>
          <w:szCs w:val="24"/>
          <w:highlight w:val="cyan"/>
          <w:lang w:val="en-GB"/>
        </w:rPr>
      </w:pPr>
    </w:p>
    <w:p w14:paraId="35CEDCC0" w14:textId="77777777" w:rsidR="00C01AB6" w:rsidRPr="00D62D04" w:rsidRDefault="00C01AB6" w:rsidP="0066226F">
      <w:pPr>
        <w:spacing w:after="0"/>
        <w:ind w:firstLine="720"/>
        <w:jc w:val="both"/>
        <w:rPr>
          <w:sz w:val="24"/>
          <w:szCs w:val="24"/>
          <w:lang w:val="en-GB"/>
        </w:rPr>
      </w:pPr>
      <w:r w:rsidRPr="00D62D04">
        <w:rPr>
          <w:sz w:val="24"/>
          <w:szCs w:val="24"/>
          <w:lang w:val="en-GB"/>
        </w:rPr>
        <w:t>The following table provides data on multilingual projects supported at competitions of the Provincial Secretariat for Culture, Public Information and Relations with Religious Communities in the field of public information in the reporting period.</w:t>
      </w:r>
    </w:p>
    <w:p w14:paraId="5BF776E8" w14:textId="77777777" w:rsidR="0066226F" w:rsidRPr="00D62D04" w:rsidRDefault="0066226F" w:rsidP="0066226F">
      <w:pPr>
        <w:spacing w:after="0"/>
        <w:jc w:val="both"/>
        <w:rPr>
          <w:sz w:val="24"/>
          <w:szCs w:val="24"/>
          <w:highlight w:val="cyan"/>
          <w:lang w:val="en-GB"/>
        </w:rPr>
      </w:pPr>
      <w:r w:rsidRPr="00D62D04">
        <w:rPr>
          <w:sz w:val="24"/>
          <w:szCs w:val="24"/>
          <w:highlight w:val="cyan"/>
          <w:lang w:val="en-GB"/>
        </w:rPr>
        <w:t xml:space="preserve"> </w:t>
      </w: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66226F" w:rsidRPr="00D62D04" w14:paraId="155CC774" w14:textId="77777777" w:rsidTr="00A772E1">
        <w:tc>
          <w:tcPr>
            <w:tcW w:w="1502" w:type="dxa"/>
          </w:tcPr>
          <w:p w14:paraId="3F999539" w14:textId="77777777" w:rsidR="0066226F" w:rsidRPr="00D62D04" w:rsidRDefault="0066226F" w:rsidP="00A772E1">
            <w:pPr>
              <w:spacing w:after="0"/>
              <w:jc w:val="center"/>
              <w:rPr>
                <w:sz w:val="20"/>
                <w:szCs w:val="20"/>
                <w:lang w:val="en-GB"/>
              </w:rPr>
            </w:pPr>
          </w:p>
        </w:tc>
        <w:tc>
          <w:tcPr>
            <w:tcW w:w="1502" w:type="dxa"/>
          </w:tcPr>
          <w:p w14:paraId="01FE779D" w14:textId="77777777" w:rsidR="0066226F" w:rsidRPr="00D62D04" w:rsidRDefault="00C01AB6" w:rsidP="00A772E1">
            <w:pPr>
              <w:spacing w:after="0"/>
              <w:jc w:val="center"/>
              <w:rPr>
                <w:sz w:val="20"/>
                <w:szCs w:val="20"/>
                <w:lang w:val="en-GB"/>
              </w:rPr>
            </w:pPr>
            <w:r w:rsidRPr="00D62D04">
              <w:rPr>
                <w:sz w:val="20"/>
                <w:szCs w:val="20"/>
                <w:lang w:val="en-GB"/>
              </w:rPr>
              <w:t>2017</w:t>
            </w:r>
          </w:p>
        </w:tc>
        <w:tc>
          <w:tcPr>
            <w:tcW w:w="1503" w:type="dxa"/>
          </w:tcPr>
          <w:p w14:paraId="1A3F7597" w14:textId="77777777" w:rsidR="0066226F" w:rsidRPr="00D62D04" w:rsidRDefault="00C01AB6" w:rsidP="00A772E1">
            <w:pPr>
              <w:spacing w:after="0"/>
              <w:jc w:val="center"/>
              <w:rPr>
                <w:sz w:val="20"/>
                <w:szCs w:val="20"/>
                <w:lang w:val="en-GB"/>
              </w:rPr>
            </w:pPr>
            <w:r w:rsidRPr="00D62D04">
              <w:rPr>
                <w:sz w:val="20"/>
                <w:szCs w:val="20"/>
                <w:lang w:val="en-GB"/>
              </w:rPr>
              <w:t>2018</w:t>
            </w:r>
          </w:p>
        </w:tc>
        <w:tc>
          <w:tcPr>
            <w:tcW w:w="1503" w:type="dxa"/>
          </w:tcPr>
          <w:p w14:paraId="0F8ED423" w14:textId="77777777" w:rsidR="0066226F" w:rsidRPr="00D62D04" w:rsidRDefault="00C01AB6" w:rsidP="00A772E1">
            <w:pPr>
              <w:spacing w:after="0"/>
              <w:jc w:val="center"/>
              <w:rPr>
                <w:sz w:val="20"/>
                <w:szCs w:val="20"/>
                <w:lang w:val="en-GB"/>
              </w:rPr>
            </w:pPr>
            <w:r w:rsidRPr="00D62D04">
              <w:rPr>
                <w:sz w:val="20"/>
                <w:szCs w:val="20"/>
                <w:lang w:val="en-GB"/>
              </w:rPr>
              <w:t>2019</w:t>
            </w:r>
          </w:p>
        </w:tc>
        <w:tc>
          <w:tcPr>
            <w:tcW w:w="1503" w:type="dxa"/>
          </w:tcPr>
          <w:p w14:paraId="756D089F" w14:textId="77777777" w:rsidR="0066226F" w:rsidRPr="00D62D04" w:rsidRDefault="00C01AB6" w:rsidP="00A772E1">
            <w:pPr>
              <w:spacing w:after="0"/>
              <w:jc w:val="center"/>
              <w:rPr>
                <w:sz w:val="20"/>
                <w:szCs w:val="20"/>
                <w:lang w:val="en-GB"/>
              </w:rPr>
            </w:pPr>
            <w:r w:rsidRPr="00D62D04">
              <w:rPr>
                <w:sz w:val="20"/>
                <w:szCs w:val="20"/>
                <w:lang w:val="en-GB"/>
              </w:rPr>
              <w:t>2020</w:t>
            </w:r>
          </w:p>
        </w:tc>
        <w:tc>
          <w:tcPr>
            <w:tcW w:w="1503" w:type="dxa"/>
          </w:tcPr>
          <w:p w14:paraId="72F0A7A8" w14:textId="77777777" w:rsidR="0066226F" w:rsidRPr="00D62D04" w:rsidRDefault="00C01AB6" w:rsidP="00A772E1">
            <w:pPr>
              <w:spacing w:after="0"/>
              <w:jc w:val="center"/>
              <w:rPr>
                <w:sz w:val="20"/>
                <w:szCs w:val="20"/>
                <w:lang w:val="en-GB"/>
              </w:rPr>
            </w:pPr>
            <w:r w:rsidRPr="00D62D04">
              <w:rPr>
                <w:sz w:val="20"/>
                <w:szCs w:val="20"/>
                <w:lang w:val="en-GB"/>
              </w:rPr>
              <w:t>2021</w:t>
            </w:r>
          </w:p>
        </w:tc>
      </w:tr>
      <w:tr w:rsidR="0066226F" w:rsidRPr="00D62D04" w14:paraId="48A5DFB5" w14:textId="77777777" w:rsidTr="00A772E1">
        <w:tc>
          <w:tcPr>
            <w:tcW w:w="1502" w:type="dxa"/>
            <w:vAlign w:val="bottom"/>
          </w:tcPr>
          <w:p w14:paraId="235C6484" w14:textId="77777777" w:rsidR="0066226F" w:rsidRPr="00D62D04" w:rsidRDefault="00146E9A" w:rsidP="00A772E1">
            <w:pPr>
              <w:spacing w:after="0"/>
              <w:rPr>
                <w:rFonts w:eastAsia="Times New Roman"/>
                <w:color w:val="000000"/>
                <w:sz w:val="20"/>
                <w:szCs w:val="20"/>
                <w:lang w:val="en-GB"/>
              </w:rPr>
            </w:pPr>
            <w:r w:rsidRPr="00D62D04">
              <w:rPr>
                <w:rFonts w:eastAsia="Times New Roman"/>
                <w:color w:val="000000"/>
                <w:sz w:val="20"/>
                <w:szCs w:val="20"/>
                <w:lang w:val="en-GB"/>
              </w:rPr>
              <w:t>Number of supported projects</w:t>
            </w:r>
          </w:p>
        </w:tc>
        <w:tc>
          <w:tcPr>
            <w:tcW w:w="1502" w:type="dxa"/>
            <w:vAlign w:val="center"/>
          </w:tcPr>
          <w:p w14:paraId="2A88D859" w14:textId="77777777" w:rsidR="0066226F" w:rsidRPr="00D62D04" w:rsidRDefault="0066226F" w:rsidP="00A772E1">
            <w:pPr>
              <w:spacing w:after="0"/>
              <w:jc w:val="center"/>
              <w:rPr>
                <w:rFonts w:eastAsia="Times New Roman"/>
                <w:color w:val="000000"/>
                <w:sz w:val="20"/>
                <w:szCs w:val="20"/>
                <w:lang w:val="en-GB"/>
              </w:rPr>
            </w:pPr>
            <w:r w:rsidRPr="00D62D04">
              <w:rPr>
                <w:rFonts w:eastAsia="Times New Roman"/>
                <w:color w:val="000000"/>
                <w:sz w:val="20"/>
                <w:szCs w:val="20"/>
                <w:lang w:val="en-GB"/>
              </w:rPr>
              <w:t>5</w:t>
            </w:r>
          </w:p>
        </w:tc>
        <w:tc>
          <w:tcPr>
            <w:tcW w:w="1503" w:type="dxa"/>
            <w:vAlign w:val="center"/>
          </w:tcPr>
          <w:p w14:paraId="5EE0913E" w14:textId="77777777" w:rsidR="0066226F" w:rsidRPr="00D62D04" w:rsidRDefault="0066226F" w:rsidP="00A772E1">
            <w:pPr>
              <w:spacing w:after="0"/>
              <w:jc w:val="center"/>
              <w:rPr>
                <w:rFonts w:eastAsia="Times New Roman"/>
                <w:color w:val="000000"/>
                <w:sz w:val="20"/>
                <w:szCs w:val="20"/>
                <w:lang w:val="en-GB"/>
              </w:rPr>
            </w:pPr>
            <w:r w:rsidRPr="00D62D04">
              <w:rPr>
                <w:rFonts w:eastAsia="Times New Roman"/>
                <w:color w:val="000000"/>
                <w:sz w:val="20"/>
                <w:szCs w:val="20"/>
                <w:lang w:val="en-GB"/>
              </w:rPr>
              <w:t>7</w:t>
            </w:r>
          </w:p>
        </w:tc>
        <w:tc>
          <w:tcPr>
            <w:tcW w:w="1503" w:type="dxa"/>
            <w:vAlign w:val="center"/>
          </w:tcPr>
          <w:p w14:paraId="6830D93A" w14:textId="77777777" w:rsidR="0066226F" w:rsidRPr="00D62D04" w:rsidRDefault="0066226F" w:rsidP="00A772E1">
            <w:pPr>
              <w:spacing w:after="0"/>
              <w:jc w:val="center"/>
              <w:rPr>
                <w:rFonts w:eastAsia="Times New Roman"/>
                <w:color w:val="000000"/>
                <w:sz w:val="20"/>
                <w:szCs w:val="20"/>
                <w:lang w:val="en-GB"/>
              </w:rPr>
            </w:pPr>
            <w:r w:rsidRPr="00D62D04">
              <w:rPr>
                <w:rFonts w:eastAsia="Times New Roman"/>
                <w:color w:val="000000"/>
                <w:sz w:val="20"/>
                <w:szCs w:val="20"/>
                <w:lang w:val="en-GB"/>
              </w:rPr>
              <w:t>4</w:t>
            </w:r>
          </w:p>
        </w:tc>
        <w:tc>
          <w:tcPr>
            <w:tcW w:w="1503" w:type="dxa"/>
            <w:vAlign w:val="center"/>
          </w:tcPr>
          <w:p w14:paraId="350A80E1" w14:textId="77777777" w:rsidR="0066226F" w:rsidRPr="00D62D04" w:rsidRDefault="0066226F" w:rsidP="00A772E1">
            <w:pPr>
              <w:spacing w:after="0"/>
              <w:jc w:val="center"/>
              <w:rPr>
                <w:rFonts w:eastAsia="Times New Roman"/>
                <w:color w:val="000000"/>
                <w:sz w:val="20"/>
                <w:szCs w:val="20"/>
                <w:lang w:val="en-GB"/>
              </w:rPr>
            </w:pPr>
            <w:r w:rsidRPr="00D62D04">
              <w:rPr>
                <w:rFonts w:eastAsia="Times New Roman"/>
                <w:color w:val="000000"/>
                <w:sz w:val="20"/>
                <w:szCs w:val="20"/>
                <w:lang w:val="en-GB"/>
              </w:rPr>
              <w:t>2</w:t>
            </w:r>
          </w:p>
        </w:tc>
        <w:tc>
          <w:tcPr>
            <w:tcW w:w="1503" w:type="dxa"/>
            <w:vAlign w:val="center"/>
          </w:tcPr>
          <w:p w14:paraId="6EFF0669" w14:textId="77777777" w:rsidR="0066226F" w:rsidRPr="00D62D04" w:rsidRDefault="0066226F" w:rsidP="00A772E1">
            <w:pPr>
              <w:spacing w:after="0"/>
              <w:jc w:val="center"/>
              <w:rPr>
                <w:rFonts w:eastAsia="Times New Roman"/>
                <w:color w:val="000000"/>
                <w:sz w:val="20"/>
                <w:szCs w:val="20"/>
                <w:lang w:val="en-GB"/>
              </w:rPr>
            </w:pPr>
            <w:r w:rsidRPr="00D62D04">
              <w:rPr>
                <w:rFonts w:eastAsia="Times New Roman"/>
                <w:color w:val="000000"/>
                <w:sz w:val="20"/>
                <w:szCs w:val="20"/>
                <w:lang w:val="en-GB"/>
              </w:rPr>
              <w:t>4</w:t>
            </w:r>
          </w:p>
        </w:tc>
      </w:tr>
      <w:tr w:rsidR="00146E9A" w:rsidRPr="00D62D04" w14:paraId="48C0B2C8" w14:textId="77777777" w:rsidTr="00A772E1">
        <w:tc>
          <w:tcPr>
            <w:tcW w:w="1502" w:type="dxa"/>
          </w:tcPr>
          <w:p w14:paraId="1E83FC72" w14:textId="77777777" w:rsidR="00146E9A" w:rsidRPr="00D62D04" w:rsidRDefault="00146E9A" w:rsidP="00146E9A">
            <w:pPr>
              <w:spacing w:after="0"/>
              <w:jc w:val="center"/>
              <w:rPr>
                <w:sz w:val="20"/>
                <w:szCs w:val="20"/>
                <w:lang w:val="en-GB"/>
              </w:rPr>
            </w:pPr>
            <w:r w:rsidRPr="00D62D04">
              <w:rPr>
                <w:sz w:val="20"/>
                <w:szCs w:val="20"/>
                <w:lang w:val="en-GB"/>
              </w:rPr>
              <w:t>Amount of funds</w:t>
            </w:r>
          </w:p>
        </w:tc>
        <w:tc>
          <w:tcPr>
            <w:tcW w:w="1502" w:type="dxa"/>
            <w:vAlign w:val="center"/>
          </w:tcPr>
          <w:p w14:paraId="48786526" w14:textId="77777777" w:rsidR="00146E9A" w:rsidRPr="00D62D04" w:rsidRDefault="00146E9A" w:rsidP="00146E9A">
            <w:pPr>
              <w:spacing w:after="0"/>
              <w:jc w:val="center"/>
              <w:rPr>
                <w:sz w:val="20"/>
                <w:szCs w:val="20"/>
                <w:lang w:val="en-GB"/>
              </w:rPr>
            </w:pPr>
            <w:r w:rsidRPr="00D62D04">
              <w:rPr>
                <w:sz w:val="20"/>
                <w:szCs w:val="20"/>
                <w:lang w:val="en-GB"/>
              </w:rPr>
              <w:t>650,000.00</w:t>
            </w:r>
          </w:p>
        </w:tc>
        <w:tc>
          <w:tcPr>
            <w:tcW w:w="1503" w:type="dxa"/>
            <w:vAlign w:val="center"/>
          </w:tcPr>
          <w:p w14:paraId="4DCD4470" w14:textId="77777777" w:rsidR="00146E9A" w:rsidRPr="00D62D04" w:rsidRDefault="00146E9A" w:rsidP="00146E9A">
            <w:pPr>
              <w:spacing w:after="0"/>
              <w:jc w:val="center"/>
              <w:rPr>
                <w:sz w:val="20"/>
                <w:szCs w:val="20"/>
                <w:lang w:val="en-GB"/>
              </w:rPr>
            </w:pPr>
            <w:r w:rsidRPr="00D62D04">
              <w:rPr>
                <w:sz w:val="20"/>
                <w:szCs w:val="20"/>
                <w:lang w:val="en-GB"/>
              </w:rPr>
              <w:t>1,050,000.00</w:t>
            </w:r>
          </w:p>
        </w:tc>
        <w:tc>
          <w:tcPr>
            <w:tcW w:w="1503" w:type="dxa"/>
            <w:vAlign w:val="center"/>
          </w:tcPr>
          <w:p w14:paraId="56C74A2A" w14:textId="77777777" w:rsidR="00146E9A" w:rsidRPr="00D62D04" w:rsidRDefault="00146E9A" w:rsidP="00146E9A">
            <w:pPr>
              <w:spacing w:after="0"/>
              <w:jc w:val="center"/>
              <w:rPr>
                <w:sz w:val="20"/>
                <w:szCs w:val="20"/>
                <w:lang w:val="en-GB"/>
              </w:rPr>
            </w:pPr>
            <w:r w:rsidRPr="00D62D04">
              <w:rPr>
                <w:sz w:val="20"/>
                <w:szCs w:val="20"/>
                <w:lang w:val="en-GB"/>
              </w:rPr>
              <w:t>550,000.00</w:t>
            </w:r>
          </w:p>
        </w:tc>
        <w:tc>
          <w:tcPr>
            <w:tcW w:w="1503" w:type="dxa"/>
            <w:vAlign w:val="center"/>
          </w:tcPr>
          <w:p w14:paraId="3675000E" w14:textId="77777777" w:rsidR="00146E9A" w:rsidRPr="00D62D04" w:rsidRDefault="00146E9A" w:rsidP="00146E9A">
            <w:pPr>
              <w:spacing w:after="0"/>
              <w:jc w:val="center"/>
              <w:rPr>
                <w:sz w:val="20"/>
                <w:szCs w:val="20"/>
                <w:lang w:val="en-GB"/>
              </w:rPr>
            </w:pPr>
            <w:r w:rsidRPr="00D62D04">
              <w:rPr>
                <w:sz w:val="20"/>
                <w:szCs w:val="20"/>
                <w:lang w:val="en-GB"/>
              </w:rPr>
              <w:t>350,000.00</w:t>
            </w:r>
          </w:p>
        </w:tc>
        <w:tc>
          <w:tcPr>
            <w:tcW w:w="1503" w:type="dxa"/>
            <w:vAlign w:val="center"/>
          </w:tcPr>
          <w:p w14:paraId="418FE7E9" w14:textId="77777777" w:rsidR="00146E9A" w:rsidRPr="00D62D04" w:rsidRDefault="00146E9A" w:rsidP="00146E9A">
            <w:pPr>
              <w:spacing w:after="0"/>
              <w:jc w:val="center"/>
              <w:rPr>
                <w:sz w:val="20"/>
                <w:szCs w:val="20"/>
                <w:lang w:val="en-GB"/>
              </w:rPr>
            </w:pPr>
            <w:r w:rsidRPr="00D62D04">
              <w:rPr>
                <w:sz w:val="20"/>
                <w:szCs w:val="20"/>
                <w:lang w:val="en-GB"/>
              </w:rPr>
              <w:t>450,000.00</w:t>
            </w:r>
          </w:p>
        </w:tc>
      </w:tr>
    </w:tbl>
    <w:p w14:paraId="23977408" w14:textId="77777777" w:rsidR="0066226F" w:rsidRPr="00D62D04" w:rsidRDefault="0066226F" w:rsidP="0066226F">
      <w:pPr>
        <w:spacing w:after="0"/>
        <w:jc w:val="both"/>
        <w:rPr>
          <w:sz w:val="24"/>
          <w:szCs w:val="24"/>
          <w:highlight w:val="cyan"/>
          <w:lang w:val="en-GB"/>
        </w:rPr>
      </w:pPr>
    </w:p>
    <w:p w14:paraId="044B146D" w14:textId="77777777" w:rsidR="005E622D" w:rsidRPr="00D62D04" w:rsidRDefault="005E622D" w:rsidP="00BF1352">
      <w:pPr>
        <w:spacing w:after="0"/>
        <w:ind w:firstLine="720"/>
        <w:jc w:val="both"/>
        <w:rPr>
          <w:sz w:val="24"/>
          <w:szCs w:val="24"/>
          <w:lang w:val="en-GB"/>
        </w:rPr>
      </w:pPr>
      <w:r w:rsidRPr="00D62D04">
        <w:rPr>
          <w:sz w:val="24"/>
          <w:szCs w:val="24"/>
          <w:lang w:val="en-GB"/>
        </w:rPr>
        <w:t>According to the available data, the table below provides an overview of the number of supported multilingual projects in competitions for the production of media content announced by local self-government units, the number of local self-government units that announced them, and the amount of allocated funds in 2020.</w:t>
      </w:r>
    </w:p>
    <w:p w14:paraId="4F5B51F1" w14:textId="77777777" w:rsidR="00BF1352" w:rsidRPr="00D62D04" w:rsidRDefault="00BF1352" w:rsidP="00BF1352">
      <w:pPr>
        <w:spacing w:after="0"/>
        <w:jc w:val="both"/>
        <w:rPr>
          <w:sz w:val="24"/>
          <w:szCs w:val="24"/>
          <w:highlight w:val="cyan"/>
          <w:lang w:val="en-GB"/>
        </w:rPr>
      </w:pPr>
    </w:p>
    <w:tbl>
      <w:tblPr>
        <w:tblStyle w:val="TableGrid"/>
        <w:tblW w:w="0" w:type="auto"/>
        <w:tblLook w:val="04A0" w:firstRow="1" w:lastRow="0" w:firstColumn="1" w:lastColumn="0" w:noHBand="0" w:noVBand="1"/>
      </w:tblPr>
      <w:tblGrid>
        <w:gridCol w:w="3005"/>
        <w:gridCol w:w="3005"/>
        <w:gridCol w:w="3006"/>
      </w:tblGrid>
      <w:tr w:rsidR="00146E9A" w:rsidRPr="00D62D04" w14:paraId="489D4F03" w14:textId="77777777" w:rsidTr="002137FD">
        <w:tc>
          <w:tcPr>
            <w:tcW w:w="3005" w:type="dxa"/>
          </w:tcPr>
          <w:p w14:paraId="7D637B2A" w14:textId="77777777" w:rsidR="00146E9A" w:rsidRPr="00D62D04" w:rsidRDefault="00146E9A" w:rsidP="002137FD">
            <w:pPr>
              <w:spacing w:after="0"/>
              <w:jc w:val="center"/>
              <w:rPr>
                <w:sz w:val="20"/>
                <w:szCs w:val="20"/>
                <w:lang w:val="en-GB"/>
              </w:rPr>
            </w:pPr>
            <w:r w:rsidRPr="00D62D04">
              <w:rPr>
                <w:sz w:val="20"/>
                <w:szCs w:val="20"/>
                <w:lang w:val="en-GB"/>
              </w:rPr>
              <w:t>Number of LSGUs</w:t>
            </w:r>
          </w:p>
        </w:tc>
        <w:tc>
          <w:tcPr>
            <w:tcW w:w="3005" w:type="dxa"/>
          </w:tcPr>
          <w:p w14:paraId="6C78FAAF" w14:textId="77777777" w:rsidR="00146E9A" w:rsidRPr="00D62D04" w:rsidRDefault="00146E9A" w:rsidP="002137FD">
            <w:pPr>
              <w:spacing w:after="0"/>
              <w:jc w:val="center"/>
              <w:rPr>
                <w:sz w:val="20"/>
                <w:szCs w:val="20"/>
                <w:lang w:val="en-GB"/>
              </w:rPr>
            </w:pPr>
            <w:r w:rsidRPr="00D62D04">
              <w:rPr>
                <w:sz w:val="20"/>
                <w:szCs w:val="20"/>
                <w:lang w:val="en-GB"/>
              </w:rPr>
              <w:t>Number of supported projects</w:t>
            </w:r>
          </w:p>
        </w:tc>
        <w:tc>
          <w:tcPr>
            <w:tcW w:w="3006" w:type="dxa"/>
          </w:tcPr>
          <w:p w14:paraId="7835F24C" w14:textId="77777777" w:rsidR="00146E9A" w:rsidRPr="00D62D04" w:rsidRDefault="00146E9A" w:rsidP="002137FD">
            <w:pPr>
              <w:spacing w:after="0"/>
              <w:jc w:val="center"/>
              <w:rPr>
                <w:sz w:val="20"/>
                <w:szCs w:val="20"/>
                <w:lang w:val="en-GB"/>
              </w:rPr>
            </w:pPr>
            <w:r w:rsidRPr="00D62D04">
              <w:rPr>
                <w:sz w:val="20"/>
                <w:szCs w:val="20"/>
                <w:lang w:val="en-GB"/>
              </w:rPr>
              <w:t>Amount of funds</w:t>
            </w:r>
          </w:p>
        </w:tc>
      </w:tr>
      <w:tr w:rsidR="00BF1352" w:rsidRPr="00D62D04" w14:paraId="42694BB1" w14:textId="77777777" w:rsidTr="00A772E1">
        <w:tc>
          <w:tcPr>
            <w:tcW w:w="3005" w:type="dxa"/>
          </w:tcPr>
          <w:p w14:paraId="55ECF43D" w14:textId="77777777" w:rsidR="00BF1352" w:rsidRPr="00D62D04" w:rsidRDefault="00BF1352" w:rsidP="00A772E1">
            <w:pPr>
              <w:spacing w:after="0"/>
              <w:jc w:val="center"/>
              <w:rPr>
                <w:sz w:val="20"/>
                <w:szCs w:val="20"/>
                <w:lang w:val="en-GB"/>
              </w:rPr>
            </w:pPr>
            <w:r w:rsidRPr="00D62D04">
              <w:rPr>
                <w:sz w:val="20"/>
                <w:szCs w:val="20"/>
                <w:lang w:val="en-GB"/>
              </w:rPr>
              <w:t>18</w:t>
            </w:r>
          </w:p>
        </w:tc>
        <w:tc>
          <w:tcPr>
            <w:tcW w:w="3005" w:type="dxa"/>
          </w:tcPr>
          <w:p w14:paraId="7E62B34E" w14:textId="77777777" w:rsidR="00BF1352" w:rsidRPr="00D62D04" w:rsidRDefault="00BF1352" w:rsidP="00A772E1">
            <w:pPr>
              <w:spacing w:after="0"/>
              <w:jc w:val="center"/>
              <w:rPr>
                <w:sz w:val="20"/>
                <w:szCs w:val="20"/>
                <w:lang w:val="en-GB"/>
              </w:rPr>
            </w:pPr>
            <w:r w:rsidRPr="00D62D04">
              <w:rPr>
                <w:sz w:val="20"/>
                <w:szCs w:val="20"/>
                <w:lang w:val="en-GB"/>
              </w:rPr>
              <w:t>34</w:t>
            </w:r>
          </w:p>
        </w:tc>
        <w:tc>
          <w:tcPr>
            <w:tcW w:w="3006" w:type="dxa"/>
          </w:tcPr>
          <w:p w14:paraId="2B85ADCD" w14:textId="77777777" w:rsidR="00BF1352" w:rsidRPr="00D62D04" w:rsidRDefault="00BF1352" w:rsidP="005E622D">
            <w:pPr>
              <w:spacing w:after="0"/>
              <w:jc w:val="center"/>
              <w:rPr>
                <w:sz w:val="20"/>
                <w:szCs w:val="20"/>
                <w:lang w:val="en-GB"/>
              </w:rPr>
            </w:pPr>
            <w:r w:rsidRPr="00D62D04">
              <w:rPr>
                <w:sz w:val="20"/>
                <w:szCs w:val="20"/>
                <w:lang w:val="en-GB"/>
              </w:rPr>
              <w:t>23</w:t>
            </w:r>
            <w:r w:rsidR="005E622D" w:rsidRPr="00D62D04">
              <w:rPr>
                <w:sz w:val="20"/>
                <w:szCs w:val="20"/>
                <w:lang w:val="en-GB"/>
              </w:rPr>
              <w:t>,</w:t>
            </w:r>
            <w:r w:rsidRPr="00D62D04">
              <w:rPr>
                <w:sz w:val="20"/>
                <w:szCs w:val="20"/>
                <w:lang w:val="en-GB"/>
              </w:rPr>
              <w:t>760</w:t>
            </w:r>
            <w:r w:rsidR="005E622D" w:rsidRPr="00D62D04">
              <w:rPr>
                <w:sz w:val="20"/>
                <w:szCs w:val="20"/>
                <w:lang w:val="en-GB"/>
              </w:rPr>
              <w:t>,</w:t>
            </w:r>
            <w:r w:rsidRPr="00D62D04">
              <w:rPr>
                <w:sz w:val="20"/>
                <w:szCs w:val="20"/>
                <w:lang w:val="en-GB"/>
              </w:rPr>
              <w:t>000</w:t>
            </w:r>
            <w:r w:rsidR="005E622D" w:rsidRPr="00D62D04">
              <w:rPr>
                <w:sz w:val="20"/>
                <w:szCs w:val="20"/>
                <w:lang w:val="en-GB"/>
              </w:rPr>
              <w:t>.</w:t>
            </w:r>
            <w:r w:rsidRPr="00D62D04">
              <w:rPr>
                <w:sz w:val="20"/>
                <w:szCs w:val="20"/>
                <w:lang w:val="en-GB"/>
              </w:rPr>
              <w:t>00</w:t>
            </w:r>
          </w:p>
        </w:tc>
      </w:tr>
    </w:tbl>
    <w:p w14:paraId="5C89A44F" w14:textId="77777777" w:rsidR="0066226F" w:rsidRPr="00D62D04" w:rsidRDefault="0066226F" w:rsidP="00A475C5">
      <w:pPr>
        <w:spacing w:after="0"/>
        <w:jc w:val="both"/>
        <w:rPr>
          <w:sz w:val="24"/>
          <w:szCs w:val="24"/>
          <w:highlight w:val="cyan"/>
          <w:lang w:val="en-GB"/>
        </w:rPr>
      </w:pPr>
    </w:p>
    <w:p w14:paraId="277150D4" w14:textId="77777777" w:rsidR="00976A12" w:rsidRPr="00D62D04" w:rsidRDefault="006C779B" w:rsidP="00A475C5">
      <w:pPr>
        <w:spacing w:after="0"/>
        <w:jc w:val="both"/>
        <w:rPr>
          <w:i/>
          <w:sz w:val="24"/>
          <w:szCs w:val="24"/>
          <w:highlight w:val="cyan"/>
          <w:lang w:val="en-GB"/>
        </w:rPr>
      </w:pPr>
      <w:r w:rsidRPr="00D62D04">
        <w:rPr>
          <w:i/>
          <w:sz w:val="24"/>
          <w:szCs w:val="24"/>
          <w:lang w:val="en-GB"/>
        </w:rPr>
        <w:t>Providing regular financing and sustainability of projects of importance for national minorities</w:t>
      </w:r>
    </w:p>
    <w:p w14:paraId="41369E98" w14:textId="77777777" w:rsidR="00976A12" w:rsidRPr="00D62D04" w:rsidRDefault="00976A12" w:rsidP="00A475C5">
      <w:pPr>
        <w:spacing w:after="0"/>
        <w:jc w:val="both"/>
        <w:rPr>
          <w:sz w:val="24"/>
          <w:szCs w:val="24"/>
          <w:highlight w:val="cyan"/>
          <w:lang w:val="en-GB"/>
        </w:rPr>
      </w:pPr>
    </w:p>
    <w:p w14:paraId="676F154B" w14:textId="77777777" w:rsidR="00AA526C" w:rsidRPr="00D62D04" w:rsidRDefault="00AA526C" w:rsidP="00510FA0">
      <w:pPr>
        <w:spacing w:after="0"/>
        <w:ind w:firstLine="720"/>
        <w:jc w:val="both"/>
        <w:rPr>
          <w:sz w:val="24"/>
          <w:szCs w:val="24"/>
          <w:lang w:val="en-GB"/>
        </w:rPr>
      </w:pPr>
      <w:r w:rsidRPr="00D62D04">
        <w:rPr>
          <w:sz w:val="24"/>
          <w:szCs w:val="24"/>
          <w:lang w:val="en-GB"/>
        </w:rPr>
        <w:t xml:space="preserve">Through the programme budget, the Ministry of Culture and Information provided continuous and sustainable financing of projects that are important for national minorities. Within the strategic priorities of cultural development for the period from 2021 to 2025, the Ministry has envisaged the continuation of a gradual increase in the total available budget for culture, which will also be reflected in the budget intended for the cultural activities of national minorities. In the last two years, the budget allocated for the competition for cultural activities of national minorities grew by an average of about 10% per year, and in 2022 it amounts to </w:t>
      </w:r>
      <w:r w:rsidRPr="00D62D04">
        <w:rPr>
          <w:sz w:val="24"/>
          <w:szCs w:val="24"/>
          <w:lang w:val="en-GB"/>
        </w:rPr>
        <w:lastRenderedPageBreak/>
        <w:t>18,680,000.00 dinars. The table below contains data on projects in specialised tenders that are exclusively intended for co-financing the cultural activities of national minorities.</w:t>
      </w:r>
    </w:p>
    <w:p w14:paraId="2B90C38D" w14:textId="77777777" w:rsidR="00F31B10" w:rsidRPr="00D62D04" w:rsidRDefault="00F31B10" w:rsidP="00F31B10">
      <w:pPr>
        <w:spacing w:after="0"/>
        <w:ind w:firstLine="720"/>
        <w:jc w:val="both"/>
        <w:rPr>
          <w:sz w:val="24"/>
          <w:szCs w:val="24"/>
          <w:highlight w:val="cyan"/>
          <w:lang w:val="en-GB"/>
        </w:rPr>
      </w:pPr>
    </w:p>
    <w:tbl>
      <w:tblPr>
        <w:tblStyle w:val="TableGrid"/>
        <w:tblW w:w="9086" w:type="dxa"/>
        <w:tblLook w:val="04A0" w:firstRow="1" w:lastRow="0" w:firstColumn="1" w:lastColumn="0" w:noHBand="0" w:noVBand="1"/>
      </w:tblPr>
      <w:tblGrid>
        <w:gridCol w:w="1471"/>
        <w:gridCol w:w="1523"/>
        <w:gridCol w:w="1523"/>
        <w:gridCol w:w="1523"/>
        <w:gridCol w:w="1523"/>
        <w:gridCol w:w="1523"/>
      </w:tblGrid>
      <w:tr w:rsidR="00F31B10" w:rsidRPr="00D62D04" w14:paraId="6CCDCCD5" w14:textId="77777777" w:rsidTr="0056662A">
        <w:trPr>
          <w:trHeight w:val="308"/>
        </w:trPr>
        <w:tc>
          <w:tcPr>
            <w:tcW w:w="1471" w:type="dxa"/>
            <w:vAlign w:val="bottom"/>
          </w:tcPr>
          <w:p w14:paraId="6BAAC1E0" w14:textId="77777777" w:rsidR="00F31B10" w:rsidRPr="00D62D04" w:rsidRDefault="00F31B10" w:rsidP="0056662A">
            <w:pPr>
              <w:spacing w:after="0" w:line="240" w:lineRule="auto"/>
              <w:jc w:val="center"/>
              <w:rPr>
                <w:rFonts w:eastAsia="Times New Roman"/>
                <w:color w:val="000000"/>
                <w:sz w:val="20"/>
                <w:szCs w:val="20"/>
                <w:lang w:val="en-GB"/>
              </w:rPr>
            </w:pPr>
          </w:p>
        </w:tc>
        <w:tc>
          <w:tcPr>
            <w:tcW w:w="1523" w:type="dxa"/>
            <w:vAlign w:val="bottom"/>
          </w:tcPr>
          <w:p w14:paraId="10DC9D6C" w14:textId="77777777" w:rsidR="00F31B10" w:rsidRPr="00D62D04" w:rsidRDefault="00EB795D" w:rsidP="0056662A">
            <w:pPr>
              <w:spacing w:after="0" w:line="240" w:lineRule="auto"/>
              <w:jc w:val="center"/>
              <w:rPr>
                <w:rFonts w:eastAsia="Times New Roman"/>
                <w:color w:val="000000"/>
                <w:sz w:val="20"/>
                <w:szCs w:val="20"/>
                <w:lang w:val="en-GB"/>
              </w:rPr>
            </w:pPr>
            <w:r w:rsidRPr="00D62D04">
              <w:rPr>
                <w:rFonts w:eastAsia="Times New Roman"/>
                <w:color w:val="000000"/>
                <w:sz w:val="20"/>
                <w:szCs w:val="20"/>
                <w:lang w:val="en-GB"/>
              </w:rPr>
              <w:t>2017</w:t>
            </w:r>
          </w:p>
        </w:tc>
        <w:tc>
          <w:tcPr>
            <w:tcW w:w="1523" w:type="dxa"/>
            <w:vAlign w:val="bottom"/>
          </w:tcPr>
          <w:p w14:paraId="7A8FF333" w14:textId="77777777" w:rsidR="00F31B10" w:rsidRPr="00D62D04" w:rsidRDefault="00EB795D" w:rsidP="0056662A">
            <w:pPr>
              <w:spacing w:after="0" w:line="240" w:lineRule="auto"/>
              <w:jc w:val="center"/>
              <w:rPr>
                <w:rFonts w:eastAsia="Times New Roman"/>
                <w:color w:val="000000"/>
                <w:sz w:val="20"/>
                <w:szCs w:val="20"/>
                <w:lang w:val="en-GB"/>
              </w:rPr>
            </w:pPr>
            <w:r w:rsidRPr="00D62D04">
              <w:rPr>
                <w:rFonts w:eastAsia="Times New Roman"/>
                <w:color w:val="000000"/>
                <w:sz w:val="20"/>
                <w:szCs w:val="20"/>
                <w:lang w:val="en-GB"/>
              </w:rPr>
              <w:t>2018</w:t>
            </w:r>
          </w:p>
        </w:tc>
        <w:tc>
          <w:tcPr>
            <w:tcW w:w="1523" w:type="dxa"/>
            <w:vAlign w:val="bottom"/>
          </w:tcPr>
          <w:p w14:paraId="7F71E9DA" w14:textId="77777777" w:rsidR="00F31B10" w:rsidRPr="00D62D04" w:rsidRDefault="00EB795D" w:rsidP="0056662A">
            <w:pPr>
              <w:spacing w:after="0" w:line="240" w:lineRule="auto"/>
              <w:jc w:val="center"/>
              <w:rPr>
                <w:rFonts w:eastAsia="Times New Roman"/>
                <w:color w:val="000000"/>
                <w:sz w:val="20"/>
                <w:szCs w:val="20"/>
                <w:lang w:val="en-GB"/>
              </w:rPr>
            </w:pPr>
            <w:r w:rsidRPr="00D62D04">
              <w:rPr>
                <w:rFonts w:eastAsia="Times New Roman"/>
                <w:color w:val="000000"/>
                <w:sz w:val="20"/>
                <w:szCs w:val="20"/>
                <w:lang w:val="en-GB"/>
              </w:rPr>
              <w:t>2019</w:t>
            </w:r>
          </w:p>
        </w:tc>
        <w:tc>
          <w:tcPr>
            <w:tcW w:w="1523" w:type="dxa"/>
            <w:vAlign w:val="bottom"/>
          </w:tcPr>
          <w:p w14:paraId="502559FD" w14:textId="77777777" w:rsidR="00F31B10" w:rsidRPr="00D62D04" w:rsidRDefault="00EB795D" w:rsidP="0056662A">
            <w:pPr>
              <w:spacing w:after="0" w:line="240" w:lineRule="auto"/>
              <w:jc w:val="center"/>
              <w:rPr>
                <w:rFonts w:eastAsia="Times New Roman"/>
                <w:color w:val="000000"/>
                <w:sz w:val="20"/>
                <w:szCs w:val="20"/>
                <w:lang w:val="en-GB"/>
              </w:rPr>
            </w:pPr>
            <w:r w:rsidRPr="00D62D04">
              <w:rPr>
                <w:rFonts w:eastAsia="Times New Roman"/>
                <w:color w:val="000000"/>
                <w:sz w:val="20"/>
                <w:szCs w:val="20"/>
                <w:lang w:val="en-GB"/>
              </w:rPr>
              <w:t>2020</w:t>
            </w:r>
          </w:p>
        </w:tc>
        <w:tc>
          <w:tcPr>
            <w:tcW w:w="1523" w:type="dxa"/>
            <w:vAlign w:val="bottom"/>
          </w:tcPr>
          <w:p w14:paraId="43FA1A3F" w14:textId="77777777" w:rsidR="00F31B10" w:rsidRPr="00D62D04" w:rsidRDefault="00EB795D" w:rsidP="0056662A">
            <w:pPr>
              <w:spacing w:after="0" w:line="240" w:lineRule="auto"/>
              <w:jc w:val="center"/>
              <w:rPr>
                <w:rFonts w:eastAsia="Times New Roman"/>
                <w:color w:val="000000"/>
                <w:sz w:val="20"/>
                <w:szCs w:val="20"/>
                <w:lang w:val="en-GB"/>
              </w:rPr>
            </w:pPr>
            <w:r w:rsidRPr="00D62D04">
              <w:rPr>
                <w:rFonts w:eastAsia="Times New Roman"/>
                <w:color w:val="000000"/>
                <w:sz w:val="20"/>
                <w:szCs w:val="20"/>
                <w:lang w:val="en-GB"/>
              </w:rPr>
              <w:t>2021</w:t>
            </w:r>
          </w:p>
        </w:tc>
      </w:tr>
      <w:tr w:rsidR="00F31B10" w:rsidRPr="00D62D04" w14:paraId="3D9E8C0A" w14:textId="77777777" w:rsidTr="0056662A">
        <w:trPr>
          <w:trHeight w:val="677"/>
        </w:trPr>
        <w:tc>
          <w:tcPr>
            <w:tcW w:w="1471" w:type="dxa"/>
            <w:vAlign w:val="bottom"/>
          </w:tcPr>
          <w:p w14:paraId="2E380170" w14:textId="77777777" w:rsidR="00F31B10" w:rsidRPr="00D62D04" w:rsidRDefault="00EB795D" w:rsidP="0056662A">
            <w:pPr>
              <w:spacing w:after="0" w:line="240" w:lineRule="auto"/>
              <w:rPr>
                <w:rFonts w:eastAsia="Times New Roman"/>
                <w:color w:val="000000"/>
                <w:sz w:val="20"/>
                <w:szCs w:val="20"/>
                <w:lang w:val="en-GB"/>
              </w:rPr>
            </w:pPr>
            <w:r w:rsidRPr="00D62D04">
              <w:rPr>
                <w:rFonts w:eastAsia="Times New Roman"/>
                <w:color w:val="000000"/>
                <w:sz w:val="20"/>
                <w:szCs w:val="20"/>
                <w:lang w:val="en-GB"/>
              </w:rPr>
              <w:t>Number of registered projects</w:t>
            </w:r>
          </w:p>
        </w:tc>
        <w:tc>
          <w:tcPr>
            <w:tcW w:w="1523" w:type="dxa"/>
            <w:vAlign w:val="center"/>
          </w:tcPr>
          <w:p w14:paraId="359BFB7B" w14:textId="77777777" w:rsidR="00F31B10" w:rsidRPr="00D62D04" w:rsidRDefault="00F31B10" w:rsidP="0056662A">
            <w:pPr>
              <w:spacing w:after="0" w:line="240" w:lineRule="auto"/>
              <w:jc w:val="center"/>
              <w:rPr>
                <w:rFonts w:eastAsia="Times New Roman"/>
                <w:color w:val="000000"/>
                <w:sz w:val="20"/>
                <w:szCs w:val="20"/>
                <w:lang w:val="en-GB"/>
              </w:rPr>
            </w:pPr>
            <w:r w:rsidRPr="00D62D04">
              <w:rPr>
                <w:rFonts w:eastAsia="Times New Roman"/>
                <w:color w:val="000000"/>
                <w:sz w:val="20"/>
                <w:szCs w:val="20"/>
                <w:lang w:val="en-GB"/>
              </w:rPr>
              <w:t>241</w:t>
            </w:r>
          </w:p>
        </w:tc>
        <w:tc>
          <w:tcPr>
            <w:tcW w:w="1523" w:type="dxa"/>
            <w:vAlign w:val="center"/>
          </w:tcPr>
          <w:p w14:paraId="3C0B76B3" w14:textId="77777777" w:rsidR="00F31B10" w:rsidRPr="00D62D04" w:rsidRDefault="00F31B10" w:rsidP="0056662A">
            <w:pPr>
              <w:spacing w:after="0" w:line="240" w:lineRule="auto"/>
              <w:jc w:val="center"/>
              <w:rPr>
                <w:rFonts w:eastAsia="Times New Roman"/>
                <w:color w:val="000000"/>
                <w:sz w:val="20"/>
                <w:szCs w:val="20"/>
                <w:lang w:val="en-GB"/>
              </w:rPr>
            </w:pPr>
            <w:r w:rsidRPr="00D62D04">
              <w:rPr>
                <w:rFonts w:eastAsia="Times New Roman"/>
                <w:color w:val="000000"/>
                <w:sz w:val="20"/>
                <w:szCs w:val="20"/>
                <w:lang w:val="en-GB"/>
              </w:rPr>
              <w:t>206</w:t>
            </w:r>
          </w:p>
        </w:tc>
        <w:tc>
          <w:tcPr>
            <w:tcW w:w="1523" w:type="dxa"/>
            <w:vAlign w:val="center"/>
          </w:tcPr>
          <w:p w14:paraId="1ED582C7" w14:textId="77777777" w:rsidR="00F31B10" w:rsidRPr="00D62D04" w:rsidRDefault="00F31B10" w:rsidP="0056662A">
            <w:pPr>
              <w:spacing w:after="0" w:line="240" w:lineRule="auto"/>
              <w:jc w:val="center"/>
              <w:rPr>
                <w:rFonts w:eastAsia="Times New Roman"/>
                <w:color w:val="000000"/>
                <w:sz w:val="20"/>
                <w:szCs w:val="20"/>
                <w:lang w:val="en-GB"/>
              </w:rPr>
            </w:pPr>
            <w:r w:rsidRPr="00D62D04">
              <w:rPr>
                <w:rFonts w:eastAsia="Times New Roman"/>
                <w:color w:val="000000"/>
                <w:sz w:val="20"/>
                <w:szCs w:val="20"/>
                <w:lang w:val="en-GB"/>
              </w:rPr>
              <w:t>259</w:t>
            </w:r>
          </w:p>
        </w:tc>
        <w:tc>
          <w:tcPr>
            <w:tcW w:w="1523" w:type="dxa"/>
            <w:vAlign w:val="center"/>
          </w:tcPr>
          <w:p w14:paraId="0006C64B" w14:textId="77777777" w:rsidR="00F31B10" w:rsidRPr="00D62D04" w:rsidRDefault="00F31B10" w:rsidP="0056662A">
            <w:pPr>
              <w:spacing w:after="0" w:line="240" w:lineRule="auto"/>
              <w:jc w:val="center"/>
              <w:rPr>
                <w:rFonts w:eastAsia="Times New Roman"/>
                <w:color w:val="000000"/>
                <w:sz w:val="20"/>
                <w:szCs w:val="20"/>
                <w:lang w:val="en-GB"/>
              </w:rPr>
            </w:pPr>
            <w:r w:rsidRPr="00D62D04">
              <w:rPr>
                <w:rFonts w:eastAsia="Times New Roman"/>
                <w:color w:val="000000"/>
                <w:sz w:val="20"/>
                <w:szCs w:val="20"/>
                <w:lang w:val="en-GB"/>
              </w:rPr>
              <w:t>205</w:t>
            </w:r>
          </w:p>
        </w:tc>
        <w:tc>
          <w:tcPr>
            <w:tcW w:w="1523" w:type="dxa"/>
            <w:vAlign w:val="center"/>
          </w:tcPr>
          <w:p w14:paraId="1EF1CEFD" w14:textId="77777777" w:rsidR="00F31B10" w:rsidRPr="00D62D04" w:rsidRDefault="00F31B10" w:rsidP="0056662A">
            <w:pPr>
              <w:spacing w:after="0" w:line="240" w:lineRule="auto"/>
              <w:jc w:val="center"/>
              <w:rPr>
                <w:rFonts w:eastAsia="Times New Roman"/>
                <w:color w:val="000000"/>
                <w:sz w:val="20"/>
                <w:szCs w:val="20"/>
                <w:lang w:val="en-GB"/>
              </w:rPr>
            </w:pPr>
            <w:r w:rsidRPr="00D62D04">
              <w:rPr>
                <w:rFonts w:eastAsia="Times New Roman"/>
                <w:color w:val="000000"/>
                <w:sz w:val="20"/>
                <w:szCs w:val="20"/>
                <w:lang w:val="en-GB"/>
              </w:rPr>
              <w:t>303</w:t>
            </w:r>
          </w:p>
        </w:tc>
      </w:tr>
      <w:tr w:rsidR="00F31B10" w:rsidRPr="00D62D04" w14:paraId="55431948" w14:textId="77777777" w:rsidTr="0056662A">
        <w:trPr>
          <w:trHeight w:val="684"/>
        </w:trPr>
        <w:tc>
          <w:tcPr>
            <w:tcW w:w="1471" w:type="dxa"/>
            <w:vAlign w:val="bottom"/>
          </w:tcPr>
          <w:p w14:paraId="066F31BB" w14:textId="77777777" w:rsidR="00F31B10" w:rsidRPr="00D62D04" w:rsidRDefault="00EB795D" w:rsidP="0056662A">
            <w:pPr>
              <w:spacing w:after="0" w:line="240" w:lineRule="auto"/>
              <w:rPr>
                <w:rFonts w:eastAsia="Times New Roman"/>
                <w:color w:val="000000"/>
                <w:sz w:val="20"/>
                <w:szCs w:val="20"/>
                <w:lang w:val="en-GB"/>
              </w:rPr>
            </w:pPr>
            <w:r w:rsidRPr="00D62D04">
              <w:rPr>
                <w:rFonts w:eastAsia="Times New Roman"/>
                <w:color w:val="000000"/>
                <w:sz w:val="20"/>
                <w:szCs w:val="20"/>
                <w:lang w:val="en-GB"/>
              </w:rPr>
              <w:t>Number of supported projects</w:t>
            </w:r>
          </w:p>
        </w:tc>
        <w:tc>
          <w:tcPr>
            <w:tcW w:w="1523" w:type="dxa"/>
            <w:vAlign w:val="center"/>
          </w:tcPr>
          <w:p w14:paraId="72D37B18" w14:textId="77777777" w:rsidR="00F31B10" w:rsidRPr="00D62D04" w:rsidRDefault="00F31B10" w:rsidP="0056662A">
            <w:pPr>
              <w:spacing w:after="0" w:line="240" w:lineRule="auto"/>
              <w:jc w:val="center"/>
              <w:rPr>
                <w:rFonts w:eastAsia="Times New Roman"/>
                <w:color w:val="000000"/>
                <w:sz w:val="20"/>
                <w:szCs w:val="20"/>
                <w:lang w:val="en-GB"/>
              </w:rPr>
            </w:pPr>
            <w:r w:rsidRPr="00D62D04">
              <w:rPr>
                <w:rFonts w:eastAsia="Times New Roman"/>
                <w:color w:val="000000"/>
                <w:sz w:val="20"/>
                <w:szCs w:val="20"/>
                <w:lang w:val="en-GB"/>
              </w:rPr>
              <w:t>102</w:t>
            </w:r>
          </w:p>
        </w:tc>
        <w:tc>
          <w:tcPr>
            <w:tcW w:w="1523" w:type="dxa"/>
            <w:vAlign w:val="center"/>
          </w:tcPr>
          <w:p w14:paraId="36262F58" w14:textId="77777777" w:rsidR="00F31B10" w:rsidRPr="00D62D04" w:rsidRDefault="00F31B10" w:rsidP="0056662A">
            <w:pPr>
              <w:spacing w:after="0" w:line="240" w:lineRule="auto"/>
              <w:jc w:val="center"/>
              <w:rPr>
                <w:rFonts w:eastAsia="Times New Roman"/>
                <w:color w:val="000000"/>
                <w:sz w:val="20"/>
                <w:szCs w:val="20"/>
                <w:lang w:val="en-GB"/>
              </w:rPr>
            </w:pPr>
            <w:r w:rsidRPr="00D62D04">
              <w:rPr>
                <w:rFonts w:eastAsia="Times New Roman"/>
                <w:color w:val="000000"/>
                <w:sz w:val="20"/>
                <w:szCs w:val="20"/>
                <w:lang w:val="en-GB"/>
              </w:rPr>
              <w:t>116</w:t>
            </w:r>
          </w:p>
        </w:tc>
        <w:tc>
          <w:tcPr>
            <w:tcW w:w="1523" w:type="dxa"/>
            <w:vAlign w:val="center"/>
          </w:tcPr>
          <w:p w14:paraId="71F324E6" w14:textId="77777777" w:rsidR="00F31B10" w:rsidRPr="00D62D04" w:rsidRDefault="00F31B10" w:rsidP="0056662A">
            <w:pPr>
              <w:spacing w:after="0" w:line="240" w:lineRule="auto"/>
              <w:jc w:val="center"/>
              <w:rPr>
                <w:rFonts w:eastAsia="Times New Roman"/>
                <w:color w:val="000000"/>
                <w:sz w:val="20"/>
                <w:szCs w:val="20"/>
                <w:lang w:val="en-GB"/>
              </w:rPr>
            </w:pPr>
            <w:r w:rsidRPr="00D62D04">
              <w:rPr>
                <w:rFonts w:eastAsia="Times New Roman"/>
                <w:color w:val="000000"/>
                <w:sz w:val="20"/>
                <w:szCs w:val="20"/>
                <w:lang w:val="en-GB"/>
              </w:rPr>
              <w:t>127</w:t>
            </w:r>
          </w:p>
        </w:tc>
        <w:tc>
          <w:tcPr>
            <w:tcW w:w="1523" w:type="dxa"/>
            <w:vAlign w:val="center"/>
          </w:tcPr>
          <w:p w14:paraId="17DB74E8" w14:textId="77777777" w:rsidR="00F31B10" w:rsidRPr="00D62D04" w:rsidRDefault="00F31B10" w:rsidP="0056662A">
            <w:pPr>
              <w:spacing w:after="0" w:line="240" w:lineRule="auto"/>
              <w:jc w:val="center"/>
              <w:rPr>
                <w:rFonts w:eastAsia="Times New Roman"/>
                <w:color w:val="000000"/>
                <w:sz w:val="20"/>
                <w:szCs w:val="20"/>
                <w:lang w:val="en-GB"/>
              </w:rPr>
            </w:pPr>
            <w:r w:rsidRPr="00D62D04">
              <w:rPr>
                <w:rFonts w:eastAsia="Times New Roman"/>
                <w:color w:val="000000"/>
                <w:sz w:val="20"/>
                <w:szCs w:val="20"/>
                <w:lang w:val="en-GB"/>
              </w:rPr>
              <w:t>123</w:t>
            </w:r>
          </w:p>
        </w:tc>
        <w:tc>
          <w:tcPr>
            <w:tcW w:w="1523" w:type="dxa"/>
            <w:vAlign w:val="center"/>
          </w:tcPr>
          <w:p w14:paraId="5920AABE" w14:textId="77777777" w:rsidR="00F31B10" w:rsidRPr="00D62D04" w:rsidRDefault="00F31B10" w:rsidP="0056662A">
            <w:pPr>
              <w:spacing w:after="0" w:line="240" w:lineRule="auto"/>
              <w:jc w:val="center"/>
              <w:rPr>
                <w:rFonts w:eastAsia="Times New Roman"/>
                <w:color w:val="000000"/>
                <w:sz w:val="20"/>
                <w:szCs w:val="20"/>
                <w:lang w:val="en-GB"/>
              </w:rPr>
            </w:pPr>
            <w:r w:rsidRPr="00D62D04">
              <w:rPr>
                <w:rFonts w:eastAsia="Times New Roman"/>
                <w:color w:val="000000"/>
                <w:sz w:val="20"/>
                <w:szCs w:val="20"/>
                <w:lang w:val="en-GB"/>
              </w:rPr>
              <w:t>139</w:t>
            </w:r>
          </w:p>
        </w:tc>
      </w:tr>
      <w:tr w:rsidR="00F31B10" w:rsidRPr="00D62D04" w14:paraId="2BFE07FE" w14:textId="77777777" w:rsidTr="0056662A">
        <w:trPr>
          <w:trHeight w:val="448"/>
        </w:trPr>
        <w:tc>
          <w:tcPr>
            <w:tcW w:w="1471" w:type="dxa"/>
            <w:vAlign w:val="bottom"/>
          </w:tcPr>
          <w:p w14:paraId="0A2DCC55" w14:textId="77777777" w:rsidR="00F31B10" w:rsidRPr="00D62D04" w:rsidRDefault="00EB795D" w:rsidP="0056662A">
            <w:pPr>
              <w:spacing w:after="0" w:line="240" w:lineRule="auto"/>
              <w:rPr>
                <w:rFonts w:eastAsia="Times New Roman"/>
                <w:color w:val="000000"/>
                <w:sz w:val="20"/>
                <w:szCs w:val="20"/>
                <w:lang w:val="en-GB"/>
              </w:rPr>
            </w:pPr>
            <w:r w:rsidRPr="00D62D04">
              <w:rPr>
                <w:rFonts w:eastAsia="Times New Roman"/>
                <w:color w:val="000000"/>
                <w:sz w:val="20"/>
                <w:szCs w:val="20"/>
                <w:lang w:val="en-GB"/>
              </w:rPr>
              <w:t>Percentage of approved projects</w:t>
            </w:r>
          </w:p>
        </w:tc>
        <w:tc>
          <w:tcPr>
            <w:tcW w:w="1523" w:type="dxa"/>
            <w:vAlign w:val="center"/>
          </w:tcPr>
          <w:p w14:paraId="1A047EF2" w14:textId="77777777" w:rsidR="00F31B10" w:rsidRPr="00D62D04" w:rsidRDefault="00F31B10" w:rsidP="00EB795D">
            <w:pPr>
              <w:spacing w:after="0" w:line="240" w:lineRule="auto"/>
              <w:jc w:val="center"/>
              <w:rPr>
                <w:rFonts w:eastAsia="Times New Roman"/>
                <w:color w:val="000000"/>
                <w:sz w:val="20"/>
                <w:szCs w:val="20"/>
                <w:lang w:val="en-GB"/>
              </w:rPr>
            </w:pPr>
            <w:r w:rsidRPr="00D62D04">
              <w:rPr>
                <w:rFonts w:eastAsia="Times New Roman"/>
                <w:color w:val="000000"/>
                <w:sz w:val="20"/>
                <w:szCs w:val="20"/>
                <w:lang w:val="en-GB"/>
              </w:rPr>
              <w:t>42</w:t>
            </w:r>
            <w:r w:rsidR="00EB795D" w:rsidRPr="00D62D04">
              <w:rPr>
                <w:rFonts w:eastAsia="Times New Roman"/>
                <w:color w:val="000000"/>
                <w:sz w:val="20"/>
                <w:szCs w:val="20"/>
                <w:lang w:val="en-GB"/>
              </w:rPr>
              <w:t>.</w:t>
            </w:r>
            <w:r w:rsidRPr="00D62D04">
              <w:rPr>
                <w:rFonts w:eastAsia="Times New Roman"/>
                <w:color w:val="000000"/>
                <w:sz w:val="20"/>
                <w:szCs w:val="20"/>
                <w:lang w:val="en-GB"/>
              </w:rPr>
              <w:t>3%</w:t>
            </w:r>
          </w:p>
        </w:tc>
        <w:tc>
          <w:tcPr>
            <w:tcW w:w="1523" w:type="dxa"/>
            <w:vAlign w:val="center"/>
          </w:tcPr>
          <w:p w14:paraId="3986C7E1" w14:textId="77777777" w:rsidR="00F31B10" w:rsidRPr="00D62D04" w:rsidRDefault="00F31B10" w:rsidP="00EB795D">
            <w:pPr>
              <w:spacing w:after="0" w:line="240" w:lineRule="auto"/>
              <w:jc w:val="center"/>
              <w:rPr>
                <w:rFonts w:eastAsia="Times New Roman"/>
                <w:color w:val="000000"/>
                <w:sz w:val="20"/>
                <w:szCs w:val="20"/>
                <w:lang w:val="en-GB"/>
              </w:rPr>
            </w:pPr>
            <w:r w:rsidRPr="00D62D04">
              <w:rPr>
                <w:rFonts w:eastAsia="Times New Roman"/>
                <w:color w:val="000000"/>
                <w:sz w:val="20"/>
                <w:szCs w:val="20"/>
                <w:lang w:val="en-GB"/>
              </w:rPr>
              <w:t>56</w:t>
            </w:r>
            <w:r w:rsidR="00EB795D" w:rsidRPr="00D62D04">
              <w:rPr>
                <w:rFonts w:eastAsia="Times New Roman"/>
                <w:color w:val="000000"/>
                <w:sz w:val="20"/>
                <w:szCs w:val="20"/>
                <w:lang w:val="en-GB"/>
              </w:rPr>
              <w:t>.</w:t>
            </w:r>
            <w:r w:rsidRPr="00D62D04">
              <w:rPr>
                <w:rFonts w:eastAsia="Times New Roman"/>
                <w:color w:val="000000"/>
                <w:sz w:val="20"/>
                <w:szCs w:val="20"/>
                <w:lang w:val="en-GB"/>
              </w:rPr>
              <w:t>3%</w:t>
            </w:r>
          </w:p>
        </w:tc>
        <w:tc>
          <w:tcPr>
            <w:tcW w:w="1523" w:type="dxa"/>
            <w:vAlign w:val="center"/>
          </w:tcPr>
          <w:p w14:paraId="02AEE4E6" w14:textId="77777777" w:rsidR="00F31B10" w:rsidRPr="00D62D04" w:rsidRDefault="00F31B10" w:rsidP="0056662A">
            <w:pPr>
              <w:spacing w:after="0" w:line="240" w:lineRule="auto"/>
              <w:jc w:val="center"/>
              <w:rPr>
                <w:rFonts w:eastAsia="Times New Roman"/>
                <w:color w:val="000000"/>
                <w:sz w:val="20"/>
                <w:szCs w:val="20"/>
                <w:lang w:val="en-GB"/>
              </w:rPr>
            </w:pPr>
            <w:r w:rsidRPr="00D62D04">
              <w:rPr>
                <w:rFonts w:eastAsia="Times New Roman"/>
                <w:color w:val="000000"/>
                <w:sz w:val="20"/>
                <w:szCs w:val="20"/>
                <w:lang w:val="en-GB"/>
              </w:rPr>
              <w:t>49%</w:t>
            </w:r>
          </w:p>
        </w:tc>
        <w:tc>
          <w:tcPr>
            <w:tcW w:w="1523" w:type="dxa"/>
            <w:vAlign w:val="center"/>
          </w:tcPr>
          <w:p w14:paraId="0A8FFD16" w14:textId="77777777" w:rsidR="00F31B10" w:rsidRPr="00D62D04" w:rsidRDefault="00F31B10" w:rsidP="0056662A">
            <w:pPr>
              <w:spacing w:after="0" w:line="240" w:lineRule="auto"/>
              <w:jc w:val="center"/>
              <w:rPr>
                <w:rFonts w:eastAsia="Times New Roman"/>
                <w:color w:val="000000"/>
                <w:sz w:val="20"/>
                <w:szCs w:val="20"/>
                <w:lang w:val="en-GB"/>
              </w:rPr>
            </w:pPr>
            <w:r w:rsidRPr="00D62D04">
              <w:rPr>
                <w:rFonts w:eastAsia="Times New Roman"/>
                <w:color w:val="000000"/>
                <w:sz w:val="20"/>
                <w:szCs w:val="20"/>
                <w:lang w:val="en-GB"/>
              </w:rPr>
              <w:t>60%</w:t>
            </w:r>
          </w:p>
        </w:tc>
        <w:tc>
          <w:tcPr>
            <w:tcW w:w="1523" w:type="dxa"/>
            <w:vAlign w:val="center"/>
          </w:tcPr>
          <w:p w14:paraId="50ECEAF1" w14:textId="77777777" w:rsidR="00F31B10" w:rsidRPr="00D62D04" w:rsidRDefault="00F31B10" w:rsidP="0056662A">
            <w:pPr>
              <w:spacing w:after="0" w:line="240" w:lineRule="auto"/>
              <w:jc w:val="center"/>
              <w:rPr>
                <w:rFonts w:eastAsia="Times New Roman"/>
                <w:color w:val="000000"/>
                <w:sz w:val="20"/>
                <w:szCs w:val="20"/>
                <w:lang w:val="en-GB"/>
              </w:rPr>
            </w:pPr>
            <w:r w:rsidRPr="00D62D04">
              <w:rPr>
                <w:rFonts w:eastAsia="Times New Roman"/>
                <w:color w:val="000000"/>
                <w:sz w:val="20"/>
                <w:szCs w:val="20"/>
                <w:lang w:val="en-GB"/>
              </w:rPr>
              <w:t>45.9%</w:t>
            </w:r>
          </w:p>
        </w:tc>
      </w:tr>
      <w:tr w:rsidR="00F31B10" w:rsidRPr="00D62D04" w14:paraId="512278F1" w14:textId="77777777" w:rsidTr="0056662A">
        <w:trPr>
          <w:trHeight w:val="677"/>
        </w:trPr>
        <w:tc>
          <w:tcPr>
            <w:tcW w:w="1471" w:type="dxa"/>
            <w:vAlign w:val="bottom"/>
          </w:tcPr>
          <w:p w14:paraId="4B856DC5" w14:textId="77777777" w:rsidR="00F31B10" w:rsidRPr="00D62D04" w:rsidRDefault="00EB795D" w:rsidP="00EB795D">
            <w:pPr>
              <w:spacing w:after="0" w:line="240" w:lineRule="auto"/>
              <w:rPr>
                <w:rFonts w:eastAsia="Times New Roman"/>
                <w:color w:val="000000"/>
                <w:sz w:val="20"/>
                <w:szCs w:val="20"/>
                <w:lang w:val="en-GB"/>
              </w:rPr>
            </w:pPr>
            <w:r w:rsidRPr="00D62D04">
              <w:rPr>
                <w:rFonts w:eastAsia="Times New Roman"/>
                <w:color w:val="000000"/>
                <w:sz w:val="20"/>
                <w:szCs w:val="20"/>
                <w:lang w:val="en-GB"/>
              </w:rPr>
              <w:t xml:space="preserve">Total allocated amount </w:t>
            </w:r>
          </w:p>
        </w:tc>
        <w:tc>
          <w:tcPr>
            <w:tcW w:w="1523" w:type="dxa"/>
            <w:vAlign w:val="center"/>
          </w:tcPr>
          <w:p w14:paraId="58D0F7E1" w14:textId="77777777" w:rsidR="00F31B10" w:rsidRPr="00D62D04" w:rsidRDefault="00F31B10" w:rsidP="00EB795D">
            <w:pPr>
              <w:spacing w:after="0" w:line="240" w:lineRule="auto"/>
              <w:rPr>
                <w:rFonts w:eastAsia="Times New Roman"/>
                <w:sz w:val="20"/>
                <w:szCs w:val="20"/>
                <w:lang w:val="en-GB"/>
              </w:rPr>
            </w:pPr>
            <w:r w:rsidRPr="00D62D04">
              <w:rPr>
                <w:rFonts w:eastAsia="Times New Roman"/>
                <w:sz w:val="20"/>
                <w:szCs w:val="20"/>
                <w:lang w:val="en-GB"/>
              </w:rPr>
              <w:t xml:space="preserve"> 15</w:t>
            </w:r>
            <w:r w:rsidR="00EB795D" w:rsidRPr="00D62D04">
              <w:rPr>
                <w:rFonts w:eastAsia="Times New Roman"/>
                <w:sz w:val="20"/>
                <w:szCs w:val="20"/>
                <w:lang w:val="en-GB"/>
              </w:rPr>
              <w:t>,</w:t>
            </w:r>
            <w:r w:rsidRPr="00D62D04">
              <w:rPr>
                <w:rFonts w:eastAsia="Times New Roman"/>
                <w:sz w:val="20"/>
                <w:szCs w:val="20"/>
                <w:lang w:val="en-GB"/>
              </w:rPr>
              <w:t>640</w:t>
            </w:r>
            <w:r w:rsidR="00EB795D" w:rsidRPr="00D62D04">
              <w:rPr>
                <w:rFonts w:eastAsia="Times New Roman"/>
                <w:sz w:val="20"/>
                <w:szCs w:val="20"/>
                <w:lang w:val="en-GB"/>
              </w:rPr>
              <w:t>,</w:t>
            </w:r>
            <w:r w:rsidRPr="00D62D04">
              <w:rPr>
                <w:rFonts w:eastAsia="Times New Roman"/>
                <w:sz w:val="20"/>
                <w:szCs w:val="20"/>
                <w:lang w:val="en-GB"/>
              </w:rPr>
              <w:t>000</w:t>
            </w:r>
            <w:r w:rsidR="00EB795D" w:rsidRPr="00D62D04">
              <w:rPr>
                <w:rFonts w:eastAsia="Times New Roman"/>
                <w:sz w:val="20"/>
                <w:szCs w:val="20"/>
                <w:lang w:val="en-GB"/>
              </w:rPr>
              <w:t>.</w:t>
            </w:r>
            <w:r w:rsidRPr="00D62D04">
              <w:rPr>
                <w:rFonts w:eastAsia="Times New Roman"/>
                <w:sz w:val="20"/>
                <w:szCs w:val="20"/>
                <w:lang w:val="en-GB"/>
              </w:rPr>
              <w:t xml:space="preserve">00 </w:t>
            </w:r>
          </w:p>
        </w:tc>
        <w:tc>
          <w:tcPr>
            <w:tcW w:w="1523" w:type="dxa"/>
            <w:vAlign w:val="center"/>
          </w:tcPr>
          <w:p w14:paraId="63C2605B" w14:textId="77777777" w:rsidR="00F31B10" w:rsidRPr="00D62D04" w:rsidRDefault="00F31B10" w:rsidP="00EB795D">
            <w:pPr>
              <w:spacing w:after="0" w:line="240" w:lineRule="auto"/>
              <w:rPr>
                <w:rFonts w:eastAsia="Times New Roman"/>
                <w:sz w:val="20"/>
                <w:szCs w:val="20"/>
                <w:lang w:val="en-GB"/>
              </w:rPr>
            </w:pPr>
            <w:r w:rsidRPr="00D62D04">
              <w:rPr>
                <w:rFonts w:eastAsia="Times New Roman"/>
                <w:sz w:val="20"/>
                <w:szCs w:val="20"/>
                <w:lang w:val="en-GB"/>
              </w:rPr>
              <w:t xml:space="preserve"> 15</w:t>
            </w:r>
            <w:r w:rsidR="00EB795D" w:rsidRPr="00D62D04">
              <w:rPr>
                <w:rFonts w:eastAsia="Times New Roman"/>
                <w:sz w:val="20"/>
                <w:szCs w:val="20"/>
                <w:lang w:val="en-GB"/>
              </w:rPr>
              <w:t>,</w:t>
            </w:r>
            <w:r w:rsidRPr="00D62D04">
              <w:rPr>
                <w:rFonts w:eastAsia="Times New Roman"/>
                <w:sz w:val="20"/>
                <w:szCs w:val="20"/>
                <w:lang w:val="en-GB"/>
              </w:rPr>
              <w:t>380</w:t>
            </w:r>
            <w:r w:rsidR="00EB795D" w:rsidRPr="00D62D04">
              <w:rPr>
                <w:rFonts w:eastAsia="Times New Roman"/>
                <w:sz w:val="20"/>
                <w:szCs w:val="20"/>
                <w:lang w:val="en-GB"/>
              </w:rPr>
              <w:t>,</w:t>
            </w:r>
            <w:r w:rsidRPr="00D62D04">
              <w:rPr>
                <w:rFonts w:eastAsia="Times New Roman"/>
                <w:sz w:val="20"/>
                <w:szCs w:val="20"/>
                <w:lang w:val="en-GB"/>
              </w:rPr>
              <w:t>000</w:t>
            </w:r>
            <w:r w:rsidR="00EB795D" w:rsidRPr="00D62D04">
              <w:rPr>
                <w:rFonts w:eastAsia="Times New Roman"/>
                <w:sz w:val="20"/>
                <w:szCs w:val="20"/>
                <w:lang w:val="en-GB"/>
              </w:rPr>
              <w:t>.</w:t>
            </w:r>
            <w:r w:rsidRPr="00D62D04">
              <w:rPr>
                <w:rFonts w:eastAsia="Times New Roman"/>
                <w:sz w:val="20"/>
                <w:szCs w:val="20"/>
                <w:lang w:val="en-GB"/>
              </w:rPr>
              <w:t xml:space="preserve">00 </w:t>
            </w:r>
          </w:p>
        </w:tc>
        <w:tc>
          <w:tcPr>
            <w:tcW w:w="1523" w:type="dxa"/>
            <w:vAlign w:val="center"/>
          </w:tcPr>
          <w:p w14:paraId="32F7794C" w14:textId="77777777" w:rsidR="00F31B10" w:rsidRPr="00D62D04" w:rsidRDefault="00F31B10" w:rsidP="00EB795D">
            <w:pPr>
              <w:spacing w:after="0" w:line="240" w:lineRule="auto"/>
              <w:jc w:val="center"/>
              <w:rPr>
                <w:rFonts w:eastAsia="Times New Roman"/>
                <w:sz w:val="20"/>
                <w:szCs w:val="20"/>
                <w:lang w:val="en-GB"/>
              </w:rPr>
            </w:pPr>
            <w:r w:rsidRPr="00D62D04">
              <w:rPr>
                <w:rFonts w:eastAsia="Times New Roman"/>
                <w:sz w:val="20"/>
                <w:szCs w:val="20"/>
                <w:lang w:val="en-GB"/>
              </w:rPr>
              <w:t xml:space="preserve"> 16</w:t>
            </w:r>
            <w:r w:rsidR="00EB795D" w:rsidRPr="00D62D04">
              <w:rPr>
                <w:rFonts w:eastAsia="Times New Roman"/>
                <w:sz w:val="20"/>
                <w:szCs w:val="20"/>
                <w:lang w:val="en-GB"/>
              </w:rPr>
              <w:t>,</w:t>
            </w:r>
            <w:r w:rsidRPr="00D62D04">
              <w:rPr>
                <w:rFonts w:eastAsia="Times New Roman"/>
                <w:sz w:val="20"/>
                <w:szCs w:val="20"/>
                <w:lang w:val="en-GB"/>
              </w:rPr>
              <w:t>558</w:t>
            </w:r>
            <w:r w:rsidR="00EB795D" w:rsidRPr="00D62D04">
              <w:rPr>
                <w:rFonts w:eastAsia="Times New Roman"/>
                <w:sz w:val="20"/>
                <w:szCs w:val="20"/>
                <w:lang w:val="en-GB"/>
              </w:rPr>
              <w:t>,</w:t>
            </w:r>
            <w:r w:rsidRPr="00D62D04">
              <w:rPr>
                <w:rFonts w:eastAsia="Times New Roman"/>
                <w:sz w:val="20"/>
                <w:szCs w:val="20"/>
                <w:lang w:val="en-GB"/>
              </w:rPr>
              <w:t>000</w:t>
            </w:r>
            <w:r w:rsidR="00EB795D" w:rsidRPr="00D62D04">
              <w:rPr>
                <w:rFonts w:eastAsia="Times New Roman"/>
                <w:sz w:val="20"/>
                <w:szCs w:val="20"/>
                <w:lang w:val="en-GB"/>
              </w:rPr>
              <w:t>.</w:t>
            </w:r>
            <w:r w:rsidRPr="00D62D04">
              <w:rPr>
                <w:rFonts w:eastAsia="Times New Roman"/>
                <w:sz w:val="20"/>
                <w:szCs w:val="20"/>
                <w:lang w:val="en-GB"/>
              </w:rPr>
              <w:t xml:space="preserve">00 </w:t>
            </w:r>
          </w:p>
        </w:tc>
        <w:tc>
          <w:tcPr>
            <w:tcW w:w="1523" w:type="dxa"/>
            <w:vAlign w:val="center"/>
          </w:tcPr>
          <w:p w14:paraId="5AF52436" w14:textId="77777777" w:rsidR="00F31B10" w:rsidRPr="00D62D04" w:rsidRDefault="00F31B10" w:rsidP="00EB795D">
            <w:pPr>
              <w:spacing w:after="0" w:line="240" w:lineRule="auto"/>
              <w:rPr>
                <w:rFonts w:eastAsia="Times New Roman"/>
                <w:color w:val="000000"/>
                <w:sz w:val="20"/>
                <w:szCs w:val="20"/>
                <w:lang w:val="en-GB"/>
              </w:rPr>
            </w:pPr>
            <w:r w:rsidRPr="00D62D04">
              <w:rPr>
                <w:rFonts w:eastAsia="Times New Roman"/>
                <w:color w:val="000000"/>
                <w:sz w:val="20"/>
                <w:szCs w:val="20"/>
                <w:lang w:val="en-GB"/>
              </w:rPr>
              <w:t xml:space="preserve">   15</w:t>
            </w:r>
            <w:r w:rsidR="00EB795D" w:rsidRPr="00D62D04">
              <w:rPr>
                <w:rFonts w:eastAsia="Times New Roman"/>
                <w:color w:val="000000"/>
                <w:sz w:val="20"/>
                <w:szCs w:val="20"/>
                <w:lang w:val="en-GB"/>
              </w:rPr>
              <w:t>,</w:t>
            </w:r>
            <w:r w:rsidRPr="00D62D04">
              <w:rPr>
                <w:rFonts w:eastAsia="Times New Roman"/>
                <w:color w:val="000000"/>
                <w:sz w:val="20"/>
                <w:szCs w:val="20"/>
                <w:lang w:val="en-GB"/>
              </w:rPr>
              <w:t>550</w:t>
            </w:r>
            <w:r w:rsidR="00EB795D" w:rsidRPr="00D62D04">
              <w:rPr>
                <w:rFonts w:eastAsia="Times New Roman"/>
                <w:color w:val="000000"/>
                <w:sz w:val="20"/>
                <w:szCs w:val="20"/>
                <w:lang w:val="en-GB"/>
              </w:rPr>
              <w:t>,</w:t>
            </w:r>
            <w:r w:rsidRPr="00D62D04">
              <w:rPr>
                <w:rFonts w:eastAsia="Times New Roman"/>
                <w:color w:val="000000"/>
                <w:sz w:val="20"/>
                <w:szCs w:val="20"/>
                <w:lang w:val="en-GB"/>
              </w:rPr>
              <w:t>000</w:t>
            </w:r>
            <w:r w:rsidR="00EB795D" w:rsidRPr="00D62D04">
              <w:rPr>
                <w:rFonts w:eastAsia="Times New Roman"/>
                <w:color w:val="000000"/>
                <w:sz w:val="20"/>
                <w:szCs w:val="20"/>
                <w:lang w:val="en-GB"/>
              </w:rPr>
              <w:t>.</w:t>
            </w:r>
            <w:r w:rsidRPr="00D62D04">
              <w:rPr>
                <w:rFonts w:eastAsia="Times New Roman"/>
                <w:color w:val="000000"/>
                <w:sz w:val="20"/>
                <w:szCs w:val="20"/>
                <w:lang w:val="en-GB"/>
              </w:rPr>
              <w:t xml:space="preserve">00 </w:t>
            </w:r>
          </w:p>
        </w:tc>
        <w:tc>
          <w:tcPr>
            <w:tcW w:w="1523" w:type="dxa"/>
            <w:vAlign w:val="center"/>
          </w:tcPr>
          <w:p w14:paraId="097B1006" w14:textId="77777777" w:rsidR="00F31B10" w:rsidRPr="00D62D04" w:rsidRDefault="00F31B10" w:rsidP="00EB795D">
            <w:pPr>
              <w:spacing w:after="0" w:line="240" w:lineRule="auto"/>
              <w:jc w:val="center"/>
              <w:rPr>
                <w:rFonts w:eastAsia="Times New Roman"/>
                <w:color w:val="000000"/>
                <w:sz w:val="20"/>
                <w:szCs w:val="20"/>
                <w:lang w:val="en-GB"/>
              </w:rPr>
            </w:pPr>
            <w:r w:rsidRPr="00D62D04">
              <w:rPr>
                <w:rFonts w:eastAsia="Times New Roman"/>
                <w:color w:val="000000"/>
                <w:sz w:val="20"/>
                <w:szCs w:val="20"/>
                <w:lang w:val="en-GB"/>
              </w:rPr>
              <w:t xml:space="preserve">  17</w:t>
            </w:r>
            <w:r w:rsidR="00EB795D" w:rsidRPr="00D62D04">
              <w:rPr>
                <w:rFonts w:eastAsia="Times New Roman"/>
                <w:color w:val="000000"/>
                <w:sz w:val="20"/>
                <w:szCs w:val="20"/>
                <w:lang w:val="en-GB"/>
              </w:rPr>
              <w:t>,</w:t>
            </w:r>
            <w:r w:rsidRPr="00D62D04">
              <w:rPr>
                <w:rFonts w:eastAsia="Times New Roman"/>
                <w:color w:val="000000"/>
                <w:sz w:val="20"/>
                <w:szCs w:val="20"/>
                <w:lang w:val="en-GB"/>
              </w:rPr>
              <w:t>000</w:t>
            </w:r>
            <w:r w:rsidR="00EB795D" w:rsidRPr="00D62D04">
              <w:rPr>
                <w:rFonts w:eastAsia="Times New Roman"/>
                <w:color w:val="000000"/>
                <w:sz w:val="20"/>
                <w:szCs w:val="20"/>
                <w:lang w:val="en-GB"/>
              </w:rPr>
              <w:t>,</w:t>
            </w:r>
            <w:r w:rsidRPr="00D62D04">
              <w:rPr>
                <w:rFonts w:eastAsia="Times New Roman"/>
                <w:color w:val="000000"/>
                <w:sz w:val="20"/>
                <w:szCs w:val="20"/>
                <w:lang w:val="en-GB"/>
              </w:rPr>
              <w:t>000</w:t>
            </w:r>
            <w:r w:rsidR="00EB795D" w:rsidRPr="00D62D04">
              <w:rPr>
                <w:rFonts w:eastAsia="Times New Roman"/>
                <w:color w:val="000000"/>
                <w:sz w:val="20"/>
                <w:szCs w:val="20"/>
                <w:lang w:val="en-GB"/>
              </w:rPr>
              <w:t>.</w:t>
            </w:r>
            <w:r w:rsidRPr="00D62D04">
              <w:rPr>
                <w:rFonts w:eastAsia="Times New Roman"/>
                <w:color w:val="000000"/>
                <w:sz w:val="20"/>
                <w:szCs w:val="20"/>
                <w:lang w:val="en-GB"/>
              </w:rPr>
              <w:t xml:space="preserve">00 </w:t>
            </w:r>
          </w:p>
        </w:tc>
      </w:tr>
    </w:tbl>
    <w:p w14:paraId="32868952" w14:textId="77777777" w:rsidR="00F31B10" w:rsidRPr="00D62D04" w:rsidRDefault="00F31B10" w:rsidP="00F31B10">
      <w:pPr>
        <w:spacing w:after="0"/>
        <w:jc w:val="both"/>
        <w:rPr>
          <w:sz w:val="24"/>
          <w:szCs w:val="24"/>
          <w:highlight w:val="cyan"/>
          <w:lang w:val="en-GB"/>
        </w:rPr>
      </w:pPr>
    </w:p>
    <w:p w14:paraId="6E4EEB79" w14:textId="77777777" w:rsidR="00E656E0" w:rsidRPr="00D62D04" w:rsidRDefault="00E656E0" w:rsidP="00F31B10">
      <w:pPr>
        <w:spacing w:after="0"/>
        <w:ind w:firstLine="720"/>
        <w:jc w:val="both"/>
        <w:rPr>
          <w:sz w:val="24"/>
          <w:szCs w:val="24"/>
          <w:lang w:val="en-GB"/>
        </w:rPr>
      </w:pPr>
      <w:r w:rsidRPr="00D62D04">
        <w:rPr>
          <w:sz w:val="24"/>
          <w:szCs w:val="24"/>
          <w:lang w:val="en-GB"/>
        </w:rPr>
        <w:t>The statistics presented in the following table show the amounts of funds allocated by individual minorities in specialised tenders for co-financing the cultural activities of national minorities.</w:t>
      </w:r>
    </w:p>
    <w:p w14:paraId="64AC753E" w14:textId="77777777" w:rsidR="00F31B10" w:rsidRPr="00D62D04" w:rsidRDefault="00F31B10" w:rsidP="00F31B10">
      <w:pPr>
        <w:spacing w:after="0"/>
        <w:ind w:firstLine="720"/>
        <w:jc w:val="both"/>
        <w:rPr>
          <w:sz w:val="24"/>
          <w:szCs w:val="24"/>
          <w:highlight w:val="cyan"/>
          <w:lang w:val="en-GB"/>
        </w:rPr>
      </w:pPr>
    </w:p>
    <w:tbl>
      <w:tblPr>
        <w:tblStyle w:val="TableGrid"/>
        <w:tblW w:w="0" w:type="auto"/>
        <w:tblLook w:val="04A0" w:firstRow="1" w:lastRow="0" w:firstColumn="1" w:lastColumn="0" w:noHBand="0" w:noVBand="1"/>
      </w:tblPr>
      <w:tblGrid>
        <w:gridCol w:w="2193"/>
        <w:gridCol w:w="1266"/>
        <w:gridCol w:w="1385"/>
        <w:gridCol w:w="1385"/>
        <w:gridCol w:w="1385"/>
        <w:gridCol w:w="1266"/>
      </w:tblGrid>
      <w:tr w:rsidR="00F31B10" w:rsidRPr="00D62D04" w14:paraId="5EB60625" w14:textId="77777777" w:rsidTr="0056662A">
        <w:tc>
          <w:tcPr>
            <w:tcW w:w="2193" w:type="dxa"/>
          </w:tcPr>
          <w:p w14:paraId="471AC821" w14:textId="77777777" w:rsidR="00F31B10" w:rsidRPr="00D62D04" w:rsidRDefault="00E656E0" w:rsidP="0056662A">
            <w:pPr>
              <w:spacing w:after="0"/>
              <w:jc w:val="both"/>
              <w:rPr>
                <w:sz w:val="20"/>
                <w:szCs w:val="20"/>
                <w:lang w:val="en-GB"/>
              </w:rPr>
            </w:pPr>
            <w:r w:rsidRPr="00D62D04">
              <w:rPr>
                <w:sz w:val="20"/>
                <w:szCs w:val="20"/>
                <w:lang w:val="en-GB"/>
              </w:rPr>
              <w:t xml:space="preserve">National minority </w:t>
            </w:r>
          </w:p>
        </w:tc>
        <w:tc>
          <w:tcPr>
            <w:tcW w:w="1266" w:type="dxa"/>
            <w:vAlign w:val="bottom"/>
          </w:tcPr>
          <w:p w14:paraId="697C7673" w14:textId="77777777" w:rsidR="00F31B10" w:rsidRPr="00D62D04" w:rsidRDefault="00E656E0" w:rsidP="0056662A">
            <w:pPr>
              <w:spacing w:after="0"/>
              <w:jc w:val="center"/>
              <w:rPr>
                <w:rFonts w:eastAsia="Times New Roman"/>
                <w:color w:val="000000"/>
                <w:sz w:val="20"/>
                <w:szCs w:val="20"/>
                <w:lang w:val="en-GB"/>
              </w:rPr>
            </w:pPr>
            <w:r w:rsidRPr="00D62D04">
              <w:rPr>
                <w:rFonts w:eastAsia="Times New Roman"/>
                <w:color w:val="000000"/>
                <w:sz w:val="20"/>
                <w:szCs w:val="20"/>
                <w:lang w:val="en-GB"/>
              </w:rPr>
              <w:t>2017</w:t>
            </w:r>
          </w:p>
        </w:tc>
        <w:tc>
          <w:tcPr>
            <w:tcW w:w="1385" w:type="dxa"/>
            <w:vAlign w:val="bottom"/>
          </w:tcPr>
          <w:p w14:paraId="66D8F929" w14:textId="77777777" w:rsidR="00F31B10" w:rsidRPr="00D62D04" w:rsidRDefault="00E656E0" w:rsidP="0056662A">
            <w:pPr>
              <w:spacing w:after="0"/>
              <w:jc w:val="center"/>
              <w:rPr>
                <w:rFonts w:eastAsia="Times New Roman"/>
                <w:color w:val="000000"/>
                <w:sz w:val="20"/>
                <w:szCs w:val="20"/>
                <w:lang w:val="en-GB"/>
              </w:rPr>
            </w:pPr>
            <w:r w:rsidRPr="00D62D04">
              <w:rPr>
                <w:rFonts w:eastAsia="Times New Roman"/>
                <w:color w:val="000000"/>
                <w:sz w:val="20"/>
                <w:szCs w:val="20"/>
                <w:lang w:val="en-GB"/>
              </w:rPr>
              <w:t>2018</w:t>
            </w:r>
          </w:p>
        </w:tc>
        <w:tc>
          <w:tcPr>
            <w:tcW w:w="1385" w:type="dxa"/>
            <w:vAlign w:val="bottom"/>
          </w:tcPr>
          <w:p w14:paraId="2CDB7C80" w14:textId="77777777" w:rsidR="00F31B10" w:rsidRPr="00D62D04" w:rsidRDefault="00E656E0" w:rsidP="0056662A">
            <w:pPr>
              <w:spacing w:after="0"/>
              <w:jc w:val="center"/>
              <w:rPr>
                <w:rFonts w:eastAsia="Times New Roman"/>
                <w:color w:val="000000"/>
                <w:sz w:val="20"/>
                <w:szCs w:val="20"/>
                <w:lang w:val="en-GB"/>
              </w:rPr>
            </w:pPr>
            <w:r w:rsidRPr="00D62D04">
              <w:rPr>
                <w:rFonts w:eastAsia="Times New Roman"/>
                <w:color w:val="000000"/>
                <w:sz w:val="20"/>
                <w:szCs w:val="20"/>
                <w:lang w:val="en-GB"/>
              </w:rPr>
              <w:t>2019</w:t>
            </w:r>
          </w:p>
        </w:tc>
        <w:tc>
          <w:tcPr>
            <w:tcW w:w="1385" w:type="dxa"/>
            <w:vAlign w:val="bottom"/>
          </w:tcPr>
          <w:p w14:paraId="7B4415D6" w14:textId="77777777" w:rsidR="00F31B10" w:rsidRPr="00D62D04" w:rsidRDefault="00E656E0" w:rsidP="0056662A">
            <w:pPr>
              <w:spacing w:after="0"/>
              <w:jc w:val="center"/>
              <w:rPr>
                <w:rFonts w:eastAsia="Times New Roman"/>
                <w:color w:val="000000"/>
                <w:sz w:val="20"/>
                <w:szCs w:val="20"/>
                <w:lang w:val="en-GB"/>
              </w:rPr>
            </w:pPr>
            <w:r w:rsidRPr="00D62D04">
              <w:rPr>
                <w:rFonts w:eastAsia="Times New Roman"/>
                <w:color w:val="000000"/>
                <w:sz w:val="20"/>
                <w:szCs w:val="20"/>
                <w:lang w:val="en-GB"/>
              </w:rPr>
              <w:t>2020</w:t>
            </w:r>
          </w:p>
        </w:tc>
        <w:tc>
          <w:tcPr>
            <w:tcW w:w="1266" w:type="dxa"/>
            <w:vAlign w:val="bottom"/>
          </w:tcPr>
          <w:p w14:paraId="7E069CB0" w14:textId="77777777" w:rsidR="00F31B10" w:rsidRPr="00D62D04" w:rsidRDefault="00E656E0" w:rsidP="0056662A">
            <w:pPr>
              <w:spacing w:after="0"/>
              <w:jc w:val="center"/>
              <w:rPr>
                <w:rFonts w:eastAsia="Times New Roman"/>
                <w:color w:val="000000"/>
                <w:sz w:val="20"/>
                <w:szCs w:val="20"/>
                <w:lang w:val="en-GB"/>
              </w:rPr>
            </w:pPr>
            <w:r w:rsidRPr="00D62D04">
              <w:rPr>
                <w:rFonts w:eastAsia="Times New Roman"/>
                <w:color w:val="000000"/>
                <w:sz w:val="20"/>
                <w:szCs w:val="20"/>
                <w:lang w:val="en-GB"/>
              </w:rPr>
              <w:t>2021</w:t>
            </w:r>
          </w:p>
        </w:tc>
      </w:tr>
      <w:tr w:rsidR="00F31B10" w:rsidRPr="00D62D04" w14:paraId="2A863AD1" w14:textId="77777777" w:rsidTr="0056662A">
        <w:tc>
          <w:tcPr>
            <w:tcW w:w="2193" w:type="dxa"/>
          </w:tcPr>
          <w:p w14:paraId="08169D2D" w14:textId="77777777" w:rsidR="00F31B10" w:rsidRPr="00D62D04" w:rsidRDefault="00E656E0" w:rsidP="0056662A">
            <w:pPr>
              <w:spacing w:after="0"/>
              <w:rPr>
                <w:sz w:val="20"/>
                <w:szCs w:val="20"/>
                <w:lang w:val="en-GB"/>
              </w:rPr>
            </w:pPr>
            <w:r w:rsidRPr="00D62D04">
              <w:rPr>
                <w:sz w:val="20"/>
                <w:szCs w:val="20"/>
                <w:lang w:val="en-GB"/>
              </w:rPr>
              <w:t>Albanians</w:t>
            </w:r>
          </w:p>
        </w:tc>
        <w:tc>
          <w:tcPr>
            <w:tcW w:w="1266" w:type="dxa"/>
            <w:vAlign w:val="bottom"/>
          </w:tcPr>
          <w:p w14:paraId="669871C1" w14:textId="77777777" w:rsidR="00F31B10" w:rsidRPr="00D62D04" w:rsidRDefault="00F31B10" w:rsidP="00E656E0">
            <w:pPr>
              <w:spacing w:after="0"/>
              <w:jc w:val="center"/>
              <w:rPr>
                <w:rFonts w:eastAsia="Times New Roman"/>
                <w:color w:val="000000"/>
                <w:sz w:val="20"/>
                <w:szCs w:val="20"/>
                <w:lang w:val="en-GB"/>
              </w:rPr>
            </w:pPr>
            <w:r w:rsidRPr="00D62D04">
              <w:rPr>
                <w:rFonts w:eastAsia="Times New Roman"/>
                <w:color w:val="000000"/>
                <w:sz w:val="20"/>
                <w:szCs w:val="20"/>
                <w:lang w:val="en-GB"/>
              </w:rPr>
              <w:t>440</w:t>
            </w:r>
            <w:r w:rsidR="00E656E0" w:rsidRPr="00D62D04">
              <w:rPr>
                <w:rFonts w:eastAsia="Times New Roman"/>
                <w:color w:val="000000"/>
                <w:sz w:val="20"/>
                <w:szCs w:val="20"/>
                <w:lang w:val="en-GB"/>
              </w:rPr>
              <w:t>,</w:t>
            </w:r>
            <w:r w:rsidRPr="00D62D04">
              <w:rPr>
                <w:rFonts w:eastAsia="Times New Roman"/>
                <w:color w:val="000000"/>
                <w:sz w:val="20"/>
                <w:szCs w:val="20"/>
                <w:lang w:val="en-GB"/>
              </w:rPr>
              <w:t>000</w:t>
            </w:r>
            <w:r w:rsidR="00E656E0" w:rsidRPr="00D62D04">
              <w:rPr>
                <w:rFonts w:eastAsia="Times New Roman"/>
                <w:color w:val="000000"/>
                <w:sz w:val="20"/>
                <w:szCs w:val="20"/>
                <w:lang w:val="en-GB"/>
              </w:rPr>
              <w:t>.</w:t>
            </w:r>
            <w:r w:rsidRPr="00D62D04">
              <w:rPr>
                <w:rFonts w:eastAsia="Times New Roman"/>
                <w:color w:val="000000"/>
                <w:sz w:val="20"/>
                <w:szCs w:val="20"/>
                <w:lang w:val="en-GB"/>
              </w:rPr>
              <w:t>00</w:t>
            </w:r>
          </w:p>
        </w:tc>
        <w:tc>
          <w:tcPr>
            <w:tcW w:w="1385" w:type="dxa"/>
            <w:vAlign w:val="bottom"/>
          </w:tcPr>
          <w:p w14:paraId="0150F1FA" w14:textId="77777777" w:rsidR="00F31B10" w:rsidRPr="00D62D04" w:rsidRDefault="00F31B10" w:rsidP="00E656E0">
            <w:pPr>
              <w:spacing w:after="0"/>
              <w:jc w:val="center"/>
              <w:rPr>
                <w:rFonts w:eastAsia="Times New Roman"/>
                <w:sz w:val="20"/>
                <w:szCs w:val="20"/>
                <w:lang w:val="en-GB"/>
              </w:rPr>
            </w:pPr>
            <w:r w:rsidRPr="00D62D04">
              <w:rPr>
                <w:rFonts w:eastAsia="Times New Roman"/>
                <w:sz w:val="20"/>
                <w:szCs w:val="20"/>
                <w:lang w:val="en-GB"/>
              </w:rPr>
              <w:t>480</w:t>
            </w:r>
            <w:r w:rsidR="00E656E0" w:rsidRPr="00D62D04">
              <w:rPr>
                <w:rFonts w:eastAsia="Times New Roman"/>
                <w:sz w:val="20"/>
                <w:szCs w:val="20"/>
                <w:lang w:val="en-GB"/>
              </w:rPr>
              <w:t>,</w:t>
            </w:r>
            <w:r w:rsidRPr="00D62D04">
              <w:rPr>
                <w:rFonts w:eastAsia="Times New Roman"/>
                <w:sz w:val="20"/>
                <w:szCs w:val="20"/>
                <w:lang w:val="en-GB"/>
              </w:rPr>
              <w:t>000</w:t>
            </w:r>
            <w:r w:rsidR="00E656E0" w:rsidRPr="00D62D04">
              <w:rPr>
                <w:rFonts w:eastAsia="Times New Roman"/>
                <w:sz w:val="20"/>
                <w:szCs w:val="20"/>
                <w:lang w:val="en-GB"/>
              </w:rPr>
              <w:t>.</w:t>
            </w:r>
            <w:r w:rsidRPr="00D62D04">
              <w:rPr>
                <w:rFonts w:eastAsia="Times New Roman"/>
                <w:sz w:val="20"/>
                <w:szCs w:val="20"/>
                <w:lang w:val="en-GB"/>
              </w:rPr>
              <w:t>00</w:t>
            </w:r>
          </w:p>
        </w:tc>
        <w:tc>
          <w:tcPr>
            <w:tcW w:w="1385" w:type="dxa"/>
            <w:vAlign w:val="bottom"/>
          </w:tcPr>
          <w:p w14:paraId="195FB6C6" w14:textId="77777777" w:rsidR="00F31B10" w:rsidRPr="00D62D04" w:rsidRDefault="00F31B10" w:rsidP="00E656E0">
            <w:pPr>
              <w:spacing w:after="0"/>
              <w:jc w:val="center"/>
              <w:rPr>
                <w:rFonts w:eastAsia="Times New Roman"/>
                <w:sz w:val="20"/>
                <w:szCs w:val="20"/>
                <w:lang w:val="en-GB"/>
              </w:rPr>
            </w:pPr>
            <w:r w:rsidRPr="00D62D04">
              <w:rPr>
                <w:rFonts w:eastAsia="Times New Roman"/>
                <w:sz w:val="20"/>
                <w:szCs w:val="20"/>
                <w:lang w:val="en-GB"/>
              </w:rPr>
              <w:t>480</w:t>
            </w:r>
            <w:r w:rsidR="00E656E0" w:rsidRPr="00D62D04">
              <w:rPr>
                <w:rFonts w:eastAsia="Times New Roman"/>
                <w:sz w:val="20"/>
                <w:szCs w:val="20"/>
                <w:lang w:val="en-GB"/>
              </w:rPr>
              <w:t>,</w:t>
            </w:r>
            <w:r w:rsidRPr="00D62D04">
              <w:rPr>
                <w:rFonts w:eastAsia="Times New Roman"/>
                <w:sz w:val="20"/>
                <w:szCs w:val="20"/>
                <w:lang w:val="en-GB"/>
              </w:rPr>
              <w:t>000</w:t>
            </w:r>
            <w:r w:rsidR="00E656E0" w:rsidRPr="00D62D04">
              <w:rPr>
                <w:rFonts w:eastAsia="Times New Roman"/>
                <w:sz w:val="20"/>
                <w:szCs w:val="20"/>
                <w:lang w:val="en-GB"/>
              </w:rPr>
              <w:t>.</w:t>
            </w:r>
            <w:r w:rsidRPr="00D62D04">
              <w:rPr>
                <w:rFonts w:eastAsia="Times New Roman"/>
                <w:sz w:val="20"/>
                <w:szCs w:val="20"/>
                <w:lang w:val="en-GB"/>
              </w:rPr>
              <w:t>00</w:t>
            </w:r>
          </w:p>
        </w:tc>
        <w:tc>
          <w:tcPr>
            <w:tcW w:w="1385" w:type="dxa"/>
            <w:vAlign w:val="bottom"/>
          </w:tcPr>
          <w:p w14:paraId="07F39131" w14:textId="77777777" w:rsidR="00F31B10" w:rsidRPr="00D62D04" w:rsidRDefault="00F31B10" w:rsidP="00E656E0">
            <w:pPr>
              <w:spacing w:after="0"/>
              <w:jc w:val="center"/>
              <w:rPr>
                <w:rFonts w:eastAsia="Times New Roman"/>
                <w:sz w:val="20"/>
                <w:szCs w:val="20"/>
                <w:lang w:val="en-GB"/>
              </w:rPr>
            </w:pPr>
            <w:r w:rsidRPr="00D62D04">
              <w:rPr>
                <w:rFonts w:eastAsia="Times New Roman"/>
                <w:sz w:val="20"/>
                <w:szCs w:val="20"/>
                <w:lang w:val="en-GB"/>
              </w:rPr>
              <w:t>600</w:t>
            </w:r>
            <w:r w:rsidR="00E656E0" w:rsidRPr="00D62D04">
              <w:rPr>
                <w:rFonts w:eastAsia="Times New Roman"/>
                <w:sz w:val="20"/>
                <w:szCs w:val="20"/>
                <w:lang w:val="en-GB"/>
              </w:rPr>
              <w:t>,</w:t>
            </w:r>
            <w:r w:rsidRPr="00D62D04">
              <w:rPr>
                <w:rFonts w:eastAsia="Times New Roman"/>
                <w:sz w:val="20"/>
                <w:szCs w:val="20"/>
                <w:lang w:val="en-GB"/>
              </w:rPr>
              <w:t>000</w:t>
            </w:r>
            <w:r w:rsidR="00E656E0" w:rsidRPr="00D62D04">
              <w:rPr>
                <w:rFonts w:eastAsia="Times New Roman"/>
                <w:sz w:val="20"/>
                <w:szCs w:val="20"/>
                <w:lang w:val="en-GB"/>
              </w:rPr>
              <w:t>.</w:t>
            </w:r>
            <w:r w:rsidRPr="00D62D04">
              <w:rPr>
                <w:rFonts w:eastAsia="Times New Roman"/>
                <w:sz w:val="20"/>
                <w:szCs w:val="20"/>
                <w:lang w:val="en-GB"/>
              </w:rPr>
              <w:t>00</w:t>
            </w:r>
          </w:p>
        </w:tc>
        <w:tc>
          <w:tcPr>
            <w:tcW w:w="1266" w:type="dxa"/>
            <w:vAlign w:val="bottom"/>
          </w:tcPr>
          <w:p w14:paraId="2615B9D1" w14:textId="77777777" w:rsidR="00F31B10" w:rsidRPr="00D62D04" w:rsidRDefault="00F31B10" w:rsidP="00E656E0">
            <w:pPr>
              <w:spacing w:after="0"/>
              <w:jc w:val="center"/>
              <w:rPr>
                <w:rFonts w:eastAsia="Times New Roman"/>
                <w:sz w:val="20"/>
                <w:szCs w:val="20"/>
                <w:lang w:val="en-GB"/>
              </w:rPr>
            </w:pPr>
            <w:r w:rsidRPr="00D62D04">
              <w:rPr>
                <w:rFonts w:eastAsia="Times New Roman"/>
                <w:sz w:val="20"/>
                <w:szCs w:val="20"/>
                <w:lang w:val="en-GB"/>
              </w:rPr>
              <w:t>720</w:t>
            </w:r>
            <w:r w:rsidR="00E656E0" w:rsidRPr="00D62D04">
              <w:rPr>
                <w:rFonts w:eastAsia="Times New Roman"/>
                <w:sz w:val="20"/>
                <w:szCs w:val="20"/>
                <w:lang w:val="en-GB"/>
              </w:rPr>
              <w:t>,</w:t>
            </w:r>
            <w:r w:rsidRPr="00D62D04">
              <w:rPr>
                <w:rFonts w:eastAsia="Times New Roman"/>
                <w:sz w:val="20"/>
                <w:szCs w:val="20"/>
                <w:lang w:val="en-GB"/>
              </w:rPr>
              <w:t>000</w:t>
            </w:r>
            <w:r w:rsidR="00E656E0" w:rsidRPr="00D62D04">
              <w:rPr>
                <w:rFonts w:eastAsia="Times New Roman"/>
                <w:sz w:val="20"/>
                <w:szCs w:val="20"/>
                <w:lang w:val="en-GB"/>
              </w:rPr>
              <w:t>.</w:t>
            </w:r>
            <w:r w:rsidRPr="00D62D04">
              <w:rPr>
                <w:rFonts w:eastAsia="Times New Roman"/>
                <w:sz w:val="20"/>
                <w:szCs w:val="20"/>
                <w:lang w:val="en-GB"/>
              </w:rPr>
              <w:t>00</w:t>
            </w:r>
          </w:p>
        </w:tc>
      </w:tr>
      <w:tr w:rsidR="00F31B10" w:rsidRPr="00D62D04" w14:paraId="5C403AFC" w14:textId="77777777" w:rsidTr="0056662A">
        <w:tc>
          <w:tcPr>
            <w:tcW w:w="2193" w:type="dxa"/>
          </w:tcPr>
          <w:p w14:paraId="7A8B2260" w14:textId="77777777" w:rsidR="00F31B10" w:rsidRPr="00D62D04" w:rsidRDefault="00E656E0" w:rsidP="0056662A">
            <w:pPr>
              <w:spacing w:after="0"/>
              <w:rPr>
                <w:sz w:val="20"/>
                <w:szCs w:val="20"/>
                <w:lang w:val="en-GB"/>
              </w:rPr>
            </w:pPr>
            <w:proofErr w:type="spellStart"/>
            <w:r w:rsidRPr="00D62D04">
              <w:rPr>
                <w:sz w:val="20"/>
                <w:szCs w:val="20"/>
                <w:lang w:val="en-GB"/>
              </w:rPr>
              <w:t>Bosniaks</w:t>
            </w:r>
            <w:proofErr w:type="spellEnd"/>
          </w:p>
        </w:tc>
        <w:tc>
          <w:tcPr>
            <w:tcW w:w="1266" w:type="dxa"/>
            <w:vAlign w:val="bottom"/>
          </w:tcPr>
          <w:p w14:paraId="46B2B925" w14:textId="77777777" w:rsidR="00F31B10" w:rsidRPr="00D62D04" w:rsidRDefault="00F31B10" w:rsidP="00E656E0">
            <w:pPr>
              <w:spacing w:after="0"/>
              <w:jc w:val="center"/>
              <w:rPr>
                <w:rFonts w:eastAsia="Times New Roman"/>
                <w:color w:val="000000"/>
                <w:sz w:val="20"/>
                <w:szCs w:val="20"/>
                <w:lang w:val="en-GB"/>
              </w:rPr>
            </w:pPr>
            <w:r w:rsidRPr="00D62D04">
              <w:rPr>
                <w:rFonts w:eastAsia="Times New Roman"/>
                <w:color w:val="000000"/>
                <w:sz w:val="20"/>
                <w:szCs w:val="20"/>
                <w:lang w:val="en-GB"/>
              </w:rPr>
              <w:t>2</w:t>
            </w:r>
            <w:r w:rsidR="00E656E0" w:rsidRPr="00D62D04">
              <w:rPr>
                <w:rFonts w:eastAsia="Times New Roman"/>
                <w:color w:val="000000"/>
                <w:sz w:val="20"/>
                <w:szCs w:val="20"/>
                <w:lang w:val="en-GB"/>
              </w:rPr>
              <w:t>,</w:t>
            </w:r>
            <w:r w:rsidRPr="00D62D04">
              <w:rPr>
                <w:rFonts w:eastAsia="Times New Roman"/>
                <w:color w:val="000000"/>
                <w:sz w:val="20"/>
                <w:szCs w:val="20"/>
                <w:lang w:val="en-GB"/>
              </w:rPr>
              <w:t>040</w:t>
            </w:r>
            <w:r w:rsidR="00E656E0" w:rsidRPr="00D62D04">
              <w:rPr>
                <w:rFonts w:eastAsia="Times New Roman"/>
                <w:color w:val="000000"/>
                <w:sz w:val="20"/>
                <w:szCs w:val="20"/>
                <w:lang w:val="en-GB"/>
              </w:rPr>
              <w:t>,</w:t>
            </w:r>
            <w:r w:rsidRPr="00D62D04">
              <w:rPr>
                <w:rFonts w:eastAsia="Times New Roman"/>
                <w:color w:val="000000"/>
                <w:sz w:val="20"/>
                <w:szCs w:val="20"/>
                <w:lang w:val="en-GB"/>
              </w:rPr>
              <w:t>000</w:t>
            </w:r>
            <w:r w:rsidR="00E656E0" w:rsidRPr="00D62D04">
              <w:rPr>
                <w:rFonts w:eastAsia="Times New Roman"/>
                <w:color w:val="000000"/>
                <w:sz w:val="20"/>
                <w:szCs w:val="20"/>
                <w:lang w:val="en-GB"/>
              </w:rPr>
              <w:t>.</w:t>
            </w:r>
            <w:r w:rsidRPr="00D62D04">
              <w:rPr>
                <w:rFonts w:eastAsia="Times New Roman"/>
                <w:color w:val="000000"/>
                <w:sz w:val="20"/>
                <w:szCs w:val="20"/>
                <w:lang w:val="en-GB"/>
              </w:rPr>
              <w:t>00</w:t>
            </w:r>
          </w:p>
        </w:tc>
        <w:tc>
          <w:tcPr>
            <w:tcW w:w="1385" w:type="dxa"/>
            <w:vAlign w:val="bottom"/>
          </w:tcPr>
          <w:p w14:paraId="517590D7" w14:textId="77777777" w:rsidR="00F31B10" w:rsidRPr="00D62D04" w:rsidRDefault="00F31B10" w:rsidP="00E656E0">
            <w:pPr>
              <w:spacing w:after="0"/>
              <w:jc w:val="center"/>
              <w:rPr>
                <w:rFonts w:eastAsia="Times New Roman"/>
                <w:sz w:val="20"/>
                <w:szCs w:val="20"/>
                <w:lang w:val="en-GB"/>
              </w:rPr>
            </w:pPr>
            <w:r w:rsidRPr="00D62D04">
              <w:rPr>
                <w:rFonts w:eastAsia="Times New Roman"/>
                <w:sz w:val="20"/>
                <w:szCs w:val="20"/>
                <w:lang w:val="en-GB"/>
              </w:rPr>
              <w:t>2</w:t>
            </w:r>
            <w:r w:rsidR="00E656E0" w:rsidRPr="00D62D04">
              <w:rPr>
                <w:rFonts w:eastAsia="Times New Roman"/>
                <w:sz w:val="20"/>
                <w:szCs w:val="20"/>
                <w:lang w:val="en-GB"/>
              </w:rPr>
              <w:t>,</w:t>
            </w:r>
            <w:r w:rsidRPr="00D62D04">
              <w:rPr>
                <w:rFonts w:eastAsia="Times New Roman"/>
                <w:sz w:val="20"/>
                <w:szCs w:val="20"/>
                <w:lang w:val="en-GB"/>
              </w:rPr>
              <w:t>391</w:t>
            </w:r>
            <w:r w:rsidR="00E656E0" w:rsidRPr="00D62D04">
              <w:rPr>
                <w:rFonts w:eastAsia="Times New Roman"/>
                <w:sz w:val="20"/>
                <w:szCs w:val="20"/>
                <w:lang w:val="en-GB"/>
              </w:rPr>
              <w:t>,</w:t>
            </w:r>
            <w:r w:rsidRPr="00D62D04">
              <w:rPr>
                <w:rFonts w:eastAsia="Times New Roman"/>
                <w:sz w:val="20"/>
                <w:szCs w:val="20"/>
                <w:lang w:val="en-GB"/>
              </w:rPr>
              <w:t>000</w:t>
            </w:r>
            <w:r w:rsidR="00E656E0" w:rsidRPr="00D62D04">
              <w:rPr>
                <w:rFonts w:eastAsia="Times New Roman"/>
                <w:sz w:val="20"/>
                <w:szCs w:val="20"/>
                <w:lang w:val="en-GB"/>
              </w:rPr>
              <w:t>.</w:t>
            </w:r>
            <w:r w:rsidRPr="00D62D04">
              <w:rPr>
                <w:rFonts w:eastAsia="Times New Roman"/>
                <w:sz w:val="20"/>
                <w:szCs w:val="20"/>
                <w:lang w:val="en-GB"/>
              </w:rPr>
              <w:t>00</w:t>
            </w:r>
          </w:p>
        </w:tc>
        <w:tc>
          <w:tcPr>
            <w:tcW w:w="1385" w:type="dxa"/>
            <w:vAlign w:val="bottom"/>
          </w:tcPr>
          <w:p w14:paraId="26425E20" w14:textId="77777777" w:rsidR="00F31B10" w:rsidRPr="00D62D04" w:rsidRDefault="00F31B10" w:rsidP="00E656E0">
            <w:pPr>
              <w:spacing w:after="0"/>
              <w:jc w:val="center"/>
              <w:rPr>
                <w:rFonts w:eastAsia="Times New Roman"/>
                <w:sz w:val="20"/>
                <w:szCs w:val="20"/>
                <w:lang w:val="en-GB"/>
              </w:rPr>
            </w:pPr>
            <w:r w:rsidRPr="00D62D04">
              <w:rPr>
                <w:rFonts w:eastAsia="Times New Roman"/>
                <w:sz w:val="20"/>
                <w:szCs w:val="20"/>
                <w:lang w:val="en-GB"/>
              </w:rPr>
              <w:t>2</w:t>
            </w:r>
            <w:r w:rsidR="00E656E0" w:rsidRPr="00D62D04">
              <w:rPr>
                <w:rFonts w:eastAsia="Times New Roman"/>
                <w:sz w:val="20"/>
                <w:szCs w:val="20"/>
                <w:lang w:val="en-GB"/>
              </w:rPr>
              <w:t>,</w:t>
            </w:r>
            <w:r w:rsidRPr="00D62D04">
              <w:rPr>
                <w:rFonts w:eastAsia="Times New Roman"/>
                <w:sz w:val="20"/>
                <w:szCs w:val="20"/>
                <w:lang w:val="en-GB"/>
              </w:rPr>
              <w:t>312</w:t>
            </w:r>
            <w:r w:rsidR="00E656E0" w:rsidRPr="00D62D04">
              <w:rPr>
                <w:rFonts w:eastAsia="Times New Roman"/>
                <w:sz w:val="20"/>
                <w:szCs w:val="20"/>
                <w:lang w:val="en-GB"/>
              </w:rPr>
              <w:t>,</w:t>
            </w:r>
            <w:r w:rsidRPr="00D62D04">
              <w:rPr>
                <w:rFonts w:eastAsia="Times New Roman"/>
                <w:sz w:val="20"/>
                <w:szCs w:val="20"/>
                <w:lang w:val="en-GB"/>
              </w:rPr>
              <w:t>000</w:t>
            </w:r>
            <w:r w:rsidR="00E656E0" w:rsidRPr="00D62D04">
              <w:rPr>
                <w:rFonts w:eastAsia="Times New Roman"/>
                <w:sz w:val="20"/>
                <w:szCs w:val="20"/>
                <w:lang w:val="en-GB"/>
              </w:rPr>
              <w:t>.</w:t>
            </w:r>
            <w:r w:rsidRPr="00D62D04">
              <w:rPr>
                <w:rFonts w:eastAsia="Times New Roman"/>
                <w:sz w:val="20"/>
                <w:szCs w:val="20"/>
                <w:lang w:val="en-GB"/>
              </w:rPr>
              <w:t>00</w:t>
            </w:r>
          </w:p>
        </w:tc>
        <w:tc>
          <w:tcPr>
            <w:tcW w:w="1385" w:type="dxa"/>
            <w:vAlign w:val="bottom"/>
          </w:tcPr>
          <w:p w14:paraId="5B21B92E" w14:textId="77777777" w:rsidR="00F31B10" w:rsidRPr="00D62D04" w:rsidRDefault="00F31B10" w:rsidP="00E656E0">
            <w:pPr>
              <w:spacing w:after="0"/>
              <w:jc w:val="center"/>
              <w:rPr>
                <w:rFonts w:eastAsia="Times New Roman"/>
                <w:sz w:val="20"/>
                <w:szCs w:val="20"/>
                <w:lang w:val="en-GB"/>
              </w:rPr>
            </w:pPr>
            <w:r w:rsidRPr="00D62D04">
              <w:rPr>
                <w:rFonts w:eastAsia="Times New Roman"/>
                <w:sz w:val="20"/>
                <w:szCs w:val="20"/>
                <w:lang w:val="en-GB"/>
              </w:rPr>
              <w:t>2</w:t>
            </w:r>
            <w:r w:rsidR="00E656E0" w:rsidRPr="00D62D04">
              <w:rPr>
                <w:rFonts w:eastAsia="Times New Roman"/>
                <w:sz w:val="20"/>
                <w:szCs w:val="20"/>
                <w:lang w:val="en-GB"/>
              </w:rPr>
              <w:t>,</w:t>
            </w:r>
            <w:r w:rsidRPr="00D62D04">
              <w:rPr>
                <w:rFonts w:eastAsia="Times New Roman"/>
                <w:sz w:val="20"/>
                <w:szCs w:val="20"/>
                <w:lang w:val="en-GB"/>
              </w:rPr>
              <w:t>370</w:t>
            </w:r>
            <w:r w:rsidR="00E656E0" w:rsidRPr="00D62D04">
              <w:rPr>
                <w:rFonts w:eastAsia="Times New Roman"/>
                <w:sz w:val="20"/>
                <w:szCs w:val="20"/>
                <w:lang w:val="en-GB"/>
              </w:rPr>
              <w:t>,</w:t>
            </w:r>
            <w:r w:rsidRPr="00D62D04">
              <w:rPr>
                <w:rFonts w:eastAsia="Times New Roman"/>
                <w:sz w:val="20"/>
                <w:szCs w:val="20"/>
                <w:lang w:val="en-GB"/>
              </w:rPr>
              <w:t>000</w:t>
            </w:r>
            <w:r w:rsidR="00E656E0" w:rsidRPr="00D62D04">
              <w:rPr>
                <w:rFonts w:eastAsia="Times New Roman"/>
                <w:sz w:val="20"/>
                <w:szCs w:val="20"/>
                <w:lang w:val="en-GB"/>
              </w:rPr>
              <w:t>.</w:t>
            </w:r>
            <w:r w:rsidRPr="00D62D04">
              <w:rPr>
                <w:rFonts w:eastAsia="Times New Roman"/>
                <w:sz w:val="20"/>
                <w:szCs w:val="20"/>
                <w:lang w:val="en-GB"/>
              </w:rPr>
              <w:t>00</w:t>
            </w:r>
          </w:p>
        </w:tc>
        <w:tc>
          <w:tcPr>
            <w:tcW w:w="1266" w:type="dxa"/>
            <w:vAlign w:val="bottom"/>
          </w:tcPr>
          <w:p w14:paraId="37CA0575" w14:textId="77777777" w:rsidR="00F31B10" w:rsidRPr="00D62D04" w:rsidRDefault="00F31B10" w:rsidP="00E656E0">
            <w:pPr>
              <w:spacing w:after="0"/>
              <w:jc w:val="center"/>
              <w:rPr>
                <w:rFonts w:eastAsia="Times New Roman"/>
                <w:sz w:val="20"/>
                <w:szCs w:val="20"/>
                <w:lang w:val="en-GB"/>
              </w:rPr>
            </w:pPr>
            <w:r w:rsidRPr="00D62D04">
              <w:rPr>
                <w:rFonts w:eastAsia="Times New Roman"/>
                <w:sz w:val="20"/>
                <w:szCs w:val="20"/>
                <w:lang w:val="en-GB"/>
              </w:rPr>
              <w:t>2</w:t>
            </w:r>
            <w:r w:rsidR="00E656E0" w:rsidRPr="00D62D04">
              <w:rPr>
                <w:rFonts w:eastAsia="Times New Roman"/>
                <w:sz w:val="20"/>
                <w:szCs w:val="20"/>
                <w:lang w:val="en-GB"/>
              </w:rPr>
              <w:t>,</w:t>
            </w:r>
            <w:r w:rsidRPr="00D62D04">
              <w:rPr>
                <w:rFonts w:eastAsia="Times New Roman"/>
                <w:sz w:val="20"/>
                <w:szCs w:val="20"/>
                <w:lang w:val="en-GB"/>
              </w:rPr>
              <w:t>600</w:t>
            </w:r>
            <w:r w:rsidR="00E656E0" w:rsidRPr="00D62D04">
              <w:rPr>
                <w:rFonts w:eastAsia="Times New Roman"/>
                <w:sz w:val="20"/>
                <w:szCs w:val="20"/>
                <w:lang w:val="en-GB"/>
              </w:rPr>
              <w:t>,</w:t>
            </w:r>
            <w:r w:rsidRPr="00D62D04">
              <w:rPr>
                <w:rFonts w:eastAsia="Times New Roman"/>
                <w:sz w:val="20"/>
                <w:szCs w:val="20"/>
                <w:lang w:val="en-GB"/>
              </w:rPr>
              <w:t>000</w:t>
            </w:r>
            <w:r w:rsidR="00E656E0" w:rsidRPr="00D62D04">
              <w:rPr>
                <w:rFonts w:eastAsia="Times New Roman"/>
                <w:sz w:val="20"/>
                <w:szCs w:val="20"/>
                <w:lang w:val="en-GB"/>
              </w:rPr>
              <w:t>.</w:t>
            </w:r>
            <w:r w:rsidRPr="00D62D04">
              <w:rPr>
                <w:rFonts w:eastAsia="Times New Roman"/>
                <w:sz w:val="20"/>
                <w:szCs w:val="20"/>
                <w:lang w:val="en-GB"/>
              </w:rPr>
              <w:t>00</w:t>
            </w:r>
          </w:p>
        </w:tc>
      </w:tr>
      <w:tr w:rsidR="00F31B10" w:rsidRPr="00D62D04" w14:paraId="674B71C8" w14:textId="77777777" w:rsidTr="0056662A">
        <w:tc>
          <w:tcPr>
            <w:tcW w:w="2193" w:type="dxa"/>
          </w:tcPr>
          <w:p w14:paraId="2723BB74" w14:textId="77777777" w:rsidR="00F31B10" w:rsidRPr="00D62D04" w:rsidRDefault="004F0277" w:rsidP="0056662A">
            <w:pPr>
              <w:spacing w:after="0"/>
              <w:rPr>
                <w:sz w:val="20"/>
                <w:szCs w:val="20"/>
                <w:lang w:val="en-GB"/>
              </w:rPr>
            </w:pPr>
            <w:r w:rsidRPr="00D62D04">
              <w:rPr>
                <w:sz w:val="20"/>
                <w:szCs w:val="20"/>
                <w:lang w:val="en-GB"/>
              </w:rPr>
              <w:t xml:space="preserve">Bulgarians </w:t>
            </w:r>
          </w:p>
        </w:tc>
        <w:tc>
          <w:tcPr>
            <w:tcW w:w="1266" w:type="dxa"/>
            <w:vAlign w:val="bottom"/>
          </w:tcPr>
          <w:p w14:paraId="20DB05D1" w14:textId="77777777" w:rsidR="00F31B10" w:rsidRPr="00D62D04" w:rsidRDefault="00F31B10" w:rsidP="004F0277">
            <w:pPr>
              <w:spacing w:after="0"/>
              <w:jc w:val="center"/>
              <w:rPr>
                <w:rFonts w:eastAsia="Times New Roman"/>
                <w:color w:val="000000"/>
                <w:sz w:val="20"/>
                <w:szCs w:val="20"/>
                <w:lang w:val="en-GB"/>
              </w:rPr>
            </w:pPr>
            <w:r w:rsidRPr="00D62D04">
              <w:rPr>
                <w:rFonts w:eastAsia="Times New Roman"/>
                <w:color w:val="000000"/>
                <w:sz w:val="20"/>
                <w:szCs w:val="20"/>
                <w:lang w:val="en-GB"/>
              </w:rPr>
              <w:t>550</w:t>
            </w:r>
            <w:r w:rsidR="004F0277" w:rsidRPr="00D62D04">
              <w:rPr>
                <w:rFonts w:eastAsia="Times New Roman"/>
                <w:color w:val="000000"/>
                <w:sz w:val="20"/>
                <w:szCs w:val="20"/>
                <w:lang w:val="en-GB"/>
              </w:rPr>
              <w:t>,</w:t>
            </w:r>
            <w:r w:rsidRPr="00D62D04">
              <w:rPr>
                <w:rFonts w:eastAsia="Times New Roman"/>
                <w:color w:val="000000"/>
                <w:sz w:val="20"/>
                <w:szCs w:val="20"/>
                <w:lang w:val="en-GB"/>
              </w:rPr>
              <w:t>000</w:t>
            </w:r>
            <w:r w:rsidR="004F0277" w:rsidRPr="00D62D04">
              <w:rPr>
                <w:rFonts w:eastAsia="Times New Roman"/>
                <w:color w:val="000000"/>
                <w:sz w:val="20"/>
                <w:szCs w:val="20"/>
                <w:lang w:val="en-GB"/>
              </w:rPr>
              <w:t>.</w:t>
            </w:r>
            <w:r w:rsidRPr="00D62D04">
              <w:rPr>
                <w:rFonts w:eastAsia="Times New Roman"/>
                <w:color w:val="000000"/>
                <w:sz w:val="20"/>
                <w:szCs w:val="20"/>
                <w:lang w:val="en-GB"/>
              </w:rPr>
              <w:t>00</w:t>
            </w:r>
          </w:p>
        </w:tc>
        <w:tc>
          <w:tcPr>
            <w:tcW w:w="1385" w:type="dxa"/>
            <w:vAlign w:val="bottom"/>
          </w:tcPr>
          <w:p w14:paraId="0D7AF101" w14:textId="77777777" w:rsidR="00F31B10" w:rsidRPr="00D62D04" w:rsidRDefault="00F31B10" w:rsidP="004F0277">
            <w:pPr>
              <w:spacing w:after="0"/>
              <w:jc w:val="center"/>
              <w:rPr>
                <w:rFonts w:eastAsia="Times New Roman"/>
                <w:sz w:val="20"/>
                <w:szCs w:val="20"/>
                <w:lang w:val="en-GB"/>
              </w:rPr>
            </w:pPr>
            <w:r w:rsidRPr="00D62D04">
              <w:rPr>
                <w:rFonts w:eastAsia="Times New Roman"/>
                <w:sz w:val="20"/>
                <w:szCs w:val="20"/>
                <w:lang w:val="en-GB"/>
              </w:rPr>
              <w:t>610</w:t>
            </w:r>
            <w:r w:rsidR="004F0277" w:rsidRPr="00D62D04">
              <w:rPr>
                <w:rFonts w:eastAsia="Times New Roman"/>
                <w:sz w:val="20"/>
                <w:szCs w:val="20"/>
                <w:lang w:val="en-GB"/>
              </w:rPr>
              <w:t>,</w:t>
            </w:r>
            <w:r w:rsidRPr="00D62D04">
              <w:rPr>
                <w:rFonts w:eastAsia="Times New Roman"/>
                <w:sz w:val="20"/>
                <w:szCs w:val="20"/>
                <w:lang w:val="en-GB"/>
              </w:rPr>
              <w:t>000</w:t>
            </w:r>
            <w:r w:rsidR="004F0277" w:rsidRPr="00D62D04">
              <w:rPr>
                <w:rFonts w:eastAsia="Times New Roman"/>
                <w:sz w:val="20"/>
                <w:szCs w:val="20"/>
                <w:lang w:val="en-GB"/>
              </w:rPr>
              <w:t>.</w:t>
            </w:r>
            <w:r w:rsidRPr="00D62D04">
              <w:rPr>
                <w:rFonts w:eastAsia="Times New Roman"/>
                <w:sz w:val="20"/>
                <w:szCs w:val="20"/>
                <w:lang w:val="en-GB"/>
              </w:rPr>
              <w:t>00</w:t>
            </w:r>
          </w:p>
        </w:tc>
        <w:tc>
          <w:tcPr>
            <w:tcW w:w="1385" w:type="dxa"/>
            <w:vAlign w:val="bottom"/>
          </w:tcPr>
          <w:p w14:paraId="407C712E" w14:textId="77777777" w:rsidR="00F31B10" w:rsidRPr="00D62D04" w:rsidRDefault="00F31B10" w:rsidP="004F0277">
            <w:pPr>
              <w:spacing w:after="0"/>
              <w:jc w:val="center"/>
              <w:rPr>
                <w:rFonts w:eastAsia="Times New Roman"/>
                <w:sz w:val="20"/>
                <w:szCs w:val="20"/>
                <w:lang w:val="en-GB"/>
              </w:rPr>
            </w:pPr>
            <w:r w:rsidRPr="00D62D04">
              <w:rPr>
                <w:rFonts w:eastAsia="Times New Roman"/>
                <w:sz w:val="20"/>
                <w:szCs w:val="20"/>
                <w:lang w:val="en-GB"/>
              </w:rPr>
              <w:t>634</w:t>
            </w:r>
            <w:r w:rsidR="004F0277" w:rsidRPr="00D62D04">
              <w:rPr>
                <w:rFonts w:eastAsia="Times New Roman"/>
                <w:sz w:val="20"/>
                <w:szCs w:val="20"/>
                <w:lang w:val="en-GB"/>
              </w:rPr>
              <w:t>,</w:t>
            </w:r>
            <w:r w:rsidRPr="00D62D04">
              <w:rPr>
                <w:rFonts w:eastAsia="Times New Roman"/>
                <w:sz w:val="20"/>
                <w:szCs w:val="20"/>
                <w:lang w:val="en-GB"/>
              </w:rPr>
              <w:t>000</w:t>
            </w:r>
            <w:r w:rsidR="004F0277" w:rsidRPr="00D62D04">
              <w:rPr>
                <w:rFonts w:eastAsia="Times New Roman"/>
                <w:sz w:val="20"/>
                <w:szCs w:val="20"/>
                <w:lang w:val="en-GB"/>
              </w:rPr>
              <w:t>.</w:t>
            </w:r>
            <w:r w:rsidRPr="00D62D04">
              <w:rPr>
                <w:rFonts w:eastAsia="Times New Roman"/>
                <w:sz w:val="20"/>
                <w:szCs w:val="20"/>
                <w:lang w:val="en-GB"/>
              </w:rPr>
              <w:t>00</w:t>
            </w:r>
          </w:p>
        </w:tc>
        <w:tc>
          <w:tcPr>
            <w:tcW w:w="1385" w:type="dxa"/>
            <w:vAlign w:val="bottom"/>
          </w:tcPr>
          <w:p w14:paraId="010EC5EF" w14:textId="77777777" w:rsidR="00F31B10" w:rsidRPr="00D62D04" w:rsidRDefault="00F31B10" w:rsidP="004F0277">
            <w:pPr>
              <w:spacing w:after="0"/>
              <w:jc w:val="center"/>
              <w:rPr>
                <w:rFonts w:eastAsia="Times New Roman"/>
                <w:sz w:val="20"/>
                <w:szCs w:val="20"/>
                <w:lang w:val="en-GB"/>
              </w:rPr>
            </w:pPr>
            <w:r w:rsidRPr="00D62D04">
              <w:rPr>
                <w:rFonts w:eastAsia="Times New Roman"/>
                <w:sz w:val="20"/>
                <w:szCs w:val="20"/>
                <w:lang w:val="en-GB"/>
              </w:rPr>
              <w:t>620</w:t>
            </w:r>
            <w:r w:rsidR="004F0277" w:rsidRPr="00D62D04">
              <w:rPr>
                <w:rFonts w:eastAsia="Times New Roman"/>
                <w:sz w:val="20"/>
                <w:szCs w:val="20"/>
                <w:lang w:val="en-GB"/>
              </w:rPr>
              <w:t>,</w:t>
            </w:r>
            <w:r w:rsidRPr="00D62D04">
              <w:rPr>
                <w:rFonts w:eastAsia="Times New Roman"/>
                <w:sz w:val="20"/>
                <w:szCs w:val="20"/>
                <w:lang w:val="en-GB"/>
              </w:rPr>
              <w:t>000</w:t>
            </w:r>
            <w:r w:rsidR="004F0277" w:rsidRPr="00D62D04">
              <w:rPr>
                <w:rFonts w:eastAsia="Times New Roman"/>
                <w:sz w:val="20"/>
                <w:szCs w:val="20"/>
                <w:lang w:val="en-GB"/>
              </w:rPr>
              <w:t>.</w:t>
            </w:r>
            <w:r w:rsidRPr="00D62D04">
              <w:rPr>
                <w:rFonts w:eastAsia="Times New Roman"/>
                <w:sz w:val="20"/>
                <w:szCs w:val="20"/>
                <w:lang w:val="en-GB"/>
              </w:rPr>
              <w:t>00</w:t>
            </w:r>
          </w:p>
        </w:tc>
        <w:tc>
          <w:tcPr>
            <w:tcW w:w="1266" w:type="dxa"/>
            <w:vAlign w:val="bottom"/>
          </w:tcPr>
          <w:p w14:paraId="2ECC1B98" w14:textId="77777777" w:rsidR="00F31B10" w:rsidRPr="00D62D04" w:rsidRDefault="00F31B10" w:rsidP="004F0277">
            <w:pPr>
              <w:spacing w:after="0"/>
              <w:jc w:val="center"/>
              <w:rPr>
                <w:rFonts w:eastAsia="Times New Roman"/>
                <w:sz w:val="20"/>
                <w:szCs w:val="20"/>
                <w:lang w:val="en-GB"/>
              </w:rPr>
            </w:pPr>
            <w:r w:rsidRPr="00D62D04">
              <w:rPr>
                <w:rFonts w:eastAsia="Times New Roman"/>
                <w:sz w:val="20"/>
                <w:szCs w:val="20"/>
                <w:lang w:val="en-GB"/>
              </w:rPr>
              <w:t>600</w:t>
            </w:r>
            <w:r w:rsidR="004F0277" w:rsidRPr="00D62D04">
              <w:rPr>
                <w:rFonts w:eastAsia="Times New Roman"/>
                <w:sz w:val="20"/>
                <w:szCs w:val="20"/>
                <w:lang w:val="en-GB"/>
              </w:rPr>
              <w:t>,</w:t>
            </w:r>
            <w:r w:rsidRPr="00D62D04">
              <w:rPr>
                <w:rFonts w:eastAsia="Times New Roman"/>
                <w:sz w:val="20"/>
                <w:szCs w:val="20"/>
                <w:lang w:val="en-GB"/>
              </w:rPr>
              <w:t>000</w:t>
            </w:r>
            <w:r w:rsidR="004F0277" w:rsidRPr="00D62D04">
              <w:rPr>
                <w:rFonts w:eastAsia="Times New Roman"/>
                <w:sz w:val="20"/>
                <w:szCs w:val="20"/>
                <w:lang w:val="en-GB"/>
              </w:rPr>
              <w:t>.</w:t>
            </w:r>
            <w:r w:rsidRPr="00D62D04">
              <w:rPr>
                <w:rFonts w:eastAsia="Times New Roman"/>
                <w:sz w:val="20"/>
                <w:szCs w:val="20"/>
                <w:lang w:val="en-GB"/>
              </w:rPr>
              <w:t>00</w:t>
            </w:r>
          </w:p>
        </w:tc>
      </w:tr>
      <w:tr w:rsidR="00F31B10" w:rsidRPr="00D62D04" w14:paraId="3C0E323C" w14:textId="77777777" w:rsidTr="0056662A">
        <w:tc>
          <w:tcPr>
            <w:tcW w:w="2193" w:type="dxa"/>
          </w:tcPr>
          <w:p w14:paraId="5458E9A6" w14:textId="77777777" w:rsidR="00F31B10" w:rsidRPr="00D62D04" w:rsidRDefault="004F0277" w:rsidP="0056662A">
            <w:pPr>
              <w:spacing w:after="0"/>
              <w:rPr>
                <w:sz w:val="20"/>
                <w:szCs w:val="20"/>
                <w:lang w:val="en-GB"/>
              </w:rPr>
            </w:pPr>
            <w:proofErr w:type="spellStart"/>
            <w:r w:rsidRPr="00D62D04">
              <w:rPr>
                <w:sz w:val="20"/>
                <w:szCs w:val="20"/>
                <w:lang w:val="en-GB"/>
              </w:rPr>
              <w:t>Bunjevci</w:t>
            </w:r>
            <w:proofErr w:type="spellEnd"/>
            <w:r w:rsidRPr="00D62D04">
              <w:rPr>
                <w:sz w:val="20"/>
                <w:szCs w:val="20"/>
                <w:lang w:val="en-GB"/>
              </w:rPr>
              <w:t xml:space="preserve"> </w:t>
            </w:r>
          </w:p>
        </w:tc>
        <w:tc>
          <w:tcPr>
            <w:tcW w:w="1266" w:type="dxa"/>
            <w:vAlign w:val="bottom"/>
          </w:tcPr>
          <w:p w14:paraId="72085B52" w14:textId="77777777" w:rsidR="00F31B10" w:rsidRPr="00D62D04" w:rsidRDefault="00F31B10" w:rsidP="004F0277">
            <w:pPr>
              <w:spacing w:after="0"/>
              <w:ind w:right="-209"/>
              <w:jc w:val="center"/>
              <w:rPr>
                <w:rFonts w:eastAsia="Times New Roman"/>
                <w:color w:val="000000"/>
                <w:sz w:val="20"/>
                <w:szCs w:val="20"/>
                <w:lang w:val="en-GB"/>
              </w:rPr>
            </w:pPr>
            <w:r w:rsidRPr="00D62D04">
              <w:rPr>
                <w:rFonts w:eastAsia="Times New Roman"/>
                <w:color w:val="000000"/>
                <w:sz w:val="20"/>
                <w:szCs w:val="20"/>
                <w:lang w:val="en-GB"/>
              </w:rPr>
              <w:t>560</w:t>
            </w:r>
            <w:r w:rsidR="004F0277" w:rsidRPr="00D62D04">
              <w:rPr>
                <w:rFonts w:eastAsia="Times New Roman"/>
                <w:color w:val="000000"/>
                <w:sz w:val="20"/>
                <w:szCs w:val="20"/>
                <w:lang w:val="en-GB"/>
              </w:rPr>
              <w:t>,</w:t>
            </w:r>
            <w:r w:rsidRPr="00D62D04">
              <w:rPr>
                <w:rFonts w:eastAsia="Times New Roman"/>
                <w:color w:val="000000"/>
                <w:sz w:val="20"/>
                <w:szCs w:val="20"/>
                <w:lang w:val="en-GB"/>
              </w:rPr>
              <w:t>000</w:t>
            </w:r>
            <w:r w:rsidR="004F0277" w:rsidRPr="00D62D04">
              <w:rPr>
                <w:rFonts w:eastAsia="Times New Roman"/>
                <w:color w:val="000000"/>
                <w:sz w:val="20"/>
                <w:szCs w:val="20"/>
                <w:lang w:val="en-GB"/>
              </w:rPr>
              <w:t>.</w:t>
            </w:r>
            <w:r w:rsidRPr="00D62D04">
              <w:rPr>
                <w:rFonts w:eastAsia="Times New Roman"/>
                <w:color w:val="000000"/>
                <w:sz w:val="20"/>
                <w:szCs w:val="20"/>
                <w:lang w:val="en-GB"/>
              </w:rPr>
              <w:t>00</w:t>
            </w:r>
          </w:p>
        </w:tc>
        <w:tc>
          <w:tcPr>
            <w:tcW w:w="1385" w:type="dxa"/>
            <w:vAlign w:val="bottom"/>
          </w:tcPr>
          <w:p w14:paraId="45A446B5" w14:textId="77777777" w:rsidR="00F31B10" w:rsidRPr="00D62D04" w:rsidRDefault="00F31B10" w:rsidP="004F0277">
            <w:pPr>
              <w:spacing w:after="0"/>
              <w:jc w:val="center"/>
              <w:rPr>
                <w:rFonts w:eastAsia="Times New Roman"/>
                <w:sz w:val="20"/>
                <w:szCs w:val="20"/>
                <w:lang w:val="en-GB"/>
              </w:rPr>
            </w:pPr>
            <w:r w:rsidRPr="00D62D04">
              <w:rPr>
                <w:rFonts w:eastAsia="Times New Roman"/>
                <w:sz w:val="20"/>
                <w:szCs w:val="20"/>
                <w:lang w:val="en-GB"/>
              </w:rPr>
              <w:t>520</w:t>
            </w:r>
            <w:r w:rsidR="004F0277" w:rsidRPr="00D62D04">
              <w:rPr>
                <w:rFonts w:eastAsia="Times New Roman"/>
                <w:sz w:val="20"/>
                <w:szCs w:val="20"/>
                <w:lang w:val="en-GB"/>
              </w:rPr>
              <w:t>,</w:t>
            </w:r>
            <w:r w:rsidRPr="00D62D04">
              <w:rPr>
                <w:rFonts w:eastAsia="Times New Roman"/>
                <w:sz w:val="20"/>
                <w:szCs w:val="20"/>
                <w:lang w:val="en-GB"/>
              </w:rPr>
              <w:t>000</w:t>
            </w:r>
            <w:r w:rsidR="004F0277" w:rsidRPr="00D62D04">
              <w:rPr>
                <w:rFonts w:eastAsia="Times New Roman"/>
                <w:sz w:val="20"/>
                <w:szCs w:val="20"/>
                <w:lang w:val="en-GB"/>
              </w:rPr>
              <w:t>.</w:t>
            </w:r>
            <w:r w:rsidRPr="00D62D04">
              <w:rPr>
                <w:rFonts w:eastAsia="Times New Roman"/>
                <w:sz w:val="20"/>
                <w:szCs w:val="20"/>
                <w:lang w:val="en-GB"/>
              </w:rPr>
              <w:t>00</w:t>
            </w:r>
          </w:p>
        </w:tc>
        <w:tc>
          <w:tcPr>
            <w:tcW w:w="1385" w:type="dxa"/>
            <w:vAlign w:val="bottom"/>
          </w:tcPr>
          <w:p w14:paraId="4A397993" w14:textId="77777777" w:rsidR="00F31B10" w:rsidRPr="00D62D04" w:rsidRDefault="00F31B10" w:rsidP="004F0277">
            <w:pPr>
              <w:spacing w:after="0"/>
              <w:jc w:val="center"/>
              <w:rPr>
                <w:rFonts w:eastAsia="Times New Roman"/>
                <w:sz w:val="20"/>
                <w:szCs w:val="20"/>
                <w:lang w:val="en-GB"/>
              </w:rPr>
            </w:pPr>
            <w:r w:rsidRPr="00D62D04">
              <w:rPr>
                <w:rFonts w:eastAsia="Times New Roman"/>
                <w:sz w:val="20"/>
                <w:szCs w:val="20"/>
                <w:lang w:val="en-GB"/>
              </w:rPr>
              <w:t>650</w:t>
            </w:r>
            <w:r w:rsidR="004F0277" w:rsidRPr="00D62D04">
              <w:rPr>
                <w:rFonts w:eastAsia="Times New Roman"/>
                <w:sz w:val="20"/>
                <w:szCs w:val="20"/>
                <w:lang w:val="en-GB"/>
              </w:rPr>
              <w:t>,</w:t>
            </w:r>
            <w:r w:rsidRPr="00D62D04">
              <w:rPr>
                <w:rFonts w:eastAsia="Times New Roman"/>
                <w:sz w:val="20"/>
                <w:szCs w:val="20"/>
                <w:lang w:val="en-GB"/>
              </w:rPr>
              <w:t>000</w:t>
            </w:r>
            <w:r w:rsidR="004F0277" w:rsidRPr="00D62D04">
              <w:rPr>
                <w:rFonts w:eastAsia="Times New Roman"/>
                <w:sz w:val="20"/>
                <w:szCs w:val="20"/>
                <w:lang w:val="en-GB"/>
              </w:rPr>
              <w:t>.</w:t>
            </w:r>
            <w:r w:rsidRPr="00D62D04">
              <w:rPr>
                <w:rFonts w:eastAsia="Times New Roman"/>
                <w:sz w:val="20"/>
                <w:szCs w:val="20"/>
                <w:lang w:val="en-GB"/>
              </w:rPr>
              <w:t>00</w:t>
            </w:r>
          </w:p>
        </w:tc>
        <w:tc>
          <w:tcPr>
            <w:tcW w:w="1385" w:type="dxa"/>
            <w:vAlign w:val="bottom"/>
          </w:tcPr>
          <w:p w14:paraId="19F9E4DB" w14:textId="77777777" w:rsidR="00F31B10" w:rsidRPr="00D62D04" w:rsidRDefault="00F31B10" w:rsidP="004F0277">
            <w:pPr>
              <w:spacing w:after="0"/>
              <w:jc w:val="center"/>
              <w:rPr>
                <w:rFonts w:eastAsia="Times New Roman"/>
                <w:sz w:val="20"/>
                <w:szCs w:val="20"/>
                <w:lang w:val="en-GB"/>
              </w:rPr>
            </w:pPr>
            <w:r w:rsidRPr="00D62D04">
              <w:rPr>
                <w:rFonts w:eastAsia="Times New Roman"/>
                <w:sz w:val="20"/>
                <w:szCs w:val="20"/>
                <w:lang w:val="en-GB"/>
              </w:rPr>
              <w:t>510</w:t>
            </w:r>
            <w:r w:rsidR="004F0277" w:rsidRPr="00D62D04">
              <w:rPr>
                <w:rFonts w:eastAsia="Times New Roman"/>
                <w:sz w:val="20"/>
                <w:szCs w:val="20"/>
                <w:lang w:val="en-GB"/>
              </w:rPr>
              <w:t>,</w:t>
            </w:r>
            <w:r w:rsidRPr="00D62D04">
              <w:rPr>
                <w:rFonts w:eastAsia="Times New Roman"/>
                <w:sz w:val="20"/>
                <w:szCs w:val="20"/>
                <w:lang w:val="en-GB"/>
              </w:rPr>
              <w:t>000</w:t>
            </w:r>
            <w:r w:rsidR="004F0277" w:rsidRPr="00D62D04">
              <w:rPr>
                <w:rFonts w:eastAsia="Times New Roman"/>
                <w:sz w:val="20"/>
                <w:szCs w:val="20"/>
                <w:lang w:val="en-GB"/>
              </w:rPr>
              <w:t>.</w:t>
            </w:r>
            <w:r w:rsidRPr="00D62D04">
              <w:rPr>
                <w:rFonts w:eastAsia="Times New Roman"/>
                <w:sz w:val="20"/>
                <w:szCs w:val="20"/>
                <w:lang w:val="en-GB"/>
              </w:rPr>
              <w:t>00</w:t>
            </w:r>
          </w:p>
        </w:tc>
        <w:tc>
          <w:tcPr>
            <w:tcW w:w="1266" w:type="dxa"/>
            <w:vAlign w:val="bottom"/>
          </w:tcPr>
          <w:p w14:paraId="22CD60FB" w14:textId="77777777" w:rsidR="00F31B10" w:rsidRPr="00D62D04" w:rsidRDefault="00F31B10" w:rsidP="004F0277">
            <w:pPr>
              <w:spacing w:after="0"/>
              <w:jc w:val="center"/>
              <w:rPr>
                <w:rFonts w:eastAsia="Times New Roman"/>
                <w:sz w:val="20"/>
                <w:szCs w:val="20"/>
                <w:lang w:val="en-GB"/>
              </w:rPr>
            </w:pPr>
            <w:r w:rsidRPr="00D62D04">
              <w:rPr>
                <w:rFonts w:eastAsia="Times New Roman"/>
                <w:sz w:val="20"/>
                <w:szCs w:val="20"/>
                <w:lang w:val="en-GB"/>
              </w:rPr>
              <w:t>480</w:t>
            </w:r>
            <w:r w:rsidR="004F0277" w:rsidRPr="00D62D04">
              <w:rPr>
                <w:rFonts w:eastAsia="Times New Roman"/>
                <w:sz w:val="20"/>
                <w:szCs w:val="20"/>
                <w:lang w:val="en-GB"/>
              </w:rPr>
              <w:t>,</w:t>
            </w:r>
            <w:r w:rsidRPr="00D62D04">
              <w:rPr>
                <w:rFonts w:eastAsia="Times New Roman"/>
                <w:sz w:val="20"/>
                <w:szCs w:val="20"/>
                <w:lang w:val="en-GB"/>
              </w:rPr>
              <w:t>000</w:t>
            </w:r>
            <w:r w:rsidR="004F0277" w:rsidRPr="00D62D04">
              <w:rPr>
                <w:rFonts w:eastAsia="Times New Roman"/>
                <w:sz w:val="20"/>
                <w:szCs w:val="20"/>
                <w:lang w:val="en-GB"/>
              </w:rPr>
              <w:t>.</w:t>
            </w:r>
            <w:r w:rsidRPr="00D62D04">
              <w:rPr>
                <w:rFonts w:eastAsia="Times New Roman"/>
                <w:sz w:val="20"/>
                <w:szCs w:val="20"/>
                <w:lang w:val="en-GB"/>
              </w:rPr>
              <w:t>00</w:t>
            </w:r>
          </w:p>
        </w:tc>
      </w:tr>
      <w:tr w:rsidR="00F31B10" w:rsidRPr="00D62D04" w14:paraId="35E781A8" w14:textId="77777777" w:rsidTr="0056662A">
        <w:tc>
          <w:tcPr>
            <w:tcW w:w="2193" w:type="dxa"/>
          </w:tcPr>
          <w:p w14:paraId="07A9F25B" w14:textId="77777777" w:rsidR="00F31B10" w:rsidRPr="00D62D04" w:rsidRDefault="004F0277" w:rsidP="0056662A">
            <w:pPr>
              <w:spacing w:after="0"/>
              <w:rPr>
                <w:sz w:val="20"/>
                <w:szCs w:val="20"/>
                <w:lang w:val="en-GB"/>
              </w:rPr>
            </w:pPr>
            <w:proofErr w:type="spellStart"/>
            <w:r w:rsidRPr="00D62D04">
              <w:rPr>
                <w:sz w:val="20"/>
                <w:szCs w:val="20"/>
                <w:lang w:val="en-GB"/>
              </w:rPr>
              <w:t>Vlachs</w:t>
            </w:r>
            <w:proofErr w:type="spellEnd"/>
          </w:p>
        </w:tc>
        <w:tc>
          <w:tcPr>
            <w:tcW w:w="1266" w:type="dxa"/>
            <w:vAlign w:val="bottom"/>
          </w:tcPr>
          <w:p w14:paraId="1DC33646" w14:textId="77777777" w:rsidR="00F31B10" w:rsidRPr="00D62D04" w:rsidRDefault="00F31B10" w:rsidP="004F0277">
            <w:pPr>
              <w:spacing w:after="0"/>
              <w:jc w:val="center"/>
              <w:rPr>
                <w:rFonts w:eastAsia="Times New Roman"/>
                <w:color w:val="000000"/>
                <w:sz w:val="20"/>
                <w:szCs w:val="20"/>
                <w:lang w:val="en-GB"/>
              </w:rPr>
            </w:pPr>
            <w:r w:rsidRPr="00D62D04">
              <w:rPr>
                <w:rFonts w:eastAsia="Times New Roman"/>
                <w:color w:val="000000"/>
                <w:sz w:val="20"/>
                <w:szCs w:val="20"/>
                <w:lang w:val="en-GB"/>
              </w:rPr>
              <w:t>520</w:t>
            </w:r>
            <w:r w:rsidR="004F0277" w:rsidRPr="00D62D04">
              <w:rPr>
                <w:rFonts w:eastAsia="Times New Roman"/>
                <w:color w:val="000000"/>
                <w:sz w:val="20"/>
                <w:szCs w:val="20"/>
                <w:lang w:val="en-GB"/>
              </w:rPr>
              <w:t>,</w:t>
            </w:r>
            <w:r w:rsidRPr="00D62D04">
              <w:rPr>
                <w:rFonts w:eastAsia="Times New Roman"/>
                <w:color w:val="000000"/>
                <w:sz w:val="20"/>
                <w:szCs w:val="20"/>
                <w:lang w:val="en-GB"/>
              </w:rPr>
              <w:t>000</w:t>
            </w:r>
            <w:r w:rsidR="004F0277" w:rsidRPr="00D62D04">
              <w:rPr>
                <w:rFonts w:eastAsia="Times New Roman"/>
                <w:color w:val="000000"/>
                <w:sz w:val="20"/>
                <w:szCs w:val="20"/>
                <w:lang w:val="en-GB"/>
              </w:rPr>
              <w:t>.</w:t>
            </w:r>
            <w:r w:rsidRPr="00D62D04">
              <w:rPr>
                <w:rFonts w:eastAsia="Times New Roman"/>
                <w:color w:val="000000"/>
                <w:sz w:val="20"/>
                <w:szCs w:val="20"/>
                <w:lang w:val="en-GB"/>
              </w:rPr>
              <w:t>00</w:t>
            </w:r>
          </w:p>
        </w:tc>
        <w:tc>
          <w:tcPr>
            <w:tcW w:w="1385" w:type="dxa"/>
            <w:vAlign w:val="bottom"/>
          </w:tcPr>
          <w:p w14:paraId="6505CB28" w14:textId="77777777" w:rsidR="00F31B10" w:rsidRPr="00D62D04" w:rsidRDefault="00F31B10" w:rsidP="004F0277">
            <w:pPr>
              <w:spacing w:after="0"/>
              <w:jc w:val="center"/>
              <w:rPr>
                <w:rFonts w:eastAsia="Times New Roman"/>
                <w:sz w:val="20"/>
                <w:szCs w:val="20"/>
                <w:lang w:val="en-GB"/>
              </w:rPr>
            </w:pPr>
            <w:r w:rsidRPr="00D62D04">
              <w:rPr>
                <w:rFonts w:eastAsia="Times New Roman"/>
                <w:sz w:val="20"/>
                <w:szCs w:val="20"/>
                <w:lang w:val="en-GB"/>
              </w:rPr>
              <w:t>720</w:t>
            </w:r>
            <w:r w:rsidR="004F0277" w:rsidRPr="00D62D04">
              <w:rPr>
                <w:rFonts w:eastAsia="Times New Roman"/>
                <w:sz w:val="20"/>
                <w:szCs w:val="20"/>
                <w:lang w:val="en-GB"/>
              </w:rPr>
              <w:t>,</w:t>
            </w:r>
            <w:r w:rsidRPr="00D62D04">
              <w:rPr>
                <w:rFonts w:eastAsia="Times New Roman"/>
                <w:sz w:val="20"/>
                <w:szCs w:val="20"/>
                <w:lang w:val="en-GB"/>
              </w:rPr>
              <w:t>000</w:t>
            </w:r>
            <w:r w:rsidR="004F0277" w:rsidRPr="00D62D04">
              <w:rPr>
                <w:rFonts w:eastAsia="Times New Roman"/>
                <w:sz w:val="20"/>
                <w:szCs w:val="20"/>
                <w:lang w:val="en-GB"/>
              </w:rPr>
              <w:t>.</w:t>
            </w:r>
            <w:r w:rsidRPr="00D62D04">
              <w:rPr>
                <w:rFonts w:eastAsia="Times New Roman"/>
                <w:sz w:val="20"/>
                <w:szCs w:val="20"/>
                <w:lang w:val="en-GB"/>
              </w:rPr>
              <w:t>00</w:t>
            </w:r>
          </w:p>
        </w:tc>
        <w:tc>
          <w:tcPr>
            <w:tcW w:w="1385" w:type="dxa"/>
            <w:vAlign w:val="bottom"/>
          </w:tcPr>
          <w:p w14:paraId="2A4FB26C" w14:textId="77777777" w:rsidR="00F31B10" w:rsidRPr="00D62D04" w:rsidRDefault="00F31B10" w:rsidP="004F0277">
            <w:pPr>
              <w:spacing w:after="0"/>
              <w:jc w:val="center"/>
              <w:rPr>
                <w:rFonts w:eastAsia="Times New Roman"/>
                <w:sz w:val="20"/>
                <w:szCs w:val="20"/>
                <w:lang w:val="en-GB"/>
              </w:rPr>
            </w:pPr>
            <w:r w:rsidRPr="00D62D04">
              <w:rPr>
                <w:rFonts w:eastAsia="Times New Roman"/>
                <w:sz w:val="20"/>
                <w:szCs w:val="20"/>
                <w:lang w:val="en-GB"/>
              </w:rPr>
              <w:t>754</w:t>
            </w:r>
            <w:r w:rsidR="004F0277" w:rsidRPr="00D62D04">
              <w:rPr>
                <w:rFonts w:eastAsia="Times New Roman"/>
                <w:sz w:val="20"/>
                <w:szCs w:val="20"/>
                <w:lang w:val="en-GB"/>
              </w:rPr>
              <w:t>,</w:t>
            </w:r>
            <w:r w:rsidRPr="00D62D04">
              <w:rPr>
                <w:rFonts w:eastAsia="Times New Roman"/>
                <w:sz w:val="20"/>
                <w:szCs w:val="20"/>
                <w:lang w:val="en-GB"/>
              </w:rPr>
              <w:t>000</w:t>
            </w:r>
            <w:r w:rsidR="004F0277" w:rsidRPr="00D62D04">
              <w:rPr>
                <w:rFonts w:eastAsia="Times New Roman"/>
                <w:sz w:val="20"/>
                <w:szCs w:val="20"/>
                <w:lang w:val="en-GB"/>
              </w:rPr>
              <w:t>.</w:t>
            </w:r>
            <w:r w:rsidRPr="00D62D04">
              <w:rPr>
                <w:rFonts w:eastAsia="Times New Roman"/>
                <w:sz w:val="20"/>
                <w:szCs w:val="20"/>
                <w:lang w:val="en-GB"/>
              </w:rPr>
              <w:t>00</w:t>
            </w:r>
          </w:p>
        </w:tc>
        <w:tc>
          <w:tcPr>
            <w:tcW w:w="1385" w:type="dxa"/>
            <w:vAlign w:val="bottom"/>
          </w:tcPr>
          <w:p w14:paraId="4E7C9A7F" w14:textId="77777777" w:rsidR="00F31B10" w:rsidRPr="00D62D04" w:rsidRDefault="00F31B10" w:rsidP="004F0277">
            <w:pPr>
              <w:spacing w:after="0"/>
              <w:jc w:val="center"/>
              <w:rPr>
                <w:rFonts w:eastAsia="Times New Roman"/>
                <w:sz w:val="20"/>
                <w:szCs w:val="20"/>
                <w:lang w:val="en-GB"/>
              </w:rPr>
            </w:pPr>
            <w:r w:rsidRPr="00D62D04">
              <w:rPr>
                <w:rFonts w:eastAsia="Times New Roman"/>
                <w:sz w:val="20"/>
                <w:szCs w:val="20"/>
                <w:lang w:val="en-GB"/>
              </w:rPr>
              <w:t>810</w:t>
            </w:r>
            <w:r w:rsidR="004F0277" w:rsidRPr="00D62D04">
              <w:rPr>
                <w:rFonts w:eastAsia="Times New Roman"/>
                <w:sz w:val="20"/>
                <w:szCs w:val="20"/>
                <w:lang w:val="en-GB"/>
              </w:rPr>
              <w:t>,</w:t>
            </w:r>
            <w:r w:rsidRPr="00D62D04">
              <w:rPr>
                <w:rFonts w:eastAsia="Times New Roman"/>
                <w:sz w:val="20"/>
                <w:szCs w:val="20"/>
                <w:lang w:val="en-GB"/>
              </w:rPr>
              <w:t>000</w:t>
            </w:r>
            <w:r w:rsidR="004F0277" w:rsidRPr="00D62D04">
              <w:rPr>
                <w:rFonts w:eastAsia="Times New Roman"/>
                <w:sz w:val="20"/>
                <w:szCs w:val="20"/>
                <w:lang w:val="en-GB"/>
              </w:rPr>
              <w:t>.</w:t>
            </w:r>
            <w:r w:rsidRPr="00D62D04">
              <w:rPr>
                <w:rFonts w:eastAsia="Times New Roman"/>
                <w:sz w:val="20"/>
                <w:szCs w:val="20"/>
                <w:lang w:val="en-GB"/>
              </w:rPr>
              <w:t>00</w:t>
            </w:r>
          </w:p>
        </w:tc>
        <w:tc>
          <w:tcPr>
            <w:tcW w:w="1266" w:type="dxa"/>
            <w:vAlign w:val="bottom"/>
          </w:tcPr>
          <w:p w14:paraId="1D3FDBFF" w14:textId="77777777" w:rsidR="00F31B10" w:rsidRPr="00D62D04" w:rsidRDefault="00F31B10" w:rsidP="004F0277">
            <w:pPr>
              <w:spacing w:after="0"/>
              <w:jc w:val="center"/>
              <w:rPr>
                <w:rFonts w:eastAsia="Times New Roman"/>
                <w:sz w:val="20"/>
                <w:szCs w:val="20"/>
                <w:lang w:val="en-GB"/>
              </w:rPr>
            </w:pPr>
            <w:r w:rsidRPr="00D62D04">
              <w:rPr>
                <w:rFonts w:eastAsia="Times New Roman"/>
                <w:sz w:val="20"/>
                <w:szCs w:val="20"/>
                <w:lang w:val="en-GB"/>
              </w:rPr>
              <w:t>360</w:t>
            </w:r>
            <w:r w:rsidR="004F0277" w:rsidRPr="00D62D04">
              <w:rPr>
                <w:rFonts w:eastAsia="Times New Roman"/>
                <w:sz w:val="20"/>
                <w:szCs w:val="20"/>
                <w:lang w:val="en-GB"/>
              </w:rPr>
              <w:t>,</w:t>
            </w:r>
            <w:r w:rsidRPr="00D62D04">
              <w:rPr>
                <w:rFonts w:eastAsia="Times New Roman"/>
                <w:sz w:val="20"/>
                <w:szCs w:val="20"/>
                <w:lang w:val="en-GB"/>
              </w:rPr>
              <w:t>000</w:t>
            </w:r>
            <w:r w:rsidR="004F0277" w:rsidRPr="00D62D04">
              <w:rPr>
                <w:rFonts w:eastAsia="Times New Roman"/>
                <w:sz w:val="20"/>
                <w:szCs w:val="20"/>
                <w:lang w:val="en-GB"/>
              </w:rPr>
              <w:t>.</w:t>
            </w:r>
            <w:r w:rsidRPr="00D62D04">
              <w:rPr>
                <w:rFonts w:eastAsia="Times New Roman"/>
                <w:sz w:val="20"/>
                <w:szCs w:val="20"/>
                <w:lang w:val="en-GB"/>
              </w:rPr>
              <w:t>00</w:t>
            </w:r>
          </w:p>
        </w:tc>
      </w:tr>
      <w:tr w:rsidR="00F31B10" w:rsidRPr="00D62D04" w14:paraId="54C81104" w14:textId="77777777" w:rsidTr="0056662A">
        <w:tc>
          <w:tcPr>
            <w:tcW w:w="2193" w:type="dxa"/>
            <w:vAlign w:val="bottom"/>
          </w:tcPr>
          <w:p w14:paraId="0D65D078" w14:textId="77777777" w:rsidR="00F31B10" w:rsidRPr="00D62D04" w:rsidRDefault="004F0277" w:rsidP="0056662A">
            <w:pPr>
              <w:spacing w:after="0"/>
              <w:rPr>
                <w:rFonts w:eastAsia="Times New Roman"/>
                <w:bCs/>
                <w:sz w:val="20"/>
                <w:szCs w:val="20"/>
                <w:lang w:val="en-GB"/>
              </w:rPr>
            </w:pPr>
            <w:proofErr w:type="spellStart"/>
            <w:r w:rsidRPr="00D62D04">
              <w:rPr>
                <w:rFonts w:eastAsia="Times New Roman"/>
                <w:bCs/>
                <w:sz w:val="20"/>
                <w:szCs w:val="20"/>
                <w:lang w:val="en-GB"/>
              </w:rPr>
              <w:t>Gorani</w:t>
            </w:r>
            <w:proofErr w:type="spellEnd"/>
            <w:r w:rsidRPr="00D62D04">
              <w:rPr>
                <w:rFonts w:eastAsia="Times New Roman"/>
                <w:bCs/>
                <w:sz w:val="20"/>
                <w:szCs w:val="20"/>
                <w:lang w:val="en-GB"/>
              </w:rPr>
              <w:t xml:space="preserve"> people</w:t>
            </w:r>
          </w:p>
        </w:tc>
        <w:tc>
          <w:tcPr>
            <w:tcW w:w="1266" w:type="dxa"/>
            <w:vAlign w:val="bottom"/>
          </w:tcPr>
          <w:p w14:paraId="15FB352F" w14:textId="77777777" w:rsidR="00F31B10" w:rsidRPr="00D62D04" w:rsidRDefault="00F31B10" w:rsidP="0056662A">
            <w:pPr>
              <w:spacing w:after="0"/>
              <w:jc w:val="center"/>
              <w:rPr>
                <w:rFonts w:eastAsia="Times New Roman"/>
                <w:color w:val="000000"/>
                <w:sz w:val="20"/>
                <w:szCs w:val="20"/>
                <w:lang w:val="en-GB"/>
              </w:rPr>
            </w:pPr>
          </w:p>
        </w:tc>
        <w:tc>
          <w:tcPr>
            <w:tcW w:w="1385" w:type="dxa"/>
            <w:vAlign w:val="bottom"/>
          </w:tcPr>
          <w:p w14:paraId="6133F848" w14:textId="77777777" w:rsidR="00F31B10" w:rsidRPr="00D62D04" w:rsidRDefault="00F31B10" w:rsidP="0056662A">
            <w:pPr>
              <w:spacing w:after="0"/>
              <w:jc w:val="center"/>
              <w:rPr>
                <w:rFonts w:eastAsia="Times New Roman"/>
                <w:sz w:val="20"/>
                <w:szCs w:val="20"/>
                <w:lang w:val="en-GB"/>
              </w:rPr>
            </w:pPr>
          </w:p>
        </w:tc>
        <w:tc>
          <w:tcPr>
            <w:tcW w:w="1385" w:type="dxa"/>
            <w:vAlign w:val="bottom"/>
          </w:tcPr>
          <w:p w14:paraId="21C8C271" w14:textId="77777777" w:rsidR="00F31B10" w:rsidRPr="00D62D04" w:rsidRDefault="00F31B10" w:rsidP="0056662A">
            <w:pPr>
              <w:spacing w:after="0"/>
              <w:jc w:val="center"/>
              <w:rPr>
                <w:rFonts w:eastAsia="Times New Roman"/>
                <w:sz w:val="20"/>
                <w:szCs w:val="20"/>
                <w:lang w:val="en-GB"/>
              </w:rPr>
            </w:pPr>
          </w:p>
        </w:tc>
        <w:tc>
          <w:tcPr>
            <w:tcW w:w="1385" w:type="dxa"/>
            <w:vAlign w:val="bottom"/>
          </w:tcPr>
          <w:p w14:paraId="2DD82C30" w14:textId="77777777" w:rsidR="00F31B10" w:rsidRPr="00D62D04" w:rsidRDefault="00F31B10" w:rsidP="0056662A">
            <w:pPr>
              <w:spacing w:after="0"/>
              <w:jc w:val="center"/>
              <w:rPr>
                <w:rFonts w:eastAsia="Times New Roman"/>
                <w:sz w:val="20"/>
                <w:szCs w:val="20"/>
                <w:lang w:val="en-GB"/>
              </w:rPr>
            </w:pPr>
          </w:p>
        </w:tc>
        <w:tc>
          <w:tcPr>
            <w:tcW w:w="1266" w:type="dxa"/>
            <w:vAlign w:val="bottom"/>
          </w:tcPr>
          <w:p w14:paraId="5923FDAF" w14:textId="77777777" w:rsidR="00F31B10" w:rsidRPr="00D62D04" w:rsidRDefault="00F31B10" w:rsidP="004F0277">
            <w:pPr>
              <w:spacing w:after="0"/>
              <w:jc w:val="center"/>
              <w:rPr>
                <w:rFonts w:eastAsia="Times New Roman"/>
                <w:sz w:val="20"/>
                <w:szCs w:val="20"/>
                <w:lang w:val="en-GB"/>
              </w:rPr>
            </w:pPr>
            <w:r w:rsidRPr="00D62D04">
              <w:rPr>
                <w:rFonts w:eastAsia="Times New Roman"/>
                <w:sz w:val="20"/>
                <w:szCs w:val="20"/>
                <w:lang w:val="en-GB"/>
              </w:rPr>
              <w:t>270</w:t>
            </w:r>
            <w:r w:rsidR="004F0277" w:rsidRPr="00D62D04">
              <w:rPr>
                <w:rFonts w:eastAsia="Times New Roman"/>
                <w:sz w:val="20"/>
                <w:szCs w:val="20"/>
                <w:lang w:val="en-GB"/>
              </w:rPr>
              <w:t>,</w:t>
            </w:r>
            <w:r w:rsidRPr="00D62D04">
              <w:rPr>
                <w:rFonts w:eastAsia="Times New Roman"/>
                <w:sz w:val="20"/>
                <w:szCs w:val="20"/>
                <w:lang w:val="en-GB"/>
              </w:rPr>
              <w:t>000</w:t>
            </w:r>
            <w:r w:rsidR="004F0277" w:rsidRPr="00D62D04">
              <w:rPr>
                <w:rFonts w:eastAsia="Times New Roman"/>
                <w:sz w:val="20"/>
                <w:szCs w:val="20"/>
                <w:lang w:val="en-GB"/>
              </w:rPr>
              <w:t>.</w:t>
            </w:r>
            <w:r w:rsidRPr="00D62D04">
              <w:rPr>
                <w:rFonts w:eastAsia="Times New Roman"/>
                <w:sz w:val="20"/>
                <w:szCs w:val="20"/>
                <w:lang w:val="en-GB"/>
              </w:rPr>
              <w:t>00</w:t>
            </w:r>
          </w:p>
        </w:tc>
      </w:tr>
      <w:tr w:rsidR="00F31B10" w:rsidRPr="00D62D04" w14:paraId="561359F4" w14:textId="77777777" w:rsidTr="0056662A">
        <w:tc>
          <w:tcPr>
            <w:tcW w:w="2193" w:type="dxa"/>
          </w:tcPr>
          <w:p w14:paraId="1A41BC9E" w14:textId="77777777" w:rsidR="00F31B10" w:rsidRPr="00D62D04" w:rsidRDefault="004F0277" w:rsidP="0056662A">
            <w:pPr>
              <w:spacing w:after="0"/>
              <w:rPr>
                <w:sz w:val="20"/>
                <w:szCs w:val="20"/>
                <w:lang w:val="en-GB"/>
              </w:rPr>
            </w:pPr>
            <w:r w:rsidRPr="00D62D04">
              <w:rPr>
                <w:sz w:val="20"/>
                <w:szCs w:val="20"/>
                <w:lang w:val="en-GB"/>
              </w:rPr>
              <w:t>Greeks</w:t>
            </w:r>
          </w:p>
        </w:tc>
        <w:tc>
          <w:tcPr>
            <w:tcW w:w="1266" w:type="dxa"/>
            <w:vAlign w:val="bottom"/>
          </w:tcPr>
          <w:p w14:paraId="66EDBE08" w14:textId="77777777" w:rsidR="00F31B10" w:rsidRPr="00D62D04" w:rsidRDefault="00F31B10" w:rsidP="004F0277">
            <w:pPr>
              <w:spacing w:after="0"/>
              <w:jc w:val="center"/>
              <w:rPr>
                <w:rFonts w:eastAsia="Times New Roman"/>
                <w:color w:val="000000"/>
                <w:sz w:val="20"/>
                <w:szCs w:val="20"/>
                <w:lang w:val="en-GB"/>
              </w:rPr>
            </w:pPr>
            <w:r w:rsidRPr="00D62D04">
              <w:rPr>
                <w:rFonts w:eastAsia="Times New Roman"/>
                <w:color w:val="000000"/>
                <w:sz w:val="20"/>
                <w:szCs w:val="20"/>
                <w:lang w:val="en-GB"/>
              </w:rPr>
              <w:t>150</w:t>
            </w:r>
            <w:r w:rsidR="004F0277" w:rsidRPr="00D62D04">
              <w:rPr>
                <w:rFonts w:eastAsia="Times New Roman"/>
                <w:color w:val="000000"/>
                <w:sz w:val="20"/>
                <w:szCs w:val="20"/>
                <w:lang w:val="en-GB"/>
              </w:rPr>
              <w:t>,</w:t>
            </w:r>
            <w:r w:rsidRPr="00D62D04">
              <w:rPr>
                <w:rFonts w:eastAsia="Times New Roman"/>
                <w:color w:val="000000"/>
                <w:sz w:val="20"/>
                <w:szCs w:val="20"/>
                <w:lang w:val="en-GB"/>
              </w:rPr>
              <w:t>000</w:t>
            </w:r>
            <w:r w:rsidR="004F0277" w:rsidRPr="00D62D04">
              <w:rPr>
                <w:rFonts w:eastAsia="Times New Roman"/>
                <w:color w:val="000000"/>
                <w:sz w:val="20"/>
                <w:szCs w:val="20"/>
                <w:lang w:val="en-GB"/>
              </w:rPr>
              <w:t>.</w:t>
            </w:r>
            <w:r w:rsidRPr="00D62D04">
              <w:rPr>
                <w:rFonts w:eastAsia="Times New Roman"/>
                <w:color w:val="000000"/>
                <w:sz w:val="20"/>
                <w:szCs w:val="20"/>
                <w:lang w:val="en-GB"/>
              </w:rPr>
              <w:t>00</w:t>
            </w:r>
          </w:p>
        </w:tc>
        <w:tc>
          <w:tcPr>
            <w:tcW w:w="1385" w:type="dxa"/>
            <w:vAlign w:val="bottom"/>
          </w:tcPr>
          <w:p w14:paraId="49A0216E" w14:textId="77777777" w:rsidR="00F31B10" w:rsidRPr="00D62D04" w:rsidRDefault="00F31B10" w:rsidP="004F0277">
            <w:pPr>
              <w:spacing w:after="0"/>
              <w:jc w:val="center"/>
              <w:rPr>
                <w:rFonts w:eastAsia="Times New Roman"/>
                <w:sz w:val="20"/>
                <w:szCs w:val="20"/>
                <w:lang w:val="en-GB"/>
              </w:rPr>
            </w:pPr>
            <w:r w:rsidRPr="00D62D04">
              <w:rPr>
                <w:rFonts w:eastAsia="Times New Roman"/>
                <w:sz w:val="20"/>
                <w:szCs w:val="20"/>
                <w:lang w:val="en-GB"/>
              </w:rPr>
              <w:t>130</w:t>
            </w:r>
            <w:r w:rsidR="004F0277" w:rsidRPr="00D62D04">
              <w:rPr>
                <w:rFonts w:eastAsia="Times New Roman"/>
                <w:sz w:val="20"/>
                <w:szCs w:val="20"/>
                <w:lang w:val="en-GB"/>
              </w:rPr>
              <w:t>,</w:t>
            </w:r>
            <w:r w:rsidRPr="00D62D04">
              <w:rPr>
                <w:rFonts w:eastAsia="Times New Roman"/>
                <w:sz w:val="20"/>
                <w:szCs w:val="20"/>
                <w:lang w:val="en-GB"/>
              </w:rPr>
              <w:t>000</w:t>
            </w:r>
            <w:r w:rsidR="004F0277" w:rsidRPr="00D62D04">
              <w:rPr>
                <w:rFonts w:eastAsia="Times New Roman"/>
                <w:sz w:val="20"/>
                <w:szCs w:val="20"/>
                <w:lang w:val="en-GB"/>
              </w:rPr>
              <w:t>.</w:t>
            </w:r>
            <w:r w:rsidRPr="00D62D04">
              <w:rPr>
                <w:rFonts w:eastAsia="Times New Roman"/>
                <w:sz w:val="20"/>
                <w:szCs w:val="20"/>
                <w:lang w:val="en-GB"/>
              </w:rPr>
              <w:t>00</w:t>
            </w:r>
          </w:p>
        </w:tc>
        <w:tc>
          <w:tcPr>
            <w:tcW w:w="1385" w:type="dxa"/>
            <w:vAlign w:val="bottom"/>
          </w:tcPr>
          <w:p w14:paraId="1F2F61B7" w14:textId="77777777" w:rsidR="00F31B10" w:rsidRPr="00D62D04" w:rsidRDefault="00F31B10" w:rsidP="004F0277">
            <w:pPr>
              <w:spacing w:after="0"/>
              <w:jc w:val="center"/>
              <w:rPr>
                <w:rFonts w:eastAsia="Times New Roman"/>
                <w:sz w:val="20"/>
                <w:szCs w:val="20"/>
                <w:lang w:val="en-GB"/>
              </w:rPr>
            </w:pPr>
            <w:r w:rsidRPr="00D62D04">
              <w:rPr>
                <w:rFonts w:eastAsia="Times New Roman"/>
                <w:sz w:val="20"/>
                <w:szCs w:val="20"/>
                <w:lang w:val="en-GB"/>
              </w:rPr>
              <w:t>120</w:t>
            </w:r>
            <w:r w:rsidR="004F0277" w:rsidRPr="00D62D04">
              <w:rPr>
                <w:rFonts w:eastAsia="Times New Roman"/>
                <w:sz w:val="20"/>
                <w:szCs w:val="20"/>
                <w:lang w:val="en-GB"/>
              </w:rPr>
              <w:t>,</w:t>
            </w:r>
            <w:r w:rsidRPr="00D62D04">
              <w:rPr>
                <w:rFonts w:eastAsia="Times New Roman"/>
                <w:sz w:val="20"/>
                <w:szCs w:val="20"/>
                <w:lang w:val="en-GB"/>
              </w:rPr>
              <w:t>000</w:t>
            </w:r>
            <w:r w:rsidR="004F0277" w:rsidRPr="00D62D04">
              <w:rPr>
                <w:rFonts w:eastAsia="Times New Roman"/>
                <w:sz w:val="20"/>
                <w:szCs w:val="20"/>
                <w:lang w:val="en-GB"/>
              </w:rPr>
              <w:t>.</w:t>
            </w:r>
            <w:r w:rsidRPr="00D62D04">
              <w:rPr>
                <w:rFonts w:eastAsia="Times New Roman"/>
                <w:sz w:val="20"/>
                <w:szCs w:val="20"/>
                <w:lang w:val="en-GB"/>
              </w:rPr>
              <w:t>00</w:t>
            </w:r>
          </w:p>
        </w:tc>
        <w:tc>
          <w:tcPr>
            <w:tcW w:w="1385" w:type="dxa"/>
            <w:vAlign w:val="bottom"/>
          </w:tcPr>
          <w:p w14:paraId="77C45A68" w14:textId="77777777" w:rsidR="00F31B10" w:rsidRPr="00D62D04" w:rsidRDefault="00F31B10" w:rsidP="0056662A">
            <w:pPr>
              <w:spacing w:after="0"/>
              <w:jc w:val="center"/>
              <w:rPr>
                <w:rFonts w:eastAsia="Times New Roman"/>
                <w:sz w:val="20"/>
                <w:szCs w:val="20"/>
                <w:lang w:val="en-GB"/>
              </w:rPr>
            </w:pPr>
          </w:p>
        </w:tc>
        <w:tc>
          <w:tcPr>
            <w:tcW w:w="1266" w:type="dxa"/>
            <w:vAlign w:val="bottom"/>
          </w:tcPr>
          <w:p w14:paraId="42CD3913" w14:textId="77777777" w:rsidR="00F31B10" w:rsidRPr="00D62D04" w:rsidRDefault="00F31B10" w:rsidP="004F0277">
            <w:pPr>
              <w:spacing w:after="0"/>
              <w:jc w:val="center"/>
              <w:rPr>
                <w:rFonts w:eastAsia="Times New Roman"/>
                <w:sz w:val="20"/>
                <w:szCs w:val="20"/>
                <w:lang w:val="en-GB"/>
              </w:rPr>
            </w:pPr>
            <w:r w:rsidRPr="00D62D04">
              <w:rPr>
                <w:rFonts w:eastAsia="Times New Roman"/>
                <w:sz w:val="20"/>
                <w:szCs w:val="20"/>
                <w:lang w:val="en-GB"/>
              </w:rPr>
              <w:t>120</w:t>
            </w:r>
            <w:r w:rsidR="004F0277" w:rsidRPr="00D62D04">
              <w:rPr>
                <w:rFonts w:eastAsia="Times New Roman"/>
                <w:sz w:val="20"/>
                <w:szCs w:val="20"/>
                <w:lang w:val="en-GB"/>
              </w:rPr>
              <w:t>,</w:t>
            </w:r>
            <w:r w:rsidRPr="00D62D04">
              <w:rPr>
                <w:rFonts w:eastAsia="Times New Roman"/>
                <w:sz w:val="20"/>
                <w:szCs w:val="20"/>
                <w:lang w:val="en-GB"/>
              </w:rPr>
              <w:t>000</w:t>
            </w:r>
            <w:r w:rsidR="004F0277" w:rsidRPr="00D62D04">
              <w:rPr>
                <w:rFonts w:eastAsia="Times New Roman"/>
                <w:sz w:val="20"/>
                <w:szCs w:val="20"/>
                <w:lang w:val="en-GB"/>
              </w:rPr>
              <w:t>.</w:t>
            </w:r>
            <w:r w:rsidRPr="00D62D04">
              <w:rPr>
                <w:rFonts w:eastAsia="Times New Roman"/>
                <w:sz w:val="20"/>
                <w:szCs w:val="20"/>
                <w:lang w:val="en-GB"/>
              </w:rPr>
              <w:t>00</w:t>
            </w:r>
          </w:p>
        </w:tc>
      </w:tr>
      <w:tr w:rsidR="00F31B10" w:rsidRPr="00D62D04" w14:paraId="40470824" w14:textId="77777777" w:rsidTr="0056662A">
        <w:tc>
          <w:tcPr>
            <w:tcW w:w="2193" w:type="dxa"/>
          </w:tcPr>
          <w:p w14:paraId="3F6ECD7E" w14:textId="77777777" w:rsidR="00F31B10" w:rsidRPr="00D62D04" w:rsidRDefault="004F0277" w:rsidP="0056662A">
            <w:pPr>
              <w:spacing w:after="0"/>
              <w:rPr>
                <w:sz w:val="20"/>
                <w:szCs w:val="20"/>
                <w:lang w:val="en-GB"/>
              </w:rPr>
            </w:pPr>
            <w:r w:rsidRPr="00D62D04">
              <w:rPr>
                <w:sz w:val="20"/>
                <w:szCs w:val="20"/>
                <w:lang w:val="en-GB"/>
              </w:rPr>
              <w:t xml:space="preserve">Jews </w:t>
            </w:r>
          </w:p>
        </w:tc>
        <w:tc>
          <w:tcPr>
            <w:tcW w:w="1266" w:type="dxa"/>
            <w:vAlign w:val="bottom"/>
          </w:tcPr>
          <w:p w14:paraId="18CE2B2D" w14:textId="77777777" w:rsidR="00F31B10" w:rsidRPr="00D62D04" w:rsidRDefault="00F31B10" w:rsidP="004F0277">
            <w:pPr>
              <w:spacing w:after="0"/>
              <w:jc w:val="center"/>
              <w:rPr>
                <w:rFonts w:eastAsia="Times New Roman"/>
                <w:color w:val="000000"/>
                <w:sz w:val="20"/>
                <w:szCs w:val="20"/>
                <w:lang w:val="en-GB"/>
              </w:rPr>
            </w:pPr>
            <w:r w:rsidRPr="00D62D04">
              <w:rPr>
                <w:rFonts w:eastAsia="Times New Roman"/>
                <w:color w:val="000000"/>
                <w:sz w:val="20"/>
                <w:szCs w:val="20"/>
                <w:lang w:val="en-GB"/>
              </w:rPr>
              <w:t>480</w:t>
            </w:r>
            <w:r w:rsidR="004F0277" w:rsidRPr="00D62D04">
              <w:rPr>
                <w:rFonts w:eastAsia="Times New Roman"/>
                <w:color w:val="000000"/>
                <w:sz w:val="20"/>
                <w:szCs w:val="20"/>
                <w:lang w:val="en-GB"/>
              </w:rPr>
              <w:t>,</w:t>
            </w:r>
            <w:r w:rsidRPr="00D62D04">
              <w:rPr>
                <w:rFonts w:eastAsia="Times New Roman"/>
                <w:color w:val="000000"/>
                <w:sz w:val="20"/>
                <w:szCs w:val="20"/>
                <w:lang w:val="en-GB"/>
              </w:rPr>
              <w:t>000</w:t>
            </w:r>
            <w:r w:rsidR="004F0277" w:rsidRPr="00D62D04">
              <w:rPr>
                <w:rFonts w:eastAsia="Times New Roman"/>
                <w:color w:val="000000"/>
                <w:sz w:val="20"/>
                <w:szCs w:val="20"/>
                <w:lang w:val="en-GB"/>
              </w:rPr>
              <w:t>.</w:t>
            </w:r>
            <w:r w:rsidRPr="00D62D04">
              <w:rPr>
                <w:rFonts w:eastAsia="Times New Roman"/>
                <w:color w:val="000000"/>
                <w:sz w:val="20"/>
                <w:szCs w:val="20"/>
                <w:lang w:val="en-GB"/>
              </w:rPr>
              <w:t>00</w:t>
            </w:r>
          </w:p>
        </w:tc>
        <w:tc>
          <w:tcPr>
            <w:tcW w:w="1385" w:type="dxa"/>
            <w:vAlign w:val="bottom"/>
          </w:tcPr>
          <w:p w14:paraId="385B0D01" w14:textId="77777777" w:rsidR="00F31B10" w:rsidRPr="00D62D04" w:rsidRDefault="00F31B10" w:rsidP="004F0277">
            <w:pPr>
              <w:spacing w:after="0"/>
              <w:jc w:val="center"/>
              <w:rPr>
                <w:rFonts w:eastAsia="Times New Roman"/>
                <w:sz w:val="20"/>
                <w:szCs w:val="20"/>
                <w:lang w:val="en-GB"/>
              </w:rPr>
            </w:pPr>
            <w:r w:rsidRPr="00D62D04">
              <w:rPr>
                <w:rFonts w:eastAsia="Times New Roman"/>
                <w:sz w:val="20"/>
                <w:szCs w:val="20"/>
                <w:lang w:val="en-GB"/>
              </w:rPr>
              <w:t>240</w:t>
            </w:r>
            <w:r w:rsidR="004F0277" w:rsidRPr="00D62D04">
              <w:rPr>
                <w:rFonts w:eastAsia="Times New Roman"/>
                <w:sz w:val="20"/>
                <w:szCs w:val="20"/>
                <w:lang w:val="en-GB"/>
              </w:rPr>
              <w:t>,</w:t>
            </w:r>
            <w:r w:rsidRPr="00D62D04">
              <w:rPr>
                <w:rFonts w:eastAsia="Times New Roman"/>
                <w:sz w:val="20"/>
                <w:szCs w:val="20"/>
                <w:lang w:val="en-GB"/>
              </w:rPr>
              <w:t>000</w:t>
            </w:r>
            <w:r w:rsidR="004F0277" w:rsidRPr="00D62D04">
              <w:rPr>
                <w:rFonts w:eastAsia="Times New Roman"/>
                <w:sz w:val="20"/>
                <w:szCs w:val="20"/>
                <w:lang w:val="en-GB"/>
              </w:rPr>
              <w:t>.</w:t>
            </w:r>
            <w:r w:rsidRPr="00D62D04">
              <w:rPr>
                <w:rFonts w:eastAsia="Times New Roman"/>
                <w:sz w:val="20"/>
                <w:szCs w:val="20"/>
                <w:lang w:val="en-GB"/>
              </w:rPr>
              <w:t>00</w:t>
            </w:r>
          </w:p>
        </w:tc>
        <w:tc>
          <w:tcPr>
            <w:tcW w:w="1385" w:type="dxa"/>
            <w:vAlign w:val="bottom"/>
          </w:tcPr>
          <w:p w14:paraId="180EA6EC" w14:textId="77777777" w:rsidR="00F31B10" w:rsidRPr="00D62D04" w:rsidRDefault="00F31B10" w:rsidP="004F0277">
            <w:pPr>
              <w:spacing w:after="0"/>
              <w:jc w:val="center"/>
              <w:rPr>
                <w:rFonts w:eastAsia="Times New Roman"/>
                <w:sz w:val="20"/>
                <w:szCs w:val="20"/>
                <w:lang w:val="en-GB"/>
              </w:rPr>
            </w:pPr>
            <w:r w:rsidRPr="00D62D04">
              <w:rPr>
                <w:rFonts w:eastAsia="Times New Roman"/>
                <w:sz w:val="20"/>
                <w:szCs w:val="20"/>
                <w:lang w:val="en-GB"/>
              </w:rPr>
              <w:t>240</w:t>
            </w:r>
            <w:r w:rsidR="004F0277" w:rsidRPr="00D62D04">
              <w:rPr>
                <w:rFonts w:eastAsia="Times New Roman"/>
                <w:sz w:val="20"/>
                <w:szCs w:val="20"/>
                <w:lang w:val="en-GB"/>
              </w:rPr>
              <w:t>,</w:t>
            </w:r>
            <w:r w:rsidRPr="00D62D04">
              <w:rPr>
                <w:rFonts w:eastAsia="Times New Roman"/>
                <w:sz w:val="20"/>
                <w:szCs w:val="20"/>
                <w:lang w:val="en-GB"/>
              </w:rPr>
              <w:t>000</w:t>
            </w:r>
            <w:r w:rsidR="004F0277" w:rsidRPr="00D62D04">
              <w:rPr>
                <w:rFonts w:eastAsia="Times New Roman"/>
                <w:sz w:val="20"/>
                <w:szCs w:val="20"/>
                <w:lang w:val="en-GB"/>
              </w:rPr>
              <w:t>.</w:t>
            </w:r>
            <w:r w:rsidRPr="00D62D04">
              <w:rPr>
                <w:rFonts w:eastAsia="Times New Roman"/>
                <w:sz w:val="20"/>
                <w:szCs w:val="20"/>
                <w:lang w:val="en-GB"/>
              </w:rPr>
              <w:t>00</w:t>
            </w:r>
          </w:p>
        </w:tc>
        <w:tc>
          <w:tcPr>
            <w:tcW w:w="1385" w:type="dxa"/>
            <w:vAlign w:val="bottom"/>
          </w:tcPr>
          <w:p w14:paraId="0526711F" w14:textId="77777777" w:rsidR="00F31B10" w:rsidRPr="00D62D04" w:rsidRDefault="00F31B10" w:rsidP="004F0277">
            <w:pPr>
              <w:spacing w:after="0"/>
              <w:jc w:val="center"/>
              <w:rPr>
                <w:rFonts w:eastAsia="Times New Roman"/>
                <w:sz w:val="20"/>
                <w:szCs w:val="20"/>
                <w:lang w:val="en-GB"/>
              </w:rPr>
            </w:pPr>
            <w:r w:rsidRPr="00D62D04">
              <w:rPr>
                <w:rFonts w:eastAsia="Times New Roman"/>
                <w:sz w:val="20"/>
                <w:szCs w:val="20"/>
                <w:lang w:val="en-GB"/>
              </w:rPr>
              <w:t>120</w:t>
            </w:r>
            <w:r w:rsidR="004F0277" w:rsidRPr="00D62D04">
              <w:rPr>
                <w:rFonts w:eastAsia="Times New Roman"/>
                <w:sz w:val="20"/>
                <w:szCs w:val="20"/>
                <w:lang w:val="en-GB"/>
              </w:rPr>
              <w:t>,</w:t>
            </w:r>
            <w:r w:rsidRPr="00D62D04">
              <w:rPr>
                <w:rFonts w:eastAsia="Times New Roman"/>
                <w:sz w:val="20"/>
                <w:szCs w:val="20"/>
                <w:lang w:val="en-GB"/>
              </w:rPr>
              <w:t>000</w:t>
            </w:r>
            <w:r w:rsidR="004F0277" w:rsidRPr="00D62D04">
              <w:rPr>
                <w:rFonts w:eastAsia="Times New Roman"/>
                <w:sz w:val="20"/>
                <w:szCs w:val="20"/>
                <w:lang w:val="en-GB"/>
              </w:rPr>
              <w:t>.</w:t>
            </w:r>
            <w:r w:rsidRPr="00D62D04">
              <w:rPr>
                <w:rFonts w:eastAsia="Times New Roman"/>
                <w:sz w:val="20"/>
                <w:szCs w:val="20"/>
                <w:lang w:val="en-GB"/>
              </w:rPr>
              <w:t>00</w:t>
            </w:r>
          </w:p>
        </w:tc>
        <w:tc>
          <w:tcPr>
            <w:tcW w:w="1266" w:type="dxa"/>
            <w:vAlign w:val="bottom"/>
          </w:tcPr>
          <w:p w14:paraId="2ECE6D62" w14:textId="77777777" w:rsidR="00F31B10" w:rsidRPr="00D62D04" w:rsidRDefault="00F31B10" w:rsidP="004F0277">
            <w:pPr>
              <w:spacing w:after="0"/>
              <w:jc w:val="center"/>
              <w:rPr>
                <w:rFonts w:eastAsia="Times New Roman"/>
                <w:sz w:val="20"/>
                <w:szCs w:val="20"/>
                <w:lang w:val="en-GB"/>
              </w:rPr>
            </w:pPr>
            <w:r w:rsidRPr="00D62D04">
              <w:rPr>
                <w:rFonts w:eastAsia="Times New Roman"/>
                <w:sz w:val="20"/>
                <w:szCs w:val="20"/>
                <w:lang w:val="en-GB"/>
              </w:rPr>
              <w:t>240</w:t>
            </w:r>
            <w:r w:rsidR="004F0277" w:rsidRPr="00D62D04">
              <w:rPr>
                <w:rFonts w:eastAsia="Times New Roman"/>
                <w:sz w:val="20"/>
                <w:szCs w:val="20"/>
                <w:lang w:val="en-GB"/>
              </w:rPr>
              <w:t>,</w:t>
            </w:r>
            <w:r w:rsidRPr="00D62D04">
              <w:rPr>
                <w:rFonts w:eastAsia="Times New Roman"/>
                <w:sz w:val="20"/>
                <w:szCs w:val="20"/>
                <w:lang w:val="en-GB"/>
              </w:rPr>
              <w:t>000</w:t>
            </w:r>
            <w:r w:rsidR="004F0277" w:rsidRPr="00D62D04">
              <w:rPr>
                <w:rFonts w:eastAsia="Times New Roman"/>
                <w:sz w:val="20"/>
                <w:szCs w:val="20"/>
                <w:lang w:val="en-GB"/>
              </w:rPr>
              <w:t>.</w:t>
            </w:r>
            <w:r w:rsidRPr="00D62D04">
              <w:rPr>
                <w:rFonts w:eastAsia="Times New Roman"/>
                <w:sz w:val="20"/>
                <w:szCs w:val="20"/>
                <w:lang w:val="en-GB"/>
              </w:rPr>
              <w:t>00</w:t>
            </w:r>
          </w:p>
        </w:tc>
      </w:tr>
      <w:tr w:rsidR="00F31B10" w:rsidRPr="00D62D04" w14:paraId="57EB4639" w14:textId="77777777" w:rsidTr="0056662A">
        <w:tc>
          <w:tcPr>
            <w:tcW w:w="2193" w:type="dxa"/>
          </w:tcPr>
          <w:p w14:paraId="0010281F" w14:textId="77777777" w:rsidR="00F31B10" w:rsidRPr="00D62D04" w:rsidRDefault="004F0277" w:rsidP="0056662A">
            <w:pPr>
              <w:spacing w:after="0"/>
              <w:rPr>
                <w:sz w:val="20"/>
                <w:szCs w:val="20"/>
                <w:lang w:val="en-GB"/>
              </w:rPr>
            </w:pPr>
            <w:r w:rsidRPr="00D62D04">
              <w:rPr>
                <w:sz w:val="20"/>
                <w:szCs w:val="20"/>
                <w:lang w:val="en-GB"/>
              </w:rPr>
              <w:t xml:space="preserve">Hungarians </w:t>
            </w:r>
          </w:p>
        </w:tc>
        <w:tc>
          <w:tcPr>
            <w:tcW w:w="1266" w:type="dxa"/>
            <w:vAlign w:val="bottom"/>
          </w:tcPr>
          <w:p w14:paraId="06DFD4FA" w14:textId="77777777" w:rsidR="00F31B10" w:rsidRPr="00D62D04" w:rsidRDefault="00F31B10" w:rsidP="004F0277">
            <w:pPr>
              <w:spacing w:after="0"/>
              <w:jc w:val="center"/>
              <w:rPr>
                <w:rFonts w:eastAsia="Times New Roman"/>
                <w:color w:val="000000"/>
                <w:sz w:val="20"/>
                <w:szCs w:val="20"/>
                <w:lang w:val="en-GB"/>
              </w:rPr>
            </w:pPr>
            <w:r w:rsidRPr="00D62D04">
              <w:rPr>
                <w:rFonts w:eastAsia="Times New Roman"/>
                <w:color w:val="000000"/>
                <w:sz w:val="20"/>
                <w:szCs w:val="20"/>
                <w:lang w:val="en-GB"/>
              </w:rPr>
              <w:t>2</w:t>
            </w:r>
            <w:r w:rsidR="004F0277" w:rsidRPr="00D62D04">
              <w:rPr>
                <w:rFonts w:eastAsia="Times New Roman"/>
                <w:color w:val="000000"/>
                <w:sz w:val="20"/>
                <w:szCs w:val="20"/>
                <w:lang w:val="en-GB"/>
              </w:rPr>
              <w:t>,</w:t>
            </w:r>
            <w:r w:rsidRPr="00D62D04">
              <w:rPr>
                <w:rFonts w:eastAsia="Times New Roman"/>
                <w:color w:val="000000"/>
                <w:sz w:val="20"/>
                <w:szCs w:val="20"/>
                <w:lang w:val="en-GB"/>
              </w:rPr>
              <w:t>360</w:t>
            </w:r>
            <w:r w:rsidR="004F0277" w:rsidRPr="00D62D04">
              <w:rPr>
                <w:rFonts w:eastAsia="Times New Roman"/>
                <w:color w:val="000000"/>
                <w:sz w:val="20"/>
                <w:szCs w:val="20"/>
                <w:lang w:val="en-GB"/>
              </w:rPr>
              <w:t>,</w:t>
            </w:r>
            <w:r w:rsidRPr="00D62D04">
              <w:rPr>
                <w:rFonts w:eastAsia="Times New Roman"/>
                <w:color w:val="000000"/>
                <w:sz w:val="20"/>
                <w:szCs w:val="20"/>
                <w:lang w:val="en-GB"/>
              </w:rPr>
              <w:t>000</w:t>
            </w:r>
            <w:r w:rsidR="004F0277" w:rsidRPr="00D62D04">
              <w:rPr>
                <w:rFonts w:eastAsia="Times New Roman"/>
                <w:color w:val="000000"/>
                <w:sz w:val="20"/>
                <w:szCs w:val="20"/>
                <w:lang w:val="en-GB"/>
              </w:rPr>
              <w:t>.</w:t>
            </w:r>
            <w:r w:rsidRPr="00D62D04">
              <w:rPr>
                <w:rFonts w:eastAsia="Times New Roman"/>
                <w:color w:val="000000"/>
                <w:sz w:val="20"/>
                <w:szCs w:val="20"/>
                <w:lang w:val="en-GB"/>
              </w:rPr>
              <w:t>00</w:t>
            </w:r>
          </w:p>
        </w:tc>
        <w:tc>
          <w:tcPr>
            <w:tcW w:w="1385" w:type="dxa"/>
            <w:vAlign w:val="bottom"/>
          </w:tcPr>
          <w:p w14:paraId="53FA38A3" w14:textId="77777777" w:rsidR="00F31B10" w:rsidRPr="00D62D04" w:rsidRDefault="00F31B10" w:rsidP="004F0277">
            <w:pPr>
              <w:spacing w:after="0"/>
              <w:jc w:val="center"/>
              <w:rPr>
                <w:rFonts w:eastAsia="Times New Roman"/>
                <w:sz w:val="20"/>
                <w:szCs w:val="20"/>
                <w:lang w:val="en-GB"/>
              </w:rPr>
            </w:pPr>
            <w:r w:rsidRPr="00D62D04">
              <w:rPr>
                <w:rFonts w:eastAsia="Times New Roman"/>
                <w:sz w:val="20"/>
                <w:szCs w:val="20"/>
                <w:lang w:val="en-GB"/>
              </w:rPr>
              <w:t>2</w:t>
            </w:r>
            <w:r w:rsidR="004F0277" w:rsidRPr="00D62D04">
              <w:rPr>
                <w:rFonts w:eastAsia="Times New Roman"/>
                <w:sz w:val="20"/>
                <w:szCs w:val="20"/>
                <w:lang w:val="en-GB"/>
              </w:rPr>
              <w:t>,</w:t>
            </w:r>
            <w:r w:rsidRPr="00D62D04">
              <w:rPr>
                <w:rFonts w:eastAsia="Times New Roman"/>
                <w:sz w:val="20"/>
                <w:szCs w:val="20"/>
                <w:lang w:val="en-GB"/>
              </w:rPr>
              <w:t>938</w:t>
            </w:r>
            <w:r w:rsidR="004F0277" w:rsidRPr="00D62D04">
              <w:rPr>
                <w:rFonts w:eastAsia="Times New Roman"/>
                <w:sz w:val="20"/>
                <w:szCs w:val="20"/>
                <w:lang w:val="en-GB"/>
              </w:rPr>
              <w:t>,</w:t>
            </w:r>
            <w:r w:rsidRPr="00D62D04">
              <w:rPr>
                <w:rFonts w:eastAsia="Times New Roman"/>
                <w:sz w:val="20"/>
                <w:szCs w:val="20"/>
                <w:lang w:val="en-GB"/>
              </w:rPr>
              <w:t>000</w:t>
            </w:r>
            <w:r w:rsidR="004F0277" w:rsidRPr="00D62D04">
              <w:rPr>
                <w:rFonts w:eastAsia="Times New Roman"/>
                <w:sz w:val="20"/>
                <w:szCs w:val="20"/>
                <w:lang w:val="en-GB"/>
              </w:rPr>
              <w:t>.</w:t>
            </w:r>
            <w:r w:rsidRPr="00D62D04">
              <w:rPr>
                <w:rFonts w:eastAsia="Times New Roman"/>
                <w:sz w:val="20"/>
                <w:szCs w:val="20"/>
                <w:lang w:val="en-GB"/>
              </w:rPr>
              <w:t>00</w:t>
            </w:r>
          </w:p>
        </w:tc>
        <w:tc>
          <w:tcPr>
            <w:tcW w:w="1385" w:type="dxa"/>
            <w:vAlign w:val="bottom"/>
          </w:tcPr>
          <w:p w14:paraId="415BA717" w14:textId="77777777" w:rsidR="00F31B10" w:rsidRPr="00D62D04" w:rsidRDefault="00F31B10" w:rsidP="004F0277">
            <w:pPr>
              <w:spacing w:after="0"/>
              <w:jc w:val="center"/>
              <w:rPr>
                <w:rFonts w:eastAsia="Times New Roman"/>
                <w:sz w:val="20"/>
                <w:szCs w:val="20"/>
                <w:lang w:val="en-GB"/>
              </w:rPr>
            </w:pPr>
            <w:r w:rsidRPr="00D62D04">
              <w:rPr>
                <w:rFonts w:eastAsia="Times New Roman"/>
                <w:sz w:val="20"/>
                <w:szCs w:val="20"/>
                <w:lang w:val="en-GB"/>
              </w:rPr>
              <w:t>2</w:t>
            </w:r>
            <w:r w:rsidR="004F0277" w:rsidRPr="00D62D04">
              <w:rPr>
                <w:rFonts w:eastAsia="Times New Roman"/>
                <w:sz w:val="20"/>
                <w:szCs w:val="20"/>
                <w:lang w:val="en-GB"/>
              </w:rPr>
              <w:t>,</w:t>
            </w:r>
            <w:r w:rsidRPr="00D62D04">
              <w:rPr>
                <w:rFonts w:eastAsia="Times New Roman"/>
                <w:sz w:val="20"/>
                <w:szCs w:val="20"/>
                <w:lang w:val="en-GB"/>
              </w:rPr>
              <w:t>465</w:t>
            </w:r>
            <w:r w:rsidR="004F0277" w:rsidRPr="00D62D04">
              <w:rPr>
                <w:rFonts w:eastAsia="Times New Roman"/>
                <w:sz w:val="20"/>
                <w:szCs w:val="20"/>
                <w:lang w:val="en-GB"/>
              </w:rPr>
              <w:t>,</w:t>
            </w:r>
            <w:r w:rsidRPr="00D62D04">
              <w:rPr>
                <w:rFonts w:eastAsia="Times New Roman"/>
                <w:sz w:val="20"/>
                <w:szCs w:val="20"/>
                <w:lang w:val="en-GB"/>
              </w:rPr>
              <w:t>000</w:t>
            </w:r>
            <w:r w:rsidR="004F0277" w:rsidRPr="00D62D04">
              <w:rPr>
                <w:rFonts w:eastAsia="Times New Roman"/>
                <w:sz w:val="20"/>
                <w:szCs w:val="20"/>
                <w:lang w:val="en-GB"/>
              </w:rPr>
              <w:t>.</w:t>
            </w:r>
            <w:r w:rsidRPr="00D62D04">
              <w:rPr>
                <w:rFonts w:eastAsia="Times New Roman"/>
                <w:sz w:val="20"/>
                <w:szCs w:val="20"/>
                <w:lang w:val="en-GB"/>
              </w:rPr>
              <w:t>00</w:t>
            </w:r>
          </w:p>
        </w:tc>
        <w:tc>
          <w:tcPr>
            <w:tcW w:w="1385" w:type="dxa"/>
            <w:vAlign w:val="bottom"/>
          </w:tcPr>
          <w:p w14:paraId="7425F7DE" w14:textId="77777777" w:rsidR="00F31B10" w:rsidRPr="00D62D04" w:rsidRDefault="00F31B10" w:rsidP="004F0277">
            <w:pPr>
              <w:spacing w:after="0"/>
              <w:jc w:val="center"/>
              <w:rPr>
                <w:rFonts w:eastAsia="Times New Roman"/>
                <w:sz w:val="20"/>
                <w:szCs w:val="20"/>
                <w:lang w:val="en-GB"/>
              </w:rPr>
            </w:pPr>
            <w:r w:rsidRPr="00D62D04">
              <w:rPr>
                <w:rFonts w:eastAsia="Times New Roman"/>
                <w:sz w:val="20"/>
                <w:szCs w:val="20"/>
                <w:lang w:val="en-GB"/>
              </w:rPr>
              <w:t>1</w:t>
            </w:r>
            <w:r w:rsidR="004F0277" w:rsidRPr="00D62D04">
              <w:rPr>
                <w:rFonts w:eastAsia="Times New Roman"/>
                <w:sz w:val="20"/>
                <w:szCs w:val="20"/>
                <w:lang w:val="en-GB"/>
              </w:rPr>
              <w:t>,</w:t>
            </w:r>
            <w:r w:rsidRPr="00D62D04">
              <w:rPr>
                <w:rFonts w:eastAsia="Times New Roman"/>
                <w:sz w:val="20"/>
                <w:szCs w:val="20"/>
                <w:lang w:val="en-GB"/>
              </w:rPr>
              <w:t>820</w:t>
            </w:r>
            <w:r w:rsidR="004F0277" w:rsidRPr="00D62D04">
              <w:rPr>
                <w:rFonts w:eastAsia="Times New Roman"/>
                <w:sz w:val="20"/>
                <w:szCs w:val="20"/>
                <w:lang w:val="en-GB"/>
              </w:rPr>
              <w:t>,</w:t>
            </w:r>
            <w:r w:rsidRPr="00D62D04">
              <w:rPr>
                <w:rFonts w:eastAsia="Times New Roman"/>
                <w:sz w:val="20"/>
                <w:szCs w:val="20"/>
                <w:lang w:val="en-GB"/>
              </w:rPr>
              <w:t>000</w:t>
            </w:r>
            <w:r w:rsidR="004F0277" w:rsidRPr="00D62D04">
              <w:rPr>
                <w:rFonts w:eastAsia="Times New Roman"/>
                <w:sz w:val="20"/>
                <w:szCs w:val="20"/>
                <w:lang w:val="en-GB"/>
              </w:rPr>
              <w:t>.</w:t>
            </w:r>
            <w:r w:rsidRPr="00D62D04">
              <w:rPr>
                <w:rFonts w:eastAsia="Times New Roman"/>
                <w:sz w:val="20"/>
                <w:szCs w:val="20"/>
                <w:lang w:val="en-GB"/>
              </w:rPr>
              <w:t>00</w:t>
            </w:r>
          </w:p>
        </w:tc>
        <w:tc>
          <w:tcPr>
            <w:tcW w:w="1266" w:type="dxa"/>
            <w:vAlign w:val="bottom"/>
          </w:tcPr>
          <w:p w14:paraId="6FA2E9AB" w14:textId="77777777" w:rsidR="00F31B10" w:rsidRPr="00D62D04" w:rsidRDefault="00F31B10" w:rsidP="004F0277">
            <w:pPr>
              <w:spacing w:after="0"/>
              <w:jc w:val="center"/>
              <w:rPr>
                <w:rFonts w:eastAsia="Times New Roman"/>
                <w:sz w:val="20"/>
                <w:szCs w:val="20"/>
                <w:lang w:val="en-GB"/>
              </w:rPr>
            </w:pPr>
            <w:r w:rsidRPr="00D62D04">
              <w:rPr>
                <w:rFonts w:eastAsia="Times New Roman"/>
                <w:sz w:val="20"/>
                <w:szCs w:val="20"/>
                <w:lang w:val="en-GB"/>
              </w:rPr>
              <w:t>2</w:t>
            </w:r>
            <w:r w:rsidR="004F0277" w:rsidRPr="00D62D04">
              <w:rPr>
                <w:rFonts w:eastAsia="Times New Roman"/>
                <w:sz w:val="20"/>
                <w:szCs w:val="20"/>
                <w:lang w:val="en-GB"/>
              </w:rPr>
              <w:t>,</w:t>
            </w:r>
            <w:r w:rsidRPr="00D62D04">
              <w:rPr>
                <w:rFonts w:eastAsia="Times New Roman"/>
                <w:sz w:val="20"/>
                <w:szCs w:val="20"/>
                <w:lang w:val="en-GB"/>
              </w:rPr>
              <w:t>500</w:t>
            </w:r>
            <w:r w:rsidR="004F0277" w:rsidRPr="00D62D04">
              <w:rPr>
                <w:rFonts w:eastAsia="Times New Roman"/>
                <w:sz w:val="20"/>
                <w:szCs w:val="20"/>
                <w:lang w:val="en-GB"/>
              </w:rPr>
              <w:t>,</w:t>
            </w:r>
            <w:r w:rsidRPr="00D62D04">
              <w:rPr>
                <w:rFonts w:eastAsia="Times New Roman"/>
                <w:sz w:val="20"/>
                <w:szCs w:val="20"/>
                <w:lang w:val="en-GB"/>
              </w:rPr>
              <w:t>000</w:t>
            </w:r>
            <w:r w:rsidR="004F0277" w:rsidRPr="00D62D04">
              <w:rPr>
                <w:rFonts w:eastAsia="Times New Roman"/>
                <w:sz w:val="20"/>
                <w:szCs w:val="20"/>
                <w:lang w:val="en-GB"/>
              </w:rPr>
              <w:t>.</w:t>
            </w:r>
            <w:r w:rsidRPr="00D62D04">
              <w:rPr>
                <w:rFonts w:eastAsia="Times New Roman"/>
                <w:sz w:val="20"/>
                <w:szCs w:val="20"/>
                <w:lang w:val="en-GB"/>
              </w:rPr>
              <w:t>00</w:t>
            </w:r>
          </w:p>
        </w:tc>
      </w:tr>
      <w:tr w:rsidR="00F31B10" w:rsidRPr="00D62D04" w14:paraId="08C3B7D8" w14:textId="77777777" w:rsidTr="0056662A">
        <w:tc>
          <w:tcPr>
            <w:tcW w:w="2193" w:type="dxa"/>
          </w:tcPr>
          <w:p w14:paraId="77F1D158" w14:textId="77777777" w:rsidR="00F31B10" w:rsidRPr="00D62D04" w:rsidRDefault="004F0277" w:rsidP="0056662A">
            <w:pPr>
              <w:spacing w:after="0"/>
              <w:rPr>
                <w:sz w:val="20"/>
                <w:szCs w:val="20"/>
                <w:lang w:val="en-GB"/>
              </w:rPr>
            </w:pPr>
            <w:r w:rsidRPr="00D62D04">
              <w:rPr>
                <w:sz w:val="20"/>
                <w:szCs w:val="20"/>
                <w:lang w:val="en-GB"/>
              </w:rPr>
              <w:t xml:space="preserve">Macedonians </w:t>
            </w:r>
          </w:p>
        </w:tc>
        <w:tc>
          <w:tcPr>
            <w:tcW w:w="1266" w:type="dxa"/>
            <w:vAlign w:val="bottom"/>
          </w:tcPr>
          <w:p w14:paraId="12F9189B" w14:textId="77777777" w:rsidR="00F31B10" w:rsidRPr="00D62D04" w:rsidRDefault="00F31B10" w:rsidP="004F0277">
            <w:pPr>
              <w:spacing w:after="0"/>
              <w:jc w:val="center"/>
              <w:rPr>
                <w:rFonts w:eastAsia="Times New Roman"/>
                <w:color w:val="000000"/>
                <w:sz w:val="20"/>
                <w:szCs w:val="20"/>
                <w:lang w:val="en-GB"/>
              </w:rPr>
            </w:pPr>
            <w:r w:rsidRPr="00D62D04">
              <w:rPr>
                <w:rFonts w:eastAsia="Times New Roman"/>
                <w:color w:val="000000"/>
                <w:sz w:val="20"/>
                <w:szCs w:val="20"/>
                <w:lang w:val="en-GB"/>
              </w:rPr>
              <w:t>640</w:t>
            </w:r>
            <w:r w:rsidR="004F0277" w:rsidRPr="00D62D04">
              <w:rPr>
                <w:rFonts w:eastAsia="Times New Roman"/>
                <w:color w:val="000000"/>
                <w:sz w:val="20"/>
                <w:szCs w:val="20"/>
                <w:lang w:val="en-GB"/>
              </w:rPr>
              <w:t>,</w:t>
            </w:r>
            <w:r w:rsidRPr="00D62D04">
              <w:rPr>
                <w:rFonts w:eastAsia="Times New Roman"/>
                <w:color w:val="000000"/>
                <w:sz w:val="20"/>
                <w:szCs w:val="20"/>
                <w:lang w:val="en-GB"/>
              </w:rPr>
              <w:t>000</w:t>
            </w:r>
            <w:r w:rsidR="004F0277" w:rsidRPr="00D62D04">
              <w:rPr>
                <w:rFonts w:eastAsia="Times New Roman"/>
                <w:color w:val="000000"/>
                <w:sz w:val="20"/>
                <w:szCs w:val="20"/>
                <w:lang w:val="en-GB"/>
              </w:rPr>
              <w:t>.</w:t>
            </w:r>
            <w:r w:rsidRPr="00D62D04">
              <w:rPr>
                <w:rFonts w:eastAsia="Times New Roman"/>
                <w:color w:val="000000"/>
                <w:sz w:val="20"/>
                <w:szCs w:val="20"/>
                <w:lang w:val="en-GB"/>
              </w:rPr>
              <w:t>00</w:t>
            </w:r>
          </w:p>
        </w:tc>
        <w:tc>
          <w:tcPr>
            <w:tcW w:w="1385" w:type="dxa"/>
            <w:vAlign w:val="bottom"/>
          </w:tcPr>
          <w:p w14:paraId="79319AB1" w14:textId="77777777" w:rsidR="00F31B10" w:rsidRPr="00D62D04" w:rsidRDefault="00F31B10" w:rsidP="004F0277">
            <w:pPr>
              <w:spacing w:after="0"/>
              <w:jc w:val="center"/>
              <w:rPr>
                <w:rFonts w:eastAsia="Times New Roman"/>
                <w:sz w:val="20"/>
                <w:szCs w:val="20"/>
                <w:lang w:val="en-GB"/>
              </w:rPr>
            </w:pPr>
            <w:r w:rsidRPr="00D62D04">
              <w:rPr>
                <w:rFonts w:eastAsia="Times New Roman"/>
                <w:sz w:val="20"/>
                <w:szCs w:val="20"/>
                <w:lang w:val="en-GB"/>
              </w:rPr>
              <w:t>480</w:t>
            </w:r>
            <w:r w:rsidR="004F0277" w:rsidRPr="00D62D04">
              <w:rPr>
                <w:rFonts w:eastAsia="Times New Roman"/>
                <w:sz w:val="20"/>
                <w:szCs w:val="20"/>
                <w:lang w:val="en-GB"/>
              </w:rPr>
              <w:t>,</w:t>
            </w:r>
            <w:r w:rsidRPr="00D62D04">
              <w:rPr>
                <w:rFonts w:eastAsia="Times New Roman"/>
                <w:sz w:val="20"/>
                <w:szCs w:val="20"/>
                <w:lang w:val="en-GB"/>
              </w:rPr>
              <w:t>000.00</w:t>
            </w:r>
          </w:p>
        </w:tc>
        <w:tc>
          <w:tcPr>
            <w:tcW w:w="1385" w:type="dxa"/>
            <w:vAlign w:val="bottom"/>
          </w:tcPr>
          <w:p w14:paraId="7F0874D4" w14:textId="77777777" w:rsidR="00F31B10" w:rsidRPr="00D62D04" w:rsidRDefault="00F31B10" w:rsidP="004F0277">
            <w:pPr>
              <w:spacing w:after="0"/>
              <w:jc w:val="center"/>
              <w:rPr>
                <w:rFonts w:eastAsia="Times New Roman"/>
                <w:sz w:val="20"/>
                <w:szCs w:val="20"/>
                <w:lang w:val="en-GB"/>
              </w:rPr>
            </w:pPr>
            <w:r w:rsidRPr="00D62D04">
              <w:rPr>
                <w:rFonts w:eastAsia="Times New Roman"/>
                <w:sz w:val="20"/>
                <w:szCs w:val="20"/>
                <w:lang w:val="en-GB"/>
              </w:rPr>
              <w:t>650</w:t>
            </w:r>
            <w:r w:rsidR="004F0277" w:rsidRPr="00D62D04">
              <w:rPr>
                <w:rFonts w:eastAsia="Times New Roman"/>
                <w:sz w:val="20"/>
                <w:szCs w:val="20"/>
                <w:lang w:val="en-GB"/>
              </w:rPr>
              <w:t>,</w:t>
            </w:r>
            <w:r w:rsidRPr="00D62D04">
              <w:rPr>
                <w:rFonts w:eastAsia="Times New Roman"/>
                <w:sz w:val="20"/>
                <w:szCs w:val="20"/>
                <w:lang w:val="en-GB"/>
              </w:rPr>
              <w:t>000</w:t>
            </w:r>
            <w:r w:rsidR="004F0277" w:rsidRPr="00D62D04">
              <w:rPr>
                <w:rFonts w:eastAsia="Times New Roman"/>
                <w:sz w:val="20"/>
                <w:szCs w:val="20"/>
                <w:lang w:val="en-GB"/>
              </w:rPr>
              <w:t>.</w:t>
            </w:r>
            <w:r w:rsidRPr="00D62D04">
              <w:rPr>
                <w:rFonts w:eastAsia="Times New Roman"/>
                <w:sz w:val="20"/>
                <w:szCs w:val="20"/>
                <w:lang w:val="en-GB"/>
              </w:rPr>
              <w:t>00</w:t>
            </w:r>
          </w:p>
        </w:tc>
        <w:tc>
          <w:tcPr>
            <w:tcW w:w="1385" w:type="dxa"/>
            <w:vAlign w:val="bottom"/>
          </w:tcPr>
          <w:p w14:paraId="0276E507" w14:textId="77777777" w:rsidR="00F31B10" w:rsidRPr="00D62D04" w:rsidRDefault="00F31B10" w:rsidP="004F0277">
            <w:pPr>
              <w:spacing w:after="0"/>
              <w:jc w:val="center"/>
              <w:rPr>
                <w:rFonts w:eastAsia="Times New Roman"/>
                <w:sz w:val="20"/>
                <w:szCs w:val="20"/>
                <w:lang w:val="en-GB"/>
              </w:rPr>
            </w:pPr>
            <w:r w:rsidRPr="00D62D04">
              <w:rPr>
                <w:rFonts w:eastAsia="Times New Roman"/>
                <w:sz w:val="20"/>
                <w:szCs w:val="20"/>
                <w:lang w:val="en-GB"/>
              </w:rPr>
              <w:t>840</w:t>
            </w:r>
            <w:r w:rsidR="004F0277" w:rsidRPr="00D62D04">
              <w:rPr>
                <w:rFonts w:eastAsia="Times New Roman"/>
                <w:sz w:val="20"/>
                <w:szCs w:val="20"/>
                <w:lang w:val="en-GB"/>
              </w:rPr>
              <w:t>,</w:t>
            </w:r>
            <w:r w:rsidRPr="00D62D04">
              <w:rPr>
                <w:rFonts w:eastAsia="Times New Roman"/>
                <w:sz w:val="20"/>
                <w:szCs w:val="20"/>
                <w:lang w:val="en-GB"/>
              </w:rPr>
              <w:t>000</w:t>
            </w:r>
            <w:r w:rsidR="004F0277" w:rsidRPr="00D62D04">
              <w:rPr>
                <w:rFonts w:eastAsia="Times New Roman"/>
                <w:sz w:val="20"/>
                <w:szCs w:val="20"/>
                <w:lang w:val="en-GB"/>
              </w:rPr>
              <w:t>.</w:t>
            </w:r>
            <w:r w:rsidRPr="00D62D04">
              <w:rPr>
                <w:rFonts w:eastAsia="Times New Roman"/>
                <w:sz w:val="20"/>
                <w:szCs w:val="20"/>
                <w:lang w:val="en-GB"/>
              </w:rPr>
              <w:t>00</w:t>
            </w:r>
          </w:p>
        </w:tc>
        <w:tc>
          <w:tcPr>
            <w:tcW w:w="1266" w:type="dxa"/>
            <w:vAlign w:val="bottom"/>
          </w:tcPr>
          <w:p w14:paraId="263CE256" w14:textId="77777777" w:rsidR="00F31B10" w:rsidRPr="00D62D04" w:rsidRDefault="00F31B10" w:rsidP="004F0277">
            <w:pPr>
              <w:spacing w:after="0"/>
              <w:jc w:val="center"/>
              <w:rPr>
                <w:rFonts w:eastAsia="Times New Roman"/>
                <w:sz w:val="20"/>
                <w:szCs w:val="20"/>
                <w:lang w:val="en-GB"/>
              </w:rPr>
            </w:pPr>
            <w:r w:rsidRPr="00D62D04">
              <w:rPr>
                <w:rFonts w:eastAsia="Times New Roman"/>
                <w:sz w:val="20"/>
                <w:szCs w:val="20"/>
                <w:lang w:val="en-GB"/>
              </w:rPr>
              <w:t>840</w:t>
            </w:r>
            <w:r w:rsidR="004F0277" w:rsidRPr="00D62D04">
              <w:rPr>
                <w:rFonts w:eastAsia="Times New Roman"/>
                <w:sz w:val="20"/>
                <w:szCs w:val="20"/>
                <w:lang w:val="en-GB"/>
              </w:rPr>
              <w:t>,</w:t>
            </w:r>
            <w:r w:rsidRPr="00D62D04">
              <w:rPr>
                <w:rFonts w:eastAsia="Times New Roman"/>
                <w:sz w:val="20"/>
                <w:szCs w:val="20"/>
                <w:lang w:val="en-GB"/>
              </w:rPr>
              <w:t>000</w:t>
            </w:r>
            <w:r w:rsidR="004F0277" w:rsidRPr="00D62D04">
              <w:rPr>
                <w:rFonts w:eastAsia="Times New Roman"/>
                <w:sz w:val="20"/>
                <w:szCs w:val="20"/>
                <w:lang w:val="en-GB"/>
              </w:rPr>
              <w:t>.</w:t>
            </w:r>
            <w:r w:rsidRPr="00D62D04">
              <w:rPr>
                <w:rFonts w:eastAsia="Times New Roman"/>
                <w:sz w:val="20"/>
                <w:szCs w:val="20"/>
                <w:lang w:val="en-GB"/>
              </w:rPr>
              <w:t>00</w:t>
            </w:r>
          </w:p>
        </w:tc>
      </w:tr>
      <w:tr w:rsidR="00F31B10" w:rsidRPr="00D62D04" w14:paraId="3E3A0F9D" w14:textId="77777777" w:rsidTr="0056662A">
        <w:tc>
          <w:tcPr>
            <w:tcW w:w="2193" w:type="dxa"/>
            <w:vAlign w:val="bottom"/>
          </w:tcPr>
          <w:p w14:paraId="57707F3B" w14:textId="77777777" w:rsidR="00F31B10" w:rsidRPr="00D62D04" w:rsidRDefault="004F0277" w:rsidP="0056662A">
            <w:pPr>
              <w:spacing w:after="0"/>
              <w:rPr>
                <w:rFonts w:eastAsia="Times New Roman"/>
                <w:bCs/>
                <w:sz w:val="20"/>
                <w:szCs w:val="20"/>
                <w:lang w:val="en-GB"/>
              </w:rPr>
            </w:pPr>
            <w:r w:rsidRPr="00D62D04">
              <w:rPr>
                <w:rFonts w:eastAsia="Times New Roman"/>
                <w:bCs/>
                <w:sz w:val="20"/>
                <w:szCs w:val="20"/>
                <w:lang w:val="en-GB"/>
              </w:rPr>
              <w:t xml:space="preserve">Muslims </w:t>
            </w:r>
          </w:p>
        </w:tc>
        <w:tc>
          <w:tcPr>
            <w:tcW w:w="1266" w:type="dxa"/>
            <w:vAlign w:val="bottom"/>
          </w:tcPr>
          <w:p w14:paraId="11CDE941" w14:textId="77777777" w:rsidR="00F31B10" w:rsidRPr="00D62D04" w:rsidRDefault="00F31B10" w:rsidP="0056662A">
            <w:pPr>
              <w:spacing w:after="0"/>
              <w:jc w:val="center"/>
              <w:rPr>
                <w:rFonts w:eastAsia="Times New Roman"/>
                <w:color w:val="000000"/>
                <w:sz w:val="20"/>
                <w:szCs w:val="20"/>
                <w:lang w:val="en-GB"/>
              </w:rPr>
            </w:pPr>
          </w:p>
        </w:tc>
        <w:tc>
          <w:tcPr>
            <w:tcW w:w="1385" w:type="dxa"/>
            <w:vAlign w:val="bottom"/>
          </w:tcPr>
          <w:p w14:paraId="237A2EE4" w14:textId="77777777" w:rsidR="00F31B10" w:rsidRPr="00D62D04" w:rsidRDefault="00F31B10" w:rsidP="004F0277">
            <w:pPr>
              <w:spacing w:after="0"/>
              <w:jc w:val="center"/>
              <w:rPr>
                <w:rFonts w:eastAsia="Times New Roman"/>
                <w:sz w:val="20"/>
                <w:szCs w:val="20"/>
                <w:lang w:val="en-GB"/>
              </w:rPr>
            </w:pPr>
            <w:r w:rsidRPr="00D62D04">
              <w:rPr>
                <w:rFonts w:eastAsia="Times New Roman"/>
                <w:sz w:val="20"/>
                <w:szCs w:val="20"/>
                <w:lang w:val="en-GB"/>
              </w:rPr>
              <w:t>150</w:t>
            </w:r>
            <w:r w:rsidR="004F0277" w:rsidRPr="00D62D04">
              <w:rPr>
                <w:rFonts w:eastAsia="Times New Roman"/>
                <w:sz w:val="20"/>
                <w:szCs w:val="20"/>
                <w:lang w:val="en-GB"/>
              </w:rPr>
              <w:t>,</w:t>
            </w:r>
            <w:r w:rsidRPr="00D62D04">
              <w:rPr>
                <w:rFonts w:eastAsia="Times New Roman"/>
                <w:sz w:val="20"/>
                <w:szCs w:val="20"/>
                <w:lang w:val="en-GB"/>
              </w:rPr>
              <w:t>000</w:t>
            </w:r>
            <w:r w:rsidR="004F0277" w:rsidRPr="00D62D04">
              <w:rPr>
                <w:rFonts w:eastAsia="Times New Roman"/>
                <w:sz w:val="20"/>
                <w:szCs w:val="20"/>
                <w:lang w:val="en-GB"/>
              </w:rPr>
              <w:t>.</w:t>
            </w:r>
            <w:r w:rsidRPr="00D62D04">
              <w:rPr>
                <w:rFonts w:eastAsia="Times New Roman"/>
                <w:sz w:val="20"/>
                <w:szCs w:val="20"/>
                <w:lang w:val="en-GB"/>
              </w:rPr>
              <w:t>00</w:t>
            </w:r>
          </w:p>
        </w:tc>
        <w:tc>
          <w:tcPr>
            <w:tcW w:w="1385" w:type="dxa"/>
            <w:vAlign w:val="bottom"/>
          </w:tcPr>
          <w:p w14:paraId="2165B739" w14:textId="77777777" w:rsidR="00F31B10" w:rsidRPr="00D62D04" w:rsidRDefault="00F31B10" w:rsidP="004F0277">
            <w:pPr>
              <w:spacing w:after="0"/>
              <w:jc w:val="center"/>
              <w:rPr>
                <w:rFonts w:eastAsia="Times New Roman"/>
                <w:sz w:val="20"/>
                <w:szCs w:val="20"/>
                <w:lang w:val="en-GB"/>
              </w:rPr>
            </w:pPr>
            <w:r w:rsidRPr="00D62D04">
              <w:rPr>
                <w:rFonts w:eastAsia="Times New Roman"/>
                <w:sz w:val="20"/>
                <w:szCs w:val="20"/>
                <w:lang w:val="en-GB"/>
              </w:rPr>
              <w:t>120</w:t>
            </w:r>
            <w:r w:rsidR="004F0277" w:rsidRPr="00D62D04">
              <w:rPr>
                <w:rFonts w:eastAsia="Times New Roman"/>
                <w:sz w:val="20"/>
                <w:szCs w:val="20"/>
                <w:lang w:val="en-GB"/>
              </w:rPr>
              <w:t>,</w:t>
            </w:r>
            <w:r w:rsidRPr="00D62D04">
              <w:rPr>
                <w:rFonts w:eastAsia="Times New Roman"/>
                <w:sz w:val="20"/>
                <w:szCs w:val="20"/>
                <w:lang w:val="en-GB"/>
              </w:rPr>
              <w:t>000</w:t>
            </w:r>
            <w:r w:rsidR="004F0277" w:rsidRPr="00D62D04">
              <w:rPr>
                <w:rFonts w:eastAsia="Times New Roman"/>
                <w:sz w:val="20"/>
                <w:szCs w:val="20"/>
                <w:lang w:val="en-GB"/>
              </w:rPr>
              <w:t>.</w:t>
            </w:r>
            <w:r w:rsidRPr="00D62D04">
              <w:rPr>
                <w:rFonts w:eastAsia="Times New Roman"/>
                <w:sz w:val="20"/>
                <w:szCs w:val="20"/>
                <w:lang w:val="en-GB"/>
              </w:rPr>
              <w:t>00</w:t>
            </w:r>
          </w:p>
        </w:tc>
        <w:tc>
          <w:tcPr>
            <w:tcW w:w="1385" w:type="dxa"/>
            <w:vAlign w:val="bottom"/>
          </w:tcPr>
          <w:p w14:paraId="5632C9BE" w14:textId="77777777" w:rsidR="00F31B10" w:rsidRPr="00D62D04" w:rsidRDefault="00F31B10" w:rsidP="004F0277">
            <w:pPr>
              <w:spacing w:after="0"/>
              <w:jc w:val="center"/>
              <w:rPr>
                <w:rFonts w:eastAsia="Times New Roman"/>
                <w:sz w:val="20"/>
                <w:szCs w:val="20"/>
                <w:lang w:val="en-GB"/>
              </w:rPr>
            </w:pPr>
            <w:r w:rsidRPr="00D62D04">
              <w:rPr>
                <w:rFonts w:eastAsia="Times New Roman"/>
                <w:sz w:val="20"/>
                <w:szCs w:val="20"/>
                <w:lang w:val="en-GB"/>
              </w:rPr>
              <w:t>120</w:t>
            </w:r>
            <w:r w:rsidR="004F0277" w:rsidRPr="00D62D04">
              <w:rPr>
                <w:rFonts w:eastAsia="Times New Roman"/>
                <w:sz w:val="20"/>
                <w:szCs w:val="20"/>
                <w:lang w:val="en-GB"/>
              </w:rPr>
              <w:t>,</w:t>
            </w:r>
            <w:r w:rsidRPr="00D62D04">
              <w:rPr>
                <w:rFonts w:eastAsia="Times New Roman"/>
                <w:sz w:val="20"/>
                <w:szCs w:val="20"/>
                <w:lang w:val="en-GB"/>
              </w:rPr>
              <w:t>000</w:t>
            </w:r>
            <w:r w:rsidR="004F0277" w:rsidRPr="00D62D04">
              <w:rPr>
                <w:rFonts w:eastAsia="Times New Roman"/>
                <w:sz w:val="20"/>
                <w:szCs w:val="20"/>
                <w:lang w:val="en-GB"/>
              </w:rPr>
              <w:t>.</w:t>
            </w:r>
            <w:r w:rsidRPr="00D62D04">
              <w:rPr>
                <w:rFonts w:eastAsia="Times New Roman"/>
                <w:sz w:val="20"/>
                <w:szCs w:val="20"/>
                <w:lang w:val="en-GB"/>
              </w:rPr>
              <w:t>00</w:t>
            </w:r>
          </w:p>
        </w:tc>
        <w:tc>
          <w:tcPr>
            <w:tcW w:w="1266" w:type="dxa"/>
            <w:vAlign w:val="bottom"/>
          </w:tcPr>
          <w:p w14:paraId="75725529" w14:textId="77777777" w:rsidR="00F31B10" w:rsidRPr="00D62D04" w:rsidRDefault="00F31B10" w:rsidP="0056662A">
            <w:pPr>
              <w:spacing w:after="0"/>
              <w:jc w:val="center"/>
              <w:rPr>
                <w:rFonts w:eastAsia="Times New Roman"/>
                <w:sz w:val="20"/>
                <w:szCs w:val="20"/>
                <w:lang w:val="en-GB"/>
              </w:rPr>
            </w:pPr>
          </w:p>
        </w:tc>
      </w:tr>
      <w:tr w:rsidR="00F31B10" w:rsidRPr="00D62D04" w14:paraId="1D04AE01" w14:textId="77777777" w:rsidTr="0056662A">
        <w:tc>
          <w:tcPr>
            <w:tcW w:w="2193" w:type="dxa"/>
            <w:vAlign w:val="bottom"/>
          </w:tcPr>
          <w:p w14:paraId="5475CE7A" w14:textId="77777777" w:rsidR="00F31B10" w:rsidRPr="00D62D04" w:rsidRDefault="00DC0A87" w:rsidP="0056662A">
            <w:pPr>
              <w:spacing w:after="0"/>
              <w:rPr>
                <w:rFonts w:eastAsia="Times New Roman"/>
                <w:bCs/>
                <w:sz w:val="20"/>
                <w:szCs w:val="20"/>
                <w:lang w:val="en-GB"/>
              </w:rPr>
            </w:pPr>
            <w:r w:rsidRPr="00D62D04">
              <w:rPr>
                <w:rFonts w:eastAsia="Times New Roman"/>
                <w:bCs/>
                <w:sz w:val="20"/>
                <w:szCs w:val="20"/>
                <w:lang w:val="en-GB"/>
              </w:rPr>
              <w:t xml:space="preserve">Germans </w:t>
            </w:r>
          </w:p>
        </w:tc>
        <w:tc>
          <w:tcPr>
            <w:tcW w:w="1266" w:type="dxa"/>
            <w:vAlign w:val="bottom"/>
          </w:tcPr>
          <w:p w14:paraId="467F135C" w14:textId="77777777" w:rsidR="00F31B10" w:rsidRPr="00D62D04" w:rsidRDefault="00F31B10" w:rsidP="00DC0A87">
            <w:pPr>
              <w:spacing w:after="0"/>
              <w:jc w:val="center"/>
              <w:rPr>
                <w:rFonts w:eastAsia="Times New Roman"/>
                <w:color w:val="000000"/>
                <w:sz w:val="20"/>
                <w:szCs w:val="20"/>
                <w:lang w:val="en-GB"/>
              </w:rPr>
            </w:pPr>
            <w:r w:rsidRPr="00D62D04">
              <w:rPr>
                <w:rFonts w:eastAsia="Times New Roman"/>
                <w:color w:val="000000"/>
                <w:sz w:val="20"/>
                <w:szCs w:val="20"/>
                <w:lang w:val="en-GB"/>
              </w:rPr>
              <w:t>360</w:t>
            </w:r>
            <w:r w:rsidR="00DC0A87" w:rsidRPr="00D62D04">
              <w:rPr>
                <w:rFonts w:eastAsia="Times New Roman"/>
                <w:color w:val="000000"/>
                <w:sz w:val="20"/>
                <w:szCs w:val="20"/>
                <w:lang w:val="en-GB"/>
              </w:rPr>
              <w:t>,</w:t>
            </w:r>
            <w:r w:rsidRPr="00D62D04">
              <w:rPr>
                <w:rFonts w:eastAsia="Times New Roman"/>
                <w:color w:val="000000"/>
                <w:sz w:val="20"/>
                <w:szCs w:val="20"/>
                <w:lang w:val="en-GB"/>
              </w:rPr>
              <w:t>000</w:t>
            </w:r>
            <w:r w:rsidR="00DC0A87" w:rsidRPr="00D62D04">
              <w:rPr>
                <w:rFonts w:eastAsia="Times New Roman"/>
                <w:color w:val="000000"/>
                <w:sz w:val="20"/>
                <w:szCs w:val="20"/>
                <w:lang w:val="en-GB"/>
              </w:rPr>
              <w:t>.</w:t>
            </w:r>
            <w:r w:rsidRPr="00D62D04">
              <w:rPr>
                <w:rFonts w:eastAsia="Times New Roman"/>
                <w:color w:val="000000"/>
                <w:sz w:val="20"/>
                <w:szCs w:val="20"/>
                <w:lang w:val="en-GB"/>
              </w:rPr>
              <w:t>00</w:t>
            </w:r>
          </w:p>
        </w:tc>
        <w:tc>
          <w:tcPr>
            <w:tcW w:w="1385" w:type="dxa"/>
            <w:vAlign w:val="bottom"/>
          </w:tcPr>
          <w:p w14:paraId="14167FA0" w14:textId="77777777" w:rsidR="00F31B10" w:rsidRPr="00D62D04" w:rsidRDefault="00F31B10" w:rsidP="00DC0A87">
            <w:pPr>
              <w:spacing w:after="0"/>
              <w:jc w:val="center"/>
              <w:rPr>
                <w:rFonts w:eastAsia="Times New Roman"/>
                <w:sz w:val="20"/>
                <w:szCs w:val="20"/>
                <w:lang w:val="en-GB"/>
              </w:rPr>
            </w:pPr>
            <w:r w:rsidRPr="00D62D04">
              <w:rPr>
                <w:rFonts w:eastAsia="Times New Roman"/>
                <w:sz w:val="20"/>
                <w:szCs w:val="20"/>
                <w:lang w:val="en-GB"/>
              </w:rPr>
              <w:t>150</w:t>
            </w:r>
            <w:r w:rsidR="00DC0A87" w:rsidRPr="00D62D04">
              <w:rPr>
                <w:rFonts w:eastAsia="Times New Roman"/>
                <w:sz w:val="20"/>
                <w:szCs w:val="20"/>
                <w:lang w:val="en-GB"/>
              </w:rPr>
              <w:t>,</w:t>
            </w:r>
            <w:r w:rsidRPr="00D62D04">
              <w:rPr>
                <w:rFonts w:eastAsia="Times New Roman"/>
                <w:sz w:val="20"/>
                <w:szCs w:val="20"/>
                <w:lang w:val="en-GB"/>
              </w:rPr>
              <w:t>000</w:t>
            </w:r>
            <w:r w:rsidR="00DC0A87" w:rsidRPr="00D62D04">
              <w:rPr>
                <w:rFonts w:eastAsia="Times New Roman"/>
                <w:sz w:val="20"/>
                <w:szCs w:val="20"/>
                <w:lang w:val="en-GB"/>
              </w:rPr>
              <w:t>.</w:t>
            </w:r>
            <w:r w:rsidRPr="00D62D04">
              <w:rPr>
                <w:rFonts w:eastAsia="Times New Roman"/>
                <w:sz w:val="20"/>
                <w:szCs w:val="20"/>
                <w:lang w:val="en-GB"/>
              </w:rPr>
              <w:t>00</w:t>
            </w:r>
          </w:p>
        </w:tc>
        <w:tc>
          <w:tcPr>
            <w:tcW w:w="1385" w:type="dxa"/>
            <w:vAlign w:val="bottom"/>
          </w:tcPr>
          <w:p w14:paraId="3E2AD060" w14:textId="77777777" w:rsidR="00F31B10" w:rsidRPr="00D62D04" w:rsidRDefault="00F31B10" w:rsidP="00DC0A87">
            <w:pPr>
              <w:spacing w:after="0"/>
              <w:jc w:val="center"/>
              <w:rPr>
                <w:rFonts w:eastAsia="Times New Roman"/>
                <w:sz w:val="20"/>
                <w:szCs w:val="20"/>
                <w:lang w:val="en-GB"/>
              </w:rPr>
            </w:pPr>
            <w:r w:rsidRPr="00D62D04">
              <w:rPr>
                <w:rFonts w:eastAsia="Times New Roman"/>
                <w:sz w:val="20"/>
                <w:szCs w:val="20"/>
                <w:lang w:val="en-GB"/>
              </w:rPr>
              <w:t>240</w:t>
            </w:r>
            <w:r w:rsidR="00DC0A87" w:rsidRPr="00D62D04">
              <w:rPr>
                <w:rFonts w:eastAsia="Times New Roman"/>
                <w:sz w:val="20"/>
                <w:szCs w:val="20"/>
                <w:lang w:val="en-GB"/>
              </w:rPr>
              <w:t>,</w:t>
            </w:r>
            <w:r w:rsidRPr="00D62D04">
              <w:rPr>
                <w:rFonts w:eastAsia="Times New Roman"/>
                <w:sz w:val="20"/>
                <w:szCs w:val="20"/>
                <w:lang w:val="en-GB"/>
              </w:rPr>
              <w:t>000</w:t>
            </w:r>
            <w:r w:rsidR="00DC0A87" w:rsidRPr="00D62D04">
              <w:rPr>
                <w:rFonts w:eastAsia="Times New Roman"/>
                <w:sz w:val="20"/>
                <w:szCs w:val="20"/>
                <w:lang w:val="en-GB"/>
              </w:rPr>
              <w:t>.</w:t>
            </w:r>
            <w:r w:rsidRPr="00D62D04">
              <w:rPr>
                <w:rFonts w:eastAsia="Times New Roman"/>
                <w:sz w:val="20"/>
                <w:szCs w:val="20"/>
                <w:lang w:val="en-GB"/>
              </w:rPr>
              <w:t>00</w:t>
            </w:r>
          </w:p>
        </w:tc>
        <w:tc>
          <w:tcPr>
            <w:tcW w:w="1385" w:type="dxa"/>
            <w:vAlign w:val="bottom"/>
          </w:tcPr>
          <w:p w14:paraId="0B88D602" w14:textId="77777777" w:rsidR="00F31B10" w:rsidRPr="00D62D04" w:rsidRDefault="00F31B10" w:rsidP="00DC0A87">
            <w:pPr>
              <w:spacing w:after="0"/>
              <w:jc w:val="center"/>
              <w:rPr>
                <w:rFonts w:eastAsia="Times New Roman"/>
                <w:sz w:val="20"/>
                <w:szCs w:val="20"/>
                <w:lang w:val="en-GB"/>
              </w:rPr>
            </w:pPr>
            <w:r w:rsidRPr="00D62D04">
              <w:rPr>
                <w:rFonts w:eastAsia="Times New Roman"/>
                <w:sz w:val="20"/>
                <w:szCs w:val="20"/>
                <w:lang w:val="en-GB"/>
              </w:rPr>
              <w:t>120</w:t>
            </w:r>
            <w:r w:rsidR="00DC0A87" w:rsidRPr="00D62D04">
              <w:rPr>
                <w:rFonts w:eastAsia="Times New Roman"/>
                <w:sz w:val="20"/>
                <w:szCs w:val="20"/>
                <w:lang w:val="en-GB"/>
              </w:rPr>
              <w:t>,</w:t>
            </w:r>
            <w:r w:rsidRPr="00D62D04">
              <w:rPr>
                <w:rFonts w:eastAsia="Times New Roman"/>
                <w:sz w:val="20"/>
                <w:szCs w:val="20"/>
                <w:lang w:val="en-GB"/>
              </w:rPr>
              <w:t>000</w:t>
            </w:r>
            <w:r w:rsidR="00DC0A87" w:rsidRPr="00D62D04">
              <w:rPr>
                <w:rFonts w:eastAsia="Times New Roman"/>
                <w:sz w:val="20"/>
                <w:szCs w:val="20"/>
                <w:lang w:val="en-GB"/>
              </w:rPr>
              <w:t>.</w:t>
            </w:r>
            <w:r w:rsidRPr="00D62D04">
              <w:rPr>
                <w:rFonts w:eastAsia="Times New Roman"/>
                <w:sz w:val="20"/>
                <w:szCs w:val="20"/>
                <w:lang w:val="en-GB"/>
              </w:rPr>
              <w:t>00</w:t>
            </w:r>
          </w:p>
        </w:tc>
        <w:tc>
          <w:tcPr>
            <w:tcW w:w="1266" w:type="dxa"/>
            <w:vAlign w:val="bottom"/>
          </w:tcPr>
          <w:p w14:paraId="1B86CA1E" w14:textId="77777777" w:rsidR="00F31B10" w:rsidRPr="00D62D04" w:rsidRDefault="00F31B10" w:rsidP="00DC0A87">
            <w:pPr>
              <w:spacing w:after="0"/>
              <w:jc w:val="center"/>
              <w:rPr>
                <w:rFonts w:eastAsia="Times New Roman"/>
                <w:sz w:val="20"/>
                <w:szCs w:val="20"/>
                <w:lang w:val="en-GB"/>
              </w:rPr>
            </w:pPr>
            <w:r w:rsidRPr="00D62D04">
              <w:rPr>
                <w:rFonts w:eastAsia="Times New Roman"/>
                <w:sz w:val="20"/>
                <w:szCs w:val="20"/>
                <w:lang w:val="en-GB"/>
              </w:rPr>
              <w:t>360</w:t>
            </w:r>
            <w:r w:rsidR="00DC0A87" w:rsidRPr="00D62D04">
              <w:rPr>
                <w:rFonts w:eastAsia="Times New Roman"/>
                <w:sz w:val="20"/>
                <w:szCs w:val="20"/>
                <w:lang w:val="en-GB"/>
              </w:rPr>
              <w:t>,</w:t>
            </w:r>
            <w:r w:rsidRPr="00D62D04">
              <w:rPr>
                <w:rFonts w:eastAsia="Times New Roman"/>
                <w:sz w:val="20"/>
                <w:szCs w:val="20"/>
                <w:lang w:val="en-GB"/>
              </w:rPr>
              <w:t>000</w:t>
            </w:r>
            <w:r w:rsidR="00DC0A87" w:rsidRPr="00D62D04">
              <w:rPr>
                <w:rFonts w:eastAsia="Times New Roman"/>
                <w:sz w:val="20"/>
                <w:szCs w:val="20"/>
                <w:lang w:val="en-GB"/>
              </w:rPr>
              <w:t>.</w:t>
            </w:r>
            <w:r w:rsidRPr="00D62D04">
              <w:rPr>
                <w:rFonts w:eastAsia="Times New Roman"/>
                <w:sz w:val="20"/>
                <w:szCs w:val="20"/>
                <w:lang w:val="en-GB"/>
              </w:rPr>
              <w:t>00</w:t>
            </w:r>
          </w:p>
        </w:tc>
      </w:tr>
      <w:tr w:rsidR="00F31B10" w:rsidRPr="00D62D04" w14:paraId="7C0AFCFB" w14:textId="77777777" w:rsidTr="0056662A">
        <w:tc>
          <w:tcPr>
            <w:tcW w:w="2193" w:type="dxa"/>
          </w:tcPr>
          <w:p w14:paraId="57940C51" w14:textId="77777777" w:rsidR="00F31B10" w:rsidRPr="00D62D04" w:rsidRDefault="00DC0A87" w:rsidP="0056662A">
            <w:pPr>
              <w:spacing w:after="0"/>
              <w:rPr>
                <w:sz w:val="20"/>
                <w:szCs w:val="20"/>
                <w:lang w:val="en-GB"/>
              </w:rPr>
            </w:pPr>
            <w:r w:rsidRPr="00D62D04">
              <w:rPr>
                <w:sz w:val="20"/>
                <w:szCs w:val="20"/>
                <w:lang w:val="en-GB"/>
              </w:rPr>
              <w:t xml:space="preserve">Roma </w:t>
            </w:r>
          </w:p>
        </w:tc>
        <w:tc>
          <w:tcPr>
            <w:tcW w:w="1266" w:type="dxa"/>
            <w:vAlign w:val="bottom"/>
          </w:tcPr>
          <w:p w14:paraId="65A962DB" w14:textId="77777777" w:rsidR="00F31B10" w:rsidRPr="00D62D04" w:rsidRDefault="00F31B10" w:rsidP="00DC0A87">
            <w:pPr>
              <w:spacing w:after="0"/>
              <w:jc w:val="center"/>
              <w:rPr>
                <w:rFonts w:eastAsia="Times New Roman"/>
                <w:color w:val="000000"/>
                <w:sz w:val="20"/>
                <w:szCs w:val="20"/>
                <w:lang w:val="en-GB"/>
              </w:rPr>
            </w:pPr>
            <w:r w:rsidRPr="00D62D04">
              <w:rPr>
                <w:rFonts w:eastAsia="Times New Roman"/>
                <w:color w:val="000000"/>
                <w:sz w:val="20"/>
                <w:szCs w:val="20"/>
                <w:lang w:val="en-GB"/>
              </w:rPr>
              <w:t>1</w:t>
            </w:r>
            <w:r w:rsidR="00DC0A87" w:rsidRPr="00D62D04">
              <w:rPr>
                <w:rFonts w:eastAsia="Times New Roman"/>
                <w:color w:val="000000"/>
                <w:sz w:val="20"/>
                <w:szCs w:val="20"/>
                <w:lang w:val="en-GB"/>
              </w:rPr>
              <w:t>,</w:t>
            </w:r>
            <w:r w:rsidRPr="00D62D04">
              <w:rPr>
                <w:rFonts w:eastAsia="Times New Roman"/>
                <w:color w:val="000000"/>
                <w:sz w:val="20"/>
                <w:szCs w:val="20"/>
                <w:lang w:val="en-GB"/>
              </w:rPr>
              <w:t>860</w:t>
            </w:r>
            <w:r w:rsidR="00DC0A87" w:rsidRPr="00D62D04">
              <w:rPr>
                <w:rFonts w:eastAsia="Times New Roman"/>
                <w:color w:val="000000"/>
                <w:sz w:val="20"/>
                <w:szCs w:val="20"/>
                <w:lang w:val="en-GB"/>
              </w:rPr>
              <w:t>,</w:t>
            </w:r>
            <w:r w:rsidRPr="00D62D04">
              <w:rPr>
                <w:rFonts w:eastAsia="Times New Roman"/>
                <w:color w:val="000000"/>
                <w:sz w:val="20"/>
                <w:szCs w:val="20"/>
                <w:lang w:val="en-GB"/>
              </w:rPr>
              <w:t>000</w:t>
            </w:r>
            <w:r w:rsidR="00DC0A87" w:rsidRPr="00D62D04">
              <w:rPr>
                <w:rFonts w:eastAsia="Times New Roman"/>
                <w:color w:val="000000"/>
                <w:sz w:val="20"/>
                <w:szCs w:val="20"/>
                <w:lang w:val="en-GB"/>
              </w:rPr>
              <w:t>.</w:t>
            </w:r>
            <w:r w:rsidRPr="00D62D04">
              <w:rPr>
                <w:rFonts w:eastAsia="Times New Roman"/>
                <w:color w:val="000000"/>
                <w:sz w:val="20"/>
                <w:szCs w:val="20"/>
                <w:lang w:val="en-GB"/>
              </w:rPr>
              <w:t>00</w:t>
            </w:r>
          </w:p>
        </w:tc>
        <w:tc>
          <w:tcPr>
            <w:tcW w:w="1385" w:type="dxa"/>
            <w:vAlign w:val="bottom"/>
          </w:tcPr>
          <w:p w14:paraId="2E4246D3" w14:textId="77777777" w:rsidR="00F31B10" w:rsidRPr="00D62D04" w:rsidRDefault="00F31B10" w:rsidP="00DC0A87">
            <w:pPr>
              <w:spacing w:after="0"/>
              <w:jc w:val="center"/>
              <w:rPr>
                <w:rFonts w:eastAsia="Times New Roman"/>
                <w:sz w:val="20"/>
                <w:szCs w:val="20"/>
                <w:lang w:val="en-GB"/>
              </w:rPr>
            </w:pPr>
            <w:r w:rsidRPr="00D62D04">
              <w:rPr>
                <w:rFonts w:eastAsia="Times New Roman"/>
                <w:sz w:val="20"/>
                <w:szCs w:val="20"/>
                <w:lang w:val="en-GB"/>
              </w:rPr>
              <w:t>1</w:t>
            </w:r>
            <w:r w:rsidR="00DC0A87" w:rsidRPr="00D62D04">
              <w:rPr>
                <w:rFonts w:eastAsia="Times New Roman"/>
                <w:sz w:val="20"/>
                <w:szCs w:val="20"/>
                <w:lang w:val="en-GB"/>
              </w:rPr>
              <w:t>,</w:t>
            </w:r>
            <w:r w:rsidRPr="00D62D04">
              <w:rPr>
                <w:rFonts w:eastAsia="Times New Roman"/>
                <w:sz w:val="20"/>
                <w:szCs w:val="20"/>
                <w:lang w:val="en-GB"/>
              </w:rPr>
              <w:t>346</w:t>
            </w:r>
            <w:r w:rsidR="00DC0A87" w:rsidRPr="00D62D04">
              <w:rPr>
                <w:rFonts w:eastAsia="Times New Roman"/>
                <w:sz w:val="20"/>
                <w:szCs w:val="20"/>
                <w:lang w:val="en-GB"/>
              </w:rPr>
              <w:t>,</w:t>
            </w:r>
            <w:r w:rsidRPr="00D62D04">
              <w:rPr>
                <w:rFonts w:eastAsia="Times New Roman"/>
                <w:sz w:val="20"/>
                <w:szCs w:val="20"/>
                <w:lang w:val="en-GB"/>
              </w:rPr>
              <w:t>000</w:t>
            </w:r>
            <w:r w:rsidR="00DC0A87" w:rsidRPr="00D62D04">
              <w:rPr>
                <w:rFonts w:eastAsia="Times New Roman"/>
                <w:sz w:val="20"/>
                <w:szCs w:val="20"/>
                <w:lang w:val="en-GB"/>
              </w:rPr>
              <w:t>.</w:t>
            </w:r>
            <w:r w:rsidRPr="00D62D04">
              <w:rPr>
                <w:rFonts w:eastAsia="Times New Roman"/>
                <w:sz w:val="20"/>
                <w:szCs w:val="20"/>
                <w:lang w:val="en-GB"/>
              </w:rPr>
              <w:t>00</w:t>
            </w:r>
          </w:p>
        </w:tc>
        <w:tc>
          <w:tcPr>
            <w:tcW w:w="1385" w:type="dxa"/>
            <w:vAlign w:val="bottom"/>
          </w:tcPr>
          <w:p w14:paraId="3FA3C945" w14:textId="77777777" w:rsidR="00F31B10" w:rsidRPr="00D62D04" w:rsidRDefault="00F31B10" w:rsidP="00DC0A87">
            <w:pPr>
              <w:spacing w:after="0"/>
              <w:jc w:val="center"/>
              <w:rPr>
                <w:rFonts w:eastAsia="Times New Roman"/>
                <w:sz w:val="20"/>
                <w:szCs w:val="20"/>
                <w:lang w:val="en-GB"/>
              </w:rPr>
            </w:pPr>
            <w:r w:rsidRPr="00D62D04">
              <w:rPr>
                <w:rFonts w:eastAsia="Times New Roman"/>
                <w:sz w:val="20"/>
                <w:szCs w:val="20"/>
                <w:lang w:val="en-GB"/>
              </w:rPr>
              <w:t>1</w:t>
            </w:r>
            <w:r w:rsidR="00DC0A87" w:rsidRPr="00D62D04">
              <w:rPr>
                <w:rFonts w:eastAsia="Times New Roman"/>
                <w:sz w:val="20"/>
                <w:szCs w:val="20"/>
                <w:lang w:val="en-GB"/>
              </w:rPr>
              <w:t>,</w:t>
            </w:r>
            <w:r w:rsidRPr="00D62D04">
              <w:rPr>
                <w:rFonts w:eastAsia="Times New Roman"/>
                <w:sz w:val="20"/>
                <w:szCs w:val="20"/>
                <w:lang w:val="en-GB"/>
              </w:rPr>
              <w:t>747</w:t>
            </w:r>
            <w:r w:rsidR="00DC0A87" w:rsidRPr="00D62D04">
              <w:rPr>
                <w:rFonts w:eastAsia="Times New Roman"/>
                <w:sz w:val="20"/>
                <w:szCs w:val="20"/>
                <w:lang w:val="en-GB"/>
              </w:rPr>
              <w:t>,</w:t>
            </w:r>
            <w:r w:rsidRPr="00D62D04">
              <w:rPr>
                <w:rFonts w:eastAsia="Times New Roman"/>
                <w:sz w:val="20"/>
                <w:szCs w:val="20"/>
                <w:lang w:val="en-GB"/>
              </w:rPr>
              <w:t>000</w:t>
            </w:r>
            <w:r w:rsidR="00DC0A87" w:rsidRPr="00D62D04">
              <w:rPr>
                <w:rFonts w:eastAsia="Times New Roman"/>
                <w:sz w:val="20"/>
                <w:szCs w:val="20"/>
                <w:lang w:val="en-GB"/>
              </w:rPr>
              <w:t>.</w:t>
            </w:r>
            <w:r w:rsidRPr="00D62D04">
              <w:rPr>
                <w:rFonts w:eastAsia="Times New Roman"/>
                <w:sz w:val="20"/>
                <w:szCs w:val="20"/>
                <w:lang w:val="en-GB"/>
              </w:rPr>
              <w:t>00</w:t>
            </w:r>
          </w:p>
        </w:tc>
        <w:tc>
          <w:tcPr>
            <w:tcW w:w="1385" w:type="dxa"/>
            <w:vAlign w:val="bottom"/>
          </w:tcPr>
          <w:p w14:paraId="096D33E3" w14:textId="77777777" w:rsidR="00F31B10" w:rsidRPr="00D62D04" w:rsidRDefault="00F31B10" w:rsidP="00DC0A87">
            <w:pPr>
              <w:spacing w:after="0"/>
              <w:jc w:val="center"/>
              <w:rPr>
                <w:rFonts w:eastAsia="Times New Roman"/>
                <w:sz w:val="20"/>
                <w:szCs w:val="20"/>
                <w:lang w:val="en-GB"/>
              </w:rPr>
            </w:pPr>
            <w:r w:rsidRPr="00D62D04">
              <w:rPr>
                <w:rFonts w:eastAsia="Times New Roman"/>
                <w:sz w:val="20"/>
                <w:szCs w:val="20"/>
                <w:lang w:val="en-GB"/>
              </w:rPr>
              <w:t>1</w:t>
            </w:r>
            <w:r w:rsidR="00DC0A87" w:rsidRPr="00D62D04">
              <w:rPr>
                <w:rFonts w:eastAsia="Times New Roman"/>
                <w:sz w:val="20"/>
                <w:szCs w:val="20"/>
                <w:lang w:val="en-GB"/>
              </w:rPr>
              <w:t>,</w:t>
            </w:r>
            <w:r w:rsidRPr="00D62D04">
              <w:rPr>
                <w:rFonts w:eastAsia="Times New Roman"/>
                <w:sz w:val="20"/>
                <w:szCs w:val="20"/>
                <w:lang w:val="en-GB"/>
              </w:rPr>
              <w:t>715</w:t>
            </w:r>
            <w:r w:rsidR="00DC0A87" w:rsidRPr="00D62D04">
              <w:rPr>
                <w:rFonts w:eastAsia="Times New Roman"/>
                <w:sz w:val="20"/>
                <w:szCs w:val="20"/>
                <w:lang w:val="en-GB"/>
              </w:rPr>
              <w:t>,</w:t>
            </w:r>
            <w:r w:rsidRPr="00D62D04">
              <w:rPr>
                <w:rFonts w:eastAsia="Times New Roman"/>
                <w:sz w:val="20"/>
                <w:szCs w:val="20"/>
                <w:lang w:val="en-GB"/>
              </w:rPr>
              <w:t>000</w:t>
            </w:r>
            <w:r w:rsidR="00DC0A87" w:rsidRPr="00D62D04">
              <w:rPr>
                <w:rFonts w:eastAsia="Times New Roman"/>
                <w:sz w:val="20"/>
                <w:szCs w:val="20"/>
                <w:lang w:val="en-GB"/>
              </w:rPr>
              <w:t>.</w:t>
            </w:r>
            <w:r w:rsidRPr="00D62D04">
              <w:rPr>
                <w:rFonts w:eastAsia="Times New Roman"/>
                <w:sz w:val="20"/>
                <w:szCs w:val="20"/>
                <w:lang w:val="en-GB"/>
              </w:rPr>
              <w:t>00</w:t>
            </w:r>
          </w:p>
        </w:tc>
        <w:tc>
          <w:tcPr>
            <w:tcW w:w="1266" w:type="dxa"/>
            <w:vAlign w:val="bottom"/>
          </w:tcPr>
          <w:p w14:paraId="3D6C3A72" w14:textId="77777777" w:rsidR="00F31B10" w:rsidRPr="00D62D04" w:rsidRDefault="00F31B10" w:rsidP="00DC0A87">
            <w:pPr>
              <w:spacing w:after="0"/>
              <w:jc w:val="center"/>
              <w:rPr>
                <w:rFonts w:eastAsia="Times New Roman"/>
                <w:sz w:val="20"/>
                <w:szCs w:val="20"/>
                <w:lang w:val="en-GB"/>
              </w:rPr>
            </w:pPr>
            <w:r w:rsidRPr="00D62D04">
              <w:rPr>
                <w:rFonts w:eastAsia="Times New Roman"/>
                <w:sz w:val="20"/>
                <w:szCs w:val="20"/>
                <w:lang w:val="en-GB"/>
              </w:rPr>
              <w:t>1</w:t>
            </w:r>
            <w:r w:rsidR="00DC0A87" w:rsidRPr="00D62D04">
              <w:rPr>
                <w:rFonts w:eastAsia="Times New Roman"/>
                <w:sz w:val="20"/>
                <w:szCs w:val="20"/>
                <w:lang w:val="en-GB"/>
              </w:rPr>
              <w:t>,</w:t>
            </w:r>
            <w:r w:rsidRPr="00D62D04">
              <w:rPr>
                <w:rFonts w:eastAsia="Times New Roman"/>
                <w:sz w:val="20"/>
                <w:szCs w:val="20"/>
                <w:lang w:val="en-GB"/>
              </w:rPr>
              <w:t>700</w:t>
            </w:r>
            <w:r w:rsidR="00DC0A87" w:rsidRPr="00D62D04">
              <w:rPr>
                <w:rFonts w:eastAsia="Times New Roman"/>
                <w:sz w:val="20"/>
                <w:szCs w:val="20"/>
                <w:lang w:val="en-GB"/>
              </w:rPr>
              <w:t>,</w:t>
            </w:r>
            <w:r w:rsidRPr="00D62D04">
              <w:rPr>
                <w:rFonts w:eastAsia="Times New Roman"/>
                <w:sz w:val="20"/>
                <w:szCs w:val="20"/>
                <w:lang w:val="en-GB"/>
              </w:rPr>
              <w:t>000</w:t>
            </w:r>
            <w:r w:rsidR="00DC0A87" w:rsidRPr="00D62D04">
              <w:rPr>
                <w:rFonts w:eastAsia="Times New Roman"/>
                <w:sz w:val="20"/>
                <w:szCs w:val="20"/>
                <w:lang w:val="en-GB"/>
              </w:rPr>
              <w:t>.</w:t>
            </w:r>
            <w:r w:rsidRPr="00D62D04">
              <w:rPr>
                <w:rFonts w:eastAsia="Times New Roman"/>
                <w:sz w:val="20"/>
                <w:szCs w:val="20"/>
                <w:lang w:val="en-GB"/>
              </w:rPr>
              <w:t>00</w:t>
            </w:r>
          </w:p>
        </w:tc>
      </w:tr>
      <w:tr w:rsidR="00F31B10" w:rsidRPr="00D62D04" w14:paraId="26DB973F" w14:textId="77777777" w:rsidTr="0056662A">
        <w:tc>
          <w:tcPr>
            <w:tcW w:w="2193" w:type="dxa"/>
          </w:tcPr>
          <w:p w14:paraId="4C9813A8" w14:textId="77777777" w:rsidR="00F31B10" w:rsidRPr="00D62D04" w:rsidRDefault="00DC0A87" w:rsidP="0056662A">
            <w:pPr>
              <w:spacing w:after="0"/>
              <w:rPr>
                <w:sz w:val="20"/>
                <w:szCs w:val="20"/>
                <w:lang w:val="en-GB"/>
              </w:rPr>
            </w:pPr>
            <w:r w:rsidRPr="00D62D04">
              <w:rPr>
                <w:sz w:val="20"/>
                <w:szCs w:val="20"/>
                <w:lang w:val="en-GB"/>
              </w:rPr>
              <w:t xml:space="preserve">Romanians </w:t>
            </w:r>
          </w:p>
        </w:tc>
        <w:tc>
          <w:tcPr>
            <w:tcW w:w="1266" w:type="dxa"/>
            <w:vAlign w:val="bottom"/>
          </w:tcPr>
          <w:p w14:paraId="0136F238" w14:textId="77777777" w:rsidR="00F31B10" w:rsidRPr="00D62D04" w:rsidRDefault="00F31B10" w:rsidP="00DC0A87">
            <w:pPr>
              <w:spacing w:after="0"/>
              <w:jc w:val="center"/>
              <w:rPr>
                <w:rFonts w:eastAsia="Times New Roman"/>
                <w:color w:val="000000"/>
                <w:sz w:val="20"/>
                <w:szCs w:val="20"/>
                <w:lang w:val="en-GB"/>
              </w:rPr>
            </w:pPr>
            <w:r w:rsidRPr="00D62D04">
              <w:rPr>
                <w:rFonts w:eastAsia="Times New Roman"/>
                <w:color w:val="000000"/>
                <w:sz w:val="20"/>
                <w:szCs w:val="20"/>
                <w:lang w:val="en-GB"/>
              </w:rPr>
              <w:t>860</w:t>
            </w:r>
            <w:r w:rsidR="00DC0A87" w:rsidRPr="00D62D04">
              <w:rPr>
                <w:rFonts w:eastAsia="Times New Roman"/>
                <w:color w:val="000000"/>
                <w:sz w:val="20"/>
                <w:szCs w:val="20"/>
                <w:lang w:val="en-GB"/>
              </w:rPr>
              <w:t>,</w:t>
            </w:r>
            <w:r w:rsidRPr="00D62D04">
              <w:rPr>
                <w:rFonts w:eastAsia="Times New Roman"/>
                <w:color w:val="000000"/>
                <w:sz w:val="20"/>
                <w:szCs w:val="20"/>
                <w:lang w:val="en-GB"/>
              </w:rPr>
              <w:t>000</w:t>
            </w:r>
            <w:r w:rsidR="00DC0A87" w:rsidRPr="00D62D04">
              <w:rPr>
                <w:rFonts w:eastAsia="Times New Roman"/>
                <w:color w:val="000000"/>
                <w:sz w:val="20"/>
                <w:szCs w:val="20"/>
                <w:lang w:val="en-GB"/>
              </w:rPr>
              <w:t>.</w:t>
            </w:r>
            <w:r w:rsidRPr="00D62D04">
              <w:rPr>
                <w:rFonts w:eastAsia="Times New Roman"/>
                <w:color w:val="000000"/>
                <w:sz w:val="20"/>
                <w:szCs w:val="20"/>
                <w:lang w:val="en-GB"/>
              </w:rPr>
              <w:t>00</w:t>
            </w:r>
          </w:p>
        </w:tc>
        <w:tc>
          <w:tcPr>
            <w:tcW w:w="1385" w:type="dxa"/>
            <w:vAlign w:val="bottom"/>
          </w:tcPr>
          <w:p w14:paraId="33F70E2F" w14:textId="77777777" w:rsidR="00F31B10" w:rsidRPr="00D62D04" w:rsidRDefault="00F31B10" w:rsidP="00DC0A87">
            <w:pPr>
              <w:spacing w:after="0"/>
              <w:jc w:val="center"/>
              <w:rPr>
                <w:rFonts w:eastAsia="Times New Roman"/>
                <w:sz w:val="20"/>
                <w:szCs w:val="20"/>
                <w:lang w:val="en-GB"/>
              </w:rPr>
            </w:pPr>
            <w:r w:rsidRPr="00D62D04">
              <w:rPr>
                <w:rFonts w:eastAsia="Times New Roman"/>
                <w:sz w:val="20"/>
                <w:szCs w:val="20"/>
                <w:lang w:val="en-GB"/>
              </w:rPr>
              <w:t>600</w:t>
            </w:r>
            <w:r w:rsidR="00DC0A87" w:rsidRPr="00D62D04">
              <w:rPr>
                <w:rFonts w:eastAsia="Times New Roman"/>
                <w:sz w:val="20"/>
                <w:szCs w:val="20"/>
                <w:lang w:val="en-GB"/>
              </w:rPr>
              <w:t>,</w:t>
            </w:r>
            <w:r w:rsidRPr="00D62D04">
              <w:rPr>
                <w:rFonts w:eastAsia="Times New Roman"/>
                <w:sz w:val="20"/>
                <w:szCs w:val="20"/>
                <w:lang w:val="en-GB"/>
              </w:rPr>
              <w:t>000</w:t>
            </w:r>
            <w:r w:rsidR="00DC0A87" w:rsidRPr="00D62D04">
              <w:rPr>
                <w:rFonts w:eastAsia="Times New Roman"/>
                <w:sz w:val="20"/>
                <w:szCs w:val="20"/>
                <w:lang w:val="en-GB"/>
              </w:rPr>
              <w:t>.</w:t>
            </w:r>
            <w:r w:rsidRPr="00D62D04">
              <w:rPr>
                <w:rFonts w:eastAsia="Times New Roman"/>
                <w:sz w:val="20"/>
                <w:szCs w:val="20"/>
                <w:lang w:val="en-GB"/>
              </w:rPr>
              <w:t>00</w:t>
            </w:r>
          </w:p>
        </w:tc>
        <w:tc>
          <w:tcPr>
            <w:tcW w:w="1385" w:type="dxa"/>
            <w:vAlign w:val="bottom"/>
          </w:tcPr>
          <w:p w14:paraId="27E7F1A0" w14:textId="77777777" w:rsidR="00F31B10" w:rsidRPr="00D62D04" w:rsidRDefault="00F31B10" w:rsidP="00DC0A87">
            <w:pPr>
              <w:spacing w:after="0"/>
              <w:jc w:val="center"/>
              <w:rPr>
                <w:rFonts w:eastAsia="Times New Roman"/>
                <w:sz w:val="20"/>
                <w:szCs w:val="20"/>
                <w:lang w:val="en-GB"/>
              </w:rPr>
            </w:pPr>
            <w:r w:rsidRPr="00D62D04">
              <w:rPr>
                <w:rFonts w:eastAsia="Times New Roman"/>
                <w:sz w:val="20"/>
                <w:szCs w:val="20"/>
                <w:lang w:val="en-GB"/>
              </w:rPr>
              <w:t>800</w:t>
            </w:r>
            <w:r w:rsidR="00DC0A87" w:rsidRPr="00D62D04">
              <w:rPr>
                <w:rFonts w:eastAsia="Times New Roman"/>
                <w:sz w:val="20"/>
                <w:szCs w:val="20"/>
                <w:lang w:val="en-GB"/>
              </w:rPr>
              <w:t>,</w:t>
            </w:r>
            <w:r w:rsidRPr="00D62D04">
              <w:rPr>
                <w:rFonts w:eastAsia="Times New Roman"/>
                <w:sz w:val="20"/>
                <w:szCs w:val="20"/>
                <w:lang w:val="en-GB"/>
              </w:rPr>
              <w:t>000</w:t>
            </w:r>
            <w:r w:rsidR="00DC0A87" w:rsidRPr="00D62D04">
              <w:rPr>
                <w:rFonts w:eastAsia="Times New Roman"/>
                <w:sz w:val="20"/>
                <w:szCs w:val="20"/>
                <w:lang w:val="en-GB"/>
              </w:rPr>
              <w:t>.</w:t>
            </w:r>
            <w:r w:rsidRPr="00D62D04">
              <w:rPr>
                <w:rFonts w:eastAsia="Times New Roman"/>
                <w:sz w:val="20"/>
                <w:szCs w:val="20"/>
                <w:lang w:val="en-GB"/>
              </w:rPr>
              <w:t>00</w:t>
            </w:r>
          </w:p>
        </w:tc>
        <w:tc>
          <w:tcPr>
            <w:tcW w:w="1385" w:type="dxa"/>
            <w:vAlign w:val="bottom"/>
          </w:tcPr>
          <w:p w14:paraId="082D5039" w14:textId="77777777" w:rsidR="00F31B10" w:rsidRPr="00D62D04" w:rsidRDefault="00F31B10" w:rsidP="00DC0A87">
            <w:pPr>
              <w:spacing w:after="0"/>
              <w:jc w:val="center"/>
              <w:rPr>
                <w:rFonts w:eastAsia="Times New Roman"/>
                <w:sz w:val="20"/>
                <w:szCs w:val="20"/>
                <w:lang w:val="en-GB"/>
              </w:rPr>
            </w:pPr>
            <w:r w:rsidRPr="00D62D04">
              <w:rPr>
                <w:rFonts w:eastAsia="Times New Roman"/>
                <w:sz w:val="20"/>
                <w:szCs w:val="20"/>
                <w:lang w:val="en-GB"/>
              </w:rPr>
              <w:t>960</w:t>
            </w:r>
            <w:r w:rsidR="00DC0A87" w:rsidRPr="00D62D04">
              <w:rPr>
                <w:rFonts w:eastAsia="Times New Roman"/>
                <w:sz w:val="20"/>
                <w:szCs w:val="20"/>
                <w:lang w:val="en-GB"/>
              </w:rPr>
              <w:t>,</w:t>
            </w:r>
            <w:r w:rsidRPr="00D62D04">
              <w:rPr>
                <w:rFonts w:eastAsia="Times New Roman"/>
                <w:sz w:val="20"/>
                <w:szCs w:val="20"/>
                <w:lang w:val="en-GB"/>
              </w:rPr>
              <w:t>000</w:t>
            </w:r>
            <w:r w:rsidR="00DC0A87" w:rsidRPr="00D62D04">
              <w:rPr>
                <w:rFonts w:eastAsia="Times New Roman"/>
                <w:sz w:val="20"/>
                <w:szCs w:val="20"/>
                <w:lang w:val="en-GB"/>
              </w:rPr>
              <w:t>.</w:t>
            </w:r>
            <w:r w:rsidRPr="00D62D04">
              <w:rPr>
                <w:rFonts w:eastAsia="Times New Roman"/>
                <w:sz w:val="20"/>
                <w:szCs w:val="20"/>
                <w:lang w:val="en-GB"/>
              </w:rPr>
              <w:t>00</w:t>
            </w:r>
          </w:p>
        </w:tc>
        <w:tc>
          <w:tcPr>
            <w:tcW w:w="1266" w:type="dxa"/>
            <w:vAlign w:val="bottom"/>
          </w:tcPr>
          <w:p w14:paraId="4D6B424E" w14:textId="77777777" w:rsidR="00F31B10" w:rsidRPr="00D62D04" w:rsidRDefault="00F31B10" w:rsidP="00DC0A87">
            <w:pPr>
              <w:spacing w:after="0"/>
              <w:jc w:val="center"/>
              <w:rPr>
                <w:rFonts w:eastAsia="Times New Roman"/>
                <w:sz w:val="20"/>
                <w:szCs w:val="20"/>
                <w:lang w:val="en-GB"/>
              </w:rPr>
            </w:pPr>
            <w:r w:rsidRPr="00D62D04">
              <w:rPr>
                <w:rFonts w:eastAsia="Times New Roman"/>
                <w:sz w:val="20"/>
                <w:szCs w:val="20"/>
                <w:lang w:val="en-GB"/>
              </w:rPr>
              <w:t>750</w:t>
            </w:r>
            <w:r w:rsidR="00DC0A87" w:rsidRPr="00D62D04">
              <w:rPr>
                <w:rFonts w:eastAsia="Times New Roman"/>
                <w:sz w:val="20"/>
                <w:szCs w:val="20"/>
                <w:lang w:val="en-GB"/>
              </w:rPr>
              <w:t>,</w:t>
            </w:r>
            <w:r w:rsidRPr="00D62D04">
              <w:rPr>
                <w:rFonts w:eastAsia="Times New Roman"/>
                <w:sz w:val="20"/>
                <w:szCs w:val="20"/>
                <w:lang w:val="en-GB"/>
              </w:rPr>
              <w:t>000</w:t>
            </w:r>
            <w:r w:rsidR="00DC0A87" w:rsidRPr="00D62D04">
              <w:rPr>
                <w:rFonts w:eastAsia="Times New Roman"/>
                <w:sz w:val="20"/>
                <w:szCs w:val="20"/>
                <w:lang w:val="en-GB"/>
              </w:rPr>
              <w:t>.</w:t>
            </w:r>
            <w:r w:rsidRPr="00D62D04">
              <w:rPr>
                <w:rFonts w:eastAsia="Times New Roman"/>
                <w:sz w:val="20"/>
                <w:szCs w:val="20"/>
                <w:lang w:val="en-GB"/>
              </w:rPr>
              <w:t>00</w:t>
            </w:r>
          </w:p>
        </w:tc>
      </w:tr>
      <w:tr w:rsidR="00F31B10" w:rsidRPr="00D62D04" w14:paraId="230D5AD8" w14:textId="77777777" w:rsidTr="0056662A">
        <w:tc>
          <w:tcPr>
            <w:tcW w:w="2193" w:type="dxa"/>
            <w:vAlign w:val="bottom"/>
          </w:tcPr>
          <w:p w14:paraId="51461311" w14:textId="77777777" w:rsidR="00F31B10" w:rsidRPr="00D62D04" w:rsidRDefault="00DC0A87" w:rsidP="0056662A">
            <w:pPr>
              <w:spacing w:after="0"/>
              <w:rPr>
                <w:rFonts w:eastAsia="Times New Roman"/>
                <w:bCs/>
                <w:sz w:val="20"/>
                <w:szCs w:val="20"/>
                <w:lang w:val="en-GB"/>
              </w:rPr>
            </w:pPr>
            <w:r w:rsidRPr="00D62D04">
              <w:rPr>
                <w:rFonts w:eastAsia="Times New Roman"/>
                <w:bCs/>
                <w:sz w:val="20"/>
                <w:szCs w:val="20"/>
                <w:lang w:val="en-GB"/>
              </w:rPr>
              <w:t xml:space="preserve">Russians </w:t>
            </w:r>
          </w:p>
        </w:tc>
        <w:tc>
          <w:tcPr>
            <w:tcW w:w="1266" w:type="dxa"/>
            <w:vAlign w:val="bottom"/>
          </w:tcPr>
          <w:p w14:paraId="08566273" w14:textId="77777777" w:rsidR="00F31B10" w:rsidRPr="00D62D04" w:rsidRDefault="00F31B10" w:rsidP="0056662A">
            <w:pPr>
              <w:spacing w:after="0"/>
              <w:jc w:val="center"/>
              <w:rPr>
                <w:rFonts w:eastAsia="Times New Roman"/>
                <w:color w:val="000000"/>
                <w:sz w:val="20"/>
                <w:szCs w:val="20"/>
                <w:lang w:val="en-GB"/>
              </w:rPr>
            </w:pPr>
          </w:p>
        </w:tc>
        <w:tc>
          <w:tcPr>
            <w:tcW w:w="1385" w:type="dxa"/>
            <w:vAlign w:val="bottom"/>
          </w:tcPr>
          <w:p w14:paraId="750B7F23" w14:textId="77777777" w:rsidR="00F31B10" w:rsidRPr="00D62D04" w:rsidRDefault="00F31B10" w:rsidP="0056662A">
            <w:pPr>
              <w:spacing w:after="0"/>
              <w:jc w:val="center"/>
              <w:rPr>
                <w:rFonts w:eastAsia="Times New Roman"/>
                <w:sz w:val="20"/>
                <w:szCs w:val="20"/>
                <w:lang w:val="en-GB"/>
              </w:rPr>
            </w:pPr>
          </w:p>
        </w:tc>
        <w:tc>
          <w:tcPr>
            <w:tcW w:w="1385" w:type="dxa"/>
            <w:vAlign w:val="bottom"/>
          </w:tcPr>
          <w:p w14:paraId="551945BE" w14:textId="77777777" w:rsidR="00F31B10" w:rsidRPr="00D62D04" w:rsidRDefault="00F31B10" w:rsidP="0056662A">
            <w:pPr>
              <w:spacing w:after="0"/>
              <w:jc w:val="center"/>
              <w:rPr>
                <w:rFonts w:eastAsia="Times New Roman"/>
                <w:sz w:val="20"/>
                <w:szCs w:val="20"/>
                <w:lang w:val="en-GB"/>
              </w:rPr>
            </w:pPr>
          </w:p>
        </w:tc>
        <w:tc>
          <w:tcPr>
            <w:tcW w:w="1385" w:type="dxa"/>
            <w:vAlign w:val="bottom"/>
          </w:tcPr>
          <w:p w14:paraId="459576BF" w14:textId="77777777" w:rsidR="00F31B10" w:rsidRPr="00D62D04" w:rsidRDefault="00F31B10" w:rsidP="0056662A">
            <w:pPr>
              <w:spacing w:after="0"/>
              <w:jc w:val="center"/>
              <w:rPr>
                <w:rFonts w:eastAsia="Times New Roman"/>
                <w:sz w:val="20"/>
                <w:szCs w:val="20"/>
                <w:lang w:val="en-GB"/>
              </w:rPr>
            </w:pPr>
          </w:p>
        </w:tc>
        <w:tc>
          <w:tcPr>
            <w:tcW w:w="1266" w:type="dxa"/>
            <w:vAlign w:val="bottom"/>
          </w:tcPr>
          <w:p w14:paraId="11F9465F" w14:textId="77777777" w:rsidR="00F31B10" w:rsidRPr="00D62D04" w:rsidRDefault="00F31B10" w:rsidP="00DC0A87">
            <w:pPr>
              <w:spacing w:after="0"/>
              <w:jc w:val="center"/>
              <w:rPr>
                <w:rFonts w:eastAsia="Times New Roman"/>
                <w:sz w:val="20"/>
                <w:szCs w:val="20"/>
                <w:lang w:val="en-GB"/>
              </w:rPr>
            </w:pPr>
            <w:r w:rsidRPr="00D62D04">
              <w:rPr>
                <w:rFonts w:eastAsia="Times New Roman"/>
                <w:sz w:val="20"/>
                <w:szCs w:val="20"/>
                <w:lang w:val="en-GB"/>
              </w:rPr>
              <w:t>120</w:t>
            </w:r>
            <w:r w:rsidR="00DC0A87" w:rsidRPr="00D62D04">
              <w:rPr>
                <w:rFonts w:eastAsia="Times New Roman"/>
                <w:sz w:val="20"/>
                <w:szCs w:val="20"/>
                <w:lang w:val="en-GB"/>
              </w:rPr>
              <w:t>,</w:t>
            </w:r>
            <w:r w:rsidRPr="00D62D04">
              <w:rPr>
                <w:rFonts w:eastAsia="Times New Roman"/>
                <w:sz w:val="20"/>
                <w:szCs w:val="20"/>
                <w:lang w:val="en-GB"/>
              </w:rPr>
              <w:t>000</w:t>
            </w:r>
            <w:r w:rsidR="00DC0A87" w:rsidRPr="00D62D04">
              <w:rPr>
                <w:rFonts w:eastAsia="Times New Roman"/>
                <w:sz w:val="20"/>
                <w:szCs w:val="20"/>
                <w:lang w:val="en-GB"/>
              </w:rPr>
              <w:t>.</w:t>
            </w:r>
            <w:r w:rsidRPr="00D62D04">
              <w:rPr>
                <w:rFonts w:eastAsia="Times New Roman"/>
                <w:sz w:val="20"/>
                <w:szCs w:val="20"/>
                <w:lang w:val="en-GB"/>
              </w:rPr>
              <w:t>00</w:t>
            </w:r>
          </w:p>
        </w:tc>
      </w:tr>
      <w:tr w:rsidR="00F31B10" w:rsidRPr="00D62D04" w14:paraId="0CF79765" w14:textId="77777777" w:rsidTr="0056662A">
        <w:tc>
          <w:tcPr>
            <w:tcW w:w="2193" w:type="dxa"/>
          </w:tcPr>
          <w:p w14:paraId="5262CA03" w14:textId="77777777" w:rsidR="00F31B10" w:rsidRPr="00D62D04" w:rsidRDefault="00E57007" w:rsidP="0056662A">
            <w:pPr>
              <w:spacing w:after="0"/>
              <w:rPr>
                <w:sz w:val="20"/>
                <w:szCs w:val="20"/>
                <w:lang w:val="en-GB"/>
              </w:rPr>
            </w:pPr>
            <w:proofErr w:type="spellStart"/>
            <w:r w:rsidRPr="00D62D04">
              <w:rPr>
                <w:sz w:val="20"/>
                <w:szCs w:val="20"/>
                <w:lang w:val="en-GB"/>
              </w:rPr>
              <w:t>Ruthenians</w:t>
            </w:r>
            <w:proofErr w:type="spellEnd"/>
          </w:p>
        </w:tc>
        <w:tc>
          <w:tcPr>
            <w:tcW w:w="1266" w:type="dxa"/>
            <w:vAlign w:val="bottom"/>
          </w:tcPr>
          <w:p w14:paraId="32ECC21D" w14:textId="77777777" w:rsidR="00F31B10" w:rsidRPr="00D62D04" w:rsidRDefault="00F31B10" w:rsidP="00E57007">
            <w:pPr>
              <w:spacing w:after="0"/>
              <w:jc w:val="center"/>
              <w:rPr>
                <w:rFonts w:eastAsia="Times New Roman"/>
                <w:color w:val="000000"/>
                <w:sz w:val="20"/>
                <w:szCs w:val="20"/>
                <w:lang w:val="en-GB"/>
              </w:rPr>
            </w:pPr>
            <w:r w:rsidRPr="00D62D04">
              <w:rPr>
                <w:rFonts w:eastAsia="Times New Roman"/>
                <w:color w:val="000000"/>
                <w:sz w:val="20"/>
                <w:szCs w:val="20"/>
                <w:lang w:val="en-GB"/>
              </w:rPr>
              <w:t>510</w:t>
            </w:r>
            <w:r w:rsidR="00E57007" w:rsidRPr="00D62D04">
              <w:rPr>
                <w:rFonts w:eastAsia="Times New Roman"/>
                <w:color w:val="000000"/>
                <w:sz w:val="20"/>
                <w:szCs w:val="20"/>
                <w:lang w:val="en-GB"/>
              </w:rPr>
              <w:t>,</w:t>
            </w:r>
            <w:r w:rsidRPr="00D62D04">
              <w:rPr>
                <w:rFonts w:eastAsia="Times New Roman"/>
                <w:color w:val="000000"/>
                <w:sz w:val="20"/>
                <w:szCs w:val="20"/>
                <w:lang w:val="en-GB"/>
              </w:rPr>
              <w:t>000</w:t>
            </w:r>
            <w:r w:rsidR="00E57007" w:rsidRPr="00D62D04">
              <w:rPr>
                <w:rFonts w:eastAsia="Times New Roman"/>
                <w:color w:val="000000"/>
                <w:sz w:val="20"/>
                <w:szCs w:val="20"/>
                <w:lang w:val="en-GB"/>
              </w:rPr>
              <w:t>.</w:t>
            </w:r>
            <w:r w:rsidRPr="00D62D04">
              <w:rPr>
                <w:rFonts w:eastAsia="Times New Roman"/>
                <w:color w:val="000000"/>
                <w:sz w:val="20"/>
                <w:szCs w:val="20"/>
                <w:lang w:val="en-GB"/>
              </w:rPr>
              <w:t>00</w:t>
            </w:r>
          </w:p>
        </w:tc>
        <w:tc>
          <w:tcPr>
            <w:tcW w:w="1385" w:type="dxa"/>
            <w:vAlign w:val="bottom"/>
          </w:tcPr>
          <w:p w14:paraId="3FDF9107" w14:textId="77777777" w:rsidR="00F31B10" w:rsidRPr="00D62D04" w:rsidRDefault="00F31B10" w:rsidP="00E57007">
            <w:pPr>
              <w:spacing w:after="0"/>
              <w:jc w:val="center"/>
              <w:rPr>
                <w:rFonts w:eastAsia="Times New Roman"/>
                <w:sz w:val="20"/>
                <w:szCs w:val="20"/>
                <w:lang w:val="en-GB"/>
              </w:rPr>
            </w:pPr>
            <w:r w:rsidRPr="00D62D04">
              <w:rPr>
                <w:rFonts w:eastAsia="Times New Roman"/>
                <w:sz w:val="20"/>
                <w:szCs w:val="20"/>
                <w:lang w:val="en-GB"/>
              </w:rPr>
              <w:t>740</w:t>
            </w:r>
            <w:r w:rsidR="00E57007" w:rsidRPr="00D62D04">
              <w:rPr>
                <w:rFonts w:eastAsia="Times New Roman"/>
                <w:sz w:val="20"/>
                <w:szCs w:val="20"/>
                <w:lang w:val="en-GB"/>
              </w:rPr>
              <w:t>,</w:t>
            </w:r>
            <w:r w:rsidRPr="00D62D04">
              <w:rPr>
                <w:rFonts w:eastAsia="Times New Roman"/>
                <w:sz w:val="20"/>
                <w:szCs w:val="20"/>
                <w:lang w:val="en-GB"/>
              </w:rPr>
              <w:t>000</w:t>
            </w:r>
            <w:r w:rsidR="00E57007" w:rsidRPr="00D62D04">
              <w:rPr>
                <w:rFonts w:eastAsia="Times New Roman"/>
                <w:sz w:val="20"/>
                <w:szCs w:val="20"/>
                <w:lang w:val="en-GB"/>
              </w:rPr>
              <w:t>.</w:t>
            </w:r>
            <w:r w:rsidRPr="00D62D04">
              <w:rPr>
                <w:rFonts w:eastAsia="Times New Roman"/>
                <w:sz w:val="20"/>
                <w:szCs w:val="20"/>
                <w:lang w:val="en-GB"/>
              </w:rPr>
              <w:t>00</w:t>
            </w:r>
          </w:p>
        </w:tc>
        <w:tc>
          <w:tcPr>
            <w:tcW w:w="1385" w:type="dxa"/>
            <w:vAlign w:val="bottom"/>
          </w:tcPr>
          <w:p w14:paraId="7ECB7FBF" w14:textId="77777777" w:rsidR="00F31B10" w:rsidRPr="00D62D04" w:rsidRDefault="00F31B10" w:rsidP="00E57007">
            <w:pPr>
              <w:spacing w:after="0"/>
              <w:jc w:val="center"/>
              <w:rPr>
                <w:rFonts w:eastAsia="Times New Roman"/>
                <w:sz w:val="20"/>
                <w:szCs w:val="20"/>
                <w:lang w:val="en-GB"/>
              </w:rPr>
            </w:pPr>
            <w:r w:rsidRPr="00D62D04">
              <w:rPr>
                <w:rFonts w:eastAsia="Times New Roman"/>
                <w:sz w:val="20"/>
                <w:szCs w:val="20"/>
                <w:lang w:val="en-GB"/>
              </w:rPr>
              <w:t>941</w:t>
            </w:r>
            <w:r w:rsidR="00E57007" w:rsidRPr="00D62D04">
              <w:rPr>
                <w:rFonts w:eastAsia="Times New Roman"/>
                <w:sz w:val="20"/>
                <w:szCs w:val="20"/>
                <w:lang w:val="en-GB"/>
              </w:rPr>
              <w:t>,</w:t>
            </w:r>
            <w:r w:rsidRPr="00D62D04">
              <w:rPr>
                <w:rFonts w:eastAsia="Times New Roman"/>
                <w:sz w:val="20"/>
                <w:szCs w:val="20"/>
                <w:lang w:val="en-GB"/>
              </w:rPr>
              <w:t>000</w:t>
            </w:r>
            <w:r w:rsidR="00E57007" w:rsidRPr="00D62D04">
              <w:rPr>
                <w:rFonts w:eastAsia="Times New Roman"/>
                <w:sz w:val="20"/>
                <w:szCs w:val="20"/>
                <w:lang w:val="en-GB"/>
              </w:rPr>
              <w:t>.</w:t>
            </w:r>
            <w:r w:rsidRPr="00D62D04">
              <w:rPr>
                <w:rFonts w:eastAsia="Times New Roman"/>
                <w:sz w:val="20"/>
                <w:szCs w:val="20"/>
                <w:lang w:val="en-GB"/>
              </w:rPr>
              <w:t>00</w:t>
            </w:r>
          </w:p>
        </w:tc>
        <w:tc>
          <w:tcPr>
            <w:tcW w:w="1385" w:type="dxa"/>
            <w:vAlign w:val="bottom"/>
          </w:tcPr>
          <w:p w14:paraId="5FF0CA28" w14:textId="77777777" w:rsidR="00F31B10" w:rsidRPr="00D62D04" w:rsidRDefault="00F31B10" w:rsidP="00E57007">
            <w:pPr>
              <w:spacing w:after="0"/>
              <w:jc w:val="center"/>
              <w:rPr>
                <w:rFonts w:eastAsia="Times New Roman"/>
                <w:sz w:val="20"/>
                <w:szCs w:val="20"/>
                <w:lang w:val="en-GB"/>
              </w:rPr>
            </w:pPr>
            <w:r w:rsidRPr="00D62D04">
              <w:rPr>
                <w:rFonts w:eastAsia="Times New Roman"/>
                <w:sz w:val="20"/>
                <w:szCs w:val="20"/>
                <w:lang w:val="en-GB"/>
              </w:rPr>
              <w:t>680</w:t>
            </w:r>
            <w:r w:rsidR="00E57007" w:rsidRPr="00D62D04">
              <w:rPr>
                <w:rFonts w:eastAsia="Times New Roman"/>
                <w:sz w:val="20"/>
                <w:szCs w:val="20"/>
                <w:lang w:val="en-GB"/>
              </w:rPr>
              <w:t>,</w:t>
            </w:r>
            <w:r w:rsidRPr="00D62D04">
              <w:rPr>
                <w:rFonts w:eastAsia="Times New Roman"/>
                <w:sz w:val="20"/>
                <w:szCs w:val="20"/>
                <w:lang w:val="en-GB"/>
              </w:rPr>
              <w:t>000</w:t>
            </w:r>
            <w:r w:rsidR="00E57007" w:rsidRPr="00D62D04">
              <w:rPr>
                <w:rFonts w:eastAsia="Times New Roman"/>
                <w:sz w:val="20"/>
                <w:szCs w:val="20"/>
                <w:lang w:val="en-GB"/>
              </w:rPr>
              <w:t>.</w:t>
            </w:r>
            <w:r w:rsidRPr="00D62D04">
              <w:rPr>
                <w:rFonts w:eastAsia="Times New Roman"/>
                <w:sz w:val="20"/>
                <w:szCs w:val="20"/>
                <w:lang w:val="en-GB"/>
              </w:rPr>
              <w:t>00</w:t>
            </w:r>
          </w:p>
        </w:tc>
        <w:tc>
          <w:tcPr>
            <w:tcW w:w="1266" w:type="dxa"/>
            <w:vAlign w:val="bottom"/>
          </w:tcPr>
          <w:p w14:paraId="33883F77" w14:textId="77777777" w:rsidR="00F31B10" w:rsidRPr="00D62D04" w:rsidRDefault="00F31B10" w:rsidP="00E57007">
            <w:pPr>
              <w:spacing w:after="0"/>
              <w:jc w:val="center"/>
              <w:rPr>
                <w:rFonts w:eastAsia="Times New Roman"/>
                <w:sz w:val="20"/>
                <w:szCs w:val="20"/>
                <w:lang w:val="en-GB"/>
              </w:rPr>
            </w:pPr>
            <w:r w:rsidRPr="00D62D04">
              <w:rPr>
                <w:rFonts w:eastAsia="Times New Roman"/>
                <w:sz w:val="20"/>
                <w:szCs w:val="20"/>
                <w:lang w:val="en-GB"/>
              </w:rPr>
              <w:t>840</w:t>
            </w:r>
            <w:r w:rsidR="00E57007" w:rsidRPr="00D62D04">
              <w:rPr>
                <w:rFonts w:eastAsia="Times New Roman"/>
                <w:sz w:val="20"/>
                <w:szCs w:val="20"/>
                <w:lang w:val="en-GB"/>
              </w:rPr>
              <w:t>,</w:t>
            </w:r>
            <w:r w:rsidRPr="00D62D04">
              <w:rPr>
                <w:rFonts w:eastAsia="Times New Roman"/>
                <w:sz w:val="20"/>
                <w:szCs w:val="20"/>
                <w:lang w:val="en-GB"/>
              </w:rPr>
              <w:t>000</w:t>
            </w:r>
            <w:r w:rsidR="00E57007" w:rsidRPr="00D62D04">
              <w:rPr>
                <w:rFonts w:eastAsia="Times New Roman"/>
                <w:sz w:val="20"/>
                <w:szCs w:val="20"/>
                <w:lang w:val="en-GB"/>
              </w:rPr>
              <w:t>.</w:t>
            </w:r>
            <w:r w:rsidRPr="00D62D04">
              <w:rPr>
                <w:rFonts w:eastAsia="Times New Roman"/>
                <w:sz w:val="20"/>
                <w:szCs w:val="20"/>
                <w:lang w:val="en-GB"/>
              </w:rPr>
              <w:t>00</w:t>
            </w:r>
          </w:p>
        </w:tc>
      </w:tr>
      <w:tr w:rsidR="00F31B10" w:rsidRPr="00D62D04" w14:paraId="0CABAC6D" w14:textId="77777777" w:rsidTr="0056662A">
        <w:tc>
          <w:tcPr>
            <w:tcW w:w="2193" w:type="dxa"/>
          </w:tcPr>
          <w:p w14:paraId="1177A508" w14:textId="77777777" w:rsidR="00F31B10" w:rsidRPr="00D62D04" w:rsidRDefault="00E57007" w:rsidP="0056662A">
            <w:pPr>
              <w:spacing w:after="0"/>
              <w:rPr>
                <w:sz w:val="20"/>
                <w:szCs w:val="20"/>
                <w:lang w:val="en-GB"/>
              </w:rPr>
            </w:pPr>
            <w:r w:rsidRPr="00D62D04">
              <w:rPr>
                <w:sz w:val="20"/>
                <w:szCs w:val="20"/>
                <w:lang w:val="en-GB"/>
              </w:rPr>
              <w:t xml:space="preserve">Slovaks </w:t>
            </w:r>
          </w:p>
        </w:tc>
        <w:tc>
          <w:tcPr>
            <w:tcW w:w="1266" w:type="dxa"/>
            <w:vAlign w:val="bottom"/>
          </w:tcPr>
          <w:p w14:paraId="3602E53F" w14:textId="77777777" w:rsidR="00F31B10" w:rsidRPr="00D62D04" w:rsidRDefault="00F31B10" w:rsidP="00E57007">
            <w:pPr>
              <w:spacing w:after="0"/>
              <w:jc w:val="center"/>
              <w:rPr>
                <w:rFonts w:eastAsia="Times New Roman"/>
                <w:color w:val="000000"/>
                <w:sz w:val="20"/>
                <w:szCs w:val="20"/>
                <w:lang w:val="en-GB"/>
              </w:rPr>
            </w:pPr>
            <w:r w:rsidRPr="00D62D04">
              <w:rPr>
                <w:rFonts w:eastAsia="Times New Roman"/>
                <w:color w:val="000000"/>
                <w:sz w:val="20"/>
                <w:szCs w:val="20"/>
                <w:lang w:val="en-GB"/>
              </w:rPr>
              <w:t>1</w:t>
            </w:r>
            <w:r w:rsidR="00E57007" w:rsidRPr="00D62D04">
              <w:rPr>
                <w:rFonts w:eastAsia="Times New Roman"/>
                <w:color w:val="000000"/>
                <w:sz w:val="20"/>
                <w:szCs w:val="20"/>
                <w:lang w:val="en-GB"/>
              </w:rPr>
              <w:t>,</w:t>
            </w:r>
            <w:r w:rsidRPr="00D62D04">
              <w:rPr>
                <w:rFonts w:eastAsia="Times New Roman"/>
                <w:color w:val="000000"/>
                <w:sz w:val="20"/>
                <w:szCs w:val="20"/>
                <w:lang w:val="en-GB"/>
              </w:rPr>
              <w:t>060</w:t>
            </w:r>
            <w:r w:rsidR="00E57007" w:rsidRPr="00D62D04">
              <w:rPr>
                <w:rFonts w:eastAsia="Times New Roman"/>
                <w:color w:val="000000"/>
                <w:sz w:val="20"/>
                <w:szCs w:val="20"/>
                <w:lang w:val="en-GB"/>
              </w:rPr>
              <w:t>,</w:t>
            </w:r>
            <w:r w:rsidRPr="00D62D04">
              <w:rPr>
                <w:rFonts w:eastAsia="Times New Roman"/>
                <w:color w:val="000000"/>
                <w:sz w:val="20"/>
                <w:szCs w:val="20"/>
                <w:lang w:val="en-GB"/>
              </w:rPr>
              <w:t>000</w:t>
            </w:r>
            <w:r w:rsidR="00E57007" w:rsidRPr="00D62D04">
              <w:rPr>
                <w:rFonts w:eastAsia="Times New Roman"/>
                <w:color w:val="000000"/>
                <w:sz w:val="20"/>
                <w:szCs w:val="20"/>
                <w:lang w:val="en-GB"/>
              </w:rPr>
              <w:t>.</w:t>
            </w:r>
            <w:r w:rsidRPr="00D62D04">
              <w:rPr>
                <w:rFonts w:eastAsia="Times New Roman"/>
                <w:color w:val="000000"/>
                <w:sz w:val="20"/>
                <w:szCs w:val="20"/>
                <w:lang w:val="en-GB"/>
              </w:rPr>
              <w:t>00</w:t>
            </w:r>
          </w:p>
        </w:tc>
        <w:tc>
          <w:tcPr>
            <w:tcW w:w="1385" w:type="dxa"/>
            <w:vAlign w:val="bottom"/>
          </w:tcPr>
          <w:p w14:paraId="2821645A" w14:textId="77777777" w:rsidR="00F31B10" w:rsidRPr="00D62D04" w:rsidRDefault="00F31B10" w:rsidP="00E57007">
            <w:pPr>
              <w:spacing w:after="0"/>
              <w:jc w:val="center"/>
              <w:rPr>
                <w:rFonts w:eastAsia="Times New Roman"/>
                <w:sz w:val="20"/>
                <w:szCs w:val="20"/>
                <w:lang w:val="en-GB"/>
              </w:rPr>
            </w:pPr>
            <w:r w:rsidRPr="00D62D04">
              <w:rPr>
                <w:rFonts w:eastAsia="Times New Roman"/>
                <w:sz w:val="20"/>
                <w:szCs w:val="20"/>
                <w:lang w:val="en-GB"/>
              </w:rPr>
              <w:t>850</w:t>
            </w:r>
            <w:r w:rsidR="00E57007" w:rsidRPr="00D62D04">
              <w:rPr>
                <w:rFonts w:eastAsia="Times New Roman"/>
                <w:sz w:val="20"/>
                <w:szCs w:val="20"/>
                <w:lang w:val="en-GB"/>
              </w:rPr>
              <w:t>,</w:t>
            </w:r>
            <w:r w:rsidRPr="00D62D04">
              <w:rPr>
                <w:rFonts w:eastAsia="Times New Roman"/>
                <w:sz w:val="20"/>
                <w:szCs w:val="20"/>
                <w:lang w:val="en-GB"/>
              </w:rPr>
              <w:t>000</w:t>
            </w:r>
            <w:r w:rsidR="00E57007" w:rsidRPr="00D62D04">
              <w:rPr>
                <w:rFonts w:eastAsia="Times New Roman"/>
                <w:sz w:val="20"/>
                <w:szCs w:val="20"/>
                <w:lang w:val="en-GB"/>
              </w:rPr>
              <w:t>.</w:t>
            </w:r>
            <w:r w:rsidRPr="00D62D04">
              <w:rPr>
                <w:rFonts w:eastAsia="Times New Roman"/>
                <w:sz w:val="20"/>
                <w:szCs w:val="20"/>
                <w:lang w:val="en-GB"/>
              </w:rPr>
              <w:t>00</w:t>
            </w:r>
          </w:p>
        </w:tc>
        <w:tc>
          <w:tcPr>
            <w:tcW w:w="1385" w:type="dxa"/>
            <w:vAlign w:val="bottom"/>
          </w:tcPr>
          <w:p w14:paraId="24138898" w14:textId="77777777" w:rsidR="00F31B10" w:rsidRPr="00D62D04" w:rsidRDefault="00F31B10" w:rsidP="00E57007">
            <w:pPr>
              <w:spacing w:after="0"/>
              <w:jc w:val="center"/>
              <w:rPr>
                <w:rFonts w:eastAsia="Times New Roman"/>
                <w:sz w:val="20"/>
                <w:szCs w:val="20"/>
                <w:lang w:val="en-GB"/>
              </w:rPr>
            </w:pPr>
            <w:r w:rsidRPr="00D62D04">
              <w:rPr>
                <w:rFonts w:eastAsia="Times New Roman"/>
                <w:sz w:val="20"/>
                <w:szCs w:val="20"/>
                <w:lang w:val="en-GB"/>
              </w:rPr>
              <w:t>1</w:t>
            </w:r>
            <w:r w:rsidR="00E57007" w:rsidRPr="00D62D04">
              <w:rPr>
                <w:rFonts w:eastAsia="Times New Roman"/>
                <w:sz w:val="20"/>
                <w:szCs w:val="20"/>
                <w:lang w:val="en-GB"/>
              </w:rPr>
              <w:t>,</w:t>
            </w:r>
            <w:r w:rsidRPr="00D62D04">
              <w:rPr>
                <w:rFonts w:eastAsia="Times New Roman"/>
                <w:sz w:val="20"/>
                <w:szCs w:val="20"/>
                <w:lang w:val="en-GB"/>
              </w:rPr>
              <w:t>044</w:t>
            </w:r>
            <w:r w:rsidR="00E57007" w:rsidRPr="00D62D04">
              <w:rPr>
                <w:rFonts w:eastAsia="Times New Roman"/>
                <w:sz w:val="20"/>
                <w:szCs w:val="20"/>
                <w:lang w:val="en-GB"/>
              </w:rPr>
              <w:t>,</w:t>
            </w:r>
            <w:r w:rsidRPr="00D62D04">
              <w:rPr>
                <w:rFonts w:eastAsia="Times New Roman"/>
                <w:sz w:val="20"/>
                <w:szCs w:val="20"/>
                <w:lang w:val="en-GB"/>
              </w:rPr>
              <w:t>000</w:t>
            </w:r>
            <w:r w:rsidR="00E57007" w:rsidRPr="00D62D04">
              <w:rPr>
                <w:rFonts w:eastAsia="Times New Roman"/>
                <w:sz w:val="20"/>
                <w:szCs w:val="20"/>
                <w:lang w:val="en-GB"/>
              </w:rPr>
              <w:t>.</w:t>
            </w:r>
            <w:r w:rsidRPr="00D62D04">
              <w:rPr>
                <w:rFonts w:eastAsia="Times New Roman"/>
                <w:sz w:val="20"/>
                <w:szCs w:val="20"/>
                <w:lang w:val="en-GB"/>
              </w:rPr>
              <w:t>00</w:t>
            </w:r>
          </w:p>
        </w:tc>
        <w:tc>
          <w:tcPr>
            <w:tcW w:w="1385" w:type="dxa"/>
            <w:vAlign w:val="bottom"/>
          </w:tcPr>
          <w:p w14:paraId="1C6BF607" w14:textId="77777777" w:rsidR="00F31B10" w:rsidRPr="00D62D04" w:rsidRDefault="00F31B10" w:rsidP="00E57007">
            <w:pPr>
              <w:spacing w:after="0"/>
              <w:jc w:val="center"/>
              <w:rPr>
                <w:rFonts w:eastAsia="Times New Roman"/>
                <w:sz w:val="20"/>
                <w:szCs w:val="20"/>
                <w:lang w:val="en-GB"/>
              </w:rPr>
            </w:pPr>
            <w:r w:rsidRPr="00D62D04">
              <w:rPr>
                <w:rFonts w:eastAsia="Times New Roman"/>
                <w:sz w:val="20"/>
                <w:szCs w:val="20"/>
                <w:lang w:val="en-GB"/>
              </w:rPr>
              <w:t>1</w:t>
            </w:r>
            <w:r w:rsidR="00E57007" w:rsidRPr="00D62D04">
              <w:rPr>
                <w:rFonts w:eastAsia="Times New Roman"/>
                <w:sz w:val="20"/>
                <w:szCs w:val="20"/>
                <w:lang w:val="en-GB"/>
              </w:rPr>
              <w:t>,</w:t>
            </w:r>
            <w:r w:rsidRPr="00D62D04">
              <w:rPr>
                <w:rFonts w:eastAsia="Times New Roman"/>
                <w:sz w:val="20"/>
                <w:szCs w:val="20"/>
                <w:lang w:val="en-GB"/>
              </w:rPr>
              <w:t>020</w:t>
            </w:r>
            <w:r w:rsidR="00E57007" w:rsidRPr="00D62D04">
              <w:rPr>
                <w:rFonts w:eastAsia="Times New Roman"/>
                <w:sz w:val="20"/>
                <w:szCs w:val="20"/>
                <w:lang w:val="en-GB"/>
              </w:rPr>
              <w:t>,</w:t>
            </w:r>
            <w:r w:rsidRPr="00D62D04">
              <w:rPr>
                <w:rFonts w:eastAsia="Times New Roman"/>
                <w:sz w:val="20"/>
                <w:szCs w:val="20"/>
                <w:lang w:val="en-GB"/>
              </w:rPr>
              <w:t>000</w:t>
            </w:r>
            <w:r w:rsidR="00E57007" w:rsidRPr="00D62D04">
              <w:rPr>
                <w:rFonts w:eastAsia="Times New Roman"/>
                <w:sz w:val="20"/>
                <w:szCs w:val="20"/>
                <w:lang w:val="en-GB"/>
              </w:rPr>
              <w:t>.</w:t>
            </w:r>
            <w:r w:rsidRPr="00D62D04">
              <w:rPr>
                <w:rFonts w:eastAsia="Times New Roman"/>
                <w:sz w:val="20"/>
                <w:szCs w:val="20"/>
                <w:lang w:val="en-GB"/>
              </w:rPr>
              <w:t>00</w:t>
            </w:r>
          </w:p>
        </w:tc>
        <w:tc>
          <w:tcPr>
            <w:tcW w:w="1266" w:type="dxa"/>
            <w:vAlign w:val="bottom"/>
          </w:tcPr>
          <w:p w14:paraId="74CA36F8" w14:textId="77777777" w:rsidR="00F31B10" w:rsidRPr="00D62D04" w:rsidRDefault="00F31B10" w:rsidP="00E57007">
            <w:pPr>
              <w:spacing w:after="0"/>
              <w:jc w:val="center"/>
              <w:rPr>
                <w:rFonts w:eastAsia="Times New Roman"/>
                <w:sz w:val="20"/>
                <w:szCs w:val="20"/>
                <w:lang w:val="en-GB"/>
              </w:rPr>
            </w:pPr>
            <w:r w:rsidRPr="00D62D04">
              <w:rPr>
                <w:rFonts w:eastAsia="Times New Roman"/>
                <w:sz w:val="20"/>
                <w:szCs w:val="20"/>
                <w:lang w:val="en-GB"/>
              </w:rPr>
              <w:t>1</w:t>
            </w:r>
            <w:r w:rsidR="00E57007" w:rsidRPr="00D62D04">
              <w:rPr>
                <w:rFonts w:eastAsia="Times New Roman"/>
                <w:sz w:val="20"/>
                <w:szCs w:val="20"/>
                <w:lang w:val="en-GB"/>
              </w:rPr>
              <w:t>,</w:t>
            </w:r>
            <w:r w:rsidRPr="00D62D04">
              <w:rPr>
                <w:rFonts w:eastAsia="Times New Roman"/>
                <w:sz w:val="20"/>
                <w:szCs w:val="20"/>
                <w:lang w:val="en-GB"/>
              </w:rPr>
              <w:t>080</w:t>
            </w:r>
            <w:r w:rsidR="00E57007" w:rsidRPr="00D62D04">
              <w:rPr>
                <w:rFonts w:eastAsia="Times New Roman"/>
                <w:sz w:val="20"/>
                <w:szCs w:val="20"/>
                <w:lang w:val="en-GB"/>
              </w:rPr>
              <w:t>,</w:t>
            </w:r>
            <w:r w:rsidRPr="00D62D04">
              <w:rPr>
                <w:rFonts w:eastAsia="Times New Roman"/>
                <w:sz w:val="20"/>
                <w:szCs w:val="20"/>
                <w:lang w:val="en-GB"/>
              </w:rPr>
              <w:t>000</w:t>
            </w:r>
            <w:r w:rsidR="00E57007" w:rsidRPr="00D62D04">
              <w:rPr>
                <w:rFonts w:eastAsia="Times New Roman"/>
                <w:sz w:val="20"/>
                <w:szCs w:val="20"/>
                <w:lang w:val="en-GB"/>
              </w:rPr>
              <w:t>.</w:t>
            </w:r>
            <w:r w:rsidRPr="00D62D04">
              <w:rPr>
                <w:rFonts w:eastAsia="Times New Roman"/>
                <w:sz w:val="20"/>
                <w:szCs w:val="20"/>
                <w:lang w:val="en-GB"/>
              </w:rPr>
              <w:t>00</w:t>
            </w:r>
          </w:p>
        </w:tc>
      </w:tr>
      <w:tr w:rsidR="00F31B10" w:rsidRPr="00D62D04" w14:paraId="21248867" w14:textId="77777777" w:rsidTr="0056662A">
        <w:tc>
          <w:tcPr>
            <w:tcW w:w="2193" w:type="dxa"/>
          </w:tcPr>
          <w:p w14:paraId="31028D77" w14:textId="77777777" w:rsidR="00F31B10" w:rsidRPr="00D62D04" w:rsidRDefault="00E57007" w:rsidP="0056662A">
            <w:pPr>
              <w:spacing w:after="0"/>
              <w:rPr>
                <w:sz w:val="20"/>
                <w:szCs w:val="20"/>
                <w:lang w:val="en-GB"/>
              </w:rPr>
            </w:pPr>
            <w:r w:rsidRPr="00D62D04">
              <w:rPr>
                <w:sz w:val="20"/>
                <w:szCs w:val="20"/>
                <w:lang w:val="en-GB"/>
              </w:rPr>
              <w:t xml:space="preserve">Slovenians </w:t>
            </w:r>
          </w:p>
        </w:tc>
        <w:tc>
          <w:tcPr>
            <w:tcW w:w="1266" w:type="dxa"/>
            <w:vAlign w:val="bottom"/>
          </w:tcPr>
          <w:p w14:paraId="49F9ED17" w14:textId="77777777" w:rsidR="00F31B10" w:rsidRPr="00D62D04" w:rsidRDefault="00F31B10" w:rsidP="00E57007">
            <w:pPr>
              <w:spacing w:after="0"/>
              <w:jc w:val="center"/>
              <w:rPr>
                <w:rFonts w:eastAsia="Times New Roman"/>
                <w:color w:val="000000"/>
                <w:sz w:val="20"/>
                <w:szCs w:val="20"/>
                <w:lang w:val="en-GB"/>
              </w:rPr>
            </w:pPr>
            <w:r w:rsidRPr="00D62D04">
              <w:rPr>
                <w:rFonts w:eastAsia="Times New Roman"/>
                <w:color w:val="000000"/>
                <w:sz w:val="20"/>
                <w:szCs w:val="20"/>
                <w:lang w:val="en-GB"/>
              </w:rPr>
              <w:t>360</w:t>
            </w:r>
            <w:r w:rsidR="00E57007" w:rsidRPr="00D62D04">
              <w:rPr>
                <w:rFonts w:eastAsia="Times New Roman"/>
                <w:color w:val="000000"/>
                <w:sz w:val="20"/>
                <w:szCs w:val="20"/>
                <w:lang w:val="en-GB"/>
              </w:rPr>
              <w:t>,</w:t>
            </w:r>
            <w:r w:rsidRPr="00D62D04">
              <w:rPr>
                <w:rFonts w:eastAsia="Times New Roman"/>
                <w:color w:val="000000"/>
                <w:sz w:val="20"/>
                <w:szCs w:val="20"/>
                <w:lang w:val="en-GB"/>
              </w:rPr>
              <w:t>000</w:t>
            </w:r>
            <w:r w:rsidR="00E57007" w:rsidRPr="00D62D04">
              <w:rPr>
                <w:rFonts w:eastAsia="Times New Roman"/>
                <w:color w:val="000000"/>
                <w:sz w:val="20"/>
                <w:szCs w:val="20"/>
                <w:lang w:val="en-GB"/>
              </w:rPr>
              <w:t>.</w:t>
            </w:r>
            <w:r w:rsidRPr="00D62D04">
              <w:rPr>
                <w:rFonts w:eastAsia="Times New Roman"/>
                <w:color w:val="000000"/>
                <w:sz w:val="20"/>
                <w:szCs w:val="20"/>
                <w:lang w:val="en-GB"/>
              </w:rPr>
              <w:t>00</w:t>
            </w:r>
          </w:p>
        </w:tc>
        <w:tc>
          <w:tcPr>
            <w:tcW w:w="1385" w:type="dxa"/>
            <w:vAlign w:val="bottom"/>
          </w:tcPr>
          <w:p w14:paraId="1409638D" w14:textId="77777777" w:rsidR="00F31B10" w:rsidRPr="00D62D04" w:rsidRDefault="00F31B10" w:rsidP="00E57007">
            <w:pPr>
              <w:spacing w:after="0"/>
              <w:jc w:val="center"/>
              <w:rPr>
                <w:rFonts w:eastAsia="Times New Roman"/>
                <w:sz w:val="20"/>
                <w:szCs w:val="20"/>
                <w:lang w:val="en-GB"/>
              </w:rPr>
            </w:pPr>
            <w:r w:rsidRPr="00D62D04">
              <w:rPr>
                <w:rFonts w:eastAsia="Times New Roman"/>
                <w:sz w:val="20"/>
                <w:szCs w:val="20"/>
                <w:lang w:val="en-GB"/>
              </w:rPr>
              <w:t>360</w:t>
            </w:r>
            <w:r w:rsidR="00E57007" w:rsidRPr="00D62D04">
              <w:rPr>
                <w:rFonts w:eastAsia="Times New Roman"/>
                <w:sz w:val="20"/>
                <w:szCs w:val="20"/>
                <w:lang w:val="en-GB"/>
              </w:rPr>
              <w:t>,</w:t>
            </w:r>
            <w:r w:rsidRPr="00D62D04">
              <w:rPr>
                <w:rFonts w:eastAsia="Times New Roman"/>
                <w:sz w:val="20"/>
                <w:szCs w:val="20"/>
                <w:lang w:val="en-GB"/>
              </w:rPr>
              <w:t>000</w:t>
            </w:r>
            <w:r w:rsidR="00E57007" w:rsidRPr="00D62D04">
              <w:rPr>
                <w:rFonts w:eastAsia="Times New Roman"/>
                <w:sz w:val="20"/>
                <w:szCs w:val="20"/>
                <w:lang w:val="en-GB"/>
              </w:rPr>
              <w:t>.</w:t>
            </w:r>
            <w:r w:rsidRPr="00D62D04">
              <w:rPr>
                <w:rFonts w:eastAsia="Times New Roman"/>
                <w:sz w:val="20"/>
                <w:szCs w:val="20"/>
                <w:lang w:val="en-GB"/>
              </w:rPr>
              <w:t>00</w:t>
            </w:r>
          </w:p>
        </w:tc>
        <w:tc>
          <w:tcPr>
            <w:tcW w:w="1385" w:type="dxa"/>
            <w:vAlign w:val="bottom"/>
          </w:tcPr>
          <w:p w14:paraId="473CC3AE" w14:textId="77777777" w:rsidR="00F31B10" w:rsidRPr="00D62D04" w:rsidRDefault="00F31B10" w:rsidP="00E57007">
            <w:pPr>
              <w:spacing w:after="0"/>
              <w:jc w:val="center"/>
              <w:rPr>
                <w:rFonts w:eastAsia="Times New Roman"/>
                <w:sz w:val="20"/>
                <w:szCs w:val="20"/>
                <w:lang w:val="en-GB"/>
              </w:rPr>
            </w:pPr>
            <w:r w:rsidRPr="00D62D04">
              <w:rPr>
                <w:rFonts w:eastAsia="Times New Roman"/>
                <w:sz w:val="20"/>
                <w:szCs w:val="20"/>
                <w:lang w:val="en-GB"/>
              </w:rPr>
              <w:t>480</w:t>
            </w:r>
            <w:r w:rsidR="00E57007" w:rsidRPr="00D62D04">
              <w:rPr>
                <w:rFonts w:eastAsia="Times New Roman"/>
                <w:sz w:val="20"/>
                <w:szCs w:val="20"/>
                <w:lang w:val="en-GB"/>
              </w:rPr>
              <w:t>,</w:t>
            </w:r>
            <w:r w:rsidRPr="00D62D04">
              <w:rPr>
                <w:rFonts w:eastAsia="Times New Roman"/>
                <w:sz w:val="20"/>
                <w:szCs w:val="20"/>
                <w:lang w:val="en-GB"/>
              </w:rPr>
              <w:t>000</w:t>
            </w:r>
            <w:r w:rsidR="00E57007" w:rsidRPr="00D62D04">
              <w:rPr>
                <w:rFonts w:eastAsia="Times New Roman"/>
                <w:sz w:val="20"/>
                <w:szCs w:val="20"/>
                <w:lang w:val="en-GB"/>
              </w:rPr>
              <w:t>.</w:t>
            </w:r>
            <w:r w:rsidRPr="00D62D04">
              <w:rPr>
                <w:rFonts w:eastAsia="Times New Roman"/>
                <w:sz w:val="20"/>
                <w:szCs w:val="20"/>
                <w:lang w:val="en-GB"/>
              </w:rPr>
              <w:t>00</w:t>
            </w:r>
          </w:p>
        </w:tc>
        <w:tc>
          <w:tcPr>
            <w:tcW w:w="1385" w:type="dxa"/>
            <w:vAlign w:val="bottom"/>
          </w:tcPr>
          <w:p w14:paraId="012BD18B" w14:textId="77777777" w:rsidR="00F31B10" w:rsidRPr="00D62D04" w:rsidRDefault="00F31B10" w:rsidP="00E57007">
            <w:pPr>
              <w:spacing w:after="0"/>
              <w:jc w:val="center"/>
              <w:rPr>
                <w:rFonts w:eastAsia="Times New Roman"/>
                <w:sz w:val="20"/>
                <w:szCs w:val="20"/>
                <w:lang w:val="en-GB"/>
              </w:rPr>
            </w:pPr>
            <w:r w:rsidRPr="00D62D04">
              <w:rPr>
                <w:rFonts w:eastAsia="Times New Roman"/>
                <w:sz w:val="20"/>
                <w:szCs w:val="20"/>
                <w:lang w:val="en-GB"/>
              </w:rPr>
              <w:t>360</w:t>
            </w:r>
            <w:r w:rsidR="00E57007" w:rsidRPr="00D62D04">
              <w:rPr>
                <w:rFonts w:eastAsia="Times New Roman"/>
                <w:sz w:val="20"/>
                <w:szCs w:val="20"/>
                <w:lang w:val="en-GB"/>
              </w:rPr>
              <w:t>,</w:t>
            </w:r>
            <w:r w:rsidRPr="00D62D04">
              <w:rPr>
                <w:rFonts w:eastAsia="Times New Roman"/>
                <w:sz w:val="20"/>
                <w:szCs w:val="20"/>
                <w:lang w:val="en-GB"/>
              </w:rPr>
              <w:t>000</w:t>
            </w:r>
            <w:r w:rsidR="00E57007" w:rsidRPr="00D62D04">
              <w:rPr>
                <w:rFonts w:eastAsia="Times New Roman"/>
                <w:sz w:val="20"/>
                <w:szCs w:val="20"/>
                <w:lang w:val="en-GB"/>
              </w:rPr>
              <w:t>.</w:t>
            </w:r>
            <w:r w:rsidRPr="00D62D04">
              <w:rPr>
                <w:rFonts w:eastAsia="Times New Roman"/>
                <w:sz w:val="20"/>
                <w:szCs w:val="20"/>
                <w:lang w:val="en-GB"/>
              </w:rPr>
              <w:t>00</w:t>
            </w:r>
          </w:p>
        </w:tc>
        <w:tc>
          <w:tcPr>
            <w:tcW w:w="1266" w:type="dxa"/>
            <w:vAlign w:val="bottom"/>
          </w:tcPr>
          <w:p w14:paraId="0912611F" w14:textId="77777777" w:rsidR="00F31B10" w:rsidRPr="00D62D04" w:rsidRDefault="00F31B10" w:rsidP="00E57007">
            <w:pPr>
              <w:spacing w:after="0"/>
              <w:jc w:val="center"/>
              <w:rPr>
                <w:rFonts w:eastAsia="Times New Roman"/>
                <w:sz w:val="20"/>
                <w:szCs w:val="20"/>
                <w:lang w:val="en-GB"/>
              </w:rPr>
            </w:pPr>
            <w:r w:rsidRPr="00D62D04">
              <w:rPr>
                <w:rFonts w:eastAsia="Times New Roman"/>
                <w:sz w:val="20"/>
                <w:szCs w:val="20"/>
                <w:lang w:val="en-GB"/>
              </w:rPr>
              <w:t>390</w:t>
            </w:r>
            <w:r w:rsidR="00E57007" w:rsidRPr="00D62D04">
              <w:rPr>
                <w:rFonts w:eastAsia="Times New Roman"/>
                <w:sz w:val="20"/>
                <w:szCs w:val="20"/>
                <w:lang w:val="en-GB"/>
              </w:rPr>
              <w:t>,</w:t>
            </w:r>
            <w:r w:rsidRPr="00D62D04">
              <w:rPr>
                <w:rFonts w:eastAsia="Times New Roman"/>
                <w:sz w:val="20"/>
                <w:szCs w:val="20"/>
                <w:lang w:val="en-GB"/>
              </w:rPr>
              <w:t>000</w:t>
            </w:r>
            <w:r w:rsidR="00E57007" w:rsidRPr="00D62D04">
              <w:rPr>
                <w:rFonts w:eastAsia="Times New Roman"/>
                <w:sz w:val="20"/>
                <w:szCs w:val="20"/>
                <w:lang w:val="en-GB"/>
              </w:rPr>
              <w:t>.</w:t>
            </w:r>
            <w:r w:rsidRPr="00D62D04">
              <w:rPr>
                <w:rFonts w:eastAsia="Times New Roman"/>
                <w:sz w:val="20"/>
                <w:szCs w:val="20"/>
                <w:lang w:val="en-GB"/>
              </w:rPr>
              <w:t>00</w:t>
            </w:r>
          </w:p>
        </w:tc>
      </w:tr>
      <w:tr w:rsidR="00F31B10" w:rsidRPr="00D62D04" w14:paraId="1BAF5460" w14:textId="77777777" w:rsidTr="0056662A">
        <w:tc>
          <w:tcPr>
            <w:tcW w:w="2193" w:type="dxa"/>
          </w:tcPr>
          <w:p w14:paraId="1191A7DB" w14:textId="77777777" w:rsidR="00F31B10" w:rsidRPr="00D62D04" w:rsidRDefault="00E57007" w:rsidP="0056662A">
            <w:pPr>
              <w:spacing w:after="0"/>
              <w:rPr>
                <w:sz w:val="20"/>
                <w:szCs w:val="20"/>
                <w:lang w:val="en-GB"/>
              </w:rPr>
            </w:pPr>
            <w:r w:rsidRPr="00D62D04">
              <w:rPr>
                <w:sz w:val="20"/>
                <w:szCs w:val="20"/>
                <w:lang w:val="en-GB"/>
              </w:rPr>
              <w:t>Ukrainians</w:t>
            </w:r>
          </w:p>
        </w:tc>
        <w:tc>
          <w:tcPr>
            <w:tcW w:w="1266" w:type="dxa"/>
            <w:vAlign w:val="bottom"/>
          </w:tcPr>
          <w:p w14:paraId="1BE142E2" w14:textId="77777777" w:rsidR="00F31B10" w:rsidRPr="00D62D04" w:rsidRDefault="00F31B10" w:rsidP="0056662A">
            <w:pPr>
              <w:spacing w:after="0"/>
              <w:jc w:val="center"/>
              <w:rPr>
                <w:rFonts w:eastAsia="Times New Roman"/>
                <w:b/>
                <w:bCs/>
                <w:sz w:val="20"/>
                <w:szCs w:val="20"/>
                <w:lang w:val="en-GB"/>
              </w:rPr>
            </w:pPr>
          </w:p>
        </w:tc>
        <w:tc>
          <w:tcPr>
            <w:tcW w:w="1385" w:type="dxa"/>
            <w:vAlign w:val="bottom"/>
          </w:tcPr>
          <w:p w14:paraId="2BCF8A6B" w14:textId="77777777" w:rsidR="00F31B10" w:rsidRPr="00D62D04" w:rsidRDefault="00F31B10" w:rsidP="00E57007">
            <w:pPr>
              <w:spacing w:after="0"/>
              <w:jc w:val="center"/>
              <w:rPr>
                <w:rFonts w:eastAsia="Times New Roman"/>
                <w:sz w:val="20"/>
                <w:szCs w:val="20"/>
                <w:lang w:val="en-GB"/>
              </w:rPr>
            </w:pPr>
            <w:r w:rsidRPr="00D62D04">
              <w:rPr>
                <w:rFonts w:eastAsia="Times New Roman"/>
                <w:sz w:val="20"/>
                <w:szCs w:val="20"/>
                <w:lang w:val="en-GB"/>
              </w:rPr>
              <w:t>150</w:t>
            </w:r>
            <w:r w:rsidR="00E57007" w:rsidRPr="00D62D04">
              <w:rPr>
                <w:rFonts w:eastAsia="Times New Roman"/>
                <w:sz w:val="20"/>
                <w:szCs w:val="20"/>
                <w:lang w:val="en-GB"/>
              </w:rPr>
              <w:t>,</w:t>
            </w:r>
            <w:r w:rsidRPr="00D62D04">
              <w:rPr>
                <w:rFonts w:eastAsia="Times New Roman"/>
                <w:sz w:val="20"/>
                <w:szCs w:val="20"/>
                <w:lang w:val="en-GB"/>
              </w:rPr>
              <w:t>000</w:t>
            </w:r>
            <w:r w:rsidR="00E57007" w:rsidRPr="00D62D04">
              <w:rPr>
                <w:rFonts w:eastAsia="Times New Roman"/>
                <w:sz w:val="20"/>
                <w:szCs w:val="20"/>
                <w:lang w:val="en-GB"/>
              </w:rPr>
              <w:t>.</w:t>
            </w:r>
            <w:r w:rsidRPr="00D62D04">
              <w:rPr>
                <w:rFonts w:eastAsia="Times New Roman"/>
                <w:sz w:val="20"/>
                <w:szCs w:val="20"/>
                <w:lang w:val="en-GB"/>
              </w:rPr>
              <w:t>00</w:t>
            </w:r>
          </w:p>
        </w:tc>
        <w:tc>
          <w:tcPr>
            <w:tcW w:w="1385" w:type="dxa"/>
            <w:vAlign w:val="bottom"/>
          </w:tcPr>
          <w:p w14:paraId="53FDF071" w14:textId="77777777" w:rsidR="00F31B10" w:rsidRPr="00D62D04" w:rsidRDefault="00F31B10" w:rsidP="0056662A">
            <w:pPr>
              <w:spacing w:after="0"/>
              <w:jc w:val="center"/>
              <w:rPr>
                <w:rFonts w:eastAsia="Times New Roman"/>
                <w:color w:val="000000"/>
                <w:sz w:val="20"/>
                <w:szCs w:val="20"/>
                <w:lang w:val="en-GB"/>
              </w:rPr>
            </w:pPr>
          </w:p>
        </w:tc>
        <w:tc>
          <w:tcPr>
            <w:tcW w:w="1385" w:type="dxa"/>
            <w:vAlign w:val="bottom"/>
          </w:tcPr>
          <w:p w14:paraId="4FFDFEC5" w14:textId="77777777" w:rsidR="00F31B10" w:rsidRPr="00D62D04" w:rsidRDefault="00F31B10" w:rsidP="0056662A">
            <w:pPr>
              <w:spacing w:after="0"/>
              <w:jc w:val="center"/>
              <w:rPr>
                <w:rFonts w:eastAsia="Times New Roman"/>
                <w:sz w:val="20"/>
                <w:szCs w:val="20"/>
                <w:lang w:val="en-GB"/>
              </w:rPr>
            </w:pPr>
          </w:p>
        </w:tc>
        <w:tc>
          <w:tcPr>
            <w:tcW w:w="1266" w:type="dxa"/>
            <w:vAlign w:val="bottom"/>
          </w:tcPr>
          <w:p w14:paraId="5E23BA4F" w14:textId="77777777" w:rsidR="00F31B10" w:rsidRPr="00D62D04" w:rsidRDefault="00F31B10" w:rsidP="00E57007">
            <w:pPr>
              <w:spacing w:after="0"/>
              <w:jc w:val="center"/>
              <w:rPr>
                <w:rFonts w:eastAsia="Times New Roman"/>
                <w:sz w:val="20"/>
                <w:szCs w:val="20"/>
                <w:lang w:val="en-GB"/>
              </w:rPr>
            </w:pPr>
            <w:r w:rsidRPr="00D62D04">
              <w:rPr>
                <w:rFonts w:eastAsia="Times New Roman"/>
                <w:sz w:val="20"/>
                <w:szCs w:val="20"/>
                <w:lang w:val="en-GB"/>
              </w:rPr>
              <w:t>120</w:t>
            </w:r>
            <w:r w:rsidR="00E57007" w:rsidRPr="00D62D04">
              <w:rPr>
                <w:rFonts w:eastAsia="Times New Roman"/>
                <w:sz w:val="20"/>
                <w:szCs w:val="20"/>
                <w:lang w:val="en-GB"/>
              </w:rPr>
              <w:t>,</w:t>
            </w:r>
            <w:r w:rsidRPr="00D62D04">
              <w:rPr>
                <w:rFonts w:eastAsia="Times New Roman"/>
                <w:sz w:val="20"/>
                <w:szCs w:val="20"/>
                <w:lang w:val="en-GB"/>
              </w:rPr>
              <w:t>000</w:t>
            </w:r>
            <w:r w:rsidR="00E57007" w:rsidRPr="00D62D04">
              <w:rPr>
                <w:rFonts w:eastAsia="Times New Roman"/>
                <w:sz w:val="20"/>
                <w:szCs w:val="20"/>
                <w:lang w:val="en-GB"/>
              </w:rPr>
              <w:t>.</w:t>
            </w:r>
            <w:r w:rsidRPr="00D62D04">
              <w:rPr>
                <w:rFonts w:eastAsia="Times New Roman"/>
                <w:sz w:val="20"/>
                <w:szCs w:val="20"/>
                <w:lang w:val="en-GB"/>
              </w:rPr>
              <w:t>00</w:t>
            </w:r>
          </w:p>
        </w:tc>
      </w:tr>
      <w:tr w:rsidR="00F31B10" w:rsidRPr="00D62D04" w14:paraId="5C6BFC6C" w14:textId="77777777" w:rsidTr="0056662A">
        <w:tc>
          <w:tcPr>
            <w:tcW w:w="2193" w:type="dxa"/>
          </w:tcPr>
          <w:p w14:paraId="30449B07" w14:textId="77777777" w:rsidR="00F31B10" w:rsidRPr="00D62D04" w:rsidRDefault="00E57007" w:rsidP="0056662A">
            <w:pPr>
              <w:spacing w:after="0"/>
              <w:rPr>
                <w:sz w:val="20"/>
                <w:szCs w:val="20"/>
                <w:lang w:val="en-GB"/>
              </w:rPr>
            </w:pPr>
            <w:r w:rsidRPr="00D62D04">
              <w:rPr>
                <w:sz w:val="20"/>
                <w:szCs w:val="20"/>
                <w:lang w:val="en-GB"/>
              </w:rPr>
              <w:t xml:space="preserve">Croats </w:t>
            </w:r>
          </w:p>
        </w:tc>
        <w:tc>
          <w:tcPr>
            <w:tcW w:w="1266" w:type="dxa"/>
            <w:vAlign w:val="bottom"/>
          </w:tcPr>
          <w:p w14:paraId="52FC1F34" w14:textId="77777777" w:rsidR="00F31B10" w:rsidRPr="00D62D04" w:rsidRDefault="00F31B10" w:rsidP="00DE257C">
            <w:pPr>
              <w:spacing w:after="0"/>
              <w:jc w:val="center"/>
              <w:rPr>
                <w:rFonts w:eastAsia="Times New Roman"/>
                <w:color w:val="000000"/>
                <w:sz w:val="20"/>
                <w:szCs w:val="20"/>
                <w:lang w:val="en-GB"/>
              </w:rPr>
            </w:pPr>
            <w:r w:rsidRPr="00D62D04">
              <w:rPr>
                <w:rFonts w:eastAsia="Times New Roman"/>
                <w:color w:val="000000"/>
                <w:sz w:val="20"/>
                <w:szCs w:val="20"/>
                <w:lang w:val="en-GB"/>
              </w:rPr>
              <w:t>1</w:t>
            </w:r>
            <w:r w:rsidR="00DE257C" w:rsidRPr="00D62D04">
              <w:rPr>
                <w:rFonts w:eastAsia="Times New Roman"/>
                <w:color w:val="000000"/>
                <w:sz w:val="20"/>
                <w:szCs w:val="20"/>
                <w:lang w:val="en-GB"/>
              </w:rPr>
              <w:t>,</w:t>
            </w:r>
            <w:r w:rsidRPr="00D62D04">
              <w:rPr>
                <w:rFonts w:eastAsia="Times New Roman"/>
                <w:color w:val="000000"/>
                <w:sz w:val="20"/>
                <w:szCs w:val="20"/>
                <w:lang w:val="en-GB"/>
              </w:rPr>
              <w:t>320</w:t>
            </w:r>
            <w:r w:rsidR="00DE257C" w:rsidRPr="00D62D04">
              <w:rPr>
                <w:rFonts w:eastAsia="Times New Roman"/>
                <w:color w:val="000000"/>
                <w:sz w:val="20"/>
                <w:szCs w:val="20"/>
                <w:lang w:val="en-GB"/>
              </w:rPr>
              <w:t>,</w:t>
            </w:r>
            <w:r w:rsidRPr="00D62D04">
              <w:rPr>
                <w:rFonts w:eastAsia="Times New Roman"/>
                <w:color w:val="000000"/>
                <w:sz w:val="20"/>
                <w:szCs w:val="20"/>
                <w:lang w:val="en-GB"/>
              </w:rPr>
              <w:t>000</w:t>
            </w:r>
            <w:r w:rsidR="00DE257C" w:rsidRPr="00D62D04">
              <w:rPr>
                <w:rFonts w:eastAsia="Times New Roman"/>
                <w:color w:val="000000"/>
                <w:sz w:val="20"/>
                <w:szCs w:val="20"/>
                <w:lang w:val="en-GB"/>
              </w:rPr>
              <w:t>.</w:t>
            </w:r>
            <w:r w:rsidRPr="00D62D04">
              <w:rPr>
                <w:rFonts w:eastAsia="Times New Roman"/>
                <w:color w:val="000000"/>
                <w:sz w:val="20"/>
                <w:szCs w:val="20"/>
                <w:lang w:val="en-GB"/>
              </w:rPr>
              <w:t>00</w:t>
            </w:r>
          </w:p>
        </w:tc>
        <w:tc>
          <w:tcPr>
            <w:tcW w:w="1385" w:type="dxa"/>
            <w:vAlign w:val="bottom"/>
          </w:tcPr>
          <w:p w14:paraId="2D45E88E" w14:textId="77777777" w:rsidR="00F31B10" w:rsidRPr="00D62D04" w:rsidRDefault="00F31B10" w:rsidP="00DE257C">
            <w:pPr>
              <w:spacing w:after="0"/>
              <w:jc w:val="center"/>
              <w:rPr>
                <w:rFonts w:eastAsia="Times New Roman"/>
                <w:sz w:val="20"/>
                <w:szCs w:val="20"/>
                <w:lang w:val="en-GB"/>
              </w:rPr>
            </w:pPr>
            <w:r w:rsidRPr="00D62D04">
              <w:rPr>
                <w:rFonts w:eastAsia="Times New Roman"/>
                <w:sz w:val="20"/>
                <w:szCs w:val="20"/>
                <w:lang w:val="en-GB"/>
              </w:rPr>
              <w:t>1</w:t>
            </w:r>
            <w:r w:rsidR="00DE257C" w:rsidRPr="00D62D04">
              <w:rPr>
                <w:rFonts w:eastAsia="Times New Roman"/>
                <w:sz w:val="20"/>
                <w:szCs w:val="20"/>
                <w:lang w:val="en-GB"/>
              </w:rPr>
              <w:t>,</w:t>
            </w:r>
            <w:r w:rsidRPr="00D62D04">
              <w:rPr>
                <w:rFonts w:eastAsia="Times New Roman"/>
                <w:sz w:val="20"/>
                <w:szCs w:val="20"/>
                <w:lang w:val="en-GB"/>
              </w:rPr>
              <w:t>320</w:t>
            </w:r>
            <w:r w:rsidR="00DE257C" w:rsidRPr="00D62D04">
              <w:rPr>
                <w:rFonts w:eastAsia="Times New Roman"/>
                <w:sz w:val="20"/>
                <w:szCs w:val="20"/>
                <w:lang w:val="en-GB"/>
              </w:rPr>
              <w:t>,</w:t>
            </w:r>
            <w:r w:rsidRPr="00D62D04">
              <w:rPr>
                <w:rFonts w:eastAsia="Times New Roman"/>
                <w:sz w:val="20"/>
                <w:szCs w:val="20"/>
                <w:lang w:val="en-GB"/>
              </w:rPr>
              <w:t>000</w:t>
            </w:r>
            <w:r w:rsidR="00DE257C" w:rsidRPr="00D62D04">
              <w:rPr>
                <w:rFonts w:eastAsia="Times New Roman"/>
                <w:sz w:val="20"/>
                <w:szCs w:val="20"/>
                <w:lang w:val="en-GB"/>
              </w:rPr>
              <w:t>.</w:t>
            </w:r>
            <w:r w:rsidRPr="00D62D04">
              <w:rPr>
                <w:rFonts w:eastAsia="Times New Roman"/>
                <w:sz w:val="20"/>
                <w:szCs w:val="20"/>
                <w:lang w:val="en-GB"/>
              </w:rPr>
              <w:t>00</w:t>
            </w:r>
          </w:p>
        </w:tc>
        <w:tc>
          <w:tcPr>
            <w:tcW w:w="1385" w:type="dxa"/>
            <w:vAlign w:val="bottom"/>
          </w:tcPr>
          <w:p w14:paraId="6DF7612E" w14:textId="77777777" w:rsidR="00F31B10" w:rsidRPr="00D62D04" w:rsidRDefault="00F31B10" w:rsidP="00DE257C">
            <w:pPr>
              <w:spacing w:after="0"/>
              <w:jc w:val="center"/>
              <w:rPr>
                <w:rFonts w:eastAsia="Times New Roman"/>
                <w:sz w:val="20"/>
                <w:szCs w:val="20"/>
                <w:lang w:val="en-GB"/>
              </w:rPr>
            </w:pPr>
            <w:r w:rsidRPr="00D62D04">
              <w:rPr>
                <w:rFonts w:eastAsia="Times New Roman"/>
                <w:sz w:val="20"/>
                <w:szCs w:val="20"/>
                <w:lang w:val="en-GB"/>
              </w:rPr>
              <w:t>1</w:t>
            </w:r>
            <w:r w:rsidR="00DE257C" w:rsidRPr="00D62D04">
              <w:rPr>
                <w:rFonts w:eastAsia="Times New Roman"/>
                <w:sz w:val="20"/>
                <w:szCs w:val="20"/>
                <w:lang w:val="en-GB"/>
              </w:rPr>
              <w:t>,</w:t>
            </w:r>
            <w:r w:rsidRPr="00D62D04">
              <w:rPr>
                <w:rFonts w:eastAsia="Times New Roman"/>
                <w:sz w:val="20"/>
                <w:szCs w:val="20"/>
                <w:lang w:val="en-GB"/>
              </w:rPr>
              <w:t>614</w:t>
            </w:r>
            <w:r w:rsidR="00DE257C" w:rsidRPr="00D62D04">
              <w:rPr>
                <w:rFonts w:eastAsia="Times New Roman"/>
                <w:sz w:val="20"/>
                <w:szCs w:val="20"/>
                <w:lang w:val="en-GB"/>
              </w:rPr>
              <w:t>,</w:t>
            </w:r>
            <w:r w:rsidRPr="00D62D04">
              <w:rPr>
                <w:rFonts w:eastAsia="Times New Roman"/>
                <w:sz w:val="20"/>
                <w:szCs w:val="20"/>
                <w:lang w:val="en-GB"/>
              </w:rPr>
              <w:t>000</w:t>
            </w:r>
            <w:r w:rsidR="00DE257C" w:rsidRPr="00D62D04">
              <w:rPr>
                <w:rFonts w:eastAsia="Times New Roman"/>
                <w:sz w:val="20"/>
                <w:szCs w:val="20"/>
                <w:lang w:val="en-GB"/>
              </w:rPr>
              <w:t>.</w:t>
            </w:r>
            <w:r w:rsidRPr="00D62D04">
              <w:rPr>
                <w:rFonts w:eastAsia="Times New Roman"/>
                <w:sz w:val="20"/>
                <w:szCs w:val="20"/>
                <w:lang w:val="en-GB"/>
              </w:rPr>
              <w:t>00</w:t>
            </w:r>
          </w:p>
        </w:tc>
        <w:tc>
          <w:tcPr>
            <w:tcW w:w="1385" w:type="dxa"/>
            <w:vAlign w:val="bottom"/>
          </w:tcPr>
          <w:p w14:paraId="46581A7F" w14:textId="77777777" w:rsidR="00F31B10" w:rsidRPr="00D62D04" w:rsidRDefault="00F31B10" w:rsidP="00DE257C">
            <w:pPr>
              <w:spacing w:after="0"/>
              <w:jc w:val="center"/>
              <w:rPr>
                <w:rFonts w:eastAsia="Times New Roman"/>
                <w:sz w:val="20"/>
                <w:szCs w:val="20"/>
                <w:lang w:val="en-GB"/>
              </w:rPr>
            </w:pPr>
            <w:r w:rsidRPr="00D62D04">
              <w:rPr>
                <w:rFonts w:eastAsia="Times New Roman"/>
                <w:sz w:val="20"/>
                <w:szCs w:val="20"/>
                <w:lang w:val="en-GB"/>
              </w:rPr>
              <w:t>1</w:t>
            </w:r>
            <w:r w:rsidR="00DE257C" w:rsidRPr="00D62D04">
              <w:rPr>
                <w:rFonts w:eastAsia="Times New Roman"/>
                <w:sz w:val="20"/>
                <w:szCs w:val="20"/>
                <w:lang w:val="en-GB"/>
              </w:rPr>
              <w:t>,</w:t>
            </w:r>
            <w:r w:rsidRPr="00D62D04">
              <w:rPr>
                <w:rFonts w:eastAsia="Times New Roman"/>
                <w:sz w:val="20"/>
                <w:szCs w:val="20"/>
                <w:lang w:val="en-GB"/>
              </w:rPr>
              <w:t>560</w:t>
            </w:r>
            <w:r w:rsidR="00DE257C" w:rsidRPr="00D62D04">
              <w:rPr>
                <w:rFonts w:eastAsia="Times New Roman"/>
                <w:sz w:val="20"/>
                <w:szCs w:val="20"/>
                <w:lang w:val="en-GB"/>
              </w:rPr>
              <w:t>,</w:t>
            </w:r>
            <w:r w:rsidRPr="00D62D04">
              <w:rPr>
                <w:rFonts w:eastAsia="Times New Roman"/>
                <w:sz w:val="20"/>
                <w:szCs w:val="20"/>
                <w:lang w:val="en-GB"/>
              </w:rPr>
              <w:t>000</w:t>
            </w:r>
            <w:r w:rsidR="00DE257C" w:rsidRPr="00D62D04">
              <w:rPr>
                <w:rFonts w:eastAsia="Times New Roman"/>
                <w:sz w:val="20"/>
                <w:szCs w:val="20"/>
                <w:lang w:val="en-GB"/>
              </w:rPr>
              <w:t>.</w:t>
            </w:r>
            <w:r w:rsidRPr="00D62D04">
              <w:rPr>
                <w:rFonts w:eastAsia="Times New Roman"/>
                <w:sz w:val="20"/>
                <w:szCs w:val="20"/>
                <w:lang w:val="en-GB"/>
              </w:rPr>
              <w:t>00</w:t>
            </w:r>
          </w:p>
        </w:tc>
        <w:tc>
          <w:tcPr>
            <w:tcW w:w="1266" w:type="dxa"/>
            <w:vAlign w:val="bottom"/>
          </w:tcPr>
          <w:p w14:paraId="3CFD4C7C" w14:textId="77777777" w:rsidR="00F31B10" w:rsidRPr="00D62D04" w:rsidRDefault="00F31B10" w:rsidP="00DE257C">
            <w:pPr>
              <w:spacing w:after="0"/>
              <w:jc w:val="center"/>
              <w:rPr>
                <w:rFonts w:eastAsia="Times New Roman"/>
                <w:sz w:val="20"/>
                <w:szCs w:val="20"/>
                <w:lang w:val="en-GB"/>
              </w:rPr>
            </w:pPr>
            <w:r w:rsidRPr="00D62D04">
              <w:rPr>
                <w:rFonts w:eastAsia="Times New Roman"/>
                <w:sz w:val="20"/>
                <w:szCs w:val="20"/>
                <w:lang w:val="en-GB"/>
              </w:rPr>
              <w:t>1</w:t>
            </w:r>
            <w:r w:rsidR="00DE257C" w:rsidRPr="00D62D04">
              <w:rPr>
                <w:rFonts w:eastAsia="Times New Roman"/>
                <w:sz w:val="20"/>
                <w:szCs w:val="20"/>
                <w:lang w:val="en-GB"/>
              </w:rPr>
              <w:t>,</w:t>
            </w:r>
            <w:r w:rsidRPr="00D62D04">
              <w:rPr>
                <w:rFonts w:eastAsia="Times New Roman"/>
                <w:sz w:val="20"/>
                <w:szCs w:val="20"/>
                <w:lang w:val="en-GB"/>
              </w:rPr>
              <w:t>350</w:t>
            </w:r>
            <w:r w:rsidR="00DE257C" w:rsidRPr="00D62D04">
              <w:rPr>
                <w:rFonts w:eastAsia="Times New Roman"/>
                <w:sz w:val="20"/>
                <w:szCs w:val="20"/>
                <w:lang w:val="en-GB"/>
              </w:rPr>
              <w:t>,</w:t>
            </w:r>
            <w:r w:rsidRPr="00D62D04">
              <w:rPr>
                <w:rFonts w:eastAsia="Times New Roman"/>
                <w:sz w:val="20"/>
                <w:szCs w:val="20"/>
                <w:lang w:val="en-GB"/>
              </w:rPr>
              <w:t>000</w:t>
            </w:r>
            <w:r w:rsidR="00DE257C" w:rsidRPr="00D62D04">
              <w:rPr>
                <w:rFonts w:eastAsia="Times New Roman"/>
                <w:sz w:val="20"/>
                <w:szCs w:val="20"/>
                <w:lang w:val="en-GB"/>
              </w:rPr>
              <w:t>.</w:t>
            </w:r>
            <w:r w:rsidRPr="00D62D04">
              <w:rPr>
                <w:rFonts w:eastAsia="Times New Roman"/>
                <w:sz w:val="20"/>
                <w:szCs w:val="20"/>
                <w:lang w:val="en-GB"/>
              </w:rPr>
              <w:t>00</w:t>
            </w:r>
          </w:p>
        </w:tc>
      </w:tr>
      <w:tr w:rsidR="00F31B10" w:rsidRPr="00D62D04" w14:paraId="7BD7C0DD" w14:textId="77777777" w:rsidTr="0056662A">
        <w:tc>
          <w:tcPr>
            <w:tcW w:w="2193" w:type="dxa"/>
          </w:tcPr>
          <w:p w14:paraId="35BFB119" w14:textId="77777777" w:rsidR="00F31B10" w:rsidRPr="00D62D04" w:rsidRDefault="00DE257C" w:rsidP="0056662A">
            <w:pPr>
              <w:spacing w:after="0"/>
              <w:rPr>
                <w:sz w:val="20"/>
                <w:szCs w:val="20"/>
                <w:lang w:val="en-GB"/>
              </w:rPr>
            </w:pPr>
            <w:proofErr w:type="spellStart"/>
            <w:r w:rsidRPr="00D62D04">
              <w:rPr>
                <w:sz w:val="20"/>
                <w:szCs w:val="20"/>
                <w:lang w:val="en-GB"/>
              </w:rPr>
              <w:t>Aromanians</w:t>
            </w:r>
            <w:proofErr w:type="spellEnd"/>
            <w:r w:rsidRPr="00D62D04">
              <w:rPr>
                <w:sz w:val="20"/>
                <w:szCs w:val="20"/>
                <w:lang w:val="en-GB"/>
              </w:rPr>
              <w:t xml:space="preserve"> </w:t>
            </w:r>
          </w:p>
        </w:tc>
        <w:tc>
          <w:tcPr>
            <w:tcW w:w="1266" w:type="dxa"/>
            <w:vAlign w:val="bottom"/>
          </w:tcPr>
          <w:p w14:paraId="15F9DB36" w14:textId="77777777" w:rsidR="00F31B10" w:rsidRPr="00D62D04" w:rsidRDefault="00F31B10" w:rsidP="0056662A">
            <w:pPr>
              <w:spacing w:after="0"/>
              <w:jc w:val="center"/>
              <w:rPr>
                <w:rFonts w:eastAsia="Times New Roman"/>
                <w:b/>
                <w:bCs/>
                <w:sz w:val="20"/>
                <w:szCs w:val="20"/>
                <w:lang w:val="en-GB"/>
              </w:rPr>
            </w:pPr>
          </w:p>
        </w:tc>
        <w:tc>
          <w:tcPr>
            <w:tcW w:w="1385" w:type="dxa"/>
            <w:vAlign w:val="bottom"/>
          </w:tcPr>
          <w:p w14:paraId="2D5B52E7" w14:textId="77777777" w:rsidR="00F31B10" w:rsidRPr="00D62D04" w:rsidRDefault="00F31B10" w:rsidP="0056662A">
            <w:pPr>
              <w:spacing w:after="0"/>
              <w:jc w:val="center"/>
              <w:rPr>
                <w:rFonts w:eastAsia="Times New Roman"/>
                <w:sz w:val="20"/>
                <w:szCs w:val="20"/>
                <w:lang w:val="en-GB"/>
              </w:rPr>
            </w:pPr>
          </w:p>
        </w:tc>
        <w:tc>
          <w:tcPr>
            <w:tcW w:w="1385" w:type="dxa"/>
            <w:vAlign w:val="bottom"/>
          </w:tcPr>
          <w:p w14:paraId="238828CF" w14:textId="77777777" w:rsidR="00F31B10" w:rsidRPr="00D62D04" w:rsidRDefault="00F31B10" w:rsidP="00DE257C">
            <w:pPr>
              <w:spacing w:after="0"/>
              <w:jc w:val="center"/>
              <w:rPr>
                <w:rFonts w:eastAsia="Times New Roman"/>
                <w:sz w:val="20"/>
                <w:szCs w:val="20"/>
                <w:lang w:val="en-GB"/>
              </w:rPr>
            </w:pPr>
            <w:r w:rsidRPr="00D62D04">
              <w:rPr>
                <w:rFonts w:eastAsia="Times New Roman"/>
                <w:sz w:val="20"/>
                <w:szCs w:val="20"/>
                <w:lang w:val="en-GB"/>
              </w:rPr>
              <w:t>120</w:t>
            </w:r>
            <w:r w:rsidR="00DE257C" w:rsidRPr="00D62D04">
              <w:rPr>
                <w:rFonts w:eastAsia="Times New Roman"/>
                <w:sz w:val="20"/>
                <w:szCs w:val="20"/>
                <w:lang w:val="en-GB"/>
              </w:rPr>
              <w:t>,</w:t>
            </w:r>
            <w:r w:rsidRPr="00D62D04">
              <w:rPr>
                <w:rFonts w:eastAsia="Times New Roman"/>
                <w:sz w:val="20"/>
                <w:szCs w:val="20"/>
                <w:lang w:val="en-GB"/>
              </w:rPr>
              <w:t>000</w:t>
            </w:r>
            <w:r w:rsidR="00DE257C" w:rsidRPr="00D62D04">
              <w:rPr>
                <w:rFonts w:eastAsia="Times New Roman"/>
                <w:sz w:val="20"/>
                <w:szCs w:val="20"/>
                <w:lang w:val="en-GB"/>
              </w:rPr>
              <w:t>.</w:t>
            </w:r>
            <w:r w:rsidRPr="00D62D04">
              <w:rPr>
                <w:rFonts w:eastAsia="Times New Roman"/>
                <w:sz w:val="20"/>
                <w:szCs w:val="20"/>
                <w:lang w:val="en-GB"/>
              </w:rPr>
              <w:t>00</w:t>
            </w:r>
          </w:p>
        </w:tc>
        <w:tc>
          <w:tcPr>
            <w:tcW w:w="1385" w:type="dxa"/>
            <w:vAlign w:val="bottom"/>
          </w:tcPr>
          <w:p w14:paraId="39924C37" w14:textId="77777777" w:rsidR="00F31B10" w:rsidRPr="00D62D04" w:rsidRDefault="00F31B10" w:rsidP="00DE257C">
            <w:pPr>
              <w:spacing w:after="0"/>
              <w:jc w:val="center"/>
              <w:rPr>
                <w:rFonts w:eastAsia="Times New Roman"/>
                <w:sz w:val="20"/>
                <w:szCs w:val="20"/>
                <w:lang w:val="en-GB"/>
              </w:rPr>
            </w:pPr>
            <w:r w:rsidRPr="00D62D04">
              <w:rPr>
                <w:rFonts w:eastAsia="Times New Roman"/>
                <w:sz w:val="20"/>
                <w:szCs w:val="20"/>
                <w:lang w:val="en-GB"/>
              </w:rPr>
              <w:t>120</w:t>
            </w:r>
            <w:r w:rsidR="00DE257C" w:rsidRPr="00D62D04">
              <w:rPr>
                <w:rFonts w:eastAsia="Times New Roman"/>
                <w:sz w:val="20"/>
                <w:szCs w:val="20"/>
                <w:lang w:val="en-GB"/>
              </w:rPr>
              <w:t>,</w:t>
            </w:r>
            <w:r w:rsidRPr="00D62D04">
              <w:rPr>
                <w:rFonts w:eastAsia="Times New Roman"/>
                <w:sz w:val="20"/>
                <w:szCs w:val="20"/>
                <w:lang w:val="en-GB"/>
              </w:rPr>
              <w:t>000</w:t>
            </w:r>
            <w:r w:rsidR="00DE257C" w:rsidRPr="00D62D04">
              <w:rPr>
                <w:rFonts w:eastAsia="Times New Roman"/>
                <w:sz w:val="20"/>
                <w:szCs w:val="20"/>
                <w:lang w:val="en-GB"/>
              </w:rPr>
              <w:t>.</w:t>
            </w:r>
            <w:r w:rsidRPr="00D62D04">
              <w:rPr>
                <w:rFonts w:eastAsia="Times New Roman"/>
                <w:sz w:val="20"/>
                <w:szCs w:val="20"/>
                <w:lang w:val="en-GB"/>
              </w:rPr>
              <w:t>00</w:t>
            </w:r>
          </w:p>
        </w:tc>
        <w:tc>
          <w:tcPr>
            <w:tcW w:w="1266" w:type="dxa"/>
            <w:vAlign w:val="bottom"/>
          </w:tcPr>
          <w:p w14:paraId="3C82AA9B" w14:textId="77777777" w:rsidR="00F31B10" w:rsidRPr="00D62D04" w:rsidRDefault="00F31B10" w:rsidP="00DE257C">
            <w:pPr>
              <w:spacing w:after="0"/>
              <w:jc w:val="center"/>
              <w:rPr>
                <w:rFonts w:eastAsia="Times New Roman"/>
                <w:sz w:val="20"/>
                <w:szCs w:val="20"/>
                <w:lang w:val="en-GB"/>
              </w:rPr>
            </w:pPr>
            <w:r w:rsidRPr="00D62D04">
              <w:rPr>
                <w:rFonts w:eastAsia="Times New Roman"/>
                <w:sz w:val="20"/>
                <w:szCs w:val="20"/>
                <w:lang w:val="en-GB"/>
              </w:rPr>
              <w:t>240</w:t>
            </w:r>
            <w:r w:rsidR="00DE257C" w:rsidRPr="00D62D04">
              <w:rPr>
                <w:rFonts w:eastAsia="Times New Roman"/>
                <w:sz w:val="20"/>
                <w:szCs w:val="20"/>
                <w:lang w:val="en-GB"/>
              </w:rPr>
              <w:t>,</w:t>
            </w:r>
            <w:r w:rsidRPr="00D62D04">
              <w:rPr>
                <w:rFonts w:eastAsia="Times New Roman"/>
                <w:sz w:val="20"/>
                <w:szCs w:val="20"/>
                <w:lang w:val="en-GB"/>
              </w:rPr>
              <w:t>000</w:t>
            </w:r>
            <w:r w:rsidR="00DE257C" w:rsidRPr="00D62D04">
              <w:rPr>
                <w:rFonts w:eastAsia="Times New Roman"/>
                <w:sz w:val="20"/>
                <w:szCs w:val="20"/>
                <w:lang w:val="en-GB"/>
              </w:rPr>
              <w:t>.</w:t>
            </w:r>
            <w:r w:rsidRPr="00D62D04">
              <w:rPr>
                <w:rFonts w:eastAsia="Times New Roman"/>
                <w:sz w:val="20"/>
                <w:szCs w:val="20"/>
                <w:lang w:val="en-GB"/>
              </w:rPr>
              <w:t>00</w:t>
            </w:r>
          </w:p>
        </w:tc>
      </w:tr>
      <w:tr w:rsidR="00F31B10" w:rsidRPr="00D62D04" w14:paraId="13DDD456" w14:textId="77777777" w:rsidTr="0056662A">
        <w:tc>
          <w:tcPr>
            <w:tcW w:w="2193" w:type="dxa"/>
          </w:tcPr>
          <w:p w14:paraId="1F0EE635" w14:textId="77777777" w:rsidR="00F31B10" w:rsidRPr="00D62D04" w:rsidRDefault="00DE257C" w:rsidP="0056662A">
            <w:pPr>
              <w:spacing w:after="0"/>
              <w:rPr>
                <w:sz w:val="20"/>
                <w:szCs w:val="20"/>
                <w:highlight w:val="cyan"/>
                <w:lang w:val="en-GB"/>
              </w:rPr>
            </w:pPr>
            <w:r w:rsidRPr="00D62D04">
              <w:rPr>
                <w:sz w:val="20"/>
                <w:szCs w:val="20"/>
                <w:lang w:val="en-GB"/>
              </w:rPr>
              <w:t>Montenegrins</w:t>
            </w:r>
          </w:p>
        </w:tc>
        <w:tc>
          <w:tcPr>
            <w:tcW w:w="1266" w:type="dxa"/>
            <w:vAlign w:val="bottom"/>
          </w:tcPr>
          <w:p w14:paraId="19A245EA" w14:textId="77777777" w:rsidR="00F31B10" w:rsidRPr="00D62D04" w:rsidRDefault="00F31B10" w:rsidP="0056662A">
            <w:pPr>
              <w:spacing w:after="0"/>
              <w:jc w:val="center"/>
              <w:rPr>
                <w:rFonts w:eastAsia="Times New Roman"/>
                <w:b/>
                <w:bCs/>
                <w:sz w:val="20"/>
                <w:szCs w:val="20"/>
                <w:lang w:val="en-GB"/>
              </w:rPr>
            </w:pPr>
          </w:p>
        </w:tc>
        <w:tc>
          <w:tcPr>
            <w:tcW w:w="1385" w:type="dxa"/>
            <w:vAlign w:val="bottom"/>
          </w:tcPr>
          <w:p w14:paraId="0160E081" w14:textId="77777777" w:rsidR="00F31B10" w:rsidRPr="00D62D04" w:rsidRDefault="00F31B10" w:rsidP="00DE257C">
            <w:pPr>
              <w:spacing w:after="0"/>
              <w:jc w:val="center"/>
              <w:rPr>
                <w:rFonts w:eastAsia="Times New Roman"/>
                <w:sz w:val="20"/>
                <w:szCs w:val="20"/>
                <w:lang w:val="en-GB"/>
              </w:rPr>
            </w:pPr>
            <w:r w:rsidRPr="00D62D04">
              <w:rPr>
                <w:rFonts w:eastAsia="Times New Roman"/>
                <w:sz w:val="20"/>
                <w:szCs w:val="20"/>
                <w:lang w:val="en-GB"/>
              </w:rPr>
              <w:t>240</w:t>
            </w:r>
            <w:r w:rsidR="00DE257C" w:rsidRPr="00D62D04">
              <w:rPr>
                <w:rFonts w:eastAsia="Times New Roman"/>
                <w:sz w:val="20"/>
                <w:szCs w:val="20"/>
                <w:lang w:val="en-GB"/>
              </w:rPr>
              <w:t>,</w:t>
            </w:r>
            <w:r w:rsidRPr="00D62D04">
              <w:rPr>
                <w:rFonts w:eastAsia="Times New Roman"/>
                <w:sz w:val="20"/>
                <w:szCs w:val="20"/>
                <w:lang w:val="en-GB"/>
              </w:rPr>
              <w:t>000</w:t>
            </w:r>
            <w:r w:rsidR="00DE257C" w:rsidRPr="00D62D04">
              <w:rPr>
                <w:rFonts w:eastAsia="Times New Roman"/>
                <w:sz w:val="20"/>
                <w:szCs w:val="20"/>
                <w:lang w:val="en-GB"/>
              </w:rPr>
              <w:t>.</w:t>
            </w:r>
            <w:r w:rsidRPr="00D62D04">
              <w:rPr>
                <w:rFonts w:eastAsia="Times New Roman"/>
                <w:sz w:val="20"/>
                <w:szCs w:val="20"/>
                <w:lang w:val="en-GB"/>
              </w:rPr>
              <w:t>00</w:t>
            </w:r>
          </w:p>
        </w:tc>
        <w:tc>
          <w:tcPr>
            <w:tcW w:w="1385" w:type="dxa"/>
            <w:vAlign w:val="bottom"/>
          </w:tcPr>
          <w:p w14:paraId="7C9154B4" w14:textId="77777777" w:rsidR="00F31B10" w:rsidRPr="00D62D04" w:rsidRDefault="00F31B10" w:rsidP="00DE257C">
            <w:pPr>
              <w:spacing w:after="0"/>
              <w:jc w:val="center"/>
              <w:rPr>
                <w:rFonts w:eastAsia="Times New Roman"/>
                <w:sz w:val="20"/>
                <w:szCs w:val="20"/>
                <w:lang w:val="en-GB"/>
              </w:rPr>
            </w:pPr>
            <w:r w:rsidRPr="00D62D04">
              <w:rPr>
                <w:rFonts w:eastAsia="Times New Roman"/>
                <w:sz w:val="20"/>
                <w:szCs w:val="20"/>
                <w:lang w:val="en-GB"/>
              </w:rPr>
              <w:t>120</w:t>
            </w:r>
            <w:r w:rsidR="00DE257C" w:rsidRPr="00D62D04">
              <w:rPr>
                <w:rFonts w:eastAsia="Times New Roman"/>
                <w:sz w:val="20"/>
                <w:szCs w:val="20"/>
                <w:lang w:val="en-GB"/>
              </w:rPr>
              <w:t>,</w:t>
            </w:r>
            <w:r w:rsidRPr="00D62D04">
              <w:rPr>
                <w:rFonts w:eastAsia="Times New Roman"/>
                <w:sz w:val="20"/>
                <w:szCs w:val="20"/>
                <w:lang w:val="en-GB"/>
              </w:rPr>
              <w:t>000</w:t>
            </w:r>
            <w:r w:rsidR="00DE257C" w:rsidRPr="00D62D04">
              <w:rPr>
                <w:rFonts w:eastAsia="Times New Roman"/>
                <w:sz w:val="20"/>
                <w:szCs w:val="20"/>
                <w:lang w:val="en-GB"/>
              </w:rPr>
              <w:t>.</w:t>
            </w:r>
            <w:r w:rsidRPr="00D62D04">
              <w:rPr>
                <w:rFonts w:eastAsia="Times New Roman"/>
                <w:sz w:val="20"/>
                <w:szCs w:val="20"/>
                <w:lang w:val="en-GB"/>
              </w:rPr>
              <w:t>00</w:t>
            </w:r>
          </w:p>
        </w:tc>
        <w:tc>
          <w:tcPr>
            <w:tcW w:w="1385" w:type="dxa"/>
            <w:vAlign w:val="bottom"/>
          </w:tcPr>
          <w:p w14:paraId="6E6B8529" w14:textId="77777777" w:rsidR="00F31B10" w:rsidRPr="00D62D04" w:rsidRDefault="00F31B10" w:rsidP="00DE257C">
            <w:pPr>
              <w:spacing w:after="0"/>
              <w:jc w:val="center"/>
              <w:rPr>
                <w:rFonts w:eastAsia="Times New Roman"/>
                <w:sz w:val="20"/>
                <w:szCs w:val="20"/>
                <w:lang w:val="en-GB"/>
              </w:rPr>
            </w:pPr>
            <w:r w:rsidRPr="00D62D04">
              <w:rPr>
                <w:rFonts w:eastAsia="Times New Roman"/>
                <w:sz w:val="20"/>
                <w:szCs w:val="20"/>
                <w:lang w:val="en-GB"/>
              </w:rPr>
              <w:t>120</w:t>
            </w:r>
            <w:r w:rsidR="00DE257C" w:rsidRPr="00D62D04">
              <w:rPr>
                <w:rFonts w:eastAsia="Times New Roman"/>
                <w:sz w:val="20"/>
                <w:szCs w:val="20"/>
                <w:lang w:val="en-GB"/>
              </w:rPr>
              <w:t>,</w:t>
            </w:r>
            <w:r w:rsidRPr="00D62D04">
              <w:rPr>
                <w:rFonts w:eastAsia="Times New Roman"/>
                <w:sz w:val="20"/>
                <w:szCs w:val="20"/>
                <w:lang w:val="en-GB"/>
              </w:rPr>
              <w:t>000</w:t>
            </w:r>
            <w:r w:rsidR="00DE257C" w:rsidRPr="00D62D04">
              <w:rPr>
                <w:rFonts w:eastAsia="Times New Roman"/>
                <w:sz w:val="20"/>
                <w:szCs w:val="20"/>
                <w:lang w:val="en-GB"/>
              </w:rPr>
              <w:t>.</w:t>
            </w:r>
            <w:r w:rsidRPr="00D62D04">
              <w:rPr>
                <w:rFonts w:eastAsia="Times New Roman"/>
                <w:sz w:val="20"/>
                <w:szCs w:val="20"/>
                <w:lang w:val="en-GB"/>
              </w:rPr>
              <w:t>00</w:t>
            </w:r>
          </w:p>
        </w:tc>
        <w:tc>
          <w:tcPr>
            <w:tcW w:w="1266" w:type="dxa"/>
            <w:vAlign w:val="bottom"/>
          </w:tcPr>
          <w:p w14:paraId="2DE0605E" w14:textId="77777777" w:rsidR="00F31B10" w:rsidRPr="00D62D04" w:rsidRDefault="00F31B10" w:rsidP="00DE257C">
            <w:pPr>
              <w:spacing w:after="0"/>
              <w:jc w:val="center"/>
              <w:rPr>
                <w:rFonts w:eastAsia="Times New Roman"/>
                <w:sz w:val="20"/>
                <w:szCs w:val="20"/>
                <w:lang w:val="en-GB"/>
              </w:rPr>
            </w:pPr>
            <w:r w:rsidRPr="00D62D04">
              <w:rPr>
                <w:rFonts w:eastAsia="Times New Roman"/>
                <w:sz w:val="20"/>
                <w:szCs w:val="20"/>
                <w:lang w:val="en-GB"/>
              </w:rPr>
              <w:t>240</w:t>
            </w:r>
            <w:r w:rsidR="00DE257C" w:rsidRPr="00D62D04">
              <w:rPr>
                <w:rFonts w:eastAsia="Times New Roman"/>
                <w:sz w:val="20"/>
                <w:szCs w:val="20"/>
                <w:lang w:val="en-GB"/>
              </w:rPr>
              <w:t>,</w:t>
            </w:r>
            <w:r w:rsidRPr="00D62D04">
              <w:rPr>
                <w:rFonts w:eastAsia="Times New Roman"/>
                <w:sz w:val="20"/>
                <w:szCs w:val="20"/>
                <w:lang w:val="en-GB"/>
              </w:rPr>
              <w:t>000</w:t>
            </w:r>
            <w:r w:rsidR="00DE257C" w:rsidRPr="00D62D04">
              <w:rPr>
                <w:rFonts w:eastAsia="Times New Roman"/>
                <w:sz w:val="20"/>
                <w:szCs w:val="20"/>
                <w:lang w:val="en-GB"/>
              </w:rPr>
              <w:t>.</w:t>
            </w:r>
            <w:r w:rsidRPr="00D62D04">
              <w:rPr>
                <w:rFonts w:eastAsia="Times New Roman"/>
                <w:sz w:val="20"/>
                <w:szCs w:val="20"/>
                <w:lang w:val="en-GB"/>
              </w:rPr>
              <w:t>00</w:t>
            </w:r>
          </w:p>
        </w:tc>
      </w:tr>
      <w:tr w:rsidR="00F31B10" w:rsidRPr="00D62D04" w14:paraId="735E7DB2" w14:textId="77777777" w:rsidTr="0056662A">
        <w:tc>
          <w:tcPr>
            <w:tcW w:w="2193" w:type="dxa"/>
            <w:vAlign w:val="bottom"/>
          </w:tcPr>
          <w:p w14:paraId="4027A715" w14:textId="77777777" w:rsidR="00F31B10" w:rsidRPr="00D62D04" w:rsidRDefault="00DE257C" w:rsidP="0056662A">
            <w:pPr>
              <w:spacing w:after="0"/>
              <w:rPr>
                <w:rFonts w:eastAsia="Times New Roman"/>
                <w:bCs/>
                <w:sz w:val="20"/>
                <w:szCs w:val="20"/>
                <w:highlight w:val="cyan"/>
                <w:lang w:val="en-GB"/>
              </w:rPr>
            </w:pPr>
            <w:r w:rsidRPr="00D62D04">
              <w:rPr>
                <w:rFonts w:eastAsia="Times New Roman"/>
                <w:bCs/>
                <w:sz w:val="20"/>
                <w:szCs w:val="20"/>
                <w:lang w:val="en-GB"/>
              </w:rPr>
              <w:t>Czechs</w:t>
            </w:r>
          </w:p>
        </w:tc>
        <w:tc>
          <w:tcPr>
            <w:tcW w:w="1266" w:type="dxa"/>
            <w:vAlign w:val="bottom"/>
          </w:tcPr>
          <w:p w14:paraId="4C41A12D" w14:textId="77777777" w:rsidR="00F31B10" w:rsidRPr="00D62D04" w:rsidRDefault="00F31B10" w:rsidP="00DE257C">
            <w:pPr>
              <w:spacing w:after="0"/>
              <w:jc w:val="center"/>
              <w:rPr>
                <w:rFonts w:eastAsia="Times New Roman"/>
                <w:color w:val="000000"/>
                <w:sz w:val="20"/>
                <w:szCs w:val="20"/>
                <w:lang w:val="en-GB"/>
              </w:rPr>
            </w:pPr>
            <w:r w:rsidRPr="00D62D04">
              <w:rPr>
                <w:rFonts w:eastAsia="Times New Roman"/>
                <w:color w:val="000000"/>
                <w:sz w:val="20"/>
                <w:szCs w:val="20"/>
                <w:lang w:val="en-GB"/>
              </w:rPr>
              <w:t>470</w:t>
            </w:r>
            <w:r w:rsidR="00DE257C" w:rsidRPr="00D62D04">
              <w:rPr>
                <w:rFonts w:eastAsia="Times New Roman"/>
                <w:color w:val="000000"/>
                <w:sz w:val="20"/>
                <w:szCs w:val="20"/>
                <w:lang w:val="en-GB"/>
              </w:rPr>
              <w:t>,</w:t>
            </w:r>
            <w:r w:rsidRPr="00D62D04">
              <w:rPr>
                <w:rFonts w:eastAsia="Times New Roman"/>
                <w:color w:val="000000"/>
                <w:sz w:val="20"/>
                <w:szCs w:val="20"/>
                <w:lang w:val="en-GB"/>
              </w:rPr>
              <w:t>000</w:t>
            </w:r>
            <w:r w:rsidR="00DE257C" w:rsidRPr="00D62D04">
              <w:rPr>
                <w:rFonts w:eastAsia="Times New Roman"/>
                <w:color w:val="000000"/>
                <w:sz w:val="20"/>
                <w:szCs w:val="20"/>
                <w:lang w:val="en-GB"/>
              </w:rPr>
              <w:t>.</w:t>
            </w:r>
            <w:r w:rsidRPr="00D62D04">
              <w:rPr>
                <w:rFonts w:eastAsia="Times New Roman"/>
                <w:color w:val="000000"/>
                <w:sz w:val="20"/>
                <w:szCs w:val="20"/>
                <w:lang w:val="en-GB"/>
              </w:rPr>
              <w:t>00</w:t>
            </w:r>
          </w:p>
        </w:tc>
        <w:tc>
          <w:tcPr>
            <w:tcW w:w="1385" w:type="dxa"/>
            <w:vAlign w:val="bottom"/>
          </w:tcPr>
          <w:p w14:paraId="0CD11F4E" w14:textId="77777777" w:rsidR="00F31B10" w:rsidRPr="00D62D04" w:rsidRDefault="00F31B10" w:rsidP="00DE257C">
            <w:pPr>
              <w:spacing w:after="0"/>
              <w:jc w:val="center"/>
              <w:rPr>
                <w:rFonts w:eastAsia="Times New Roman"/>
                <w:sz w:val="20"/>
                <w:szCs w:val="20"/>
                <w:lang w:val="en-GB"/>
              </w:rPr>
            </w:pPr>
            <w:r w:rsidRPr="00D62D04">
              <w:rPr>
                <w:rFonts w:eastAsia="Times New Roman"/>
                <w:sz w:val="20"/>
                <w:szCs w:val="20"/>
                <w:lang w:val="en-GB"/>
              </w:rPr>
              <w:t>245</w:t>
            </w:r>
            <w:r w:rsidR="00DE257C" w:rsidRPr="00D62D04">
              <w:rPr>
                <w:rFonts w:eastAsia="Times New Roman"/>
                <w:sz w:val="20"/>
                <w:szCs w:val="20"/>
                <w:lang w:val="en-GB"/>
              </w:rPr>
              <w:t>,</w:t>
            </w:r>
            <w:r w:rsidRPr="00D62D04">
              <w:rPr>
                <w:rFonts w:eastAsia="Times New Roman"/>
                <w:sz w:val="20"/>
                <w:szCs w:val="20"/>
                <w:lang w:val="en-GB"/>
              </w:rPr>
              <w:t>000</w:t>
            </w:r>
            <w:r w:rsidR="00DE257C" w:rsidRPr="00D62D04">
              <w:rPr>
                <w:rFonts w:eastAsia="Times New Roman"/>
                <w:sz w:val="20"/>
                <w:szCs w:val="20"/>
                <w:lang w:val="en-GB"/>
              </w:rPr>
              <w:t>.</w:t>
            </w:r>
            <w:r w:rsidRPr="00D62D04">
              <w:rPr>
                <w:rFonts w:eastAsia="Times New Roman"/>
                <w:sz w:val="20"/>
                <w:szCs w:val="20"/>
                <w:lang w:val="en-GB"/>
              </w:rPr>
              <w:t>00</w:t>
            </w:r>
          </w:p>
        </w:tc>
        <w:tc>
          <w:tcPr>
            <w:tcW w:w="1385" w:type="dxa"/>
            <w:vAlign w:val="bottom"/>
          </w:tcPr>
          <w:p w14:paraId="4DAAB2A6" w14:textId="77777777" w:rsidR="00F31B10" w:rsidRPr="00D62D04" w:rsidRDefault="00F31B10" w:rsidP="00DE257C">
            <w:pPr>
              <w:spacing w:after="0"/>
              <w:jc w:val="center"/>
              <w:rPr>
                <w:rFonts w:eastAsia="Times New Roman"/>
                <w:sz w:val="20"/>
                <w:szCs w:val="20"/>
                <w:lang w:val="en-GB"/>
              </w:rPr>
            </w:pPr>
            <w:r w:rsidRPr="00D62D04">
              <w:rPr>
                <w:rFonts w:eastAsia="Times New Roman"/>
                <w:sz w:val="20"/>
                <w:szCs w:val="20"/>
                <w:lang w:val="en-GB"/>
              </w:rPr>
              <w:t>360</w:t>
            </w:r>
            <w:r w:rsidR="00DE257C" w:rsidRPr="00D62D04">
              <w:rPr>
                <w:rFonts w:eastAsia="Times New Roman"/>
                <w:sz w:val="20"/>
                <w:szCs w:val="20"/>
                <w:lang w:val="en-GB"/>
              </w:rPr>
              <w:t>,</w:t>
            </w:r>
            <w:r w:rsidRPr="00D62D04">
              <w:rPr>
                <w:rFonts w:eastAsia="Times New Roman"/>
                <w:sz w:val="20"/>
                <w:szCs w:val="20"/>
                <w:lang w:val="en-GB"/>
              </w:rPr>
              <w:t>000</w:t>
            </w:r>
            <w:r w:rsidR="00DE257C" w:rsidRPr="00D62D04">
              <w:rPr>
                <w:rFonts w:eastAsia="Times New Roman"/>
                <w:sz w:val="20"/>
                <w:szCs w:val="20"/>
                <w:lang w:val="en-GB"/>
              </w:rPr>
              <w:t>.</w:t>
            </w:r>
            <w:r w:rsidRPr="00D62D04">
              <w:rPr>
                <w:rFonts w:eastAsia="Times New Roman"/>
                <w:sz w:val="20"/>
                <w:szCs w:val="20"/>
                <w:lang w:val="en-GB"/>
              </w:rPr>
              <w:t>00</w:t>
            </w:r>
          </w:p>
        </w:tc>
        <w:tc>
          <w:tcPr>
            <w:tcW w:w="1385" w:type="dxa"/>
            <w:vAlign w:val="bottom"/>
          </w:tcPr>
          <w:p w14:paraId="289476CD" w14:textId="77777777" w:rsidR="00F31B10" w:rsidRPr="00D62D04" w:rsidRDefault="00F31B10" w:rsidP="00DE257C">
            <w:pPr>
              <w:spacing w:after="0"/>
              <w:jc w:val="center"/>
              <w:rPr>
                <w:rFonts w:eastAsia="Times New Roman"/>
                <w:sz w:val="20"/>
                <w:szCs w:val="20"/>
                <w:lang w:val="en-GB"/>
              </w:rPr>
            </w:pPr>
            <w:r w:rsidRPr="00D62D04">
              <w:rPr>
                <w:rFonts w:eastAsia="Times New Roman"/>
                <w:sz w:val="20"/>
                <w:szCs w:val="20"/>
                <w:lang w:val="en-GB"/>
              </w:rPr>
              <w:t>240</w:t>
            </w:r>
            <w:r w:rsidR="00DE257C" w:rsidRPr="00D62D04">
              <w:rPr>
                <w:rFonts w:eastAsia="Times New Roman"/>
                <w:sz w:val="20"/>
                <w:szCs w:val="20"/>
                <w:lang w:val="en-GB"/>
              </w:rPr>
              <w:t>,</w:t>
            </w:r>
            <w:r w:rsidRPr="00D62D04">
              <w:rPr>
                <w:rFonts w:eastAsia="Times New Roman"/>
                <w:sz w:val="20"/>
                <w:szCs w:val="20"/>
                <w:lang w:val="en-GB"/>
              </w:rPr>
              <w:t>000</w:t>
            </w:r>
            <w:r w:rsidR="00DE257C" w:rsidRPr="00D62D04">
              <w:rPr>
                <w:rFonts w:eastAsia="Times New Roman"/>
                <w:sz w:val="20"/>
                <w:szCs w:val="20"/>
                <w:lang w:val="en-GB"/>
              </w:rPr>
              <w:t>.</w:t>
            </w:r>
            <w:r w:rsidRPr="00D62D04">
              <w:rPr>
                <w:rFonts w:eastAsia="Times New Roman"/>
                <w:sz w:val="20"/>
                <w:szCs w:val="20"/>
                <w:lang w:val="en-GB"/>
              </w:rPr>
              <w:t>00</w:t>
            </w:r>
          </w:p>
        </w:tc>
        <w:tc>
          <w:tcPr>
            <w:tcW w:w="1266" w:type="dxa"/>
            <w:vAlign w:val="bottom"/>
          </w:tcPr>
          <w:p w14:paraId="629E70E9" w14:textId="77777777" w:rsidR="00F31B10" w:rsidRPr="00D62D04" w:rsidRDefault="00F31B10" w:rsidP="00DE257C">
            <w:pPr>
              <w:spacing w:after="0"/>
              <w:jc w:val="center"/>
              <w:rPr>
                <w:rFonts w:eastAsia="Times New Roman"/>
                <w:sz w:val="20"/>
                <w:szCs w:val="20"/>
                <w:lang w:val="en-GB"/>
              </w:rPr>
            </w:pPr>
            <w:r w:rsidRPr="00D62D04">
              <w:rPr>
                <w:rFonts w:eastAsia="Times New Roman"/>
                <w:sz w:val="20"/>
                <w:szCs w:val="20"/>
                <w:lang w:val="en-GB"/>
              </w:rPr>
              <w:t>240</w:t>
            </w:r>
            <w:r w:rsidR="00DE257C" w:rsidRPr="00D62D04">
              <w:rPr>
                <w:rFonts w:eastAsia="Times New Roman"/>
                <w:sz w:val="20"/>
                <w:szCs w:val="20"/>
                <w:lang w:val="en-GB"/>
              </w:rPr>
              <w:t>,</w:t>
            </w:r>
            <w:r w:rsidRPr="00D62D04">
              <w:rPr>
                <w:rFonts w:eastAsia="Times New Roman"/>
                <w:sz w:val="20"/>
                <w:szCs w:val="20"/>
                <w:lang w:val="en-GB"/>
              </w:rPr>
              <w:t>000</w:t>
            </w:r>
            <w:r w:rsidR="00DE257C" w:rsidRPr="00D62D04">
              <w:rPr>
                <w:rFonts w:eastAsia="Times New Roman"/>
                <w:sz w:val="20"/>
                <w:szCs w:val="20"/>
                <w:lang w:val="en-GB"/>
              </w:rPr>
              <w:t>.</w:t>
            </w:r>
            <w:r w:rsidRPr="00D62D04">
              <w:rPr>
                <w:rFonts w:eastAsia="Times New Roman"/>
                <w:sz w:val="20"/>
                <w:szCs w:val="20"/>
                <w:lang w:val="en-GB"/>
              </w:rPr>
              <w:t>00</w:t>
            </w:r>
          </w:p>
        </w:tc>
      </w:tr>
    </w:tbl>
    <w:p w14:paraId="0B091AD1" w14:textId="77777777" w:rsidR="00F31B10" w:rsidRPr="00D62D04" w:rsidRDefault="00F31B10" w:rsidP="00F31B10">
      <w:pPr>
        <w:spacing w:after="0"/>
        <w:ind w:firstLine="720"/>
        <w:jc w:val="both"/>
        <w:rPr>
          <w:sz w:val="24"/>
          <w:szCs w:val="24"/>
          <w:highlight w:val="cyan"/>
          <w:lang w:val="en-GB"/>
        </w:rPr>
      </w:pPr>
    </w:p>
    <w:p w14:paraId="77566EDB" w14:textId="77777777" w:rsidR="009979F7" w:rsidRPr="00D62D04" w:rsidRDefault="009979F7" w:rsidP="00F31B10">
      <w:pPr>
        <w:spacing w:after="0"/>
        <w:ind w:firstLine="720"/>
        <w:jc w:val="both"/>
        <w:rPr>
          <w:sz w:val="24"/>
          <w:szCs w:val="24"/>
          <w:lang w:val="en-GB"/>
        </w:rPr>
      </w:pPr>
      <w:r w:rsidRPr="00D62D04">
        <w:rPr>
          <w:sz w:val="24"/>
          <w:szCs w:val="24"/>
          <w:lang w:val="en-GB"/>
        </w:rPr>
        <w:t xml:space="preserve">National minority projects, i.e. projects that are important for national minorities, are supported to a significant extent through other tenders announced by the Ministry. The table below contains data on projects that were financed in other tenders. However, it is important to point out that we are only talking about projects that can be determined with certainty to </w:t>
      </w:r>
      <w:r w:rsidRPr="00D62D04">
        <w:rPr>
          <w:sz w:val="24"/>
          <w:szCs w:val="24"/>
          <w:lang w:val="en-GB"/>
        </w:rPr>
        <w:lastRenderedPageBreak/>
        <w:t>represent projects related to national minorities, and that the real number of projects and allocated funds is certainly higher, because, in each specific case, it is not possible to get reliable information about the nationality of association members - project applicants and/or beneficiaries of project activities.</w:t>
      </w:r>
    </w:p>
    <w:p w14:paraId="49E7CAD5" w14:textId="77777777" w:rsidR="00F31B10" w:rsidRPr="00D62D04" w:rsidRDefault="00F31B10" w:rsidP="00F31B10">
      <w:pPr>
        <w:spacing w:after="0"/>
        <w:jc w:val="both"/>
        <w:rPr>
          <w:sz w:val="24"/>
          <w:szCs w:val="24"/>
          <w:highlight w:val="cyan"/>
          <w:lang w:val="en-GB"/>
        </w:rPr>
      </w:pP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F31B10" w:rsidRPr="00D62D04" w14:paraId="15E7BF74" w14:textId="77777777" w:rsidTr="0056662A">
        <w:tc>
          <w:tcPr>
            <w:tcW w:w="1502" w:type="dxa"/>
          </w:tcPr>
          <w:p w14:paraId="5C5D3035" w14:textId="77777777" w:rsidR="00F31B10" w:rsidRPr="00D62D04" w:rsidRDefault="00F31B10" w:rsidP="0056662A">
            <w:pPr>
              <w:spacing w:after="0"/>
              <w:jc w:val="center"/>
              <w:rPr>
                <w:sz w:val="20"/>
                <w:szCs w:val="20"/>
                <w:lang w:val="en-GB"/>
              </w:rPr>
            </w:pPr>
          </w:p>
        </w:tc>
        <w:tc>
          <w:tcPr>
            <w:tcW w:w="1502" w:type="dxa"/>
          </w:tcPr>
          <w:p w14:paraId="7E0F517E" w14:textId="77777777" w:rsidR="00F31B10" w:rsidRPr="00D62D04" w:rsidRDefault="00997C7B" w:rsidP="0056662A">
            <w:pPr>
              <w:spacing w:after="0"/>
              <w:jc w:val="center"/>
              <w:rPr>
                <w:sz w:val="20"/>
                <w:szCs w:val="20"/>
                <w:lang w:val="en-GB"/>
              </w:rPr>
            </w:pPr>
            <w:r w:rsidRPr="00D62D04">
              <w:rPr>
                <w:sz w:val="20"/>
                <w:szCs w:val="20"/>
                <w:lang w:val="en-GB"/>
              </w:rPr>
              <w:t>2017</w:t>
            </w:r>
          </w:p>
        </w:tc>
        <w:tc>
          <w:tcPr>
            <w:tcW w:w="1503" w:type="dxa"/>
          </w:tcPr>
          <w:p w14:paraId="2CB652B9" w14:textId="77777777" w:rsidR="00F31B10" w:rsidRPr="00D62D04" w:rsidRDefault="00997C7B" w:rsidP="0056662A">
            <w:pPr>
              <w:spacing w:after="0"/>
              <w:jc w:val="center"/>
              <w:rPr>
                <w:sz w:val="20"/>
                <w:szCs w:val="20"/>
                <w:lang w:val="en-GB"/>
              </w:rPr>
            </w:pPr>
            <w:r w:rsidRPr="00D62D04">
              <w:rPr>
                <w:sz w:val="20"/>
                <w:szCs w:val="20"/>
                <w:lang w:val="en-GB"/>
              </w:rPr>
              <w:t>2018</w:t>
            </w:r>
          </w:p>
        </w:tc>
        <w:tc>
          <w:tcPr>
            <w:tcW w:w="1503" w:type="dxa"/>
          </w:tcPr>
          <w:p w14:paraId="69905819" w14:textId="77777777" w:rsidR="00F31B10" w:rsidRPr="00D62D04" w:rsidRDefault="00997C7B" w:rsidP="0056662A">
            <w:pPr>
              <w:spacing w:after="0"/>
              <w:jc w:val="center"/>
              <w:rPr>
                <w:sz w:val="20"/>
                <w:szCs w:val="20"/>
                <w:lang w:val="en-GB"/>
              </w:rPr>
            </w:pPr>
            <w:r w:rsidRPr="00D62D04">
              <w:rPr>
                <w:sz w:val="20"/>
                <w:szCs w:val="20"/>
                <w:lang w:val="en-GB"/>
              </w:rPr>
              <w:t>2019</w:t>
            </w:r>
          </w:p>
        </w:tc>
        <w:tc>
          <w:tcPr>
            <w:tcW w:w="1503" w:type="dxa"/>
          </w:tcPr>
          <w:p w14:paraId="6190AF91" w14:textId="77777777" w:rsidR="00F31B10" w:rsidRPr="00D62D04" w:rsidRDefault="00997C7B" w:rsidP="0056662A">
            <w:pPr>
              <w:spacing w:after="0"/>
              <w:jc w:val="center"/>
              <w:rPr>
                <w:sz w:val="20"/>
                <w:szCs w:val="20"/>
                <w:lang w:val="en-GB"/>
              </w:rPr>
            </w:pPr>
            <w:r w:rsidRPr="00D62D04">
              <w:rPr>
                <w:sz w:val="20"/>
                <w:szCs w:val="20"/>
                <w:lang w:val="en-GB"/>
              </w:rPr>
              <w:t>2020</w:t>
            </w:r>
          </w:p>
        </w:tc>
        <w:tc>
          <w:tcPr>
            <w:tcW w:w="1503" w:type="dxa"/>
          </w:tcPr>
          <w:p w14:paraId="06AC2A84" w14:textId="77777777" w:rsidR="00F31B10" w:rsidRPr="00D62D04" w:rsidRDefault="00F31B10" w:rsidP="0056662A">
            <w:pPr>
              <w:spacing w:after="0"/>
              <w:jc w:val="center"/>
              <w:rPr>
                <w:sz w:val="20"/>
                <w:szCs w:val="20"/>
                <w:lang w:val="en-GB"/>
              </w:rPr>
            </w:pPr>
            <w:r w:rsidRPr="00D62D04">
              <w:rPr>
                <w:sz w:val="20"/>
                <w:szCs w:val="20"/>
                <w:lang w:val="en-GB"/>
              </w:rPr>
              <w:t>2</w:t>
            </w:r>
            <w:r w:rsidR="00997C7B" w:rsidRPr="00D62D04">
              <w:rPr>
                <w:sz w:val="20"/>
                <w:szCs w:val="20"/>
                <w:lang w:val="en-GB"/>
              </w:rPr>
              <w:t>021</w:t>
            </w:r>
          </w:p>
        </w:tc>
      </w:tr>
      <w:tr w:rsidR="00F31B10" w:rsidRPr="00D62D04" w14:paraId="459BBA22" w14:textId="77777777" w:rsidTr="0056662A">
        <w:tc>
          <w:tcPr>
            <w:tcW w:w="1502" w:type="dxa"/>
            <w:vAlign w:val="bottom"/>
          </w:tcPr>
          <w:p w14:paraId="76A89323" w14:textId="77777777" w:rsidR="00F31B10" w:rsidRPr="00D62D04" w:rsidRDefault="00997C7B" w:rsidP="0056662A">
            <w:pPr>
              <w:spacing w:after="0"/>
              <w:rPr>
                <w:rFonts w:eastAsia="Times New Roman"/>
                <w:color w:val="000000"/>
                <w:sz w:val="20"/>
                <w:szCs w:val="20"/>
                <w:lang w:val="en-GB"/>
              </w:rPr>
            </w:pPr>
            <w:r w:rsidRPr="00D62D04">
              <w:rPr>
                <w:rFonts w:eastAsia="Times New Roman"/>
                <w:color w:val="000000"/>
                <w:sz w:val="20"/>
                <w:szCs w:val="20"/>
                <w:lang w:val="en-GB"/>
              </w:rPr>
              <w:t>Number of projects</w:t>
            </w:r>
          </w:p>
        </w:tc>
        <w:tc>
          <w:tcPr>
            <w:tcW w:w="1502" w:type="dxa"/>
            <w:vAlign w:val="center"/>
          </w:tcPr>
          <w:p w14:paraId="3C21A94A" w14:textId="77777777" w:rsidR="00F31B10" w:rsidRPr="00D62D04" w:rsidRDefault="00F31B10" w:rsidP="0056662A">
            <w:pPr>
              <w:spacing w:after="0"/>
              <w:jc w:val="center"/>
              <w:rPr>
                <w:rFonts w:eastAsia="Times New Roman"/>
                <w:color w:val="000000"/>
                <w:sz w:val="20"/>
                <w:szCs w:val="20"/>
                <w:lang w:val="en-GB"/>
              </w:rPr>
            </w:pPr>
            <w:r w:rsidRPr="00D62D04">
              <w:rPr>
                <w:rFonts w:eastAsia="Times New Roman"/>
                <w:color w:val="000000"/>
                <w:sz w:val="20"/>
                <w:szCs w:val="20"/>
                <w:lang w:val="en-GB"/>
              </w:rPr>
              <w:t>11</w:t>
            </w:r>
          </w:p>
        </w:tc>
        <w:tc>
          <w:tcPr>
            <w:tcW w:w="1503" w:type="dxa"/>
            <w:vAlign w:val="center"/>
          </w:tcPr>
          <w:p w14:paraId="72685438" w14:textId="77777777" w:rsidR="00F31B10" w:rsidRPr="00D62D04" w:rsidRDefault="00F31B10" w:rsidP="0056662A">
            <w:pPr>
              <w:spacing w:after="0"/>
              <w:jc w:val="center"/>
              <w:rPr>
                <w:rFonts w:eastAsia="Times New Roman"/>
                <w:color w:val="000000"/>
                <w:sz w:val="20"/>
                <w:szCs w:val="20"/>
                <w:lang w:val="en-GB"/>
              </w:rPr>
            </w:pPr>
            <w:r w:rsidRPr="00D62D04">
              <w:rPr>
                <w:rFonts w:eastAsia="Times New Roman"/>
                <w:color w:val="000000"/>
                <w:sz w:val="20"/>
                <w:szCs w:val="20"/>
                <w:lang w:val="en-GB"/>
              </w:rPr>
              <w:t>14</w:t>
            </w:r>
          </w:p>
        </w:tc>
        <w:tc>
          <w:tcPr>
            <w:tcW w:w="1503" w:type="dxa"/>
            <w:vAlign w:val="center"/>
          </w:tcPr>
          <w:p w14:paraId="2773EE78" w14:textId="77777777" w:rsidR="00F31B10" w:rsidRPr="00D62D04" w:rsidRDefault="00F31B10" w:rsidP="0056662A">
            <w:pPr>
              <w:spacing w:after="0"/>
              <w:jc w:val="center"/>
              <w:rPr>
                <w:rFonts w:eastAsia="Times New Roman"/>
                <w:color w:val="000000"/>
                <w:sz w:val="20"/>
                <w:szCs w:val="20"/>
                <w:lang w:val="en-GB"/>
              </w:rPr>
            </w:pPr>
            <w:r w:rsidRPr="00D62D04">
              <w:rPr>
                <w:rFonts w:eastAsia="Times New Roman"/>
                <w:color w:val="000000"/>
                <w:sz w:val="20"/>
                <w:szCs w:val="20"/>
                <w:lang w:val="en-GB"/>
              </w:rPr>
              <w:t>24</w:t>
            </w:r>
          </w:p>
        </w:tc>
        <w:tc>
          <w:tcPr>
            <w:tcW w:w="1503" w:type="dxa"/>
            <w:vAlign w:val="center"/>
          </w:tcPr>
          <w:p w14:paraId="25902A77" w14:textId="77777777" w:rsidR="00F31B10" w:rsidRPr="00D62D04" w:rsidRDefault="00F31B10" w:rsidP="0056662A">
            <w:pPr>
              <w:spacing w:after="0"/>
              <w:jc w:val="center"/>
              <w:rPr>
                <w:rFonts w:eastAsia="Times New Roman"/>
                <w:color w:val="000000"/>
                <w:sz w:val="20"/>
                <w:szCs w:val="20"/>
                <w:lang w:val="en-GB"/>
              </w:rPr>
            </w:pPr>
            <w:r w:rsidRPr="00D62D04">
              <w:rPr>
                <w:rFonts w:eastAsia="Times New Roman"/>
                <w:color w:val="000000"/>
                <w:sz w:val="20"/>
                <w:szCs w:val="20"/>
                <w:lang w:val="en-GB"/>
              </w:rPr>
              <w:t>10</w:t>
            </w:r>
          </w:p>
        </w:tc>
        <w:tc>
          <w:tcPr>
            <w:tcW w:w="1503" w:type="dxa"/>
            <w:vAlign w:val="center"/>
          </w:tcPr>
          <w:p w14:paraId="26B9EBE7" w14:textId="77777777" w:rsidR="00F31B10" w:rsidRPr="00D62D04" w:rsidRDefault="00F31B10" w:rsidP="0056662A">
            <w:pPr>
              <w:spacing w:after="0"/>
              <w:jc w:val="center"/>
              <w:rPr>
                <w:rFonts w:eastAsia="Times New Roman"/>
                <w:color w:val="000000"/>
                <w:sz w:val="20"/>
                <w:szCs w:val="20"/>
                <w:lang w:val="en-GB"/>
              </w:rPr>
            </w:pPr>
            <w:r w:rsidRPr="00D62D04">
              <w:rPr>
                <w:rFonts w:eastAsia="Times New Roman"/>
                <w:color w:val="000000"/>
                <w:sz w:val="20"/>
                <w:szCs w:val="20"/>
                <w:lang w:val="en-GB"/>
              </w:rPr>
              <w:t>16</w:t>
            </w:r>
          </w:p>
        </w:tc>
      </w:tr>
      <w:tr w:rsidR="00F31B10" w:rsidRPr="00D62D04" w14:paraId="103CD614" w14:textId="77777777" w:rsidTr="0056662A">
        <w:tc>
          <w:tcPr>
            <w:tcW w:w="1502" w:type="dxa"/>
          </w:tcPr>
          <w:p w14:paraId="0240938E" w14:textId="77777777" w:rsidR="00F31B10" w:rsidRPr="00D62D04" w:rsidRDefault="00997C7B" w:rsidP="0056662A">
            <w:pPr>
              <w:spacing w:after="0"/>
              <w:jc w:val="both"/>
              <w:rPr>
                <w:sz w:val="20"/>
                <w:szCs w:val="20"/>
                <w:lang w:val="en-GB"/>
              </w:rPr>
            </w:pPr>
            <w:r w:rsidRPr="00D62D04">
              <w:rPr>
                <w:sz w:val="20"/>
                <w:szCs w:val="20"/>
                <w:lang w:val="en-GB"/>
              </w:rPr>
              <w:t>Amount of funds</w:t>
            </w:r>
          </w:p>
        </w:tc>
        <w:tc>
          <w:tcPr>
            <w:tcW w:w="1502" w:type="dxa"/>
            <w:vAlign w:val="center"/>
          </w:tcPr>
          <w:p w14:paraId="026962F7" w14:textId="77777777" w:rsidR="00F31B10" w:rsidRPr="00D62D04" w:rsidRDefault="00F31B10" w:rsidP="00997C7B">
            <w:pPr>
              <w:spacing w:after="0"/>
              <w:jc w:val="center"/>
              <w:rPr>
                <w:sz w:val="20"/>
                <w:szCs w:val="20"/>
                <w:lang w:val="en-GB"/>
              </w:rPr>
            </w:pPr>
            <w:r w:rsidRPr="00D62D04">
              <w:rPr>
                <w:sz w:val="20"/>
                <w:szCs w:val="20"/>
                <w:lang w:val="en-GB"/>
              </w:rPr>
              <w:t>5</w:t>
            </w:r>
            <w:r w:rsidR="00997C7B" w:rsidRPr="00D62D04">
              <w:rPr>
                <w:sz w:val="20"/>
                <w:szCs w:val="20"/>
                <w:lang w:val="en-GB"/>
              </w:rPr>
              <w:t>,</w:t>
            </w:r>
            <w:r w:rsidRPr="00D62D04">
              <w:rPr>
                <w:sz w:val="20"/>
                <w:szCs w:val="20"/>
                <w:lang w:val="en-GB"/>
              </w:rPr>
              <w:t>040</w:t>
            </w:r>
            <w:r w:rsidR="00997C7B" w:rsidRPr="00D62D04">
              <w:rPr>
                <w:sz w:val="20"/>
                <w:szCs w:val="20"/>
                <w:lang w:val="en-GB"/>
              </w:rPr>
              <w:t>,</w:t>
            </w:r>
            <w:r w:rsidRPr="00D62D04">
              <w:rPr>
                <w:sz w:val="20"/>
                <w:szCs w:val="20"/>
                <w:lang w:val="en-GB"/>
              </w:rPr>
              <w:t>000</w:t>
            </w:r>
            <w:r w:rsidR="00997C7B" w:rsidRPr="00D62D04">
              <w:rPr>
                <w:sz w:val="20"/>
                <w:szCs w:val="20"/>
                <w:lang w:val="en-GB"/>
              </w:rPr>
              <w:t>.</w:t>
            </w:r>
            <w:r w:rsidRPr="00D62D04">
              <w:rPr>
                <w:sz w:val="20"/>
                <w:szCs w:val="20"/>
                <w:lang w:val="en-GB"/>
              </w:rPr>
              <w:t>00</w:t>
            </w:r>
          </w:p>
        </w:tc>
        <w:tc>
          <w:tcPr>
            <w:tcW w:w="1503" w:type="dxa"/>
            <w:vAlign w:val="center"/>
          </w:tcPr>
          <w:p w14:paraId="20064FF0" w14:textId="77777777" w:rsidR="00F31B10" w:rsidRPr="00D62D04" w:rsidRDefault="00F31B10" w:rsidP="00997C7B">
            <w:pPr>
              <w:spacing w:after="0"/>
              <w:jc w:val="center"/>
              <w:rPr>
                <w:sz w:val="20"/>
                <w:szCs w:val="20"/>
                <w:lang w:val="en-GB"/>
              </w:rPr>
            </w:pPr>
            <w:r w:rsidRPr="00D62D04">
              <w:rPr>
                <w:rFonts w:eastAsia="Times New Roman"/>
                <w:color w:val="000000"/>
                <w:sz w:val="20"/>
                <w:szCs w:val="20"/>
                <w:lang w:val="en-GB"/>
              </w:rPr>
              <w:t>12</w:t>
            </w:r>
            <w:r w:rsidR="00997C7B" w:rsidRPr="00D62D04">
              <w:rPr>
                <w:rFonts w:eastAsia="Times New Roman"/>
                <w:color w:val="000000"/>
                <w:sz w:val="20"/>
                <w:szCs w:val="20"/>
                <w:lang w:val="en-GB"/>
              </w:rPr>
              <w:t>,</w:t>
            </w:r>
            <w:r w:rsidRPr="00D62D04">
              <w:rPr>
                <w:rFonts w:eastAsia="Times New Roman"/>
                <w:color w:val="000000"/>
                <w:sz w:val="20"/>
                <w:szCs w:val="20"/>
                <w:lang w:val="en-GB"/>
              </w:rPr>
              <w:t>414</w:t>
            </w:r>
            <w:r w:rsidR="00997C7B" w:rsidRPr="00D62D04">
              <w:rPr>
                <w:rFonts w:eastAsia="Times New Roman"/>
                <w:color w:val="000000"/>
                <w:sz w:val="20"/>
                <w:szCs w:val="20"/>
                <w:lang w:val="en-GB"/>
              </w:rPr>
              <w:t>,</w:t>
            </w:r>
            <w:r w:rsidRPr="00D62D04">
              <w:rPr>
                <w:rFonts w:eastAsia="Times New Roman"/>
                <w:color w:val="000000"/>
                <w:sz w:val="20"/>
                <w:szCs w:val="20"/>
                <w:lang w:val="en-GB"/>
              </w:rPr>
              <w:t>400</w:t>
            </w:r>
            <w:r w:rsidR="00997C7B" w:rsidRPr="00D62D04">
              <w:rPr>
                <w:rFonts w:eastAsia="Times New Roman"/>
                <w:color w:val="000000"/>
                <w:sz w:val="20"/>
                <w:szCs w:val="20"/>
                <w:lang w:val="en-GB"/>
              </w:rPr>
              <w:t>.</w:t>
            </w:r>
            <w:r w:rsidRPr="00D62D04">
              <w:rPr>
                <w:rFonts w:eastAsia="Times New Roman"/>
                <w:color w:val="000000"/>
                <w:sz w:val="20"/>
                <w:szCs w:val="20"/>
                <w:lang w:val="en-GB"/>
              </w:rPr>
              <w:t>00</w:t>
            </w:r>
          </w:p>
        </w:tc>
        <w:tc>
          <w:tcPr>
            <w:tcW w:w="1503" w:type="dxa"/>
            <w:vAlign w:val="center"/>
          </w:tcPr>
          <w:p w14:paraId="2D356920" w14:textId="77777777" w:rsidR="00F31B10" w:rsidRPr="00D62D04" w:rsidRDefault="00F31B10" w:rsidP="00997C7B">
            <w:pPr>
              <w:spacing w:after="0"/>
              <w:jc w:val="center"/>
              <w:rPr>
                <w:sz w:val="20"/>
                <w:szCs w:val="20"/>
                <w:lang w:val="en-GB"/>
              </w:rPr>
            </w:pPr>
            <w:r w:rsidRPr="00D62D04">
              <w:rPr>
                <w:rFonts w:eastAsia="Times New Roman"/>
                <w:color w:val="000000"/>
                <w:sz w:val="20"/>
                <w:szCs w:val="20"/>
                <w:lang w:val="en-GB"/>
              </w:rPr>
              <w:t>13</w:t>
            </w:r>
            <w:r w:rsidR="00997C7B" w:rsidRPr="00D62D04">
              <w:rPr>
                <w:rFonts w:eastAsia="Times New Roman"/>
                <w:color w:val="000000"/>
                <w:sz w:val="20"/>
                <w:szCs w:val="20"/>
                <w:lang w:val="en-GB"/>
              </w:rPr>
              <w:t>,</w:t>
            </w:r>
            <w:r w:rsidRPr="00D62D04">
              <w:rPr>
                <w:rFonts w:eastAsia="Times New Roman"/>
                <w:color w:val="000000"/>
                <w:sz w:val="20"/>
                <w:szCs w:val="20"/>
                <w:lang w:val="en-GB"/>
              </w:rPr>
              <w:t>223</w:t>
            </w:r>
            <w:r w:rsidR="00997C7B" w:rsidRPr="00D62D04">
              <w:rPr>
                <w:rFonts w:eastAsia="Times New Roman"/>
                <w:color w:val="000000"/>
                <w:sz w:val="20"/>
                <w:szCs w:val="20"/>
                <w:lang w:val="en-GB"/>
              </w:rPr>
              <w:t>,</w:t>
            </w:r>
            <w:r w:rsidRPr="00D62D04">
              <w:rPr>
                <w:rFonts w:eastAsia="Times New Roman"/>
                <w:color w:val="000000"/>
                <w:sz w:val="20"/>
                <w:szCs w:val="20"/>
                <w:lang w:val="en-GB"/>
              </w:rPr>
              <w:t>430</w:t>
            </w:r>
            <w:r w:rsidR="00997C7B" w:rsidRPr="00D62D04">
              <w:rPr>
                <w:rFonts w:eastAsia="Times New Roman"/>
                <w:color w:val="000000"/>
                <w:sz w:val="20"/>
                <w:szCs w:val="20"/>
                <w:lang w:val="en-GB"/>
              </w:rPr>
              <w:t>.</w:t>
            </w:r>
            <w:r w:rsidRPr="00D62D04">
              <w:rPr>
                <w:rFonts w:eastAsia="Times New Roman"/>
                <w:color w:val="000000"/>
                <w:sz w:val="20"/>
                <w:szCs w:val="20"/>
                <w:lang w:val="en-GB"/>
              </w:rPr>
              <w:t>00</w:t>
            </w:r>
          </w:p>
        </w:tc>
        <w:tc>
          <w:tcPr>
            <w:tcW w:w="1503" w:type="dxa"/>
            <w:vAlign w:val="center"/>
          </w:tcPr>
          <w:p w14:paraId="750EB2A2" w14:textId="77777777" w:rsidR="00F31B10" w:rsidRPr="00D62D04" w:rsidRDefault="00F31B10" w:rsidP="00997C7B">
            <w:pPr>
              <w:spacing w:after="0"/>
              <w:jc w:val="center"/>
              <w:rPr>
                <w:sz w:val="20"/>
                <w:szCs w:val="20"/>
                <w:lang w:val="en-GB"/>
              </w:rPr>
            </w:pPr>
            <w:r w:rsidRPr="00D62D04">
              <w:rPr>
                <w:rFonts w:eastAsia="Times New Roman"/>
                <w:color w:val="000000"/>
                <w:sz w:val="20"/>
                <w:szCs w:val="20"/>
                <w:lang w:val="en-GB"/>
              </w:rPr>
              <w:t>3</w:t>
            </w:r>
            <w:r w:rsidR="00997C7B" w:rsidRPr="00D62D04">
              <w:rPr>
                <w:rFonts w:eastAsia="Times New Roman"/>
                <w:color w:val="000000"/>
                <w:sz w:val="20"/>
                <w:szCs w:val="20"/>
                <w:lang w:val="en-GB"/>
              </w:rPr>
              <w:t>,</w:t>
            </w:r>
            <w:r w:rsidRPr="00D62D04">
              <w:rPr>
                <w:rFonts w:eastAsia="Times New Roman"/>
                <w:color w:val="000000"/>
                <w:sz w:val="20"/>
                <w:szCs w:val="20"/>
                <w:lang w:val="en-GB"/>
              </w:rPr>
              <w:t>860</w:t>
            </w:r>
            <w:r w:rsidR="00997C7B" w:rsidRPr="00D62D04">
              <w:rPr>
                <w:rFonts w:eastAsia="Times New Roman"/>
                <w:color w:val="000000"/>
                <w:sz w:val="20"/>
                <w:szCs w:val="20"/>
                <w:lang w:val="en-GB"/>
              </w:rPr>
              <w:t>,</w:t>
            </w:r>
            <w:r w:rsidRPr="00D62D04">
              <w:rPr>
                <w:rFonts w:eastAsia="Times New Roman"/>
                <w:color w:val="000000"/>
                <w:sz w:val="20"/>
                <w:szCs w:val="20"/>
                <w:lang w:val="en-GB"/>
              </w:rPr>
              <w:t>000</w:t>
            </w:r>
            <w:r w:rsidR="00997C7B" w:rsidRPr="00D62D04">
              <w:rPr>
                <w:rFonts w:eastAsia="Times New Roman"/>
                <w:color w:val="000000"/>
                <w:sz w:val="20"/>
                <w:szCs w:val="20"/>
                <w:lang w:val="en-GB"/>
              </w:rPr>
              <w:t>.</w:t>
            </w:r>
            <w:r w:rsidRPr="00D62D04">
              <w:rPr>
                <w:rFonts w:eastAsia="Times New Roman"/>
                <w:color w:val="000000"/>
                <w:sz w:val="20"/>
                <w:szCs w:val="20"/>
                <w:lang w:val="en-GB"/>
              </w:rPr>
              <w:t>00</w:t>
            </w:r>
          </w:p>
        </w:tc>
        <w:tc>
          <w:tcPr>
            <w:tcW w:w="1503" w:type="dxa"/>
            <w:vAlign w:val="center"/>
          </w:tcPr>
          <w:p w14:paraId="4FE7F207" w14:textId="77777777" w:rsidR="00F31B10" w:rsidRPr="00D62D04" w:rsidRDefault="00F31B10" w:rsidP="00997C7B">
            <w:pPr>
              <w:spacing w:after="0"/>
              <w:jc w:val="center"/>
              <w:rPr>
                <w:sz w:val="20"/>
                <w:szCs w:val="20"/>
                <w:lang w:val="en-GB"/>
              </w:rPr>
            </w:pPr>
            <w:r w:rsidRPr="00D62D04">
              <w:rPr>
                <w:rFonts w:eastAsia="Times New Roman"/>
                <w:color w:val="000000"/>
                <w:sz w:val="20"/>
                <w:szCs w:val="20"/>
                <w:lang w:val="en-GB"/>
              </w:rPr>
              <w:t>11</w:t>
            </w:r>
            <w:r w:rsidR="00997C7B" w:rsidRPr="00D62D04">
              <w:rPr>
                <w:rFonts w:eastAsia="Times New Roman"/>
                <w:color w:val="000000"/>
                <w:sz w:val="20"/>
                <w:szCs w:val="20"/>
                <w:lang w:val="en-GB"/>
              </w:rPr>
              <w:t>,</w:t>
            </w:r>
            <w:r w:rsidRPr="00D62D04">
              <w:rPr>
                <w:rFonts w:eastAsia="Times New Roman"/>
                <w:color w:val="000000"/>
                <w:sz w:val="20"/>
                <w:szCs w:val="20"/>
                <w:lang w:val="en-GB"/>
              </w:rPr>
              <w:t>980</w:t>
            </w:r>
            <w:r w:rsidR="00997C7B" w:rsidRPr="00D62D04">
              <w:rPr>
                <w:rFonts w:eastAsia="Times New Roman"/>
                <w:color w:val="000000"/>
                <w:sz w:val="20"/>
                <w:szCs w:val="20"/>
                <w:lang w:val="en-GB"/>
              </w:rPr>
              <w:t>,</w:t>
            </w:r>
            <w:r w:rsidRPr="00D62D04">
              <w:rPr>
                <w:rFonts w:eastAsia="Times New Roman"/>
                <w:color w:val="000000"/>
                <w:sz w:val="20"/>
                <w:szCs w:val="20"/>
                <w:lang w:val="en-GB"/>
              </w:rPr>
              <w:t>000</w:t>
            </w:r>
            <w:r w:rsidR="00997C7B" w:rsidRPr="00D62D04">
              <w:rPr>
                <w:rFonts w:eastAsia="Times New Roman"/>
                <w:color w:val="000000"/>
                <w:sz w:val="20"/>
                <w:szCs w:val="20"/>
                <w:lang w:val="en-GB"/>
              </w:rPr>
              <w:t>.</w:t>
            </w:r>
            <w:r w:rsidRPr="00D62D04">
              <w:rPr>
                <w:rFonts w:eastAsia="Times New Roman"/>
                <w:color w:val="000000"/>
                <w:sz w:val="20"/>
                <w:szCs w:val="20"/>
                <w:lang w:val="en-GB"/>
              </w:rPr>
              <w:t>00</w:t>
            </w:r>
          </w:p>
        </w:tc>
      </w:tr>
    </w:tbl>
    <w:p w14:paraId="08ED8773" w14:textId="77777777" w:rsidR="00F31B10" w:rsidRPr="00D62D04" w:rsidRDefault="00F31B10" w:rsidP="00F31B10">
      <w:pPr>
        <w:spacing w:after="0"/>
        <w:jc w:val="both"/>
        <w:rPr>
          <w:sz w:val="24"/>
          <w:szCs w:val="24"/>
          <w:highlight w:val="cyan"/>
          <w:lang w:val="en-GB"/>
        </w:rPr>
      </w:pPr>
    </w:p>
    <w:p w14:paraId="1B71F383" w14:textId="77777777" w:rsidR="00CA3A7E" w:rsidRPr="00D62D04" w:rsidRDefault="00CA3A7E" w:rsidP="00F31B10">
      <w:pPr>
        <w:spacing w:after="0"/>
        <w:ind w:firstLine="720"/>
        <w:jc w:val="both"/>
        <w:rPr>
          <w:sz w:val="24"/>
          <w:szCs w:val="24"/>
          <w:lang w:val="en-GB"/>
        </w:rPr>
      </w:pPr>
      <w:r w:rsidRPr="00D62D04">
        <w:rPr>
          <w:sz w:val="24"/>
          <w:szCs w:val="24"/>
          <w:lang w:val="en-GB"/>
        </w:rPr>
        <w:t>Since the new Action Plan for the exercise of the rights of national minorities, which is being prepared, will be based on the recommendations of the Advisory Committee, the Ministry of Culture and Information plans activities that would improve the current state of affairs of cultural activities of national minorities. In fact, it is planned to determine, in cooperation with the national councils of national minorities, the degree of satisfaction with the current funding in culture. In addition, education is planned for organisations with weaker capacities, especially for numerically smaller national minorities and national minorities from central and southern Serbia, and the introduction of affirmative measures in the process of co-financing projects in the culture of national minorities.</w:t>
      </w:r>
    </w:p>
    <w:p w14:paraId="7D97ACEC" w14:textId="77777777" w:rsidR="00C434E5" w:rsidRPr="00D62D04" w:rsidRDefault="00C434E5" w:rsidP="00F31B10">
      <w:pPr>
        <w:spacing w:after="0"/>
        <w:ind w:firstLine="720"/>
        <w:jc w:val="both"/>
        <w:rPr>
          <w:sz w:val="24"/>
          <w:szCs w:val="24"/>
          <w:lang w:val="en-GB"/>
        </w:rPr>
      </w:pPr>
      <w:r w:rsidRPr="00D62D04">
        <w:rPr>
          <w:sz w:val="24"/>
          <w:szCs w:val="24"/>
          <w:lang w:val="en-GB"/>
        </w:rPr>
        <w:t>The provincial secretariat responsible for culture also annually announces a competition for financing projects of importance for the culture and art of national minorities. The following tables provide an overview of the total funds allocated in these competitions by year, as well as the funds allocated by minority.</w:t>
      </w:r>
    </w:p>
    <w:p w14:paraId="3ED1CCC0" w14:textId="77777777" w:rsidR="00F31B10" w:rsidRPr="00D62D04" w:rsidRDefault="00F31B10" w:rsidP="00F31B10">
      <w:pPr>
        <w:spacing w:after="0"/>
        <w:jc w:val="both"/>
        <w:rPr>
          <w:sz w:val="24"/>
          <w:szCs w:val="24"/>
          <w:highlight w:val="cyan"/>
          <w:lang w:val="en-GB"/>
        </w:rPr>
      </w:pPr>
    </w:p>
    <w:tbl>
      <w:tblPr>
        <w:tblStyle w:val="TableGrid"/>
        <w:tblW w:w="9320" w:type="dxa"/>
        <w:jc w:val="center"/>
        <w:tblLayout w:type="fixed"/>
        <w:tblLook w:val="04A0" w:firstRow="1" w:lastRow="0" w:firstColumn="1" w:lastColumn="0" w:noHBand="0" w:noVBand="1"/>
      </w:tblPr>
      <w:tblGrid>
        <w:gridCol w:w="2459"/>
        <w:gridCol w:w="1372"/>
        <w:gridCol w:w="1373"/>
        <w:gridCol w:w="1372"/>
        <w:gridCol w:w="1470"/>
        <w:gridCol w:w="1274"/>
      </w:tblGrid>
      <w:tr w:rsidR="00F31B10" w:rsidRPr="00D62D04" w14:paraId="0D29437F" w14:textId="77777777" w:rsidTr="0056662A">
        <w:trPr>
          <w:trHeight w:val="282"/>
          <w:jc w:val="center"/>
        </w:trPr>
        <w:tc>
          <w:tcPr>
            <w:tcW w:w="2459" w:type="dxa"/>
          </w:tcPr>
          <w:p w14:paraId="11A8B4B3" w14:textId="77777777" w:rsidR="00F31B10" w:rsidRPr="00D62D04" w:rsidRDefault="00F31B10" w:rsidP="0056662A">
            <w:pPr>
              <w:spacing w:after="0"/>
              <w:jc w:val="both"/>
              <w:rPr>
                <w:sz w:val="20"/>
                <w:szCs w:val="20"/>
                <w:lang w:val="en-GB"/>
              </w:rPr>
            </w:pPr>
          </w:p>
        </w:tc>
        <w:tc>
          <w:tcPr>
            <w:tcW w:w="6861" w:type="dxa"/>
            <w:gridSpan w:val="5"/>
          </w:tcPr>
          <w:p w14:paraId="1028ED6E" w14:textId="77777777" w:rsidR="00F31B10" w:rsidRPr="00D62D04" w:rsidRDefault="00C434E5" w:rsidP="0056662A">
            <w:pPr>
              <w:spacing w:after="0"/>
              <w:jc w:val="center"/>
              <w:rPr>
                <w:sz w:val="20"/>
                <w:szCs w:val="20"/>
                <w:lang w:val="en-GB"/>
              </w:rPr>
            </w:pPr>
            <w:r w:rsidRPr="00D62D04">
              <w:rPr>
                <w:sz w:val="20"/>
                <w:szCs w:val="20"/>
                <w:lang w:val="en-GB"/>
              </w:rPr>
              <w:t>Amount of funds</w:t>
            </w:r>
          </w:p>
        </w:tc>
      </w:tr>
      <w:tr w:rsidR="00F31B10" w:rsidRPr="00D62D04" w14:paraId="5FBA0202" w14:textId="77777777" w:rsidTr="0056662A">
        <w:trPr>
          <w:trHeight w:val="286"/>
          <w:jc w:val="center"/>
        </w:trPr>
        <w:tc>
          <w:tcPr>
            <w:tcW w:w="2459" w:type="dxa"/>
          </w:tcPr>
          <w:p w14:paraId="030F0AE6" w14:textId="77777777" w:rsidR="00F31B10" w:rsidRPr="00D62D04" w:rsidRDefault="00F31B10" w:rsidP="0056662A">
            <w:pPr>
              <w:spacing w:after="0"/>
              <w:jc w:val="both"/>
              <w:rPr>
                <w:sz w:val="20"/>
                <w:szCs w:val="20"/>
                <w:lang w:val="en-GB"/>
              </w:rPr>
            </w:pPr>
          </w:p>
        </w:tc>
        <w:tc>
          <w:tcPr>
            <w:tcW w:w="1372" w:type="dxa"/>
          </w:tcPr>
          <w:p w14:paraId="7321D006" w14:textId="77777777" w:rsidR="00F31B10" w:rsidRPr="00D62D04" w:rsidRDefault="00C434E5" w:rsidP="0056662A">
            <w:pPr>
              <w:spacing w:after="0"/>
              <w:jc w:val="center"/>
              <w:rPr>
                <w:sz w:val="20"/>
                <w:szCs w:val="20"/>
                <w:lang w:val="en-GB"/>
              </w:rPr>
            </w:pPr>
            <w:r w:rsidRPr="00D62D04">
              <w:rPr>
                <w:sz w:val="20"/>
                <w:szCs w:val="20"/>
                <w:lang w:val="en-GB"/>
              </w:rPr>
              <w:t>2017</w:t>
            </w:r>
          </w:p>
        </w:tc>
        <w:tc>
          <w:tcPr>
            <w:tcW w:w="1373" w:type="dxa"/>
          </w:tcPr>
          <w:p w14:paraId="73367868" w14:textId="77777777" w:rsidR="00F31B10" w:rsidRPr="00D62D04" w:rsidRDefault="00C434E5" w:rsidP="0056662A">
            <w:pPr>
              <w:spacing w:after="0"/>
              <w:jc w:val="center"/>
              <w:rPr>
                <w:sz w:val="20"/>
                <w:szCs w:val="20"/>
                <w:lang w:val="en-GB"/>
              </w:rPr>
            </w:pPr>
            <w:r w:rsidRPr="00D62D04">
              <w:rPr>
                <w:sz w:val="20"/>
                <w:szCs w:val="20"/>
                <w:lang w:val="en-GB"/>
              </w:rPr>
              <w:t>2018</w:t>
            </w:r>
          </w:p>
        </w:tc>
        <w:tc>
          <w:tcPr>
            <w:tcW w:w="1372" w:type="dxa"/>
          </w:tcPr>
          <w:p w14:paraId="0BB612DD" w14:textId="77777777" w:rsidR="00F31B10" w:rsidRPr="00D62D04" w:rsidRDefault="00C434E5" w:rsidP="0056662A">
            <w:pPr>
              <w:spacing w:after="0"/>
              <w:jc w:val="center"/>
              <w:rPr>
                <w:sz w:val="20"/>
                <w:szCs w:val="20"/>
                <w:lang w:val="en-GB"/>
              </w:rPr>
            </w:pPr>
            <w:r w:rsidRPr="00D62D04">
              <w:rPr>
                <w:sz w:val="20"/>
                <w:szCs w:val="20"/>
                <w:lang w:val="en-GB"/>
              </w:rPr>
              <w:t>2019</w:t>
            </w:r>
          </w:p>
        </w:tc>
        <w:tc>
          <w:tcPr>
            <w:tcW w:w="1470" w:type="dxa"/>
          </w:tcPr>
          <w:p w14:paraId="62FE5D1C" w14:textId="77777777" w:rsidR="00F31B10" w:rsidRPr="00D62D04" w:rsidRDefault="00C434E5" w:rsidP="0056662A">
            <w:pPr>
              <w:spacing w:after="0"/>
              <w:jc w:val="center"/>
              <w:rPr>
                <w:sz w:val="20"/>
                <w:szCs w:val="20"/>
                <w:lang w:val="en-GB"/>
              </w:rPr>
            </w:pPr>
            <w:r w:rsidRPr="00D62D04">
              <w:rPr>
                <w:sz w:val="20"/>
                <w:szCs w:val="20"/>
                <w:lang w:val="en-GB"/>
              </w:rPr>
              <w:t>2020</w:t>
            </w:r>
          </w:p>
        </w:tc>
        <w:tc>
          <w:tcPr>
            <w:tcW w:w="1273" w:type="dxa"/>
          </w:tcPr>
          <w:p w14:paraId="5346D72F" w14:textId="77777777" w:rsidR="00F31B10" w:rsidRPr="00D62D04" w:rsidRDefault="00C434E5" w:rsidP="0056662A">
            <w:pPr>
              <w:spacing w:after="0"/>
              <w:jc w:val="center"/>
              <w:rPr>
                <w:sz w:val="20"/>
                <w:szCs w:val="20"/>
                <w:lang w:val="en-GB"/>
              </w:rPr>
            </w:pPr>
            <w:r w:rsidRPr="00D62D04">
              <w:rPr>
                <w:sz w:val="20"/>
                <w:szCs w:val="20"/>
                <w:lang w:val="en-GB"/>
              </w:rPr>
              <w:t>2021</w:t>
            </w:r>
          </w:p>
        </w:tc>
      </w:tr>
      <w:tr w:rsidR="00F31B10" w:rsidRPr="00D62D04" w14:paraId="458322D1" w14:textId="77777777" w:rsidTr="0056662A">
        <w:trPr>
          <w:trHeight w:val="1007"/>
          <w:jc w:val="center"/>
        </w:trPr>
        <w:tc>
          <w:tcPr>
            <w:tcW w:w="2459" w:type="dxa"/>
          </w:tcPr>
          <w:p w14:paraId="7DEC020E" w14:textId="77777777" w:rsidR="00F31B10" w:rsidRPr="00D62D04" w:rsidRDefault="00C434E5" w:rsidP="00C434E5">
            <w:pPr>
              <w:spacing w:after="0"/>
              <w:rPr>
                <w:sz w:val="20"/>
                <w:szCs w:val="20"/>
                <w:lang w:val="en-GB"/>
              </w:rPr>
            </w:pPr>
            <w:r w:rsidRPr="00D62D04">
              <w:rPr>
                <w:sz w:val="20"/>
                <w:szCs w:val="20"/>
                <w:lang w:val="en-GB"/>
              </w:rPr>
              <w:t>Area of protection of intangible cultural heritage and contemporary artistic creative work</w:t>
            </w:r>
          </w:p>
        </w:tc>
        <w:tc>
          <w:tcPr>
            <w:tcW w:w="1372" w:type="dxa"/>
          </w:tcPr>
          <w:p w14:paraId="6217D28A" w14:textId="77777777" w:rsidR="00F31B10" w:rsidRPr="00D62D04" w:rsidRDefault="00F31B10" w:rsidP="00C434E5">
            <w:pPr>
              <w:spacing w:after="0"/>
              <w:jc w:val="center"/>
              <w:rPr>
                <w:sz w:val="20"/>
                <w:szCs w:val="20"/>
                <w:lang w:val="en-GB"/>
              </w:rPr>
            </w:pPr>
            <w:r w:rsidRPr="00D62D04">
              <w:rPr>
                <w:sz w:val="20"/>
                <w:szCs w:val="20"/>
                <w:lang w:val="en-GB"/>
              </w:rPr>
              <w:t>6</w:t>
            </w:r>
            <w:r w:rsidR="00C434E5" w:rsidRPr="00D62D04">
              <w:rPr>
                <w:sz w:val="20"/>
                <w:szCs w:val="20"/>
                <w:lang w:val="en-GB"/>
              </w:rPr>
              <w:t>,</w:t>
            </w:r>
            <w:r w:rsidRPr="00D62D04">
              <w:rPr>
                <w:sz w:val="20"/>
                <w:szCs w:val="20"/>
                <w:lang w:val="en-GB"/>
              </w:rPr>
              <w:t>500</w:t>
            </w:r>
            <w:r w:rsidR="00C434E5" w:rsidRPr="00D62D04">
              <w:rPr>
                <w:sz w:val="20"/>
                <w:szCs w:val="20"/>
                <w:lang w:val="en-GB"/>
              </w:rPr>
              <w:t>,</w:t>
            </w:r>
            <w:r w:rsidRPr="00D62D04">
              <w:rPr>
                <w:sz w:val="20"/>
                <w:szCs w:val="20"/>
                <w:lang w:val="en-GB"/>
              </w:rPr>
              <w:t>000</w:t>
            </w:r>
            <w:r w:rsidR="00C434E5" w:rsidRPr="00D62D04">
              <w:rPr>
                <w:sz w:val="20"/>
                <w:szCs w:val="20"/>
                <w:lang w:val="en-GB"/>
              </w:rPr>
              <w:t>.</w:t>
            </w:r>
            <w:r w:rsidRPr="00D62D04">
              <w:rPr>
                <w:sz w:val="20"/>
                <w:szCs w:val="20"/>
                <w:lang w:val="en-GB"/>
              </w:rPr>
              <w:t>00</w:t>
            </w:r>
          </w:p>
        </w:tc>
        <w:tc>
          <w:tcPr>
            <w:tcW w:w="1373" w:type="dxa"/>
          </w:tcPr>
          <w:p w14:paraId="46F4D0EC" w14:textId="77777777" w:rsidR="00F31B10" w:rsidRPr="00D62D04" w:rsidRDefault="00F31B10" w:rsidP="00C434E5">
            <w:pPr>
              <w:spacing w:after="0"/>
              <w:jc w:val="center"/>
              <w:rPr>
                <w:sz w:val="20"/>
                <w:szCs w:val="20"/>
                <w:lang w:val="en-GB"/>
              </w:rPr>
            </w:pPr>
            <w:r w:rsidRPr="00D62D04">
              <w:rPr>
                <w:sz w:val="20"/>
                <w:szCs w:val="20"/>
                <w:lang w:val="en-GB"/>
              </w:rPr>
              <w:t>13</w:t>
            </w:r>
            <w:r w:rsidR="00C434E5" w:rsidRPr="00D62D04">
              <w:rPr>
                <w:sz w:val="20"/>
                <w:szCs w:val="20"/>
                <w:lang w:val="en-GB"/>
              </w:rPr>
              <w:t>,</w:t>
            </w:r>
            <w:r w:rsidRPr="00D62D04">
              <w:rPr>
                <w:sz w:val="20"/>
                <w:szCs w:val="20"/>
                <w:lang w:val="en-GB"/>
              </w:rPr>
              <w:t>000</w:t>
            </w:r>
            <w:r w:rsidR="00C434E5" w:rsidRPr="00D62D04">
              <w:rPr>
                <w:sz w:val="20"/>
                <w:szCs w:val="20"/>
                <w:lang w:val="en-GB"/>
              </w:rPr>
              <w:t>,</w:t>
            </w:r>
            <w:r w:rsidRPr="00D62D04">
              <w:rPr>
                <w:sz w:val="20"/>
                <w:szCs w:val="20"/>
                <w:lang w:val="en-GB"/>
              </w:rPr>
              <w:t>000</w:t>
            </w:r>
            <w:r w:rsidR="00C434E5" w:rsidRPr="00D62D04">
              <w:rPr>
                <w:sz w:val="20"/>
                <w:szCs w:val="20"/>
                <w:lang w:val="en-GB"/>
              </w:rPr>
              <w:t>.</w:t>
            </w:r>
            <w:r w:rsidRPr="00D62D04">
              <w:rPr>
                <w:sz w:val="20"/>
                <w:szCs w:val="20"/>
                <w:lang w:val="en-GB"/>
              </w:rPr>
              <w:t>00</w:t>
            </w:r>
          </w:p>
        </w:tc>
        <w:tc>
          <w:tcPr>
            <w:tcW w:w="1372" w:type="dxa"/>
          </w:tcPr>
          <w:p w14:paraId="38FFD0F1" w14:textId="77777777" w:rsidR="00F31B10" w:rsidRPr="00D62D04" w:rsidRDefault="00F31B10" w:rsidP="00C434E5">
            <w:pPr>
              <w:spacing w:after="0"/>
              <w:jc w:val="center"/>
              <w:rPr>
                <w:sz w:val="20"/>
                <w:szCs w:val="20"/>
                <w:lang w:val="en-GB"/>
              </w:rPr>
            </w:pPr>
            <w:r w:rsidRPr="00D62D04">
              <w:rPr>
                <w:sz w:val="20"/>
                <w:szCs w:val="20"/>
                <w:lang w:val="en-GB"/>
              </w:rPr>
              <w:t>6</w:t>
            </w:r>
            <w:r w:rsidR="00C434E5" w:rsidRPr="00D62D04">
              <w:rPr>
                <w:sz w:val="20"/>
                <w:szCs w:val="20"/>
                <w:lang w:val="en-GB"/>
              </w:rPr>
              <w:t>,</w:t>
            </w:r>
            <w:r w:rsidRPr="00D62D04">
              <w:rPr>
                <w:sz w:val="20"/>
                <w:szCs w:val="20"/>
                <w:lang w:val="en-GB"/>
              </w:rPr>
              <w:t>500</w:t>
            </w:r>
            <w:r w:rsidR="00C434E5" w:rsidRPr="00D62D04">
              <w:rPr>
                <w:sz w:val="20"/>
                <w:szCs w:val="20"/>
                <w:lang w:val="en-GB"/>
              </w:rPr>
              <w:t>,</w:t>
            </w:r>
            <w:r w:rsidRPr="00D62D04">
              <w:rPr>
                <w:sz w:val="20"/>
                <w:szCs w:val="20"/>
                <w:lang w:val="en-GB"/>
              </w:rPr>
              <w:t>000</w:t>
            </w:r>
            <w:r w:rsidR="00C434E5" w:rsidRPr="00D62D04">
              <w:rPr>
                <w:sz w:val="20"/>
                <w:szCs w:val="20"/>
                <w:lang w:val="en-GB"/>
              </w:rPr>
              <w:t>.</w:t>
            </w:r>
            <w:r w:rsidRPr="00D62D04">
              <w:rPr>
                <w:sz w:val="20"/>
                <w:szCs w:val="20"/>
                <w:lang w:val="en-GB"/>
              </w:rPr>
              <w:t>00</w:t>
            </w:r>
          </w:p>
        </w:tc>
        <w:tc>
          <w:tcPr>
            <w:tcW w:w="1470" w:type="dxa"/>
          </w:tcPr>
          <w:p w14:paraId="48FF73E9" w14:textId="77777777" w:rsidR="00F31B10" w:rsidRPr="00D62D04" w:rsidRDefault="00F31B10" w:rsidP="00C434E5">
            <w:pPr>
              <w:spacing w:after="0"/>
              <w:jc w:val="center"/>
              <w:rPr>
                <w:sz w:val="20"/>
                <w:szCs w:val="20"/>
                <w:lang w:val="en-GB"/>
              </w:rPr>
            </w:pPr>
            <w:r w:rsidRPr="00D62D04">
              <w:rPr>
                <w:sz w:val="20"/>
                <w:szCs w:val="20"/>
                <w:lang w:val="en-GB"/>
              </w:rPr>
              <w:t>6</w:t>
            </w:r>
            <w:r w:rsidR="00C434E5" w:rsidRPr="00D62D04">
              <w:rPr>
                <w:sz w:val="20"/>
                <w:szCs w:val="20"/>
                <w:lang w:val="en-GB"/>
              </w:rPr>
              <w:t>,</w:t>
            </w:r>
            <w:r w:rsidRPr="00D62D04">
              <w:rPr>
                <w:sz w:val="20"/>
                <w:szCs w:val="20"/>
                <w:lang w:val="en-GB"/>
              </w:rPr>
              <w:t>500</w:t>
            </w:r>
            <w:r w:rsidR="00C434E5" w:rsidRPr="00D62D04">
              <w:rPr>
                <w:sz w:val="20"/>
                <w:szCs w:val="20"/>
                <w:lang w:val="en-GB"/>
              </w:rPr>
              <w:t>,</w:t>
            </w:r>
            <w:r w:rsidRPr="00D62D04">
              <w:rPr>
                <w:sz w:val="20"/>
                <w:szCs w:val="20"/>
                <w:lang w:val="en-GB"/>
              </w:rPr>
              <w:t>000</w:t>
            </w:r>
            <w:r w:rsidR="00C434E5" w:rsidRPr="00D62D04">
              <w:rPr>
                <w:sz w:val="20"/>
                <w:szCs w:val="20"/>
                <w:lang w:val="en-GB"/>
              </w:rPr>
              <w:t>.</w:t>
            </w:r>
            <w:r w:rsidRPr="00D62D04">
              <w:rPr>
                <w:sz w:val="20"/>
                <w:szCs w:val="20"/>
                <w:lang w:val="en-GB"/>
              </w:rPr>
              <w:t>00</w:t>
            </w:r>
          </w:p>
        </w:tc>
        <w:tc>
          <w:tcPr>
            <w:tcW w:w="1273" w:type="dxa"/>
          </w:tcPr>
          <w:p w14:paraId="0B0E7AA1" w14:textId="77777777" w:rsidR="00F31B10" w:rsidRPr="00D62D04" w:rsidRDefault="00F31B10" w:rsidP="00C434E5">
            <w:pPr>
              <w:spacing w:after="0"/>
              <w:jc w:val="center"/>
              <w:rPr>
                <w:sz w:val="20"/>
                <w:szCs w:val="20"/>
                <w:lang w:val="en-GB"/>
              </w:rPr>
            </w:pPr>
            <w:r w:rsidRPr="00D62D04">
              <w:rPr>
                <w:sz w:val="20"/>
                <w:szCs w:val="20"/>
                <w:lang w:val="en-GB"/>
              </w:rPr>
              <w:t>6</w:t>
            </w:r>
            <w:r w:rsidR="00C434E5" w:rsidRPr="00D62D04">
              <w:rPr>
                <w:sz w:val="20"/>
                <w:szCs w:val="20"/>
                <w:lang w:val="en-GB"/>
              </w:rPr>
              <w:t>,</w:t>
            </w:r>
            <w:r w:rsidRPr="00D62D04">
              <w:rPr>
                <w:sz w:val="20"/>
                <w:szCs w:val="20"/>
                <w:lang w:val="en-GB"/>
              </w:rPr>
              <w:t>500</w:t>
            </w:r>
            <w:r w:rsidR="00C434E5" w:rsidRPr="00D62D04">
              <w:rPr>
                <w:sz w:val="20"/>
                <w:szCs w:val="20"/>
                <w:lang w:val="en-GB"/>
              </w:rPr>
              <w:t>,</w:t>
            </w:r>
            <w:r w:rsidRPr="00D62D04">
              <w:rPr>
                <w:sz w:val="20"/>
                <w:szCs w:val="20"/>
                <w:lang w:val="en-GB"/>
              </w:rPr>
              <w:t>000</w:t>
            </w:r>
            <w:r w:rsidR="00C434E5" w:rsidRPr="00D62D04">
              <w:rPr>
                <w:sz w:val="20"/>
                <w:szCs w:val="20"/>
                <w:lang w:val="en-GB"/>
              </w:rPr>
              <w:t>.</w:t>
            </w:r>
            <w:r w:rsidRPr="00D62D04">
              <w:rPr>
                <w:sz w:val="20"/>
                <w:szCs w:val="20"/>
                <w:lang w:val="en-GB"/>
              </w:rPr>
              <w:t>00</w:t>
            </w:r>
          </w:p>
        </w:tc>
      </w:tr>
      <w:tr w:rsidR="00F31B10" w:rsidRPr="00D62D04" w14:paraId="2EA06EA9" w14:textId="77777777" w:rsidTr="0056662A">
        <w:trPr>
          <w:trHeight w:val="686"/>
          <w:jc w:val="center"/>
        </w:trPr>
        <w:tc>
          <w:tcPr>
            <w:tcW w:w="2459" w:type="dxa"/>
          </w:tcPr>
          <w:p w14:paraId="52DB8BD5" w14:textId="77777777" w:rsidR="00F31B10" w:rsidRPr="00D62D04" w:rsidRDefault="00C434E5" w:rsidP="0056662A">
            <w:pPr>
              <w:spacing w:after="0"/>
              <w:rPr>
                <w:sz w:val="20"/>
                <w:szCs w:val="20"/>
                <w:lang w:val="en-GB"/>
              </w:rPr>
            </w:pPr>
            <w:r w:rsidRPr="00D62D04">
              <w:rPr>
                <w:sz w:val="20"/>
                <w:szCs w:val="20"/>
                <w:lang w:val="en-GB"/>
              </w:rPr>
              <w:t>The field of publishing activities in the languages of national communities</w:t>
            </w:r>
          </w:p>
        </w:tc>
        <w:tc>
          <w:tcPr>
            <w:tcW w:w="1372" w:type="dxa"/>
          </w:tcPr>
          <w:p w14:paraId="4B905766" w14:textId="77777777" w:rsidR="00F31B10" w:rsidRPr="00D62D04" w:rsidRDefault="00F31B10" w:rsidP="00C434E5">
            <w:pPr>
              <w:spacing w:after="0"/>
              <w:jc w:val="center"/>
              <w:rPr>
                <w:sz w:val="20"/>
                <w:szCs w:val="20"/>
                <w:lang w:val="en-GB"/>
              </w:rPr>
            </w:pPr>
            <w:r w:rsidRPr="00D62D04">
              <w:rPr>
                <w:sz w:val="20"/>
                <w:szCs w:val="20"/>
                <w:lang w:val="en-GB"/>
              </w:rPr>
              <w:t>2</w:t>
            </w:r>
            <w:r w:rsidR="00C434E5" w:rsidRPr="00D62D04">
              <w:rPr>
                <w:sz w:val="20"/>
                <w:szCs w:val="20"/>
                <w:lang w:val="en-GB"/>
              </w:rPr>
              <w:t>,</w:t>
            </w:r>
            <w:r w:rsidRPr="00D62D04">
              <w:rPr>
                <w:sz w:val="20"/>
                <w:szCs w:val="20"/>
                <w:lang w:val="en-GB"/>
              </w:rPr>
              <w:t>100</w:t>
            </w:r>
            <w:r w:rsidR="00C434E5" w:rsidRPr="00D62D04">
              <w:rPr>
                <w:sz w:val="20"/>
                <w:szCs w:val="20"/>
                <w:lang w:val="en-GB"/>
              </w:rPr>
              <w:t>,</w:t>
            </w:r>
            <w:r w:rsidRPr="00D62D04">
              <w:rPr>
                <w:sz w:val="20"/>
                <w:szCs w:val="20"/>
                <w:lang w:val="en-GB"/>
              </w:rPr>
              <w:t>000</w:t>
            </w:r>
            <w:r w:rsidR="00C434E5" w:rsidRPr="00D62D04">
              <w:rPr>
                <w:sz w:val="20"/>
                <w:szCs w:val="20"/>
                <w:lang w:val="en-GB"/>
              </w:rPr>
              <w:t>.</w:t>
            </w:r>
            <w:r w:rsidRPr="00D62D04">
              <w:rPr>
                <w:sz w:val="20"/>
                <w:szCs w:val="20"/>
                <w:lang w:val="en-GB"/>
              </w:rPr>
              <w:t>00</w:t>
            </w:r>
          </w:p>
        </w:tc>
        <w:tc>
          <w:tcPr>
            <w:tcW w:w="1373" w:type="dxa"/>
          </w:tcPr>
          <w:p w14:paraId="7B75C8E8" w14:textId="77777777" w:rsidR="00F31B10" w:rsidRPr="00D62D04" w:rsidRDefault="00F31B10" w:rsidP="00C434E5">
            <w:pPr>
              <w:spacing w:after="0"/>
              <w:jc w:val="center"/>
              <w:rPr>
                <w:sz w:val="20"/>
                <w:szCs w:val="20"/>
                <w:lang w:val="en-GB"/>
              </w:rPr>
            </w:pPr>
            <w:r w:rsidRPr="00D62D04">
              <w:rPr>
                <w:sz w:val="20"/>
                <w:szCs w:val="20"/>
                <w:lang w:val="en-GB"/>
              </w:rPr>
              <w:t>4</w:t>
            </w:r>
            <w:r w:rsidR="00C434E5" w:rsidRPr="00D62D04">
              <w:rPr>
                <w:sz w:val="20"/>
                <w:szCs w:val="20"/>
                <w:lang w:val="en-GB"/>
              </w:rPr>
              <w:t>,</w:t>
            </w:r>
            <w:r w:rsidRPr="00D62D04">
              <w:rPr>
                <w:sz w:val="20"/>
                <w:szCs w:val="20"/>
                <w:lang w:val="en-GB"/>
              </w:rPr>
              <w:t>100</w:t>
            </w:r>
            <w:r w:rsidR="00C434E5" w:rsidRPr="00D62D04">
              <w:rPr>
                <w:sz w:val="20"/>
                <w:szCs w:val="20"/>
                <w:lang w:val="en-GB"/>
              </w:rPr>
              <w:t>,</w:t>
            </w:r>
            <w:r w:rsidRPr="00D62D04">
              <w:rPr>
                <w:sz w:val="20"/>
                <w:szCs w:val="20"/>
                <w:lang w:val="en-GB"/>
              </w:rPr>
              <w:t>000</w:t>
            </w:r>
            <w:r w:rsidR="00C434E5" w:rsidRPr="00D62D04">
              <w:rPr>
                <w:sz w:val="20"/>
                <w:szCs w:val="20"/>
                <w:lang w:val="en-GB"/>
              </w:rPr>
              <w:t>.</w:t>
            </w:r>
            <w:r w:rsidRPr="00D62D04">
              <w:rPr>
                <w:sz w:val="20"/>
                <w:szCs w:val="20"/>
                <w:lang w:val="en-GB"/>
              </w:rPr>
              <w:t>00</w:t>
            </w:r>
          </w:p>
        </w:tc>
        <w:tc>
          <w:tcPr>
            <w:tcW w:w="1372" w:type="dxa"/>
          </w:tcPr>
          <w:p w14:paraId="70A958DA" w14:textId="77777777" w:rsidR="00F31B10" w:rsidRPr="00D62D04" w:rsidRDefault="00F31B10" w:rsidP="00C434E5">
            <w:pPr>
              <w:spacing w:after="0"/>
              <w:jc w:val="center"/>
              <w:rPr>
                <w:sz w:val="20"/>
                <w:szCs w:val="20"/>
                <w:lang w:val="en-GB"/>
              </w:rPr>
            </w:pPr>
            <w:r w:rsidRPr="00D62D04">
              <w:rPr>
                <w:sz w:val="20"/>
                <w:szCs w:val="20"/>
                <w:lang w:val="en-GB"/>
              </w:rPr>
              <w:t>2</w:t>
            </w:r>
            <w:r w:rsidR="00C434E5" w:rsidRPr="00D62D04">
              <w:rPr>
                <w:sz w:val="20"/>
                <w:szCs w:val="20"/>
                <w:lang w:val="en-GB"/>
              </w:rPr>
              <w:t>,</w:t>
            </w:r>
            <w:r w:rsidRPr="00D62D04">
              <w:rPr>
                <w:sz w:val="20"/>
                <w:szCs w:val="20"/>
                <w:lang w:val="en-GB"/>
              </w:rPr>
              <w:t>100</w:t>
            </w:r>
            <w:r w:rsidR="00C434E5" w:rsidRPr="00D62D04">
              <w:rPr>
                <w:sz w:val="20"/>
                <w:szCs w:val="20"/>
                <w:lang w:val="en-GB"/>
              </w:rPr>
              <w:t>,</w:t>
            </w:r>
            <w:r w:rsidRPr="00D62D04">
              <w:rPr>
                <w:sz w:val="20"/>
                <w:szCs w:val="20"/>
                <w:lang w:val="en-GB"/>
              </w:rPr>
              <w:t>000</w:t>
            </w:r>
            <w:r w:rsidR="00C434E5" w:rsidRPr="00D62D04">
              <w:rPr>
                <w:sz w:val="20"/>
                <w:szCs w:val="20"/>
                <w:lang w:val="en-GB"/>
              </w:rPr>
              <w:t>.</w:t>
            </w:r>
            <w:r w:rsidRPr="00D62D04">
              <w:rPr>
                <w:sz w:val="20"/>
                <w:szCs w:val="20"/>
                <w:lang w:val="en-GB"/>
              </w:rPr>
              <w:t>00</w:t>
            </w:r>
          </w:p>
        </w:tc>
        <w:tc>
          <w:tcPr>
            <w:tcW w:w="1470" w:type="dxa"/>
          </w:tcPr>
          <w:p w14:paraId="2BC284AE" w14:textId="77777777" w:rsidR="00F31B10" w:rsidRPr="00D62D04" w:rsidRDefault="00F31B10" w:rsidP="00C434E5">
            <w:pPr>
              <w:spacing w:after="0"/>
              <w:jc w:val="center"/>
              <w:rPr>
                <w:sz w:val="20"/>
                <w:szCs w:val="20"/>
                <w:lang w:val="en-GB"/>
              </w:rPr>
            </w:pPr>
            <w:r w:rsidRPr="00D62D04">
              <w:rPr>
                <w:sz w:val="20"/>
                <w:szCs w:val="20"/>
                <w:lang w:val="en-GB"/>
              </w:rPr>
              <w:t>2</w:t>
            </w:r>
            <w:r w:rsidR="00C434E5" w:rsidRPr="00D62D04">
              <w:rPr>
                <w:sz w:val="20"/>
                <w:szCs w:val="20"/>
                <w:lang w:val="en-GB"/>
              </w:rPr>
              <w:t>,</w:t>
            </w:r>
            <w:r w:rsidRPr="00D62D04">
              <w:rPr>
                <w:sz w:val="20"/>
                <w:szCs w:val="20"/>
                <w:lang w:val="en-GB"/>
              </w:rPr>
              <w:t>100</w:t>
            </w:r>
            <w:r w:rsidR="00C434E5" w:rsidRPr="00D62D04">
              <w:rPr>
                <w:sz w:val="20"/>
                <w:szCs w:val="20"/>
                <w:lang w:val="en-GB"/>
              </w:rPr>
              <w:t>,</w:t>
            </w:r>
            <w:r w:rsidRPr="00D62D04">
              <w:rPr>
                <w:sz w:val="20"/>
                <w:szCs w:val="20"/>
                <w:lang w:val="en-GB"/>
              </w:rPr>
              <w:t>000</w:t>
            </w:r>
            <w:r w:rsidR="00C434E5" w:rsidRPr="00D62D04">
              <w:rPr>
                <w:sz w:val="20"/>
                <w:szCs w:val="20"/>
                <w:lang w:val="en-GB"/>
              </w:rPr>
              <w:t>.</w:t>
            </w:r>
            <w:r w:rsidRPr="00D62D04">
              <w:rPr>
                <w:sz w:val="20"/>
                <w:szCs w:val="20"/>
                <w:lang w:val="en-GB"/>
              </w:rPr>
              <w:t>00</w:t>
            </w:r>
          </w:p>
        </w:tc>
        <w:tc>
          <w:tcPr>
            <w:tcW w:w="1273" w:type="dxa"/>
          </w:tcPr>
          <w:p w14:paraId="6068C6D3" w14:textId="77777777" w:rsidR="00F31B10" w:rsidRPr="00D62D04" w:rsidRDefault="00F31B10" w:rsidP="00C434E5">
            <w:pPr>
              <w:spacing w:after="0"/>
              <w:jc w:val="center"/>
              <w:rPr>
                <w:sz w:val="20"/>
                <w:szCs w:val="20"/>
                <w:lang w:val="en-GB"/>
              </w:rPr>
            </w:pPr>
            <w:r w:rsidRPr="00D62D04">
              <w:rPr>
                <w:sz w:val="20"/>
                <w:szCs w:val="20"/>
                <w:lang w:val="en-GB"/>
              </w:rPr>
              <w:t>2</w:t>
            </w:r>
            <w:r w:rsidR="00C434E5" w:rsidRPr="00D62D04">
              <w:rPr>
                <w:sz w:val="20"/>
                <w:szCs w:val="20"/>
                <w:lang w:val="en-GB"/>
              </w:rPr>
              <w:t>,</w:t>
            </w:r>
            <w:r w:rsidRPr="00D62D04">
              <w:rPr>
                <w:sz w:val="20"/>
                <w:szCs w:val="20"/>
                <w:lang w:val="en-GB"/>
              </w:rPr>
              <w:t>100</w:t>
            </w:r>
            <w:r w:rsidR="00C434E5" w:rsidRPr="00D62D04">
              <w:rPr>
                <w:sz w:val="20"/>
                <w:szCs w:val="20"/>
                <w:lang w:val="en-GB"/>
              </w:rPr>
              <w:t>,</w:t>
            </w:r>
            <w:r w:rsidRPr="00D62D04">
              <w:rPr>
                <w:sz w:val="20"/>
                <w:szCs w:val="20"/>
                <w:lang w:val="en-GB"/>
              </w:rPr>
              <w:t>000</w:t>
            </w:r>
            <w:r w:rsidR="00C434E5" w:rsidRPr="00D62D04">
              <w:rPr>
                <w:sz w:val="20"/>
                <w:szCs w:val="20"/>
                <w:lang w:val="en-GB"/>
              </w:rPr>
              <w:t>.</w:t>
            </w:r>
            <w:r w:rsidRPr="00D62D04">
              <w:rPr>
                <w:sz w:val="20"/>
                <w:szCs w:val="20"/>
                <w:lang w:val="en-GB"/>
              </w:rPr>
              <w:t>00</w:t>
            </w:r>
          </w:p>
        </w:tc>
      </w:tr>
    </w:tbl>
    <w:p w14:paraId="5BC21359" w14:textId="77777777" w:rsidR="00F31B10" w:rsidRPr="00D62D04" w:rsidRDefault="00F31B10" w:rsidP="00F31B10">
      <w:pPr>
        <w:spacing w:after="0"/>
        <w:jc w:val="both"/>
        <w:rPr>
          <w:sz w:val="24"/>
          <w:szCs w:val="24"/>
          <w:highlight w:val="cyan"/>
          <w:lang w:val="en-GB"/>
        </w:rPr>
      </w:pPr>
    </w:p>
    <w:p w14:paraId="3F6D21E3" w14:textId="77777777" w:rsidR="00945A5A" w:rsidRPr="00D62D04" w:rsidRDefault="00945A5A" w:rsidP="00F31B10">
      <w:pPr>
        <w:spacing w:after="0"/>
        <w:jc w:val="both"/>
        <w:rPr>
          <w:sz w:val="24"/>
          <w:szCs w:val="24"/>
          <w:highlight w:val="cyan"/>
          <w:lang w:val="en-GB"/>
        </w:rPr>
      </w:pPr>
    </w:p>
    <w:tbl>
      <w:tblPr>
        <w:tblStyle w:val="TableGrid"/>
        <w:tblW w:w="9338" w:type="dxa"/>
        <w:tblInd w:w="-147" w:type="dxa"/>
        <w:tblLook w:val="04A0" w:firstRow="1" w:lastRow="0" w:firstColumn="1" w:lastColumn="0" w:noHBand="0" w:noVBand="1"/>
      </w:tblPr>
      <w:tblGrid>
        <w:gridCol w:w="2417"/>
        <w:gridCol w:w="1393"/>
        <w:gridCol w:w="1468"/>
        <w:gridCol w:w="1317"/>
        <w:gridCol w:w="1433"/>
        <w:gridCol w:w="1310"/>
      </w:tblGrid>
      <w:tr w:rsidR="00F31B10" w:rsidRPr="00D62D04" w14:paraId="4B179039" w14:textId="77777777" w:rsidTr="0056662A">
        <w:trPr>
          <w:trHeight w:val="327"/>
        </w:trPr>
        <w:tc>
          <w:tcPr>
            <w:tcW w:w="2417" w:type="dxa"/>
          </w:tcPr>
          <w:p w14:paraId="58B9D229" w14:textId="77777777" w:rsidR="00F31B10" w:rsidRPr="00D62D04" w:rsidRDefault="00C204B5" w:rsidP="0056662A">
            <w:pPr>
              <w:spacing w:after="0"/>
              <w:jc w:val="center"/>
              <w:rPr>
                <w:sz w:val="20"/>
                <w:szCs w:val="20"/>
                <w:lang w:val="en-GB"/>
              </w:rPr>
            </w:pPr>
            <w:r w:rsidRPr="00D62D04">
              <w:rPr>
                <w:sz w:val="20"/>
                <w:szCs w:val="20"/>
                <w:lang w:val="en-GB"/>
              </w:rPr>
              <w:t>National minority</w:t>
            </w:r>
          </w:p>
        </w:tc>
        <w:tc>
          <w:tcPr>
            <w:tcW w:w="1393" w:type="dxa"/>
            <w:vAlign w:val="bottom"/>
          </w:tcPr>
          <w:p w14:paraId="6BC060C8" w14:textId="77777777" w:rsidR="00F31B10" w:rsidRPr="00D62D04" w:rsidRDefault="00C204B5" w:rsidP="0056662A">
            <w:pPr>
              <w:spacing w:after="0"/>
              <w:jc w:val="center"/>
              <w:rPr>
                <w:rFonts w:eastAsia="Times New Roman"/>
                <w:color w:val="000000"/>
                <w:sz w:val="20"/>
                <w:szCs w:val="20"/>
                <w:lang w:val="en-GB"/>
              </w:rPr>
            </w:pPr>
            <w:r w:rsidRPr="00D62D04">
              <w:rPr>
                <w:rFonts w:eastAsia="Times New Roman"/>
                <w:color w:val="000000"/>
                <w:sz w:val="20"/>
                <w:szCs w:val="20"/>
                <w:lang w:val="en-GB"/>
              </w:rPr>
              <w:t>2017</w:t>
            </w:r>
          </w:p>
        </w:tc>
        <w:tc>
          <w:tcPr>
            <w:tcW w:w="1468" w:type="dxa"/>
            <w:vAlign w:val="bottom"/>
          </w:tcPr>
          <w:p w14:paraId="4E4DDC74" w14:textId="77777777" w:rsidR="00F31B10" w:rsidRPr="00D62D04" w:rsidRDefault="00C204B5" w:rsidP="0056662A">
            <w:pPr>
              <w:spacing w:after="0"/>
              <w:jc w:val="center"/>
              <w:rPr>
                <w:rFonts w:eastAsia="Times New Roman"/>
                <w:color w:val="000000"/>
                <w:sz w:val="20"/>
                <w:szCs w:val="20"/>
                <w:lang w:val="en-GB"/>
              </w:rPr>
            </w:pPr>
            <w:r w:rsidRPr="00D62D04">
              <w:rPr>
                <w:rFonts w:eastAsia="Times New Roman"/>
                <w:color w:val="000000"/>
                <w:sz w:val="20"/>
                <w:szCs w:val="20"/>
                <w:lang w:val="en-GB"/>
              </w:rPr>
              <w:t>2018</w:t>
            </w:r>
          </w:p>
        </w:tc>
        <w:tc>
          <w:tcPr>
            <w:tcW w:w="1317" w:type="dxa"/>
            <w:vAlign w:val="bottom"/>
          </w:tcPr>
          <w:p w14:paraId="1C0F3B77" w14:textId="77777777" w:rsidR="00F31B10" w:rsidRPr="00D62D04" w:rsidRDefault="00C204B5" w:rsidP="0056662A">
            <w:pPr>
              <w:spacing w:after="0"/>
              <w:jc w:val="center"/>
              <w:rPr>
                <w:rFonts w:eastAsia="Times New Roman"/>
                <w:color w:val="000000"/>
                <w:sz w:val="20"/>
                <w:szCs w:val="20"/>
                <w:lang w:val="en-GB"/>
              </w:rPr>
            </w:pPr>
            <w:r w:rsidRPr="00D62D04">
              <w:rPr>
                <w:rFonts w:eastAsia="Times New Roman"/>
                <w:color w:val="000000"/>
                <w:sz w:val="20"/>
                <w:szCs w:val="20"/>
                <w:lang w:val="en-GB"/>
              </w:rPr>
              <w:t>2019</w:t>
            </w:r>
          </w:p>
        </w:tc>
        <w:tc>
          <w:tcPr>
            <w:tcW w:w="1433" w:type="dxa"/>
            <w:vAlign w:val="bottom"/>
          </w:tcPr>
          <w:p w14:paraId="0F68F83C" w14:textId="77777777" w:rsidR="00F31B10" w:rsidRPr="00D62D04" w:rsidRDefault="00C204B5" w:rsidP="0056662A">
            <w:pPr>
              <w:spacing w:after="0"/>
              <w:jc w:val="center"/>
              <w:rPr>
                <w:rFonts w:eastAsia="Times New Roman"/>
                <w:color w:val="000000"/>
                <w:sz w:val="20"/>
                <w:szCs w:val="20"/>
                <w:lang w:val="en-GB"/>
              </w:rPr>
            </w:pPr>
            <w:r w:rsidRPr="00D62D04">
              <w:rPr>
                <w:rFonts w:eastAsia="Times New Roman"/>
                <w:color w:val="000000"/>
                <w:sz w:val="20"/>
                <w:szCs w:val="20"/>
                <w:lang w:val="en-GB"/>
              </w:rPr>
              <w:t>2020</w:t>
            </w:r>
          </w:p>
        </w:tc>
        <w:tc>
          <w:tcPr>
            <w:tcW w:w="1310" w:type="dxa"/>
            <w:vAlign w:val="bottom"/>
          </w:tcPr>
          <w:p w14:paraId="4907CB85" w14:textId="77777777" w:rsidR="00F31B10" w:rsidRPr="00D62D04" w:rsidRDefault="00C204B5" w:rsidP="0056662A">
            <w:pPr>
              <w:spacing w:after="0"/>
              <w:jc w:val="center"/>
              <w:rPr>
                <w:rFonts w:eastAsia="Times New Roman"/>
                <w:color w:val="000000"/>
                <w:sz w:val="20"/>
                <w:szCs w:val="20"/>
                <w:lang w:val="en-GB"/>
              </w:rPr>
            </w:pPr>
            <w:r w:rsidRPr="00D62D04">
              <w:rPr>
                <w:rFonts w:eastAsia="Times New Roman"/>
                <w:color w:val="000000"/>
                <w:sz w:val="20"/>
                <w:szCs w:val="20"/>
                <w:lang w:val="en-GB"/>
              </w:rPr>
              <w:t>2021</w:t>
            </w:r>
          </w:p>
        </w:tc>
      </w:tr>
      <w:tr w:rsidR="00F31B10" w:rsidRPr="00D62D04" w14:paraId="3BFC5762" w14:textId="77777777" w:rsidTr="0056662A">
        <w:trPr>
          <w:trHeight w:val="286"/>
        </w:trPr>
        <w:tc>
          <w:tcPr>
            <w:tcW w:w="2417" w:type="dxa"/>
            <w:vAlign w:val="center"/>
          </w:tcPr>
          <w:p w14:paraId="6204AB8E" w14:textId="77777777" w:rsidR="00F31B10" w:rsidRPr="00D62D04" w:rsidRDefault="0058038E" w:rsidP="0056662A">
            <w:pPr>
              <w:spacing w:after="0" w:line="240" w:lineRule="auto"/>
              <w:rPr>
                <w:rFonts w:eastAsia="Times New Roman"/>
                <w:bCs/>
                <w:iCs/>
                <w:sz w:val="20"/>
                <w:szCs w:val="20"/>
                <w:lang w:val="en-GB"/>
              </w:rPr>
            </w:pPr>
            <w:proofErr w:type="spellStart"/>
            <w:r w:rsidRPr="00D62D04">
              <w:rPr>
                <w:rFonts w:eastAsia="Times New Roman"/>
                <w:bCs/>
                <w:iCs/>
                <w:sz w:val="20"/>
                <w:szCs w:val="20"/>
                <w:lang w:val="en-GB"/>
              </w:rPr>
              <w:t>Ashkali</w:t>
            </w:r>
            <w:proofErr w:type="spellEnd"/>
            <w:r w:rsidRPr="00D62D04">
              <w:rPr>
                <w:rFonts w:eastAsia="Times New Roman"/>
                <w:bCs/>
                <w:iCs/>
                <w:sz w:val="20"/>
                <w:szCs w:val="20"/>
                <w:lang w:val="en-GB"/>
              </w:rPr>
              <w:t xml:space="preserve"> </w:t>
            </w:r>
          </w:p>
        </w:tc>
        <w:tc>
          <w:tcPr>
            <w:tcW w:w="1393" w:type="dxa"/>
            <w:vAlign w:val="center"/>
          </w:tcPr>
          <w:p w14:paraId="6836400C" w14:textId="77777777" w:rsidR="00F31B10" w:rsidRPr="00D62D04" w:rsidRDefault="00F31B10" w:rsidP="005913DF">
            <w:pPr>
              <w:spacing w:after="0" w:line="240" w:lineRule="auto"/>
              <w:jc w:val="center"/>
              <w:rPr>
                <w:rFonts w:eastAsia="Times New Roman"/>
                <w:bCs/>
                <w:sz w:val="20"/>
                <w:szCs w:val="20"/>
                <w:lang w:val="en-GB"/>
              </w:rPr>
            </w:pPr>
            <w:r w:rsidRPr="00D62D04">
              <w:rPr>
                <w:rFonts w:eastAsia="Times New Roman"/>
                <w:bCs/>
                <w:sz w:val="20"/>
                <w:szCs w:val="20"/>
                <w:lang w:val="en-GB"/>
              </w:rPr>
              <w:t>20</w:t>
            </w:r>
            <w:r w:rsidR="005913DF" w:rsidRPr="00D62D04">
              <w:rPr>
                <w:rFonts w:eastAsia="Times New Roman"/>
                <w:bCs/>
                <w:sz w:val="20"/>
                <w:szCs w:val="20"/>
                <w:lang w:val="en-GB"/>
              </w:rPr>
              <w:t>,</w:t>
            </w:r>
            <w:r w:rsidRPr="00D62D04">
              <w:rPr>
                <w:rFonts w:eastAsia="Times New Roman"/>
                <w:bCs/>
                <w:sz w:val="20"/>
                <w:szCs w:val="20"/>
                <w:lang w:val="en-GB"/>
              </w:rPr>
              <w:t>000</w:t>
            </w:r>
            <w:r w:rsidR="005913DF" w:rsidRPr="00D62D04">
              <w:rPr>
                <w:rFonts w:eastAsia="Times New Roman"/>
                <w:bCs/>
                <w:sz w:val="20"/>
                <w:szCs w:val="20"/>
                <w:lang w:val="en-GB"/>
              </w:rPr>
              <w:t>.</w:t>
            </w:r>
            <w:r w:rsidRPr="00D62D04">
              <w:rPr>
                <w:rFonts w:eastAsia="Times New Roman"/>
                <w:bCs/>
                <w:sz w:val="20"/>
                <w:szCs w:val="20"/>
                <w:lang w:val="en-GB"/>
              </w:rPr>
              <w:t>00</w:t>
            </w:r>
          </w:p>
        </w:tc>
        <w:tc>
          <w:tcPr>
            <w:tcW w:w="1468" w:type="dxa"/>
            <w:vAlign w:val="center"/>
          </w:tcPr>
          <w:p w14:paraId="044407EC" w14:textId="77777777" w:rsidR="00F31B10" w:rsidRPr="00D62D04" w:rsidRDefault="00F31B10" w:rsidP="005913DF">
            <w:pPr>
              <w:spacing w:after="0" w:line="240" w:lineRule="auto"/>
              <w:jc w:val="center"/>
              <w:rPr>
                <w:rFonts w:eastAsia="Times New Roman"/>
                <w:bCs/>
                <w:sz w:val="20"/>
                <w:szCs w:val="20"/>
                <w:lang w:val="en-GB"/>
              </w:rPr>
            </w:pPr>
            <w:r w:rsidRPr="00D62D04">
              <w:rPr>
                <w:rFonts w:eastAsia="Times New Roman"/>
                <w:bCs/>
                <w:sz w:val="20"/>
                <w:szCs w:val="20"/>
                <w:lang w:val="en-GB"/>
              </w:rPr>
              <w:t>20</w:t>
            </w:r>
            <w:r w:rsidR="005913DF" w:rsidRPr="00D62D04">
              <w:rPr>
                <w:rFonts w:eastAsia="Times New Roman"/>
                <w:bCs/>
                <w:sz w:val="20"/>
                <w:szCs w:val="20"/>
                <w:lang w:val="en-GB"/>
              </w:rPr>
              <w:t>,</w:t>
            </w:r>
            <w:r w:rsidRPr="00D62D04">
              <w:rPr>
                <w:rFonts w:eastAsia="Times New Roman"/>
                <w:bCs/>
                <w:sz w:val="20"/>
                <w:szCs w:val="20"/>
                <w:lang w:val="en-GB"/>
              </w:rPr>
              <w:t>000</w:t>
            </w:r>
            <w:r w:rsidR="005913DF" w:rsidRPr="00D62D04">
              <w:rPr>
                <w:rFonts w:eastAsia="Times New Roman"/>
                <w:bCs/>
                <w:sz w:val="20"/>
                <w:szCs w:val="20"/>
                <w:lang w:val="en-GB"/>
              </w:rPr>
              <w:t>.</w:t>
            </w:r>
            <w:r w:rsidRPr="00D62D04">
              <w:rPr>
                <w:rFonts w:eastAsia="Times New Roman"/>
                <w:bCs/>
                <w:sz w:val="20"/>
                <w:szCs w:val="20"/>
                <w:lang w:val="en-GB"/>
              </w:rPr>
              <w:t>00</w:t>
            </w:r>
          </w:p>
        </w:tc>
        <w:tc>
          <w:tcPr>
            <w:tcW w:w="1317" w:type="dxa"/>
            <w:vAlign w:val="center"/>
          </w:tcPr>
          <w:p w14:paraId="40F08A01" w14:textId="77777777" w:rsidR="00F31B10" w:rsidRPr="00D62D04" w:rsidRDefault="00F31B10" w:rsidP="0056662A">
            <w:pPr>
              <w:spacing w:after="0" w:line="240" w:lineRule="auto"/>
              <w:jc w:val="center"/>
              <w:rPr>
                <w:rFonts w:eastAsia="Times New Roman"/>
                <w:bCs/>
                <w:sz w:val="20"/>
                <w:szCs w:val="20"/>
                <w:lang w:val="en-GB"/>
              </w:rPr>
            </w:pPr>
          </w:p>
        </w:tc>
        <w:tc>
          <w:tcPr>
            <w:tcW w:w="1433" w:type="dxa"/>
            <w:vAlign w:val="center"/>
          </w:tcPr>
          <w:p w14:paraId="66EB14B7" w14:textId="77777777" w:rsidR="00F31B10" w:rsidRPr="00D62D04" w:rsidRDefault="00F31B10" w:rsidP="0056662A">
            <w:pPr>
              <w:spacing w:after="0" w:line="240" w:lineRule="auto"/>
              <w:jc w:val="center"/>
              <w:rPr>
                <w:rFonts w:eastAsia="Times New Roman"/>
                <w:sz w:val="20"/>
                <w:szCs w:val="20"/>
                <w:lang w:val="en-GB"/>
              </w:rPr>
            </w:pPr>
          </w:p>
        </w:tc>
        <w:tc>
          <w:tcPr>
            <w:tcW w:w="1310" w:type="dxa"/>
            <w:vAlign w:val="center"/>
          </w:tcPr>
          <w:p w14:paraId="63868DD7" w14:textId="77777777" w:rsidR="00F31B10" w:rsidRPr="00D62D04" w:rsidRDefault="00F31B10" w:rsidP="0056662A">
            <w:pPr>
              <w:spacing w:after="0" w:line="240" w:lineRule="auto"/>
              <w:jc w:val="center"/>
              <w:rPr>
                <w:rFonts w:eastAsia="Times New Roman"/>
                <w:sz w:val="20"/>
                <w:szCs w:val="20"/>
                <w:lang w:val="en-GB"/>
              </w:rPr>
            </w:pPr>
          </w:p>
        </w:tc>
      </w:tr>
      <w:tr w:rsidR="00F31B10" w:rsidRPr="00D62D04" w14:paraId="07ED2280" w14:textId="77777777" w:rsidTr="0056662A">
        <w:trPr>
          <w:trHeight w:val="286"/>
        </w:trPr>
        <w:tc>
          <w:tcPr>
            <w:tcW w:w="2417" w:type="dxa"/>
            <w:vAlign w:val="center"/>
          </w:tcPr>
          <w:p w14:paraId="5AB1221E" w14:textId="77777777" w:rsidR="00F31B10" w:rsidRPr="00D62D04" w:rsidRDefault="0058038E" w:rsidP="0056662A">
            <w:pPr>
              <w:spacing w:after="0" w:line="240" w:lineRule="auto"/>
              <w:rPr>
                <w:rFonts w:eastAsia="Times New Roman"/>
                <w:bCs/>
                <w:iCs/>
                <w:sz w:val="20"/>
                <w:szCs w:val="20"/>
                <w:lang w:val="en-GB"/>
              </w:rPr>
            </w:pPr>
            <w:r w:rsidRPr="00D62D04">
              <w:rPr>
                <w:rFonts w:eastAsia="Times New Roman"/>
                <w:bCs/>
                <w:iCs/>
                <w:sz w:val="20"/>
                <w:szCs w:val="20"/>
                <w:lang w:val="en-GB"/>
              </w:rPr>
              <w:t xml:space="preserve">Bulgarians </w:t>
            </w:r>
          </w:p>
        </w:tc>
        <w:tc>
          <w:tcPr>
            <w:tcW w:w="1393" w:type="dxa"/>
            <w:vAlign w:val="center"/>
          </w:tcPr>
          <w:p w14:paraId="5876B8BB" w14:textId="77777777" w:rsidR="00F31B10" w:rsidRPr="00D62D04" w:rsidRDefault="00F31B10" w:rsidP="005913DF">
            <w:pPr>
              <w:spacing w:after="0" w:line="240" w:lineRule="auto"/>
              <w:jc w:val="center"/>
              <w:rPr>
                <w:rFonts w:eastAsia="Times New Roman"/>
                <w:bCs/>
                <w:sz w:val="20"/>
                <w:szCs w:val="20"/>
                <w:lang w:val="en-GB"/>
              </w:rPr>
            </w:pPr>
            <w:r w:rsidRPr="00D62D04">
              <w:rPr>
                <w:rFonts w:eastAsia="Times New Roman"/>
                <w:bCs/>
                <w:sz w:val="20"/>
                <w:szCs w:val="20"/>
                <w:lang w:val="en-GB"/>
              </w:rPr>
              <w:t>20</w:t>
            </w:r>
            <w:r w:rsidR="005913DF" w:rsidRPr="00D62D04">
              <w:rPr>
                <w:rFonts w:eastAsia="Times New Roman"/>
                <w:bCs/>
                <w:sz w:val="20"/>
                <w:szCs w:val="20"/>
                <w:lang w:val="en-GB"/>
              </w:rPr>
              <w:t>,</w:t>
            </w:r>
            <w:r w:rsidRPr="00D62D04">
              <w:rPr>
                <w:rFonts w:eastAsia="Times New Roman"/>
                <w:bCs/>
                <w:sz w:val="20"/>
                <w:szCs w:val="20"/>
                <w:lang w:val="en-GB"/>
              </w:rPr>
              <w:t>000</w:t>
            </w:r>
            <w:r w:rsidR="005913DF" w:rsidRPr="00D62D04">
              <w:rPr>
                <w:rFonts w:eastAsia="Times New Roman"/>
                <w:bCs/>
                <w:sz w:val="20"/>
                <w:szCs w:val="20"/>
                <w:lang w:val="en-GB"/>
              </w:rPr>
              <w:t>.</w:t>
            </w:r>
            <w:r w:rsidRPr="00D62D04">
              <w:rPr>
                <w:rFonts w:eastAsia="Times New Roman"/>
                <w:bCs/>
                <w:sz w:val="20"/>
                <w:szCs w:val="20"/>
                <w:lang w:val="en-GB"/>
              </w:rPr>
              <w:t>00</w:t>
            </w:r>
          </w:p>
        </w:tc>
        <w:tc>
          <w:tcPr>
            <w:tcW w:w="1468" w:type="dxa"/>
            <w:vAlign w:val="center"/>
          </w:tcPr>
          <w:p w14:paraId="5D99C3FC" w14:textId="77777777" w:rsidR="00F31B10" w:rsidRPr="00D62D04" w:rsidRDefault="00F31B10" w:rsidP="005913DF">
            <w:pPr>
              <w:spacing w:after="0" w:line="240" w:lineRule="auto"/>
              <w:jc w:val="center"/>
              <w:rPr>
                <w:rFonts w:eastAsia="Times New Roman"/>
                <w:bCs/>
                <w:sz w:val="20"/>
                <w:szCs w:val="20"/>
                <w:lang w:val="en-GB"/>
              </w:rPr>
            </w:pPr>
            <w:r w:rsidRPr="00D62D04">
              <w:rPr>
                <w:rFonts w:eastAsia="Times New Roman"/>
                <w:bCs/>
                <w:sz w:val="20"/>
                <w:szCs w:val="20"/>
                <w:lang w:val="en-GB"/>
              </w:rPr>
              <w:t>70</w:t>
            </w:r>
            <w:r w:rsidR="005913DF" w:rsidRPr="00D62D04">
              <w:rPr>
                <w:rFonts w:eastAsia="Times New Roman"/>
                <w:bCs/>
                <w:sz w:val="20"/>
                <w:szCs w:val="20"/>
                <w:lang w:val="en-GB"/>
              </w:rPr>
              <w:t>,</w:t>
            </w:r>
            <w:r w:rsidRPr="00D62D04">
              <w:rPr>
                <w:rFonts w:eastAsia="Times New Roman"/>
                <w:bCs/>
                <w:sz w:val="20"/>
                <w:szCs w:val="20"/>
                <w:lang w:val="en-GB"/>
              </w:rPr>
              <w:t>000</w:t>
            </w:r>
            <w:r w:rsidR="005913DF" w:rsidRPr="00D62D04">
              <w:rPr>
                <w:rFonts w:eastAsia="Times New Roman"/>
                <w:bCs/>
                <w:sz w:val="20"/>
                <w:szCs w:val="20"/>
                <w:lang w:val="en-GB"/>
              </w:rPr>
              <w:t>.</w:t>
            </w:r>
            <w:r w:rsidRPr="00D62D04">
              <w:rPr>
                <w:rFonts w:eastAsia="Times New Roman"/>
                <w:bCs/>
                <w:sz w:val="20"/>
                <w:szCs w:val="20"/>
                <w:lang w:val="en-GB"/>
              </w:rPr>
              <w:t>00</w:t>
            </w:r>
          </w:p>
        </w:tc>
        <w:tc>
          <w:tcPr>
            <w:tcW w:w="1317" w:type="dxa"/>
            <w:vAlign w:val="center"/>
          </w:tcPr>
          <w:p w14:paraId="6F008385" w14:textId="77777777" w:rsidR="00F31B10" w:rsidRPr="00D62D04" w:rsidRDefault="00F31B10" w:rsidP="005913DF">
            <w:pPr>
              <w:spacing w:after="0" w:line="240" w:lineRule="auto"/>
              <w:jc w:val="center"/>
              <w:rPr>
                <w:rFonts w:eastAsia="Times New Roman"/>
                <w:bCs/>
                <w:sz w:val="20"/>
                <w:szCs w:val="20"/>
                <w:lang w:val="en-GB"/>
              </w:rPr>
            </w:pPr>
            <w:r w:rsidRPr="00D62D04">
              <w:rPr>
                <w:rFonts w:eastAsia="Times New Roman"/>
                <w:bCs/>
                <w:sz w:val="20"/>
                <w:szCs w:val="20"/>
                <w:lang w:val="en-GB"/>
              </w:rPr>
              <w:t>50</w:t>
            </w:r>
            <w:r w:rsidR="005913DF" w:rsidRPr="00D62D04">
              <w:rPr>
                <w:rFonts w:eastAsia="Times New Roman"/>
                <w:bCs/>
                <w:sz w:val="20"/>
                <w:szCs w:val="20"/>
                <w:lang w:val="en-GB"/>
              </w:rPr>
              <w:t>,</w:t>
            </w:r>
            <w:r w:rsidRPr="00D62D04">
              <w:rPr>
                <w:rFonts w:eastAsia="Times New Roman"/>
                <w:bCs/>
                <w:sz w:val="20"/>
                <w:szCs w:val="20"/>
                <w:lang w:val="en-GB"/>
              </w:rPr>
              <w:t>000</w:t>
            </w:r>
            <w:r w:rsidR="005913DF" w:rsidRPr="00D62D04">
              <w:rPr>
                <w:rFonts w:eastAsia="Times New Roman"/>
                <w:bCs/>
                <w:sz w:val="20"/>
                <w:szCs w:val="20"/>
                <w:lang w:val="en-GB"/>
              </w:rPr>
              <w:t>.</w:t>
            </w:r>
            <w:r w:rsidRPr="00D62D04">
              <w:rPr>
                <w:rFonts w:eastAsia="Times New Roman"/>
                <w:bCs/>
                <w:sz w:val="20"/>
                <w:szCs w:val="20"/>
                <w:lang w:val="en-GB"/>
              </w:rPr>
              <w:t>00</w:t>
            </w:r>
          </w:p>
        </w:tc>
        <w:tc>
          <w:tcPr>
            <w:tcW w:w="1433" w:type="dxa"/>
            <w:vAlign w:val="center"/>
          </w:tcPr>
          <w:p w14:paraId="01C27184" w14:textId="77777777" w:rsidR="00F31B10" w:rsidRPr="00D62D04" w:rsidRDefault="00F31B10" w:rsidP="005913DF">
            <w:pPr>
              <w:spacing w:after="0" w:line="240" w:lineRule="auto"/>
              <w:jc w:val="center"/>
              <w:rPr>
                <w:rFonts w:eastAsia="Times New Roman"/>
                <w:bCs/>
                <w:sz w:val="20"/>
                <w:szCs w:val="20"/>
                <w:lang w:val="en-GB"/>
              </w:rPr>
            </w:pPr>
            <w:r w:rsidRPr="00D62D04">
              <w:rPr>
                <w:rFonts w:eastAsia="Times New Roman"/>
                <w:bCs/>
                <w:sz w:val="20"/>
                <w:szCs w:val="20"/>
                <w:lang w:val="en-GB"/>
              </w:rPr>
              <w:t>50</w:t>
            </w:r>
            <w:r w:rsidR="005913DF" w:rsidRPr="00D62D04">
              <w:rPr>
                <w:rFonts w:eastAsia="Times New Roman"/>
                <w:bCs/>
                <w:sz w:val="20"/>
                <w:szCs w:val="20"/>
                <w:lang w:val="en-GB"/>
              </w:rPr>
              <w:t>,</w:t>
            </w:r>
            <w:r w:rsidRPr="00D62D04">
              <w:rPr>
                <w:rFonts w:eastAsia="Times New Roman"/>
                <w:bCs/>
                <w:sz w:val="20"/>
                <w:szCs w:val="20"/>
                <w:lang w:val="en-GB"/>
              </w:rPr>
              <w:t>000</w:t>
            </w:r>
            <w:r w:rsidR="005913DF" w:rsidRPr="00D62D04">
              <w:rPr>
                <w:rFonts w:eastAsia="Times New Roman"/>
                <w:bCs/>
                <w:sz w:val="20"/>
                <w:szCs w:val="20"/>
                <w:lang w:val="en-GB"/>
              </w:rPr>
              <w:t>.</w:t>
            </w:r>
            <w:r w:rsidRPr="00D62D04">
              <w:rPr>
                <w:rFonts w:eastAsia="Times New Roman"/>
                <w:bCs/>
                <w:sz w:val="20"/>
                <w:szCs w:val="20"/>
                <w:lang w:val="en-GB"/>
              </w:rPr>
              <w:t>00</w:t>
            </w:r>
          </w:p>
        </w:tc>
        <w:tc>
          <w:tcPr>
            <w:tcW w:w="1310" w:type="dxa"/>
            <w:vAlign w:val="center"/>
          </w:tcPr>
          <w:p w14:paraId="1B899385" w14:textId="77777777" w:rsidR="00F31B10" w:rsidRPr="00D62D04" w:rsidRDefault="00F31B10" w:rsidP="005913DF">
            <w:pPr>
              <w:spacing w:after="0" w:line="240" w:lineRule="auto"/>
              <w:jc w:val="center"/>
              <w:rPr>
                <w:rFonts w:eastAsia="Times New Roman"/>
                <w:bCs/>
                <w:sz w:val="20"/>
                <w:szCs w:val="20"/>
                <w:lang w:val="en-GB"/>
              </w:rPr>
            </w:pPr>
            <w:r w:rsidRPr="00D62D04">
              <w:rPr>
                <w:rFonts w:eastAsia="Times New Roman"/>
                <w:bCs/>
                <w:sz w:val="20"/>
                <w:szCs w:val="20"/>
                <w:lang w:val="en-GB"/>
              </w:rPr>
              <w:t>50</w:t>
            </w:r>
            <w:r w:rsidR="005913DF" w:rsidRPr="00D62D04">
              <w:rPr>
                <w:rFonts w:eastAsia="Times New Roman"/>
                <w:bCs/>
                <w:sz w:val="20"/>
                <w:szCs w:val="20"/>
                <w:lang w:val="en-GB"/>
              </w:rPr>
              <w:t>,</w:t>
            </w:r>
            <w:r w:rsidRPr="00D62D04">
              <w:rPr>
                <w:rFonts w:eastAsia="Times New Roman"/>
                <w:bCs/>
                <w:sz w:val="20"/>
                <w:szCs w:val="20"/>
                <w:lang w:val="en-GB"/>
              </w:rPr>
              <w:t>000</w:t>
            </w:r>
            <w:r w:rsidR="005913DF" w:rsidRPr="00D62D04">
              <w:rPr>
                <w:rFonts w:eastAsia="Times New Roman"/>
                <w:bCs/>
                <w:sz w:val="20"/>
                <w:szCs w:val="20"/>
                <w:lang w:val="en-GB"/>
              </w:rPr>
              <w:t>.</w:t>
            </w:r>
            <w:r w:rsidRPr="00D62D04">
              <w:rPr>
                <w:rFonts w:eastAsia="Times New Roman"/>
                <w:bCs/>
                <w:sz w:val="20"/>
                <w:szCs w:val="20"/>
                <w:lang w:val="en-GB"/>
              </w:rPr>
              <w:t>00</w:t>
            </w:r>
          </w:p>
        </w:tc>
      </w:tr>
      <w:tr w:rsidR="00F31B10" w:rsidRPr="00D62D04" w14:paraId="3A7BAB1A" w14:textId="77777777" w:rsidTr="0056662A">
        <w:trPr>
          <w:trHeight w:val="276"/>
        </w:trPr>
        <w:tc>
          <w:tcPr>
            <w:tcW w:w="2417" w:type="dxa"/>
            <w:vAlign w:val="center"/>
          </w:tcPr>
          <w:p w14:paraId="2F513010" w14:textId="77777777" w:rsidR="00F31B10" w:rsidRPr="00D62D04" w:rsidRDefault="0058038E" w:rsidP="0056662A">
            <w:pPr>
              <w:spacing w:after="0" w:line="240" w:lineRule="auto"/>
              <w:rPr>
                <w:rFonts w:eastAsia="Times New Roman"/>
                <w:bCs/>
                <w:iCs/>
                <w:sz w:val="20"/>
                <w:szCs w:val="20"/>
                <w:lang w:val="en-GB"/>
              </w:rPr>
            </w:pPr>
            <w:proofErr w:type="spellStart"/>
            <w:r w:rsidRPr="00D62D04">
              <w:rPr>
                <w:rFonts w:eastAsia="Times New Roman"/>
                <w:bCs/>
                <w:iCs/>
                <w:sz w:val="20"/>
                <w:szCs w:val="20"/>
                <w:lang w:val="en-GB"/>
              </w:rPr>
              <w:t>Bunjevci</w:t>
            </w:r>
            <w:proofErr w:type="spellEnd"/>
            <w:r w:rsidRPr="00D62D04">
              <w:rPr>
                <w:rFonts w:eastAsia="Times New Roman"/>
                <w:bCs/>
                <w:iCs/>
                <w:sz w:val="20"/>
                <w:szCs w:val="20"/>
                <w:lang w:val="en-GB"/>
              </w:rPr>
              <w:t xml:space="preserve"> </w:t>
            </w:r>
          </w:p>
        </w:tc>
        <w:tc>
          <w:tcPr>
            <w:tcW w:w="1393" w:type="dxa"/>
            <w:vAlign w:val="center"/>
          </w:tcPr>
          <w:p w14:paraId="58ADAC0E" w14:textId="77777777" w:rsidR="00F31B10" w:rsidRPr="00D62D04" w:rsidRDefault="00F31B10" w:rsidP="005913DF">
            <w:pPr>
              <w:spacing w:after="0" w:line="240" w:lineRule="auto"/>
              <w:jc w:val="center"/>
              <w:rPr>
                <w:rFonts w:eastAsia="Times New Roman"/>
                <w:bCs/>
                <w:sz w:val="20"/>
                <w:szCs w:val="20"/>
                <w:lang w:val="en-GB"/>
              </w:rPr>
            </w:pPr>
            <w:r w:rsidRPr="00D62D04">
              <w:rPr>
                <w:rFonts w:eastAsia="Times New Roman"/>
                <w:bCs/>
                <w:sz w:val="20"/>
                <w:szCs w:val="20"/>
                <w:lang w:val="en-GB"/>
              </w:rPr>
              <w:t>337</w:t>
            </w:r>
            <w:r w:rsidR="005913DF" w:rsidRPr="00D62D04">
              <w:rPr>
                <w:rFonts w:eastAsia="Times New Roman"/>
                <w:bCs/>
                <w:sz w:val="20"/>
                <w:szCs w:val="20"/>
                <w:lang w:val="en-GB"/>
              </w:rPr>
              <w:t>,</w:t>
            </w:r>
            <w:r w:rsidRPr="00D62D04">
              <w:rPr>
                <w:rFonts w:eastAsia="Times New Roman"/>
                <w:bCs/>
                <w:sz w:val="20"/>
                <w:szCs w:val="20"/>
                <w:lang w:val="en-GB"/>
              </w:rPr>
              <w:t>000</w:t>
            </w:r>
            <w:r w:rsidR="005913DF" w:rsidRPr="00D62D04">
              <w:rPr>
                <w:rFonts w:eastAsia="Times New Roman"/>
                <w:bCs/>
                <w:sz w:val="20"/>
                <w:szCs w:val="20"/>
                <w:lang w:val="en-GB"/>
              </w:rPr>
              <w:t>.</w:t>
            </w:r>
            <w:r w:rsidRPr="00D62D04">
              <w:rPr>
                <w:rFonts w:eastAsia="Times New Roman"/>
                <w:bCs/>
                <w:sz w:val="20"/>
                <w:szCs w:val="20"/>
                <w:lang w:val="en-GB"/>
              </w:rPr>
              <w:t>00</w:t>
            </w:r>
          </w:p>
        </w:tc>
        <w:tc>
          <w:tcPr>
            <w:tcW w:w="1468" w:type="dxa"/>
            <w:vAlign w:val="center"/>
          </w:tcPr>
          <w:p w14:paraId="19AE718D" w14:textId="77777777" w:rsidR="00F31B10" w:rsidRPr="00D62D04" w:rsidRDefault="00F31B10" w:rsidP="005913DF">
            <w:pPr>
              <w:spacing w:after="0" w:line="240" w:lineRule="auto"/>
              <w:jc w:val="center"/>
              <w:rPr>
                <w:rFonts w:eastAsia="Times New Roman"/>
                <w:bCs/>
                <w:sz w:val="20"/>
                <w:szCs w:val="20"/>
                <w:lang w:val="en-GB"/>
              </w:rPr>
            </w:pPr>
            <w:r w:rsidRPr="00D62D04">
              <w:rPr>
                <w:rFonts w:eastAsia="Times New Roman"/>
                <w:bCs/>
                <w:sz w:val="20"/>
                <w:szCs w:val="20"/>
                <w:lang w:val="en-GB"/>
              </w:rPr>
              <w:t>897</w:t>
            </w:r>
            <w:r w:rsidR="005913DF" w:rsidRPr="00D62D04">
              <w:rPr>
                <w:rFonts w:eastAsia="Times New Roman"/>
                <w:bCs/>
                <w:sz w:val="20"/>
                <w:szCs w:val="20"/>
                <w:lang w:val="en-GB"/>
              </w:rPr>
              <w:t>,</w:t>
            </w:r>
            <w:r w:rsidRPr="00D62D04">
              <w:rPr>
                <w:rFonts w:eastAsia="Times New Roman"/>
                <w:bCs/>
                <w:sz w:val="20"/>
                <w:szCs w:val="20"/>
                <w:lang w:val="en-GB"/>
              </w:rPr>
              <w:t>000</w:t>
            </w:r>
            <w:r w:rsidR="005913DF" w:rsidRPr="00D62D04">
              <w:rPr>
                <w:rFonts w:eastAsia="Times New Roman"/>
                <w:bCs/>
                <w:sz w:val="20"/>
                <w:szCs w:val="20"/>
                <w:lang w:val="en-GB"/>
              </w:rPr>
              <w:t>.</w:t>
            </w:r>
            <w:r w:rsidRPr="00D62D04">
              <w:rPr>
                <w:rFonts w:eastAsia="Times New Roman"/>
                <w:bCs/>
                <w:sz w:val="20"/>
                <w:szCs w:val="20"/>
                <w:lang w:val="en-GB"/>
              </w:rPr>
              <w:t>00</w:t>
            </w:r>
          </w:p>
        </w:tc>
        <w:tc>
          <w:tcPr>
            <w:tcW w:w="1317" w:type="dxa"/>
            <w:vAlign w:val="center"/>
          </w:tcPr>
          <w:p w14:paraId="5446E73E" w14:textId="77777777" w:rsidR="00F31B10" w:rsidRPr="00D62D04" w:rsidRDefault="00F31B10" w:rsidP="005913DF">
            <w:pPr>
              <w:spacing w:after="0" w:line="240" w:lineRule="auto"/>
              <w:jc w:val="center"/>
              <w:rPr>
                <w:rFonts w:eastAsia="Times New Roman"/>
                <w:bCs/>
                <w:sz w:val="20"/>
                <w:szCs w:val="20"/>
                <w:lang w:val="en-GB"/>
              </w:rPr>
            </w:pPr>
            <w:r w:rsidRPr="00D62D04">
              <w:rPr>
                <w:rFonts w:eastAsia="Times New Roman"/>
                <w:bCs/>
                <w:sz w:val="20"/>
                <w:szCs w:val="20"/>
                <w:lang w:val="en-GB"/>
              </w:rPr>
              <w:t>470</w:t>
            </w:r>
            <w:r w:rsidR="005913DF" w:rsidRPr="00D62D04">
              <w:rPr>
                <w:rFonts w:eastAsia="Times New Roman"/>
                <w:bCs/>
                <w:sz w:val="20"/>
                <w:szCs w:val="20"/>
                <w:lang w:val="en-GB"/>
              </w:rPr>
              <w:t>,</w:t>
            </w:r>
            <w:r w:rsidRPr="00D62D04">
              <w:rPr>
                <w:rFonts w:eastAsia="Times New Roman"/>
                <w:bCs/>
                <w:sz w:val="20"/>
                <w:szCs w:val="20"/>
                <w:lang w:val="en-GB"/>
              </w:rPr>
              <w:t>000</w:t>
            </w:r>
            <w:r w:rsidR="005913DF" w:rsidRPr="00D62D04">
              <w:rPr>
                <w:rFonts w:eastAsia="Times New Roman"/>
                <w:bCs/>
                <w:sz w:val="20"/>
                <w:szCs w:val="20"/>
                <w:lang w:val="en-GB"/>
              </w:rPr>
              <w:t>.</w:t>
            </w:r>
            <w:r w:rsidRPr="00D62D04">
              <w:rPr>
                <w:rFonts w:eastAsia="Times New Roman"/>
                <w:bCs/>
                <w:sz w:val="20"/>
                <w:szCs w:val="20"/>
                <w:lang w:val="en-GB"/>
              </w:rPr>
              <w:t>00</w:t>
            </w:r>
          </w:p>
        </w:tc>
        <w:tc>
          <w:tcPr>
            <w:tcW w:w="1433" w:type="dxa"/>
            <w:vAlign w:val="center"/>
          </w:tcPr>
          <w:p w14:paraId="3F221821" w14:textId="77777777" w:rsidR="00F31B10" w:rsidRPr="00D62D04" w:rsidRDefault="00F31B10" w:rsidP="005913DF">
            <w:pPr>
              <w:spacing w:after="0" w:line="240" w:lineRule="auto"/>
              <w:jc w:val="center"/>
              <w:rPr>
                <w:rFonts w:eastAsia="Times New Roman"/>
                <w:bCs/>
                <w:sz w:val="20"/>
                <w:szCs w:val="20"/>
                <w:lang w:val="en-GB"/>
              </w:rPr>
            </w:pPr>
            <w:r w:rsidRPr="00D62D04">
              <w:rPr>
                <w:rFonts w:eastAsia="Times New Roman"/>
                <w:bCs/>
                <w:sz w:val="20"/>
                <w:szCs w:val="20"/>
                <w:lang w:val="en-GB"/>
              </w:rPr>
              <w:t>560</w:t>
            </w:r>
            <w:r w:rsidR="005913DF" w:rsidRPr="00D62D04">
              <w:rPr>
                <w:rFonts w:eastAsia="Times New Roman"/>
                <w:bCs/>
                <w:sz w:val="20"/>
                <w:szCs w:val="20"/>
                <w:lang w:val="en-GB"/>
              </w:rPr>
              <w:t>,</w:t>
            </w:r>
            <w:r w:rsidRPr="00D62D04">
              <w:rPr>
                <w:rFonts w:eastAsia="Times New Roman"/>
                <w:bCs/>
                <w:sz w:val="20"/>
                <w:szCs w:val="20"/>
                <w:lang w:val="en-GB"/>
              </w:rPr>
              <w:t>000</w:t>
            </w:r>
            <w:r w:rsidR="005913DF" w:rsidRPr="00D62D04">
              <w:rPr>
                <w:rFonts w:eastAsia="Times New Roman"/>
                <w:bCs/>
                <w:sz w:val="20"/>
                <w:szCs w:val="20"/>
                <w:lang w:val="en-GB"/>
              </w:rPr>
              <w:t>.</w:t>
            </w:r>
            <w:r w:rsidRPr="00D62D04">
              <w:rPr>
                <w:rFonts w:eastAsia="Times New Roman"/>
                <w:bCs/>
                <w:sz w:val="20"/>
                <w:szCs w:val="20"/>
                <w:lang w:val="en-GB"/>
              </w:rPr>
              <w:t>00</w:t>
            </w:r>
          </w:p>
        </w:tc>
        <w:tc>
          <w:tcPr>
            <w:tcW w:w="1310" w:type="dxa"/>
            <w:vAlign w:val="center"/>
          </w:tcPr>
          <w:p w14:paraId="1A048554" w14:textId="77777777" w:rsidR="00F31B10" w:rsidRPr="00D62D04" w:rsidRDefault="00F31B10" w:rsidP="005913DF">
            <w:pPr>
              <w:spacing w:after="0" w:line="240" w:lineRule="auto"/>
              <w:jc w:val="center"/>
              <w:rPr>
                <w:rFonts w:eastAsia="Times New Roman"/>
                <w:bCs/>
                <w:sz w:val="20"/>
                <w:szCs w:val="20"/>
                <w:lang w:val="en-GB"/>
              </w:rPr>
            </w:pPr>
            <w:r w:rsidRPr="00D62D04">
              <w:rPr>
                <w:rFonts w:eastAsia="Times New Roman"/>
                <w:bCs/>
                <w:sz w:val="20"/>
                <w:szCs w:val="20"/>
                <w:lang w:val="en-GB"/>
              </w:rPr>
              <w:t>530</w:t>
            </w:r>
            <w:r w:rsidR="005913DF" w:rsidRPr="00D62D04">
              <w:rPr>
                <w:rFonts w:eastAsia="Times New Roman"/>
                <w:bCs/>
                <w:sz w:val="20"/>
                <w:szCs w:val="20"/>
                <w:lang w:val="en-GB"/>
              </w:rPr>
              <w:t>,</w:t>
            </w:r>
            <w:r w:rsidRPr="00D62D04">
              <w:rPr>
                <w:rFonts w:eastAsia="Times New Roman"/>
                <w:bCs/>
                <w:sz w:val="20"/>
                <w:szCs w:val="20"/>
                <w:lang w:val="en-GB"/>
              </w:rPr>
              <w:t>000</w:t>
            </w:r>
            <w:r w:rsidR="005913DF" w:rsidRPr="00D62D04">
              <w:rPr>
                <w:rFonts w:eastAsia="Times New Roman"/>
                <w:bCs/>
                <w:sz w:val="20"/>
                <w:szCs w:val="20"/>
                <w:lang w:val="en-GB"/>
              </w:rPr>
              <w:t>.</w:t>
            </w:r>
            <w:r w:rsidRPr="00D62D04">
              <w:rPr>
                <w:rFonts w:eastAsia="Times New Roman"/>
                <w:bCs/>
                <w:sz w:val="20"/>
                <w:szCs w:val="20"/>
                <w:lang w:val="en-GB"/>
              </w:rPr>
              <w:t>00</w:t>
            </w:r>
          </w:p>
        </w:tc>
      </w:tr>
      <w:tr w:rsidR="00F31B10" w:rsidRPr="00D62D04" w14:paraId="5E9F54A3" w14:textId="77777777" w:rsidTr="0056662A">
        <w:trPr>
          <w:trHeight w:val="286"/>
        </w:trPr>
        <w:tc>
          <w:tcPr>
            <w:tcW w:w="2417" w:type="dxa"/>
            <w:vAlign w:val="center"/>
          </w:tcPr>
          <w:p w14:paraId="355FD824" w14:textId="77777777" w:rsidR="00F31B10" w:rsidRPr="00D62D04" w:rsidRDefault="0058038E" w:rsidP="0056662A">
            <w:pPr>
              <w:spacing w:after="0" w:line="240" w:lineRule="auto"/>
              <w:rPr>
                <w:rFonts w:eastAsia="Times New Roman"/>
                <w:bCs/>
                <w:iCs/>
                <w:sz w:val="20"/>
                <w:szCs w:val="20"/>
                <w:lang w:val="en-GB"/>
              </w:rPr>
            </w:pPr>
            <w:r w:rsidRPr="00D62D04">
              <w:rPr>
                <w:rFonts w:eastAsia="Times New Roman"/>
                <w:bCs/>
                <w:iCs/>
                <w:sz w:val="20"/>
                <w:szCs w:val="20"/>
                <w:lang w:val="en-GB"/>
              </w:rPr>
              <w:t xml:space="preserve">Greeks </w:t>
            </w:r>
          </w:p>
        </w:tc>
        <w:tc>
          <w:tcPr>
            <w:tcW w:w="1393" w:type="dxa"/>
            <w:vAlign w:val="center"/>
          </w:tcPr>
          <w:p w14:paraId="38F3B2CC" w14:textId="77777777" w:rsidR="00F31B10" w:rsidRPr="00D62D04" w:rsidRDefault="00F31B10" w:rsidP="005913DF">
            <w:pPr>
              <w:spacing w:after="0" w:line="240" w:lineRule="auto"/>
              <w:jc w:val="center"/>
              <w:rPr>
                <w:rFonts w:eastAsia="Times New Roman"/>
                <w:bCs/>
                <w:sz w:val="20"/>
                <w:szCs w:val="20"/>
                <w:lang w:val="en-GB"/>
              </w:rPr>
            </w:pPr>
            <w:r w:rsidRPr="00D62D04">
              <w:rPr>
                <w:rFonts w:eastAsia="Times New Roman"/>
                <w:bCs/>
                <w:sz w:val="20"/>
                <w:szCs w:val="20"/>
                <w:lang w:val="en-GB"/>
              </w:rPr>
              <w:t>70</w:t>
            </w:r>
            <w:r w:rsidR="005913DF" w:rsidRPr="00D62D04">
              <w:rPr>
                <w:rFonts w:eastAsia="Times New Roman"/>
                <w:bCs/>
                <w:sz w:val="20"/>
                <w:szCs w:val="20"/>
                <w:lang w:val="en-GB"/>
              </w:rPr>
              <w:t>,</w:t>
            </w:r>
            <w:r w:rsidRPr="00D62D04">
              <w:rPr>
                <w:rFonts w:eastAsia="Times New Roman"/>
                <w:bCs/>
                <w:sz w:val="20"/>
                <w:szCs w:val="20"/>
                <w:lang w:val="en-GB"/>
              </w:rPr>
              <w:t>000</w:t>
            </w:r>
            <w:r w:rsidR="005913DF" w:rsidRPr="00D62D04">
              <w:rPr>
                <w:rFonts w:eastAsia="Times New Roman"/>
                <w:bCs/>
                <w:sz w:val="20"/>
                <w:szCs w:val="20"/>
                <w:lang w:val="en-GB"/>
              </w:rPr>
              <w:t>.</w:t>
            </w:r>
            <w:r w:rsidRPr="00D62D04">
              <w:rPr>
                <w:rFonts w:eastAsia="Times New Roman"/>
                <w:bCs/>
                <w:sz w:val="20"/>
                <w:szCs w:val="20"/>
                <w:lang w:val="en-GB"/>
              </w:rPr>
              <w:t>00</w:t>
            </w:r>
          </w:p>
        </w:tc>
        <w:tc>
          <w:tcPr>
            <w:tcW w:w="1468" w:type="dxa"/>
            <w:vAlign w:val="center"/>
          </w:tcPr>
          <w:p w14:paraId="781F0E27" w14:textId="77777777" w:rsidR="00F31B10" w:rsidRPr="00D62D04" w:rsidRDefault="00F31B10" w:rsidP="005913DF">
            <w:pPr>
              <w:spacing w:after="0" w:line="240" w:lineRule="auto"/>
              <w:jc w:val="center"/>
              <w:rPr>
                <w:rFonts w:eastAsia="Times New Roman"/>
                <w:bCs/>
                <w:sz w:val="20"/>
                <w:szCs w:val="20"/>
                <w:lang w:val="en-GB"/>
              </w:rPr>
            </w:pPr>
            <w:r w:rsidRPr="00D62D04">
              <w:rPr>
                <w:rFonts w:eastAsia="Times New Roman"/>
                <w:bCs/>
                <w:sz w:val="20"/>
                <w:szCs w:val="20"/>
                <w:lang w:val="en-GB"/>
              </w:rPr>
              <w:t>70</w:t>
            </w:r>
            <w:r w:rsidR="005913DF" w:rsidRPr="00D62D04">
              <w:rPr>
                <w:rFonts w:eastAsia="Times New Roman"/>
                <w:bCs/>
                <w:sz w:val="20"/>
                <w:szCs w:val="20"/>
                <w:lang w:val="en-GB"/>
              </w:rPr>
              <w:t>,</w:t>
            </w:r>
            <w:r w:rsidRPr="00D62D04">
              <w:rPr>
                <w:rFonts w:eastAsia="Times New Roman"/>
                <w:bCs/>
                <w:sz w:val="20"/>
                <w:szCs w:val="20"/>
                <w:lang w:val="en-GB"/>
              </w:rPr>
              <w:t>000</w:t>
            </w:r>
            <w:r w:rsidR="005913DF" w:rsidRPr="00D62D04">
              <w:rPr>
                <w:rFonts w:eastAsia="Times New Roman"/>
                <w:bCs/>
                <w:sz w:val="20"/>
                <w:szCs w:val="20"/>
                <w:lang w:val="en-GB"/>
              </w:rPr>
              <w:t>.</w:t>
            </w:r>
            <w:r w:rsidRPr="00D62D04">
              <w:rPr>
                <w:rFonts w:eastAsia="Times New Roman"/>
                <w:bCs/>
                <w:sz w:val="20"/>
                <w:szCs w:val="20"/>
                <w:lang w:val="en-GB"/>
              </w:rPr>
              <w:t>00</w:t>
            </w:r>
          </w:p>
        </w:tc>
        <w:tc>
          <w:tcPr>
            <w:tcW w:w="1317" w:type="dxa"/>
            <w:vAlign w:val="center"/>
          </w:tcPr>
          <w:p w14:paraId="5A6EEA66" w14:textId="77777777" w:rsidR="00F31B10" w:rsidRPr="00D62D04" w:rsidRDefault="00F31B10" w:rsidP="005913DF">
            <w:pPr>
              <w:spacing w:after="0" w:line="240" w:lineRule="auto"/>
              <w:jc w:val="center"/>
              <w:rPr>
                <w:rFonts w:eastAsia="Times New Roman"/>
                <w:bCs/>
                <w:sz w:val="20"/>
                <w:szCs w:val="20"/>
                <w:lang w:val="en-GB"/>
              </w:rPr>
            </w:pPr>
            <w:r w:rsidRPr="00D62D04">
              <w:rPr>
                <w:rFonts w:eastAsia="Times New Roman"/>
                <w:bCs/>
                <w:sz w:val="20"/>
                <w:szCs w:val="20"/>
                <w:lang w:val="en-GB"/>
              </w:rPr>
              <w:t>50</w:t>
            </w:r>
            <w:r w:rsidR="005913DF" w:rsidRPr="00D62D04">
              <w:rPr>
                <w:rFonts w:eastAsia="Times New Roman"/>
                <w:bCs/>
                <w:sz w:val="20"/>
                <w:szCs w:val="20"/>
                <w:lang w:val="en-GB"/>
              </w:rPr>
              <w:t>,</w:t>
            </w:r>
            <w:r w:rsidRPr="00D62D04">
              <w:rPr>
                <w:rFonts w:eastAsia="Times New Roman"/>
                <w:bCs/>
                <w:sz w:val="20"/>
                <w:szCs w:val="20"/>
                <w:lang w:val="en-GB"/>
              </w:rPr>
              <w:t>000</w:t>
            </w:r>
            <w:r w:rsidR="005913DF" w:rsidRPr="00D62D04">
              <w:rPr>
                <w:rFonts w:eastAsia="Times New Roman"/>
                <w:bCs/>
                <w:sz w:val="20"/>
                <w:szCs w:val="20"/>
                <w:lang w:val="en-GB"/>
              </w:rPr>
              <w:t>.</w:t>
            </w:r>
            <w:r w:rsidRPr="00D62D04">
              <w:rPr>
                <w:rFonts w:eastAsia="Times New Roman"/>
                <w:bCs/>
                <w:sz w:val="20"/>
                <w:szCs w:val="20"/>
                <w:lang w:val="en-GB"/>
              </w:rPr>
              <w:t>00</w:t>
            </w:r>
          </w:p>
        </w:tc>
        <w:tc>
          <w:tcPr>
            <w:tcW w:w="1433" w:type="dxa"/>
            <w:vAlign w:val="center"/>
          </w:tcPr>
          <w:p w14:paraId="6C232B2F" w14:textId="77777777" w:rsidR="00F31B10" w:rsidRPr="00D62D04" w:rsidRDefault="00F31B10" w:rsidP="005913DF">
            <w:pPr>
              <w:spacing w:after="0" w:line="240" w:lineRule="auto"/>
              <w:jc w:val="center"/>
              <w:rPr>
                <w:rFonts w:eastAsia="Times New Roman"/>
                <w:bCs/>
                <w:sz w:val="20"/>
                <w:szCs w:val="20"/>
                <w:lang w:val="en-GB"/>
              </w:rPr>
            </w:pPr>
            <w:r w:rsidRPr="00D62D04">
              <w:rPr>
                <w:rFonts w:eastAsia="Times New Roman"/>
                <w:bCs/>
                <w:sz w:val="20"/>
                <w:szCs w:val="20"/>
                <w:lang w:val="en-GB"/>
              </w:rPr>
              <w:t>50</w:t>
            </w:r>
            <w:r w:rsidR="005913DF" w:rsidRPr="00D62D04">
              <w:rPr>
                <w:rFonts w:eastAsia="Times New Roman"/>
                <w:bCs/>
                <w:sz w:val="20"/>
                <w:szCs w:val="20"/>
                <w:lang w:val="en-GB"/>
              </w:rPr>
              <w:t>,</w:t>
            </w:r>
            <w:r w:rsidRPr="00D62D04">
              <w:rPr>
                <w:rFonts w:eastAsia="Times New Roman"/>
                <w:bCs/>
                <w:sz w:val="20"/>
                <w:szCs w:val="20"/>
                <w:lang w:val="en-GB"/>
              </w:rPr>
              <w:t>000</w:t>
            </w:r>
            <w:r w:rsidR="005913DF" w:rsidRPr="00D62D04">
              <w:rPr>
                <w:rFonts w:eastAsia="Times New Roman"/>
                <w:bCs/>
                <w:sz w:val="20"/>
                <w:szCs w:val="20"/>
                <w:lang w:val="en-GB"/>
              </w:rPr>
              <w:t>.</w:t>
            </w:r>
            <w:r w:rsidRPr="00D62D04">
              <w:rPr>
                <w:rFonts w:eastAsia="Times New Roman"/>
                <w:bCs/>
                <w:sz w:val="20"/>
                <w:szCs w:val="20"/>
                <w:lang w:val="en-GB"/>
              </w:rPr>
              <w:t>00</w:t>
            </w:r>
          </w:p>
        </w:tc>
        <w:tc>
          <w:tcPr>
            <w:tcW w:w="1310" w:type="dxa"/>
            <w:vAlign w:val="center"/>
          </w:tcPr>
          <w:p w14:paraId="1C3CAC01" w14:textId="77777777" w:rsidR="00F31B10" w:rsidRPr="00D62D04" w:rsidRDefault="00F31B10" w:rsidP="005913DF">
            <w:pPr>
              <w:spacing w:after="0" w:line="240" w:lineRule="auto"/>
              <w:jc w:val="center"/>
              <w:rPr>
                <w:rFonts w:eastAsia="Times New Roman"/>
                <w:bCs/>
                <w:sz w:val="20"/>
                <w:szCs w:val="20"/>
                <w:lang w:val="en-GB"/>
              </w:rPr>
            </w:pPr>
            <w:r w:rsidRPr="00D62D04">
              <w:rPr>
                <w:rFonts w:eastAsia="Times New Roman"/>
                <w:bCs/>
                <w:sz w:val="20"/>
                <w:szCs w:val="20"/>
                <w:lang w:val="en-GB"/>
              </w:rPr>
              <w:t>50</w:t>
            </w:r>
            <w:r w:rsidR="005913DF" w:rsidRPr="00D62D04">
              <w:rPr>
                <w:rFonts w:eastAsia="Times New Roman"/>
                <w:bCs/>
                <w:sz w:val="20"/>
                <w:szCs w:val="20"/>
                <w:lang w:val="en-GB"/>
              </w:rPr>
              <w:t>,</w:t>
            </w:r>
            <w:r w:rsidRPr="00D62D04">
              <w:rPr>
                <w:rFonts w:eastAsia="Times New Roman"/>
                <w:bCs/>
                <w:sz w:val="20"/>
                <w:szCs w:val="20"/>
                <w:lang w:val="en-GB"/>
              </w:rPr>
              <w:t>000</w:t>
            </w:r>
            <w:r w:rsidR="005913DF" w:rsidRPr="00D62D04">
              <w:rPr>
                <w:rFonts w:eastAsia="Times New Roman"/>
                <w:bCs/>
                <w:sz w:val="20"/>
                <w:szCs w:val="20"/>
                <w:lang w:val="en-GB"/>
              </w:rPr>
              <w:t>.</w:t>
            </w:r>
            <w:r w:rsidRPr="00D62D04">
              <w:rPr>
                <w:rFonts w:eastAsia="Times New Roman"/>
                <w:bCs/>
                <w:sz w:val="20"/>
                <w:szCs w:val="20"/>
                <w:lang w:val="en-GB"/>
              </w:rPr>
              <w:t>00</w:t>
            </w:r>
          </w:p>
        </w:tc>
      </w:tr>
      <w:tr w:rsidR="00F31B10" w:rsidRPr="00D62D04" w14:paraId="7204C245" w14:textId="77777777" w:rsidTr="0056662A">
        <w:trPr>
          <w:trHeight w:val="286"/>
        </w:trPr>
        <w:tc>
          <w:tcPr>
            <w:tcW w:w="2417" w:type="dxa"/>
            <w:vAlign w:val="center"/>
          </w:tcPr>
          <w:p w14:paraId="217EECD9" w14:textId="77777777" w:rsidR="00F31B10" w:rsidRPr="00D62D04" w:rsidRDefault="0058038E" w:rsidP="0056662A">
            <w:pPr>
              <w:spacing w:after="0" w:line="240" w:lineRule="auto"/>
              <w:rPr>
                <w:rFonts w:eastAsia="Times New Roman"/>
                <w:bCs/>
                <w:iCs/>
                <w:sz w:val="20"/>
                <w:szCs w:val="20"/>
                <w:lang w:val="en-GB"/>
              </w:rPr>
            </w:pPr>
            <w:r w:rsidRPr="00D62D04">
              <w:rPr>
                <w:rFonts w:eastAsia="Times New Roman"/>
                <w:bCs/>
                <w:iCs/>
                <w:sz w:val="20"/>
                <w:szCs w:val="20"/>
                <w:lang w:val="en-GB"/>
              </w:rPr>
              <w:t xml:space="preserve">Jews </w:t>
            </w:r>
          </w:p>
        </w:tc>
        <w:tc>
          <w:tcPr>
            <w:tcW w:w="1393" w:type="dxa"/>
            <w:vAlign w:val="center"/>
          </w:tcPr>
          <w:p w14:paraId="1D510F6F" w14:textId="77777777" w:rsidR="00F31B10" w:rsidRPr="00D62D04" w:rsidRDefault="00F31B10" w:rsidP="005913DF">
            <w:pPr>
              <w:spacing w:after="0" w:line="240" w:lineRule="auto"/>
              <w:jc w:val="center"/>
              <w:rPr>
                <w:rFonts w:eastAsia="Times New Roman"/>
                <w:bCs/>
                <w:sz w:val="20"/>
                <w:szCs w:val="20"/>
                <w:lang w:val="en-GB"/>
              </w:rPr>
            </w:pPr>
            <w:r w:rsidRPr="00D62D04">
              <w:rPr>
                <w:rFonts w:eastAsia="Times New Roman"/>
                <w:bCs/>
                <w:sz w:val="20"/>
                <w:szCs w:val="20"/>
                <w:lang w:val="en-GB"/>
              </w:rPr>
              <w:t>20</w:t>
            </w:r>
            <w:r w:rsidR="005913DF" w:rsidRPr="00D62D04">
              <w:rPr>
                <w:rFonts w:eastAsia="Times New Roman"/>
                <w:bCs/>
                <w:sz w:val="20"/>
                <w:szCs w:val="20"/>
                <w:lang w:val="en-GB"/>
              </w:rPr>
              <w:t>,</w:t>
            </w:r>
            <w:r w:rsidRPr="00D62D04">
              <w:rPr>
                <w:rFonts w:eastAsia="Times New Roman"/>
                <w:bCs/>
                <w:sz w:val="20"/>
                <w:szCs w:val="20"/>
                <w:lang w:val="en-GB"/>
              </w:rPr>
              <w:t>000</w:t>
            </w:r>
            <w:r w:rsidR="005913DF" w:rsidRPr="00D62D04">
              <w:rPr>
                <w:rFonts w:eastAsia="Times New Roman"/>
                <w:bCs/>
                <w:sz w:val="20"/>
                <w:szCs w:val="20"/>
                <w:lang w:val="en-GB"/>
              </w:rPr>
              <w:t>.</w:t>
            </w:r>
            <w:r w:rsidRPr="00D62D04">
              <w:rPr>
                <w:rFonts w:eastAsia="Times New Roman"/>
                <w:bCs/>
                <w:sz w:val="20"/>
                <w:szCs w:val="20"/>
                <w:lang w:val="en-GB"/>
              </w:rPr>
              <w:t>00</w:t>
            </w:r>
          </w:p>
        </w:tc>
        <w:tc>
          <w:tcPr>
            <w:tcW w:w="1468" w:type="dxa"/>
            <w:vAlign w:val="center"/>
          </w:tcPr>
          <w:p w14:paraId="49C9DD8E" w14:textId="77777777" w:rsidR="00F31B10" w:rsidRPr="00D62D04" w:rsidRDefault="00F31B10" w:rsidP="005913DF">
            <w:pPr>
              <w:spacing w:after="0" w:line="240" w:lineRule="auto"/>
              <w:jc w:val="center"/>
              <w:rPr>
                <w:rFonts w:eastAsia="Times New Roman"/>
                <w:bCs/>
                <w:sz w:val="20"/>
                <w:szCs w:val="20"/>
                <w:lang w:val="en-GB"/>
              </w:rPr>
            </w:pPr>
            <w:r w:rsidRPr="00D62D04">
              <w:rPr>
                <w:rFonts w:eastAsia="Times New Roman"/>
                <w:bCs/>
                <w:sz w:val="20"/>
                <w:szCs w:val="20"/>
                <w:lang w:val="en-GB"/>
              </w:rPr>
              <w:t>100</w:t>
            </w:r>
            <w:r w:rsidR="005913DF" w:rsidRPr="00D62D04">
              <w:rPr>
                <w:rFonts w:eastAsia="Times New Roman"/>
                <w:bCs/>
                <w:sz w:val="20"/>
                <w:szCs w:val="20"/>
                <w:lang w:val="en-GB"/>
              </w:rPr>
              <w:t>,</w:t>
            </w:r>
            <w:r w:rsidRPr="00D62D04">
              <w:rPr>
                <w:rFonts w:eastAsia="Times New Roman"/>
                <w:bCs/>
                <w:sz w:val="20"/>
                <w:szCs w:val="20"/>
                <w:lang w:val="en-GB"/>
              </w:rPr>
              <w:t>000</w:t>
            </w:r>
            <w:r w:rsidR="005913DF" w:rsidRPr="00D62D04">
              <w:rPr>
                <w:rFonts w:eastAsia="Times New Roman"/>
                <w:bCs/>
                <w:sz w:val="20"/>
                <w:szCs w:val="20"/>
                <w:lang w:val="en-GB"/>
              </w:rPr>
              <w:t>.</w:t>
            </w:r>
            <w:r w:rsidRPr="00D62D04">
              <w:rPr>
                <w:rFonts w:eastAsia="Times New Roman"/>
                <w:bCs/>
                <w:sz w:val="20"/>
                <w:szCs w:val="20"/>
                <w:lang w:val="en-GB"/>
              </w:rPr>
              <w:t>00</w:t>
            </w:r>
          </w:p>
        </w:tc>
        <w:tc>
          <w:tcPr>
            <w:tcW w:w="1317" w:type="dxa"/>
            <w:vAlign w:val="center"/>
          </w:tcPr>
          <w:p w14:paraId="60456E52" w14:textId="77777777" w:rsidR="00F31B10" w:rsidRPr="00D62D04" w:rsidRDefault="00F31B10" w:rsidP="005913DF">
            <w:pPr>
              <w:spacing w:after="0" w:line="240" w:lineRule="auto"/>
              <w:jc w:val="center"/>
              <w:rPr>
                <w:rFonts w:eastAsia="Times New Roman"/>
                <w:bCs/>
                <w:sz w:val="20"/>
                <w:szCs w:val="20"/>
                <w:lang w:val="en-GB"/>
              </w:rPr>
            </w:pPr>
            <w:r w:rsidRPr="00D62D04">
              <w:rPr>
                <w:rFonts w:eastAsia="Times New Roman"/>
                <w:bCs/>
                <w:sz w:val="20"/>
                <w:szCs w:val="20"/>
                <w:lang w:val="en-GB"/>
              </w:rPr>
              <w:t>50</w:t>
            </w:r>
            <w:r w:rsidR="005913DF" w:rsidRPr="00D62D04">
              <w:rPr>
                <w:rFonts w:eastAsia="Times New Roman"/>
                <w:bCs/>
                <w:sz w:val="20"/>
                <w:szCs w:val="20"/>
                <w:lang w:val="en-GB"/>
              </w:rPr>
              <w:t>,</w:t>
            </w:r>
            <w:r w:rsidRPr="00D62D04">
              <w:rPr>
                <w:rFonts w:eastAsia="Times New Roman"/>
                <w:bCs/>
                <w:sz w:val="20"/>
                <w:szCs w:val="20"/>
                <w:lang w:val="en-GB"/>
              </w:rPr>
              <w:t>000</w:t>
            </w:r>
            <w:r w:rsidR="005913DF" w:rsidRPr="00D62D04">
              <w:rPr>
                <w:rFonts w:eastAsia="Times New Roman"/>
                <w:bCs/>
                <w:sz w:val="20"/>
                <w:szCs w:val="20"/>
                <w:lang w:val="en-GB"/>
              </w:rPr>
              <w:t>.</w:t>
            </w:r>
            <w:r w:rsidRPr="00D62D04">
              <w:rPr>
                <w:rFonts w:eastAsia="Times New Roman"/>
                <w:bCs/>
                <w:sz w:val="20"/>
                <w:szCs w:val="20"/>
                <w:lang w:val="en-GB"/>
              </w:rPr>
              <w:t>00</w:t>
            </w:r>
          </w:p>
        </w:tc>
        <w:tc>
          <w:tcPr>
            <w:tcW w:w="1433" w:type="dxa"/>
            <w:vAlign w:val="center"/>
          </w:tcPr>
          <w:p w14:paraId="62A6228B" w14:textId="77777777" w:rsidR="00F31B10" w:rsidRPr="00D62D04" w:rsidRDefault="00F31B10" w:rsidP="005913DF">
            <w:pPr>
              <w:spacing w:after="0" w:line="240" w:lineRule="auto"/>
              <w:jc w:val="center"/>
              <w:rPr>
                <w:rFonts w:eastAsia="Times New Roman"/>
                <w:bCs/>
                <w:sz w:val="20"/>
                <w:szCs w:val="20"/>
                <w:lang w:val="en-GB"/>
              </w:rPr>
            </w:pPr>
            <w:r w:rsidRPr="00D62D04">
              <w:rPr>
                <w:rFonts w:eastAsia="Times New Roman"/>
                <w:bCs/>
                <w:sz w:val="20"/>
                <w:szCs w:val="20"/>
                <w:lang w:val="en-GB"/>
              </w:rPr>
              <w:t>50</w:t>
            </w:r>
            <w:r w:rsidR="005913DF" w:rsidRPr="00D62D04">
              <w:rPr>
                <w:rFonts w:eastAsia="Times New Roman"/>
                <w:bCs/>
                <w:sz w:val="20"/>
                <w:szCs w:val="20"/>
                <w:lang w:val="en-GB"/>
              </w:rPr>
              <w:t>,</w:t>
            </w:r>
            <w:r w:rsidRPr="00D62D04">
              <w:rPr>
                <w:rFonts w:eastAsia="Times New Roman"/>
                <w:bCs/>
                <w:sz w:val="20"/>
                <w:szCs w:val="20"/>
                <w:lang w:val="en-GB"/>
              </w:rPr>
              <w:t>000</w:t>
            </w:r>
            <w:r w:rsidR="005913DF" w:rsidRPr="00D62D04">
              <w:rPr>
                <w:rFonts w:eastAsia="Times New Roman"/>
                <w:bCs/>
                <w:sz w:val="20"/>
                <w:szCs w:val="20"/>
                <w:lang w:val="en-GB"/>
              </w:rPr>
              <w:t>.</w:t>
            </w:r>
            <w:r w:rsidRPr="00D62D04">
              <w:rPr>
                <w:rFonts w:eastAsia="Times New Roman"/>
                <w:bCs/>
                <w:sz w:val="20"/>
                <w:szCs w:val="20"/>
                <w:lang w:val="en-GB"/>
              </w:rPr>
              <w:t>00</w:t>
            </w:r>
          </w:p>
        </w:tc>
        <w:tc>
          <w:tcPr>
            <w:tcW w:w="1310" w:type="dxa"/>
            <w:vAlign w:val="center"/>
          </w:tcPr>
          <w:p w14:paraId="1A8817C6" w14:textId="77777777" w:rsidR="00F31B10" w:rsidRPr="00D62D04" w:rsidRDefault="00F31B10" w:rsidP="0056662A">
            <w:pPr>
              <w:spacing w:after="0" w:line="240" w:lineRule="auto"/>
              <w:jc w:val="center"/>
              <w:rPr>
                <w:rFonts w:eastAsia="Times New Roman"/>
                <w:bCs/>
                <w:sz w:val="20"/>
                <w:szCs w:val="20"/>
                <w:lang w:val="en-GB"/>
              </w:rPr>
            </w:pPr>
          </w:p>
        </w:tc>
      </w:tr>
      <w:tr w:rsidR="00F31B10" w:rsidRPr="00D62D04" w14:paraId="17ADBFC6" w14:textId="77777777" w:rsidTr="0056662A">
        <w:trPr>
          <w:trHeight w:val="286"/>
        </w:trPr>
        <w:tc>
          <w:tcPr>
            <w:tcW w:w="2417" w:type="dxa"/>
            <w:vAlign w:val="center"/>
          </w:tcPr>
          <w:p w14:paraId="3B9DCBE0" w14:textId="77777777" w:rsidR="00F31B10" w:rsidRPr="00D62D04" w:rsidRDefault="00CA40E7" w:rsidP="0056662A">
            <w:pPr>
              <w:spacing w:after="0" w:line="240" w:lineRule="auto"/>
              <w:rPr>
                <w:rFonts w:eastAsia="Times New Roman"/>
                <w:bCs/>
                <w:iCs/>
                <w:sz w:val="20"/>
                <w:szCs w:val="20"/>
                <w:lang w:val="en-GB"/>
              </w:rPr>
            </w:pPr>
            <w:r w:rsidRPr="00D62D04">
              <w:rPr>
                <w:rFonts w:eastAsia="Times New Roman"/>
                <w:bCs/>
                <w:iCs/>
                <w:sz w:val="20"/>
                <w:szCs w:val="20"/>
                <w:lang w:val="en-GB"/>
              </w:rPr>
              <w:t xml:space="preserve">Hungarians </w:t>
            </w:r>
          </w:p>
        </w:tc>
        <w:tc>
          <w:tcPr>
            <w:tcW w:w="1393" w:type="dxa"/>
            <w:vAlign w:val="center"/>
          </w:tcPr>
          <w:p w14:paraId="2FA31F20" w14:textId="77777777" w:rsidR="00F31B10" w:rsidRPr="00D62D04" w:rsidRDefault="00F31B10" w:rsidP="00CA40E7">
            <w:pPr>
              <w:spacing w:after="0" w:line="240" w:lineRule="auto"/>
              <w:jc w:val="center"/>
              <w:rPr>
                <w:rFonts w:eastAsia="Times New Roman"/>
                <w:bCs/>
                <w:sz w:val="20"/>
                <w:szCs w:val="20"/>
                <w:lang w:val="en-GB"/>
              </w:rPr>
            </w:pPr>
            <w:r w:rsidRPr="00D62D04">
              <w:rPr>
                <w:rFonts w:eastAsia="Times New Roman"/>
                <w:bCs/>
                <w:sz w:val="20"/>
                <w:szCs w:val="20"/>
                <w:lang w:val="en-GB"/>
              </w:rPr>
              <w:t>3</w:t>
            </w:r>
            <w:r w:rsidR="00CA40E7" w:rsidRPr="00D62D04">
              <w:rPr>
                <w:rFonts w:eastAsia="Times New Roman"/>
                <w:bCs/>
                <w:sz w:val="20"/>
                <w:szCs w:val="20"/>
                <w:lang w:val="en-GB"/>
              </w:rPr>
              <w:t>,</w:t>
            </w:r>
            <w:r w:rsidRPr="00D62D04">
              <w:rPr>
                <w:rFonts w:eastAsia="Times New Roman"/>
                <w:bCs/>
                <w:sz w:val="20"/>
                <w:szCs w:val="20"/>
                <w:lang w:val="en-GB"/>
              </w:rPr>
              <w:t>570</w:t>
            </w:r>
            <w:r w:rsidR="00CA40E7" w:rsidRPr="00D62D04">
              <w:rPr>
                <w:rFonts w:eastAsia="Times New Roman"/>
                <w:bCs/>
                <w:sz w:val="20"/>
                <w:szCs w:val="20"/>
                <w:lang w:val="en-GB"/>
              </w:rPr>
              <w:t>,</w:t>
            </w:r>
            <w:r w:rsidRPr="00D62D04">
              <w:rPr>
                <w:rFonts w:eastAsia="Times New Roman"/>
                <w:bCs/>
                <w:sz w:val="20"/>
                <w:szCs w:val="20"/>
                <w:lang w:val="en-GB"/>
              </w:rPr>
              <w:t>000</w:t>
            </w:r>
            <w:r w:rsidR="00CA40E7" w:rsidRPr="00D62D04">
              <w:rPr>
                <w:rFonts w:eastAsia="Times New Roman"/>
                <w:bCs/>
                <w:sz w:val="20"/>
                <w:szCs w:val="20"/>
                <w:lang w:val="en-GB"/>
              </w:rPr>
              <w:t>.</w:t>
            </w:r>
            <w:r w:rsidRPr="00D62D04">
              <w:rPr>
                <w:rFonts w:eastAsia="Times New Roman"/>
                <w:bCs/>
                <w:sz w:val="20"/>
                <w:szCs w:val="20"/>
                <w:lang w:val="en-GB"/>
              </w:rPr>
              <w:t>00</w:t>
            </w:r>
          </w:p>
        </w:tc>
        <w:tc>
          <w:tcPr>
            <w:tcW w:w="1468" w:type="dxa"/>
            <w:vAlign w:val="center"/>
          </w:tcPr>
          <w:p w14:paraId="1FEDE4CB" w14:textId="77777777" w:rsidR="00F31B10" w:rsidRPr="00D62D04" w:rsidRDefault="00F31B10" w:rsidP="00CA40E7">
            <w:pPr>
              <w:spacing w:after="0" w:line="240" w:lineRule="auto"/>
              <w:jc w:val="center"/>
              <w:rPr>
                <w:rFonts w:eastAsia="Times New Roman"/>
                <w:bCs/>
                <w:sz w:val="20"/>
                <w:szCs w:val="20"/>
                <w:lang w:val="en-GB"/>
              </w:rPr>
            </w:pPr>
            <w:r w:rsidRPr="00D62D04">
              <w:rPr>
                <w:rFonts w:eastAsia="Times New Roman"/>
                <w:bCs/>
                <w:sz w:val="20"/>
                <w:szCs w:val="20"/>
                <w:lang w:val="en-GB"/>
              </w:rPr>
              <w:t>6</w:t>
            </w:r>
            <w:r w:rsidR="00CA40E7" w:rsidRPr="00D62D04">
              <w:rPr>
                <w:rFonts w:eastAsia="Times New Roman"/>
                <w:bCs/>
                <w:sz w:val="20"/>
                <w:szCs w:val="20"/>
                <w:lang w:val="en-GB"/>
              </w:rPr>
              <w:t>,</w:t>
            </w:r>
            <w:r w:rsidRPr="00D62D04">
              <w:rPr>
                <w:rFonts w:eastAsia="Times New Roman"/>
                <w:bCs/>
                <w:sz w:val="20"/>
                <w:szCs w:val="20"/>
                <w:lang w:val="en-GB"/>
              </w:rPr>
              <w:t>280</w:t>
            </w:r>
            <w:r w:rsidR="00CA40E7" w:rsidRPr="00D62D04">
              <w:rPr>
                <w:rFonts w:eastAsia="Times New Roman"/>
                <w:bCs/>
                <w:sz w:val="20"/>
                <w:szCs w:val="20"/>
                <w:lang w:val="en-GB"/>
              </w:rPr>
              <w:t>,</w:t>
            </w:r>
            <w:r w:rsidRPr="00D62D04">
              <w:rPr>
                <w:rFonts w:eastAsia="Times New Roman"/>
                <w:bCs/>
                <w:sz w:val="20"/>
                <w:szCs w:val="20"/>
                <w:lang w:val="en-GB"/>
              </w:rPr>
              <w:t>000</w:t>
            </w:r>
            <w:r w:rsidR="00CA40E7" w:rsidRPr="00D62D04">
              <w:rPr>
                <w:rFonts w:eastAsia="Times New Roman"/>
                <w:bCs/>
                <w:sz w:val="20"/>
                <w:szCs w:val="20"/>
                <w:lang w:val="en-GB"/>
              </w:rPr>
              <w:t>.</w:t>
            </w:r>
            <w:r w:rsidRPr="00D62D04">
              <w:rPr>
                <w:rFonts w:eastAsia="Times New Roman"/>
                <w:bCs/>
                <w:sz w:val="20"/>
                <w:szCs w:val="20"/>
                <w:lang w:val="en-GB"/>
              </w:rPr>
              <w:t>00</w:t>
            </w:r>
          </w:p>
        </w:tc>
        <w:tc>
          <w:tcPr>
            <w:tcW w:w="1317" w:type="dxa"/>
            <w:vAlign w:val="center"/>
          </w:tcPr>
          <w:p w14:paraId="046F153E" w14:textId="77777777" w:rsidR="00F31B10" w:rsidRPr="00D62D04" w:rsidRDefault="00F31B10" w:rsidP="00CA40E7">
            <w:pPr>
              <w:spacing w:after="0" w:line="240" w:lineRule="auto"/>
              <w:jc w:val="center"/>
              <w:rPr>
                <w:rFonts w:eastAsia="Times New Roman"/>
                <w:bCs/>
                <w:sz w:val="20"/>
                <w:szCs w:val="20"/>
                <w:lang w:val="en-GB"/>
              </w:rPr>
            </w:pPr>
            <w:r w:rsidRPr="00D62D04">
              <w:rPr>
                <w:rFonts w:eastAsia="Times New Roman"/>
                <w:bCs/>
                <w:sz w:val="20"/>
                <w:szCs w:val="20"/>
                <w:lang w:val="en-GB"/>
              </w:rPr>
              <w:t>3</w:t>
            </w:r>
            <w:r w:rsidR="00CA40E7" w:rsidRPr="00D62D04">
              <w:rPr>
                <w:rFonts w:eastAsia="Times New Roman"/>
                <w:bCs/>
                <w:sz w:val="20"/>
                <w:szCs w:val="20"/>
                <w:lang w:val="en-GB"/>
              </w:rPr>
              <w:t>,</w:t>
            </w:r>
            <w:r w:rsidRPr="00D62D04">
              <w:rPr>
                <w:rFonts w:eastAsia="Times New Roman"/>
                <w:bCs/>
                <w:sz w:val="20"/>
                <w:szCs w:val="20"/>
                <w:lang w:val="en-GB"/>
              </w:rPr>
              <w:t>375</w:t>
            </w:r>
            <w:r w:rsidR="00CA40E7" w:rsidRPr="00D62D04">
              <w:rPr>
                <w:rFonts w:eastAsia="Times New Roman"/>
                <w:bCs/>
                <w:sz w:val="20"/>
                <w:szCs w:val="20"/>
                <w:lang w:val="en-GB"/>
              </w:rPr>
              <w:t>,</w:t>
            </w:r>
            <w:r w:rsidRPr="00D62D04">
              <w:rPr>
                <w:rFonts w:eastAsia="Times New Roman"/>
                <w:bCs/>
                <w:sz w:val="20"/>
                <w:szCs w:val="20"/>
                <w:lang w:val="en-GB"/>
              </w:rPr>
              <w:t>000</w:t>
            </w:r>
            <w:r w:rsidR="00CA40E7" w:rsidRPr="00D62D04">
              <w:rPr>
                <w:rFonts w:eastAsia="Times New Roman"/>
                <w:bCs/>
                <w:sz w:val="20"/>
                <w:szCs w:val="20"/>
                <w:lang w:val="en-GB"/>
              </w:rPr>
              <w:t>.</w:t>
            </w:r>
            <w:r w:rsidRPr="00D62D04">
              <w:rPr>
                <w:rFonts w:eastAsia="Times New Roman"/>
                <w:bCs/>
                <w:sz w:val="20"/>
                <w:szCs w:val="20"/>
                <w:lang w:val="en-GB"/>
              </w:rPr>
              <w:t>00</w:t>
            </w:r>
          </w:p>
        </w:tc>
        <w:tc>
          <w:tcPr>
            <w:tcW w:w="1433" w:type="dxa"/>
            <w:vAlign w:val="center"/>
          </w:tcPr>
          <w:p w14:paraId="348EA8AA" w14:textId="77777777" w:rsidR="00F31B10" w:rsidRPr="00D62D04" w:rsidRDefault="00F31B10" w:rsidP="00CA40E7">
            <w:pPr>
              <w:spacing w:after="0" w:line="240" w:lineRule="auto"/>
              <w:jc w:val="center"/>
              <w:rPr>
                <w:rFonts w:eastAsia="Times New Roman"/>
                <w:bCs/>
                <w:sz w:val="20"/>
                <w:szCs w:val="20"/>
                <w:lang w:val="en-GB"/>
              </w:rPr>
            </w:pPr>
            <w:r w:rsidRPr="00D62D04">
              <w:rPr>
                <w:rFonts w:eastAsia="Times New Roman"/>
                <w:bCs/>
                <w:sz w:val="20"/>
                <w:szCs w:val="20"/>
                <w:lang w:val="en-GB"/>
              </w:rPr>
              <w:t>3</w:t>
            </w:r>
            <w:r w:rsidR="00CA40E7" w:rsidRPr="00D62D04">
              <w:rPr>
                <w:rFonts w:eastAsia="Times New Roman"/>
                <w:bCs/>
                <w:sz w:val="20"/>
                <w:szCs w:val="20"/>
                <w:lang w:val="en-GB"/>
              </w:rPr>
              <w:t>,</w:t>
            </w:r>
            <w:r w:rsidRPr="00D62D04">
              <w:rPr>
                <w:rFonts w:eastAsia="Times New Roman"/>
                <w:bCs/>
                <w:sz w:val="20"/>
                <w:szCs w:val="20"/>
                <w:lang w:val="en-GB"/>
              </w:rPr>
              <w:t>325</w:t>
            </w:r>
            <w:r w:rsidR="00CA40E7" w:rsidRPr="00D62D04">
              <w:rPr>
                <w:rFonts w:eastAsia="Times New Roman"/>
                <w:bCs/>
                <w:sz w:val="20"/>
                <w:szCs w:val="20"/>
                <w:lang w:val="en-GB"/>
              </w:rPr>
              <w:t>,</w:t>
            </w:r>
            <w:r w:rsidRPr="00D62D04">
              <w:rPr>
                <w:rFonts w:eastAsia="Times New Roman"/>
                <w:bCs/>
                <w:sz w:val="20"/>
                <w:szCs w:val="20"/>
                <w:lang w:val="en-GB"/>
              </w:rPr>
              <w:t>000</w:t>
            </w:r>
            <w:r w:rsidR="00CA40E7" w:rsidRPr="00D62D04">
              <w:rPr>
                <w:rFonts w:eastAsia="Times New Roman"/>
                <w:bCs/>
                <w:sz w:val="20"/>
                <w:szCs w:val="20"/>
                <w:lang w:val="en-GB"/>
              </w:rPr>
              <w:t>.</w:t>
            </w:r>
            <w:r w:rsidRPr="00D62D04">
              <w:rPr>
                <w:rFonts w:eastAsia="Times New Roman"/>
                <w:bCs/>
                <w:sz w:val="20"/>
                <w:szCs w:val="20"/>
                <w:lang w:val="en-GB"/>
              </w:rPr>
              <w:t>00</w:t>
            </w:r>
          </w:p>
        </w:tc>
        <w:tc>
          <w:tcPr>
            <w:tcW w:w="1310" w:type="dxa"/>
            <w:vAlign w:val="center"/>
          </w:tcPr>
          <w:p w14:paraId="5FE963FD" w14:textId="77777777" w:rsidR="00F31B10" w:rsidRPr="00D62D04" w:rsidRDefault="00F31B10" w:rsidP="00CA40E7">
            <w:pPr>
              <w:spacing w:after="0" w:line="240" w:lineRule="auto"/>
              <w:jc w:val="center"/>
              <w:rPr>
                <w:rFonts w:eastAsia="Times New Roman"/>
                <w:bCs/>
                <w:sz w:val="20"/>
                <w:szCs w:val="20"/>
                <w:lang w:val="en-GB"/>
              </w:rPr>
            </w:pPr>
            <w:r w:rsidRPr="00D62D04">
              <w:rPr>
                <w:rFonts w:eastAsia="Times New Roman"/>
                <w:bCs/>
                <w:sz w:val="20"/>
                <w:szCs w:val="20"/>
                <w:lang w:val="en-GB"/>
              </w:rPr>
              <w:t>3</w:t>
            </w:r>
            <w:r w:rsidR="00CA40E7" w:rsidRPr="00D62D04">
              <w:rPr>
                <w:rFonts w:eastAsia="Times New Roman"/>
                <w:bCs/>
                <w:sz w:val="20"/>
                <w:szCs w:val="20"/>
                <w:lang w:val="en-GB"/>
              </w:rPr>
              <w:t>,</w:t>
            </w:r>
            <w:r w:rsidRPr="00D62D04">
              <w:rPr>
                <w:rFonts w:eastAsia="Times New Roman"/>
                <w:bCs/>
                <w:sz w:val="20"/>
                <w:szCs w:val="20"/>
                <w:lang w:val="en-GB"/>
              </w:rPr>
              <w:t>350</w:t>
            </w:r>
            <w:r w:rsidR="00CA40E7" w:rsidRPr="00D62D04">
              <w:rPr>
                <w:rFonts w:eastAsia="Times New Roman"/>
                <w:bCs/>
                <w:sz w:val="20"/>
                <w:szCs w:val="20"/>
                <w:lang w:val="en-GB"/>
              </w:rPr>
              <w:t>,</w:t>
            </w:r>
            <w:r w:rsidRPr="00D62D04">
              <w:rPr>
                <w:rFonts w:eastAsia="Times New Roman"/>
                <w:bCs/>
                <w:sz w:val="20"/>
                <w:szCs w:val="20"/>
                <w:lang w:val="en-GB"/>
              </w:rPr>
              <w:t>000</w:t>
            </w:r>
            <w:r w:rsidR="00CA40E7" w:rsidRPr="00D62D04">
              <w:rPr>
                <w:rFonts w:eastAsia="Times New Roman"/>
                <w:bCs/>
                <w:sz w:val="20"/>
                <w:szCs w:val="20"/>
                <w:lang w:val="en-GB"/>
              </w:rPr>
              <w:t>.</w:t>
            </w:r>
            <w:r w:rsidRPr="00D62D04">
              <w:rPr>
                <w:rFonts w:eastAsia="Times New Roman"/>
                <w:bCs/>
                <w:sz w:val="20"/>
                <w:szCs w:val="20"/>
                <w:lang w:val="en-GB"/>
              </w:rPr>
              <w:t>00</w:t>
            </w:r>
          </w:p>
        </w:tc>
      </w:tr>
      <w:tr w:rsidR="00F31B10" w:rsidRPr="00D62D04" w14:paraId="2CEC0101" w14:textId="77777777" w:rsidTr="0056662A">
        <w:trPr>
          <w:trHeight w:val="286"/>
        </w:trPr>
        <w:tc>
          <w:tcPr>
            <w:tcW w:w="2417" w:type="dxa"/>
            <w:vAlign w:val="center"/>
          </w:tcPr>
          <w:p w14:paraId="7FA2C0C1" w14:textId="77777777" w:rsidR="00F31B10" w:rsidRPr="00D62D04" w:rsidRDefault="00CA40E7" w:rsidP="0056662A">
            <w:pPr>
              <w:spacing w:after="0" w:line="240" w:lineRule="auto"/>
              <w:rPr>
                <w:rFonts w:eastAsia="Times New Roman"/>
                <w:bCs/>
                <w:iCs/>
                <w:sz w:val="20"/>
                <w:szCs w:val="20"/>
                <w:lang w:val="en-GB"/>
              </w:rPr>
            </w:pPr>
            <w:r w:rsidRPr="00D62D04">
              <w:rPr>
                <w:rFonts w:eastAsia="Times New Roman"/>
                <w:bCs/>
                <w:iCs/>
                <w:sz w:val="20"/>
                <w:szCs w:val="20"/>
                <w:lang w:val="en-GB"/>
              </w:rPr>
              <w:t xml:space="preserve">Macedonians </w:t>
            </w:r>
          </w:p>
        </w:tc>
        <w:tc>
          <w:tcPr>
            <w:tcW w:w="1393" w:type="dxa"/>
            <w:vAlign w:val="center"/>
          </w:tcPr>
          <w:p w14:paraId="21C9A44D" w14:textId="77777777" w:rsidR="00F31B10" w:rsidRPr="00D62D04" w:rsidRDefault="00F31B10" w:rsidP="00CA40E7">
            <w:pPr>
              <w:spacing w:after="0" w:line="240" w:lineRule="auto"/>
              <w:jc w:val="center"/>
              <w:rPr>
                <w:rFonts w:eastAsia="Times New Roman"/>
                <w:bCs/>
                <w:sz w:val="20"/>
                <w:szCs w:val="20"/>
                <w:lang w:val="en-GB"/>
              </w:rPr>
            </w:pPr>
            <w:r w:rsidRPr="00D62D04">
              <w:rPr>
                <w:rFonts w:eastAsia="Times New Roman"/>
                <w:bCs/>
                <w:sz w:val="20"/>
                <w:szCs w:val="20"/>
                <w:lang w:val="en-GB"/>
              </w:rPr>
              <w:t>117</w:t>
            </w:r>
            <w:r w:rsidR="00CA40E7" w:rsidRPr="00D62D04">
              <w:rPr>
                <w:rFonts w:eastAsia="Times New Roman"/>
                <w:bCs/>
                <w:sz w:val="20"/>
                <w:szCs w:val="20"/>
                <w:lang w:val="en-GB"/>
              </w:rPr>
              <w:t>,</w:t>
            </w:r>
            <w:r w:rsidRPr="00D62D04">
              <w:rPr>
                <w:rFonts w:eastAsia="Times New Roman"/>
                <w:bCs/>
                <w:sz w:val="20"/>
                <w:szCs w:val="20"/>
                <w:lang w:val="en-GB"/>
              </w:rPr>
              <w:t>000</w:t>
            </w:r>
            <w:r w:rsidR="00CA40E7" w:rsidRPr="00D62D04">
              <w:rPr>
                <w:rFonts w:eastAsia="Times New Roman"/>
                <w:bCs/>
                <w:sz w:val="20"/>
                <w:szCs w:val="20"/>
                <w:lang w:val="en-GB"/>
              </w:rPr>
              <w:t>.</w:t>
            </w:r>
            <w:r w:rsidRPr="00D62D04">
              <w:rPr>
                <w:rFonts w:eastAsia="Times New Roman"/>
                <w:bCs/>
                <w:sz w:val="20"/>
                <w:szCs w:val="20"/>
                <w:lang w:val="en-GB"/>
              </w:rPr>
              <w:t>00</w:t>
            </w:r>
          </w:p>
        </w:tc>
        <w:tc>
          <w:tcPr>
            <w:tcW w:w="1468" w:type="dxa"/>
            <w:vAlign w:val="center"/>
          </w:tcPr>
          <w:p w14:paraId="4FB0DEEF" w14:textId="77777777" w:rsidR="00F31B10" w:rsidRPr="00D62D04" w:rsidRDefault="00F31B10" w:rsidP="00CA40E7">
            <w:pPr>
              <w:spacing w:after="0" w:line="240" w:lineRule="auto"/>
              <w:jc w:val="center"/>
              <w:rPr>
                <w:rFonts w:eastAsia="Times New Roman"/>
                <w:bCs/>
                <w:sz w:val="20"/>
                <w:szCs w:val="20"/>
                <w:lang w:val="en-GB"/>
              </w:rPr>
            </w:pPr>
            <w:r w:rsidRPr="00D62D04">
              <w:rPr>
                <w:rFonts w:eastAsia="Times New Roman"/>
                <w:bCs/>
                <w:sz w:val="20"/>
                <w:szCs w:val="20"/>
                <w:lang w:val="en-GB"/>
              </w:rPr>
              <w:t>397</w:t>
            </w:r>
            <w:r w:rsidR="00CA40E7" w:rsidRPr="00D62D04">
              <w:rPr>
                <w:rFonts w:eastAsia="Times New Roman"/>
                <w:bCs/>
                <w:sz w:val="20"/>
                <w:szCs w:val="20"/>
                <w:lang w:val="en-GB"/>
              </w:rPr>
              <w:t>,</w:t>
            </w:r>
            <w:r w:rsidRPr="00D62D04">
              <w:rPr>
                <w:rFonts w:eastAsia="Times New Roman"/>
                <w:bCs/>
                <w:sz w:val="20"/>
                <w:szCs w:val="20"/>
                <w:lang w:val="en-GB"/>
              </w:rPr>
              <w:t>000</w:t>
            </w:r>
            <w:r w:rsidR="00CA40E7" w:rsidRPr="00D62D04">
              <w:rPr>
                <w:rFonts w:eastAsia="Times New Roman"/>
                <w:bCs/>
                <w:sz w:val="20"/>
                <w:szCs w:val="20"/>
                <w:lang w:val="en-GB"/>
              </w:rPr>
              <w:t>.</w:t>
            </w:r>
            <w:r w:rsidRPr="00D62D04">
              <w:rPr>
                <w:rFonts w:eastAsia="Times New Roman"/>
                <w:bCs/>
                <w:sz w:val="20"/>
                <w:szCs w:val="20"/>
                <w:lang w:val="en-GB"/>
              </w:rPr>
              <w:t>00</w:t>
            </w:r>
          </w:p>
        </w:tc>
        <w:tc>
          <w:tcPr>
            <w:tcW w:w="1317" w:type="dxa"/>
            <w:vAlign w:val="center"/>
          </w:tcPr>
          <w:p w14:paraId="4F65632B" w14:textId="77777777" w:rsidR="00F31B10" w:rsidRPr="00D62D04" w:rsidRDefault="00F31B10" w:rsidP="00CA40E7">
            <w:pPr>
              <w:spacing w:after="0" w:line="240" w:lineRule="auto"/>
              <w:jc w:val="center"/>
              <w:rPr>
                <w:rFonts w:eastAsia="Times New Roman"/>
                <w:bCs/>
                <w:sz w:val="20"/>
                <w:szCs w:val="20"/>
                <w:lang w:val="en-GB"/>
              </w:rPr>
            </w:pPr>
            <w:r w:rsidRPr="00D62D04">
              <w:rPr>
                <w:rFonts w:eastAsia="Times New Roman"/>
                <w:bCs/>
                <w:sz w:val="20"/>
                <w:szCs w:val="20"/>
                <w:lang w:val="en-GB"/>
              </w:rPr>
              <w:t>170</w:t>
            </w:r>
            <w:r w:rsidR="00CA40E7" w:rsidRPr="00D62D04">
              <w:rPr>
                <w:rFonts w:eastAsia="Times New Roman"/>
                <w:bCs/>
                <w:sz w:val="20"/>
                <w:szCs w:val="20"/>
                <w:lang w:val="en-GB"/>
              </w:rPr>
              <w:t>,</w:t>
            </w:r>
            <w:r w:rsidRPr="00D62D04">
              <w:rPr>
                <w:rFonts w:eastAsia="Times New Roman"/>
                <w:bCs/>
                <w:sz w:val="20"/>
                <w:szCs w:val="20"/>
                <w:lang w:val="en-GB"/>
              </w:rPr>
              <w:t>000</w:t>
            </w:r>
            <w:r w:rsidR="00CA40E7" w:rsidRPr="00D62D04">
              <w:rPr>
                <w:rFonts w:eastAsia="Times New Roman"/>
                <w:bCs/>
                <w:sz w:val="20"/>
                <w:szCs w:val="20"/>
                <w:lang w:val="en-GB"/>
              </w:rPr>
              <w:t>.</w:t>
            </w:r>
            <w:r w:rsidRPr="00D62D04">
              <w:rPr>
                <w:rFonts w:eastAsia="Times New Roman"/>
                <w:bCs/>
                <w:sz w:val="20"/>
                <w:szCs w:val="20"/>
                <w:lang w:val="en-GB"/>
              </w:rPr>
              <w:t>00</w:t>
            </w:r>
          </w:p>
        </w:tc>
        <w:tc>
          <w:tcPr>
            <w:tcW w:w="1433" w:type="dxa"/>
            <w:vAlign w:val="center"/>
          </w:tcPr>
          <w:p w14:paraId="7F9A5B7C" w14:textId="77777777" w:rsidR="00F31B10" w:rsidRPr="00D62D04" w:rsidRDefault="00F31B10" w:rsidP="00CA40E7">
            <w:pPr>
              <w:spacing w:after="0" w:line="240" w:lineRule="auto"/>
              <w:jc w:val="center"/>
              <w:rPr>
                <w:rFonts w:eastAsia="Times New Roman"/>
                <w:bCs/>
                <w:sz w:val="20"/>
                <w:szCs w:val="20"/>
                <w:lang w:val="en-GB"/>
              </w:rPr>
            </w:pPr>
            <w:r w:rsidRPr="00D62D04">
              <w:rPr>
                <w:rFonts w:eastAsia="Times New Roman"/>
                <w:bCs/>
                <w:sz w:val="20"/>
                <w:szCs w:val="20"/>
                <w:lang w:val="en-GB"/>
              </w:rPr>
              <w:t>170</w:t>
            </w:r>
            <w:r w:rsidR="00CA40E7" w:rsidRPr="00D62D04">
              <w:rPr>
                <w:rFonts w:eastAsia="Times New Roman"/>
                <w:bCs/>
                <w:sz w:val="20"/>
                <w:szCs w:val="20"/>
                <w:lang w:val="en-GB"/>
              </w:rPr>
              <w:t>,</w:t>
            </w:r>
            <w:r w:rsidRPr="00D62D04">
              <w:rPr>
                <w:rFonts w:eastAsia="Times New Roman"/>
                <w:bCs/>
                <w:sz w:val="20"/>
                <w:szCs w:val="20"/>
                <w:lang w:val="en-GB"/>
              </w:rPr>
              <w:t>000</w:t>
            </w:r>
            <w:r w:rsidR="00CA40E7" w:rsidRPr="00D62D04">
              <w:rPr>
                <w:rFonts w:eastAsia="Times New Roman"/>
                <w:bCs/>
                <w:sz w:val="20"/>
                <w:szCs w:val="20"/>
                <w:lang w:val="en-GB"/>
              </w:rPr>
              <w:t>.</w:t>
            </w:r>
            <w:r w:rsidRPr="00D62D04">
              <w:rPr>
                <w:rFonts w:eastAsia="Times New Roman"/>
                <w:bCs/>
                <w:sz w:val="20"/>
                <w:szCs w:val="20"/>
                <w:lang w:val="en-GB"/>
              </w:rPr>
              <w:t>00</w:t>
            </w:r>
          </w:p>
        </w:tc>
        <w:tc>
          <w:tcPr>
            <w:tcW w:w="1310" w:type="dxa"/>
            <w:vAlign w:val="center"/>
          </w:tcPr>
          <w:p w14:paraId="5FB48F58" w14:textId="77777777" w:rsidR="00F31B10" w:rsidRPr="00D62D04" w:rsidRDefault="00F31B10" w:rsidP="00CA40E7">
            <w:pPr>
              <w:spacing w:after="0" w:line="240" w:lineRule="auto"/>
              <w:jc w:val="center"/>
              <w:rPr>
                <w:rFonts w:eastAsia="Times New Roman"/>
                <w:bCs/>
                <w:sz w:val="20"/>
                <w:szCs w:val="20"/>
                <w:lang w:val="en-GB"/>
              </w:rPr>
            </w:pPr>
            <w:r w:rsidRPr="00D62D04">
              <w:rPr>
                <w:rFonts w:eastAsia="Times New Roman"/>
                <w:bCs/>
                <w:sz w:val="20"/>
                <w:szCs w:val="20"/>
                <w:lang w:val="en-GB"/>
              </w:rPr>
              <w:t>200</w:t>
            </w:r>
            <w:r w:rsidR="00CA40E7" w:rsidRPr="00D62D04">
              <w:rPr>
                <w:rFonts w:eastAsia="Times New Roman"/>
                <w:bCs/>
                <w:sz w:val="20"/>
                <w:szCs w:val="20"/>
                <w:lang w:val="en-GB"/>
              </w:rPr>
              <w:t>,</w:t>
            </w:r>
            <w:r w:rsidRPr="00D62D04">
              <w:rPr>
                <w:rFonts w:eastAsia="Times New Roman"/>
                <w:bCs/>
                <w:sz w:val="20"/>
                <w:szCs w:val="20"/>
                <w:lang w:val="en-GB"/>
              </w:rPr>
              <w:t>000</w:t>
            </w:r>
            <w:r w:rsidR="00CA40E7" w:rsidRPr="00D62D04">
              <w:rPr>
                <w:rFonts w:eastAsia="Times New Roman"/>
                <w:bCs/>
                <w:sz w:val="20"/>
                <w:szCs w:val="20"/>
                <w:lang w:val="en-GB"/>
              </w:rPr>
              <w:t>.</w:t>
            </w:r>
            <w:r w:rsidRPr="00D62D04">
              <w:rPr>
                <w:rFonts w:eastAsia="Times New Roman"/>
                <w:bCs/>
                <w:sz w:val="20"/>
                <w:szCs w:val="20"/>
                <w:lang w:val="en-GB"/>
              </w:rPr>
              <w:t>00</w:t>
            </w:r>
          </w:p>
        </w:tc>
      </w:tr>
      <w:tr w:rsidR="00F31B10" w:rsidRPr="00D62D04" w14:paraId="5CDE7673" w14:textId="77777777" w:rsidTr="0056662A">
        <w:trPr>
          <w:trHeight w:val="286"/>
        </w:trPr>
        <w:tc>
          <w:tcPr>
            <w:tcW w:w="2417" w:type="dxa"/>
            <w:vAlign w:val="center"/>
          </w:tcPr>
          <w:p w14:paraId="74EF5BA0" w14:textId="77777777" w:rsidR="00F31B10" w:rsidRPr="00D62D04" w:rsidRDefault="00CA40E7" w:rsidP="0056662A">
            <w:pPr>
              <w:spacing w:after="0" w:line="240" w:lineRule="auto"/>
              <w:rPr>
                <w:rFonts w:eastAsia="Times New Roman"/>
                <w:bCs/>
                <w:iCs/>
                <w:sz w:val="20"/>
                <w:szCs w:val="20"/>
                <w:lang w:val="en-GB"/>
              </w:rPr>
            </w:pPr>
            <w:r w:rsidRPr="00D62D04">
              <w:rPr>
                <w:rFonts w:eastAsia="Times New Roman"/>
                <w:bCs/>
                <w:iCs/>
                <w:sz w:val="20"/>
                <w:szCs w:val="20"/>
                <w:lang w:val="en-GB"/>
              </w:rPr>
              <w:t xml:space="preserve">Germans </w:t>
            </w:r>
          </w:p>
        </w:tc>
        <w:tc>
          <w:tcPr>
            <w:tcW w:w="1393" w:type="dxa"/>
            <w:vAlign w:val="center"/>
          </w:tcPr>
          <w:p w14:paraId="1D9B0848" w14:textId="77777777" w:rsidR="00F31B10" w:rsidRPr="00D62D04" w:rsidRDefault="00F31B10" w:rsidP="00CA40E7">
            <w:pPr>
              <w:spacing w:after="0" w:line="240" w:lineRule="auto"/>
              <w:jc w:val="center"/>
              <w:rPr>
                <w:rFonts w:eastAsia="Times New Roman"/>
                <w:bCs/>
                <w:sz w:val="20"/>
                <w:szCs w:val="20"/>
                <w:lang w:val="en-GB"/>
              </w:rPr>
            </w:pPr>
            <w:r w:rsidRPr="00D62D04">
              <w:rPr>
                <w:rFonts w:eastAsia="Times New Roman"/>
                <w:bCs/>
                <w:sz w:val="20"/>
                <w:szCs w:val="20"/>
                <w:lang w:val="en-GB"/>
              </w:rPr>
              <w:t>155</w:t>
            </w:r>
            <w:r w:rsidR="00CA40E7" w:rsidRPr="00D62D04">
              <w:rPr>
                <w:rFonts w:eastAsia="Times New Roman"/>
                <w:bCs/>
                <w:sz w:val="20"/>
                <w:szCs w:val="20"/>
                <w:lang w:val="en-GB"/>
              </w:rPr>
              <w:t>,</w:t>
            </w:r>
            <w:r w:rsidRPr="00D62D04">
              <w:rPr>
                <w:rFonts w:eastAsia="Times New Roman"/>
                <w:bCs/>
                <w:sz w:val="20"/>
                <w:szCs w:val="20"/>
                <w:lang w:val="en-GB"/>
              </w:rPr>
              <w:t>000</w:t>
            </w:r>
            <w:r w:rsidR="00CA40E7" w:rsidRPr="00D62D04">
              <w:rPr>
                <w:rFonts w:eastAsia="Times New Roman"/>
                <w:bCs/>
                <w:sz w:val="20"/>
                <w:szCs w:val="20"/>
                <w:lang w:val="en-GB"/>
              </w:rPr>
              <w:t>.</w:t>
            </w:r>
            <w:r w:rsidRPr="00D62D04">
              <w:rPr>
                <w:rFonts w:eastAsia="Times New Roman"/>
                <w:bCs/>
                <w:sz w:val="20"/>
                <w:szCs w:val="20"/>
                <w:lang w:val="en-GB"/>
              </w:rPr>
              <w:t>00</w:t>
            </w:r>
          </w:p>
        </w:tc>
        <w:tc>
          <w:tcPr>
            <w:tcW w:w="1468" w:type="dxa"/>
            <w:vAlign w:val="center"/>
          </w:tcPr>
          <w:p w14:paraId="5F996F12" w14:textId="77777777" w:rsidR="00F31B10" w:rsidRPr="00D62D04" w:rsidRDefault="00F31B10" w:rsidP="00CA40E7">
            <w:pPr>
              <w:spacing w:after="0" w:line="240" w:lineRule="auto"/>
              <w:jc w:val="center"/>
              <w:rPr>
                <w:rFonts w:eastAsia="Times New Roman"/>
                <w:bCs/>
                <w:sz w:val="20"/>
                <w:szCs w:val="20"/>
                <w:lang w:val="en-GB"/>
              </w:rPr>
            </w:pPr>
            <w:r w:rsidRPr="00D62D04">
              <w:rPr>
                <w:rFonts w:eastAsia="Times New Roman"/>
                <w:bCs/>
                <w:sz w:val="20"/>
                <w:szCs w:val="20"/>
                <w:lang w:val="en-GB"/>
              </w:rPr>
              <w:t>350</w:t>
            </w:r>
            <w:r w:rsidR="00CA40E7" w:rsidRPr="00D62D04">
              <w:rPr>
                <w:rFonts w:eastAsia="Times New Roman"/>
                <w:bCs/>
                <w:sz w:val="20"/>
                <w:szCs w:val="20"/>
                <w:lang w:val="en-GB"/>
              </w:rPr>
              <w:t>,</w:t>
            </w:r>
            <w:r w:rsidRPr="00D62D04">
              <w:rPr>
                <w:rFonts w:eastAsia="Times New Roman"/>
                <w:bCs/>
                <w:sz w:val="20"/>
                <w:szCs w:val="20"/>
                <w:lang w:val="en-GB"/>
              </w:rPr>
              <w:t>000</w:t>
            </w:r>
            <w:r w:rsidR="00CA40E7" w:rsidRPr="00D62D04">
              <w:rPr>
                <w:rFonts w:eastAsia="Times New Roman"/>
                <w:bCs/>
                <w:sz w:val="20"/>
                <w:szCs w:val="20"/>
                <w:lang w:val="en-GB"/>
              </w:rPr>
              <w:t>.</w:t>
            </w:r>
            <w:r w:rsidRPr="00D62D04">
              <w:rPr>
                <w:rFonts w:eastAsia="Times New Roman"/>
                <w:bCs/>
                <w:sz w:val="20"/>
                <w:szCs w:val="20"/>
                <w:lang w:val="en-GB"/>
              </w:rPr>
              <w:t>00</w:t>
            </w:r>
          </w:p>
        </w:tc>
        <w:tc>
          <w:tcPr>
            <w:tcW w:w="1317" w:type="dxa"/>
            <w:vAlign w:val="center"/>
          </w:tcPr>
          <w:p w14:paraId="1C46F93B" w14:textId="77777777" w:rsidR="00F31B10" w:rsidRPr="00D62D04" w:rsidRDefault="00F31B10" w:rsidP="00CA40E7">
            <w:pPr>
              <w:spacing w:after="0" w:line="240" w:lineRule="auto"/>
              <w:jc w:val="center"/>
              <w:rPr>
                <w:rFonts w:eastAsia="Times New Roman"/>
                <w:bCs/>
                <w:sz w:val="20"/>
                <w:szCs w:val="20"/>
                <w:lang w:val="en-GB"/>
              </w:rPr>
            </w:pPr>
            <w:r w:rsidRPr="00D62D04">
              <w:rPr>
                <w:rFonts w:eastAsia="Times New Roman"/>
                <w:bCs/>
                <w:sz w:val="20"/>
                <w:szCs w:val="20"/>
                <w:lang w:val="en-GB"/>
              </w:rPr>
              <w:t>200</w:t>
            </w:r>
            <w:r w:rsidR="00CA40E7" w:rsidRPr="00D62D04">
              <w:rPr>
                <w:rFonts w:eastAsia="Times New Roman"/>
                <w:bCs/>
                <w:sz w:val="20"/>
                <w:szCs w:val="20"/>
                <w:lang w:val="en-GB"/>
              </w:rPr>
              <w:t>,</w:t>
            </w:r>
            <w:r w:rsidRPr="00D62D04">
              <w:rPr>
                <w:rFonts w:eastAsia="Times New Roman"/>
                <w:bCs/>
                <w:sz w:val="20"/>
                <w:szCs w:val="20"/>
                <w:lang w:val="en-GB"/>
              </w:rPr>
              <w:t>000</w:t>
            </w:r>
            <w:r w:rsidR="00CA40E7" w:rsidRPr="00D62D04">
              <w:rPr>
                <w:rFonts w:eastAsia="Times New Roman"/>
                <w:bCs/>
                <w:sz w:val="20"/>
                <w:szCs w:val="20"/>
                <w:lang w:val="en-GB"/>
              </w:rPr>
              <w:t>.</w:t>
            </w:r>
            <w:r w:rsidRPr="00D62D04">
              <w:rPr>
                <w:rFonts w:eastAsia="Times New Roman"/>
                <w:bCs/>
                <w:sz w:val="20"/>
                <w:szCs w:val="20"/>
                <w:lang w:val="en-GB"/>
              </w:rPr>
              <w:t>00</w:t>
            </w:r>
          </w:p>
        </w:tc>
        <w:tc>
          <w:tcPr>
            <w:tcW w:w="1433" w:type="dxa"/>
            <w:vAlign w:val="center"/>
          </w:tcPr>
          <w:p w14:paraId="69D4114A" w14:textId="77777777" w:rsidR="00F31B10" w:rsidRPr="00D62D04" w:rsidRDefault="00F31B10" w:rsidP="00CA40E7">
            <w:pPr>
              <w:spacing w:after="0" w:line="240" w:lineRule="auto"/>
              <w:jc w:val="center"/>
              <w:rPr>
                <w:rFonts w:eastAsia="Times New Roman"/>
                <w:bCs/>
                <w:sz w:val="20"/>
                <w:szCs w:val="20"/>
                <w:lang w:val="en-GB"/>
              </w:rPr>
            </w:pPr>
            <w:r w:rsidRPr="00D62D04">
              <w:rPr>
                <w:rFonts w:eastAsia="Times New Roman"/>
                <w:bCs/>
                <w:sz w:val="20"/>
                <w:szCs w:val="20"/>
                <w:lang w:val="en-GB"/>
              </w:rPr>
              <w:t>200</w:t>
            </w:r>
            <w:r w:rsidR="00CA40E7" w:rsidRPr="00D62D04">
              <w:rPr>
                <w:rFonts w:eastAsia="Times New Roman"/>
                <w:bCs/>
                <w:sz w:val="20"/>
                <w:szCs w:val="20"/>
                <w:lang w:val="en-GB"/>
              </w:rPr>
              <w:t>,</w:t>
            </w:r>
            <w:r w:rsidRPr="00D62D04">
              <w:rPr>
                <w:rFonts w:eastAsia="Times New Roman"/>
                <w:bCs/>
                <w:sz w:val="20"/>
                <w:szCs w:val="20"/>
                <w:lang w:val="en-GB"/>
              </w:rPr>
              <w:t>000</w:t>
            </w:r>
            <w:r w:rsidR="00CA40E7" w:rsidRPr="00D62D04">
              <w:rPr>
                <w:rFonts w:eastAsia="Times New Roman"/>
                <w:bCs/>
                <w:sz w:val="20"/>
                <w:szCs w:val="20"/>
                <w:lang w:val="en-GB"/>
              </w:rPr>
              <w:t>.</w:t>
            </w:r>
            <w:r w:rsidRPr="00D62D04">
              <w:rPr>
                <w:rFonts w:eastAsia="Times New Roman"/>
                <w:bCs/>
                <w:sz w:val="20"/>
                <w:szCs w:val="20"/>
                <w:lang w:val="en-GB"/>
              </w:rPr>
              <w:t>00</w:t>
            </w:r>
          </w:p>
        </w:tc>
        <w:tc>
          <w:tcPr>
            <w:tcW w:w="1310" w:type="dxa"/>
            <w:vAlign w:val="center"/>
          </w:tcPr>
          <w:p w14:paraId="07A84151" w14:textId="77777777" w:rsidR="00F31B10" w:rsidRPr="00D62D04" w:rsidRDefault="00F31B10" w:rsidP="00CA40E7">
            <w:pPr>
              <w:spacing w:after="0" w:line="240" w:lineRule="auto"/>
              <w:jc w:val="center"/>
              <w:rPr>
                <w:rFonts w:eastAsia="Times New Roman"/>
                <w:bCs/>
                <w:sz w:val="20"/>
                <w:szCs w:val="20"/>
                <w:lang w:val="en-GB"/>
              </w:rPr>
            </w:pPr>
            <w:r w:rsidRPr="00D62D04">
              <w:rPr>
                <w:rFonts w:eastAsia="Times New Roman"/>
                <w:bCs/>
                <w:sz w:val="20"/>
                <w:szCs w:val="20"/>
                <w:lang w:val="en-GB"/>
              </w:rPr>
              <w:t>200</w:t>
            </w:r>
            <w:r w:rsidR="00CA40E7" w:rsidRPr="00D62D04">
              <w:rPr>
                <w:rFonts w:eastAsia="Times New Roman"/>
                <w:bCs/>
                <w:sz w:val="20"/>
                <w:szCs w:val="20"/>
                <w:lang w:val="en-GB"/>
              </w:rPr>
              <w:t>,</w:t>
            </w:r>
            <w:r w:rsidRPr="00D62D04">
              <w:rPr>
                <w:rFonts w:eastAsia="Times New Roman"/>
                <w:bCs/>
                <w:sz w:val="20"/>
                <w:szCs w:val="20"/>
                <w:lang w:val="en-GB"/>
              </w:rPr>
              <w:t>000</w:t>
            </w:r>
            <w:r w:rsidR="00CA40E7" w:rsidRPr="00D62D04">
              <w:rPr>
                <w:rFonts w:eastAsia="Times New Roman"/>
                <w:bCs/>
                <w:sz w:val="20"/>
                <w:szCs w:val="20"/>
                <w:lang w:val="en-GB"/>
              </w:rPr>
              <w:t>.</w:t>
            </w:r>
            <w:r w:rsidRPr="00D62D04">
              <w:rPr>
                <w:rFonts w:eastAsia="Times New Roman"/>
                <w:bCs/>
                <w:sz w:val="20"/>
                <w:szCs w:val="20"/>
                <w:lang w:val="en-GB"/>
              </w:rPr>
              <w:t>00</w:t>
            </w:r>
          </w:p>
        </w:tc>
      </w:tr>
      <w:tr w:rsidR="00F31B10" w:rsidRPr="00D62D04" w14:paraId="0888EFBF" w14:textId="77777777" w:rsidTr="0056662A">
        <w:trPr>
          <w:trHeight w:val="276"/>
        </w:trPr>
        <w:tc>
          <w:tcPr>
            <w:tcW w:w="2417" w:type="dxa"/>
            <w:vAlign w:val="center"/>
          </w:tcPr>
          <w:p w14:paraId="5D72F231" w14:textId="77777777" w:rsidR="00F31B10" w:rsidRPr="00D62D04" w:rsidRDefault="00CA40E7" w:rsidP="0056662A">
            <w:pPr>
              <w:spacing w:after="0" w:line="240" w:lineRule="auto"/>
              <w:rPr>
                <w:rFonts w:eastAsia="Times New Roman"/>
                <w:bCs/>
                <w:iCs/>
                <w:sz w:val="20"/>
                <w:szCs w:val="20"/>
                <w:lang w:val="en-GB"/>
              </w:rPr>
            </w:pPr>
            <w:r w:rsidRPr="00D62D04">
              <w:rPr>
                <w:rFonts w:eastAsia="Times New Roman"/>
                <w:bCs/>
                <w:iCs/>
                <w:sz w:val="20"/>
                <w:szCs w:val="20"/>
                <w:lang w:val="en-GB"/>
              </w:rPr>
              <w:t xml:space="preserve">Poles </w:t>
            </w:r>
          </w:p>
        </w:tc>
        <w:tc>
          <w:tcPr>
            <w:tcW w:w="1393" w:type="dxa"/>
            <w:vAlign w:val="center"/>
          </w:tcPr>
          <w:p w14:paraId="1DC22888" w14:textId="77777777" w:rsidR="00F31B10" w:rsidRPr="00D62D04" w:rsidRDefault="00F31B10" w:rsidP="0056662A">
            <w:pPr>
              <w:spacing w:after="0" w:line="240" w:lineRule="auto"/>
              <w:jc w:val="center"/>
              <w:rPr>
                <w:rFonts w:eastAsia="Times New Roman"/>
                <w:bCs/>
                <w:iCs/>
                <w:sz w:val="20"/>
                <w:szCs w:val="20"/>
                <w:lang w:val="en-GB"/>
              </w:rPr>
            </w:pPr>
          </w:p>
        </w:tc>
        <w:tc>
          <w:tcPr>
            <w:tcW w:w="1468" w:type="dxa"/>
            <w:vAlign w:val="center"/>
          </w:tcPr>
          <w:p w14:paraId="3C999E02" w14:textId="77777777" w:rsidR="00F31B10" w:rsidRPr="00D62D04" w:rsidRDefault="00F31B10" w:rsidP="0056662A">
            <w:pPr>
              <w:spacing w:after="0" w:line="240" w:lineRule="auto"/>
              <w:jc w:val="center"/>
              <w:rPr>
                <w:rFonts w:eastAsia="Times New Roman"/>
                <w:bCs/>
                <w:sz w:val="20"/>
                <w:szCs w:val="20"/>
                <w:lang w:val="en-GB"/>
              </w:rPr>
            </w:pPr>
          </w:p>
        </w:tc>
        <w:tc>
          <w:tcPr>
            <w:tcW w:w="1317" w:type="dxa"/>
            <w:vAlign w:val="center"/>
          </w:tcPr>
          <w:p w14:paraId="6C4F79D5" w14:textId="77777777" w:rsidR="00F31B10" w:rsidRPr="00D62D04" w:rsidRDefault="00F31B10" w:rsidP="0056662A">
            <w:pPr>
              <w:spacing w:after="0" w:line="240" w:lineRule="auto"/>
              <w:jc w:val="center"/>
              <w:rPr>
                <w:rFonts w:eastAsia="Times New Roman"/>
                <w:bCs/>
                <w:sz w:val="20"/>
                <w:szCs w:val="20"/>
                <w:lang w:val="en-GB"/>
              </w:rPr>
            </w:pPr>
          </w:p>
        </w:tc>
        <w:tc>
          <w:tcPr>
            <w:tcW w:w="1433" w:type="dxa"/>
            <w:vAlign w:val="center"/>
          </w:tcPr>
          <w:p w14:paraId="4001C8AE" w14:textId="77777777" w:rsidR="00F31B10" w:rsidRPr="00D62D04" w:rsidRDefault="00F31B10" w:rsidP="00CA40E7">
            <w:pPr>
              <w:spacing w:after="0" w:line="240" w:lineRule="auto"/>
              <w:jc w:val="center"/>
              <w:rPr>
                <w:rFonts w:eastAsia="Times New Roman"/>
                <w:bCs/>
                <w:sz w:val="20"/>
                <w:szCs w:val="20"/>
                <w:lang w:val="en-GB"/>
              </w:rPr>
            </w:pPr>
            <w:r w:rsidRPr="00D62D04">
              <w:rPr>
                <w:rFonts w:eastAsia="Times New Roman"/>
                <w:bCs/>
                <w:sz w:val="20"/>
                <w:szCs w:val="20"/>
                <w:lang w:val="en-GB"/>
              </w:rPr>
              <w:t>50</w:t>
            </w:r>
            <w:r w:rsidR="00CA40E7" w:rsidRPr="00D62D04">
              <w:rPr>
                <w:rFonts w:eastAsia="Times New Roman"/>
                <w:bCs/>
                <w:sz w:val="20"/>
                <w:szCs w:val="20"/>
                <w:lang w:val="en-GB"/>
              </w:rPr>
              <w:t>,</w:t>
            </w:r>
            <w:r w:rsidRPr="00D62D04">
              <w:rPr>
                <w:rFonts w:eastAsia="Times New Roman"/>
                <w:bCs/>
                <w:sz w:val="20"/>
                <w:szCs w:val="20"/>
                <w:lang w:val="en-GB"/>
              </w:rPr>
              <w:t>000</w:t>
            </w:r>
            <w:r w:rsidR="00CA40E7" w:rsidRPr="00D62D04">
              <w:rPr>
                <w:rFonts w:eastAsia="Times New Roman"/>
                <w:bCs/>
                <w:sz w:val="20"/>
                <w:szCs w:val="20"/>
                <w:lang w:val="en-GB"/>
              </w:rPr>
              <w:t>.</w:t>
            </w:r>
            <w:r w:rsidRPr="00D62D04">
              <w:rPr>
                <w:rFonts w:eastAsia="Times New Roman"/>
                <w:bCs/>
                <w:sz w:val="20"/>
                <w:szCs w:val="20"/>
                <w:lang w:val="en-GB"/>
              </w:rPr>
              <w:t>00</w:t>
            </w:r>
          </w:p>
        </w:tc>
        <w:tc>
          <w:tcPr>
            <w:tcW w:w="1310" w:type="dxa"/>
            <w:vAlign w:val="center"/>
          </w:tcPr>
          <w:p w14:paraId="1F7C8F0F" w14:textId="77777777" w:rsidR="00F31B10" w:rsidRPr="00D62D04" w:rsidRDefault="00F31B10" w:rsidP="0056662A">
            <w:pPr>
              <w:spacing w:after="0" w:line="240" w:lineRule="auto"/>
              <w:jc w:val="center"/>
              <w:rPr>
                <w:rFonts w:eastAsia="Times New Roman"/>
                <w:bCs/>
                <w:sz w:val="20"/>
                <w:szCs w:val="20"/>
                <w:lang w:val="en-GB"/>
              </w:rPr>
            </w:pPr>
          </w:p>
        </w:tc>
      </w:tr>
      <w:tr w:rsidR="00F31B10" w:rsidRPr="00D62D04" w14:paraId="20A789A6" w14:textId="77777777" w:rsidTr="0056662A">
        <w:trPr>
          <w:trHeight w:val="286"/>
        </w:trPr>
        <w:tc>
          <w:tcPr>
            <w:tcW w:w="2417" w:type="dxa"/>
            <w:vAlign w:val="center"/>
          </w:tcPr>
          <w:p w14:paraId="086215D5" w14:textId="77777777" w:rsidR="00F31B10" w:rsidRPr="00D62D04" w:rsidRDefault="00CA40E7" w:rsidP="0056662A">
            <w:pPr>
              <w:spacing w:after="0" w:line="240" w:lineRule="auto"/>
              <w:rPr>
                <w:rFonts w:eastAsia="Times New Roman"/>
                <w:bCs/>
                <w:iCs/>
                <w:sz w:val="20"/>
                <w:szCs w:val="20"/>
                <w:lang w:val="en-GB"/>
              </w:rPr>
            </w:pPr>
            <w:r w:rsidRPr="00D62D04">
              <w:rPr>
                <w:rFonts w:eastAsia="Times New Roman"/>
                <w:bCs/>
                <w:iCs/>
                <w:sz w:val="20"/>
                <w:szCs w:val="20"/>
                <w:lang w:val="en-GB"/>
              </w:rPr>
              <w:lastRenderedPageBreak/>
              <w:t xml:space="preserve">Roma </w:t>
            </w:r>
          </w:p>
        </w:tc>
        <w:tc>
          <w:tcPr>
            <w:tcW w:w="1393" w:type="dxa"/>
            <w:vAlign w:val="center"/>
          </w:tcPr>
          <w:p w14:paraId="35EC3CA2" w14:textId="77777777" w:rsidR="00F31B10" w:rsidRPr="00D62D04" w:rsidRDefault="00F31B10" w:rsidP="002137FD">
            <w:pPr>
              <w:spacing w:after="0" w:line="240" w:lineRule="auto"/>
              <w:jc w:val="center"/>
              <w:rPr>
                <w:rFonts w:eastAsia="Times New Roman"/>
                <w:bCs/>
                <w:sz w:val="20"/>
                <w:szCs w:val="20"/>
                <w:lang w:val="en-GB"/>
              </w:rPr>
            </w:pPr>
            <w:r w:rsidRPr="00D62D04">
              <w:rPr>
                <w:rFonts w:eastAsia="Times New Roman"/>
                <w:bCs/>
                <w:sz w:val="20"/>
                <w:szCs w:val="20"/>
                <w:lang w:val="en-GB"/>
              </w:rPr>
              <w:t>320</w:t>
            </w:r>
            <w:r w:rsidR="002137FD" w:rsidRPr="00D62D04">
              <w:rPr>
                <w:rFonts w:eastAsia="Times New Roman"/>
                <w:bCs/>
                <w:sz w:val="20"/>
                <w:szCs w:val="20"/>
                <w:lang w:val="en-GB"/>
              </w:rPr>
              <w:t>,</w:t>
            </w:r>
            <w:r w:rsidRPr="00D62D04">
              <w:rPr>
                <w:rFonts w:eastAsia="Times New Roman"/>
                <w:bCs/>
                <w:sz w:val="20"/>
                <w:szCs w:val="20"/>
                <w:lang w:val="en-GB"/>
              </w:rPr>
              <w:t>000</w:t>
            </w:r>
            <w:r w:rsidR="002137FD" w:rsidRPr="00D62D04">
              <w:rPr>
                <w:rFonts w:eastAsia="Times New Roman"/>
                <w:bCs/>
                <w:sz w:val="20"/>
                <w:szCs w:val="20"/>
                <w:lang w:val="en-GB"/>
              </w:rPr>
              <w:t>.</w:t>
            </w:r>
            <w:r w:rsidRPr="00D62D04">
              <w:rPr>
                <w:rFonts w:eastAsia="Times New Roman"/>
                <w:bCs/>
                <w:sz w:val="20"/>
                <w:szCs w:val="20"/>
                <w:lang w:val="en-GB"/>
              </w:rPr>
              <w:t>00</w:t>
            </w:r>
          </w:p>
        </w:tc>
        <w:tc>
          <w:tcPr>
            <w:tcW w:w="1468" w:type="dxa"/>
            <w:vAlign w:val="center"/>
          </w:tcPr>
          <w:p w14:paraId="42DEEBCB" w14:textId="77777777" w:rsidR="00F31B10" w:rsidRPr="00D62D04" w:rsidRDefault="00F31B10" w:rsidP="002137FD">
            <w:pPr>
              <w:spacing w:after="0" w:line="240" w:lineRule="auto"/>
              <w:jc w:val="center"/>
              <w:rPr>
                <w:rFonts w:eastAsia="Times New Roman"/>
                <w:bCs/>
                <w:sz w:val="20"/>
                <w:szCs w:val="20"/>
                <w:lang w:val="en-GB"/>
              </w:rPr>
            </w:pPr>
            <w:r w:rsidRPr="00D62D04">
              <w:rPr>
                <w:rFonts w:eastAsia="Times New Roman"/>
                <w:bCs/>
                <w:sz w:val="20"/>
                <w:szCs w:val="20"/>
                <w:lang w:val="en-GB"/>
              </w:rPr>
              <w:t>770</w:t>
            </w:r>
            <w:r w:rsidR="002137FD" w:rsidRPr="00D62D04">
              <w:rPr>
                <w:rFonts w:eastAsia="Times New Roman"/>
                <w:bCs/>
                <w:sz w:val="20"/>
                <w:szCs w:val="20"/>
                <w:lang w:val="en-GB"/>
              </w:rPr>
              <w:t>,</w:t>
            </w:r>
            <w:r w:rsidRPr="00D62D04">
              <w:rPr>
                <w:rFonts w:eastAsia="Times New Roman"/>
                <w:bCs/>
                <w:sz w:val="20"/>
                <w:szCs w:val="20"/>
                <w:lang w:val="en-GB"/>
              </w:rPr>
              <w:t>000</w:t>
            </w:r>
            <w:r w:rsidR="002137FD" w:rsidRPr="00D62D04">
              <w:rPr>
                <w:rFonts w:eastAsia="Times New Roman"/>
                <w:bCs/>
                <w:sz w:val="20"/>
                <w:szCs w:val="20"/>
                <w:lang w:val="en-GB"/>
              </w:rPr>
              <w:t>.</w:t>
            </w:r>
            <w:r w:rsidRPr="00D62D04">
              <w:rPr>
                <w:rFonts w:eastAsia="Times New Roman"/>
                <w:bCs/>
                <w:sz w:val="20"/>
                <w:szCs w:val="20"/>
                <w:lang w:val="en-GB"/>
              </w:rPr>
              <w:t>00</w:t>
            </w:r>
          </w:p>
        </w:tc>
        <w:tc>
          <w:tcPr>
            <w:tcW w:w="1317" w:type="dxa"/>
            <w:vAlign w:val="center"/>
          </w:tcPr>
          <w:p w14:paraId="7D089585" w14:textId="77777777" w:rsidR="00F31B10" w:rsidRPr="00D62D04" w:rsidRDefault="00F31B10" w:rsidP="002137FD">
            <w:pPr>
              <w:spacing w:after="0" w:line="240" w:lineRule="auto"/>
              <w:jc w:val="center"/>
              <w:rPr>
                <w:rFonts w:eastAsia="Times New Roman"/>
                <w:bCs/>
                <w:sz w:val="20"/>
                <w:szCs w:val="20"/>
                <w:lang w:val="en-GB"/>
              </w:rPr>
            </w:pPr>
            <w:r w:rsidRPr="00D62D04">
              <w:rPr>
                <w:rFonts w:eastAsia="Times New Roman"/>
                <w:bCs/>
                <w:sz w:val="20"/>
                <w:szCs w:val="20"/>
                <w:lang w:val="en-GB"/>
              </w:rPr>
              <w:t>300</w:t>
            </w:r>
            <w:r w:rsidR="002137FD" w:rsidRPr="00D62D04">
              <w:rPr>
                <w:rFonts w:eastAsia="Times New Roman"/>
                <w:bCs/>
                <w:sz w:val="20"/>
                <w:szCs w:val="20"/>
                <w:lang w:val="en-GB"/>
              </w:rPr>
              <w:t>,</w:t>
            </w:r>
            <w:r w:rsidRPr="00D62D04">
              <w:rPr>
                <w:rFonts w:eastAsia="Times New Roman"/>
                <w:bCs/>
                <w:sz w:val="20"/>
                <w:szCs w:val="20"/>
                <w:lang w:val="en-GB"/>
              </w:rPr>
              <w:t>000</w:t>
            </w:r>
            <w:r w:rsidR="002137FD" w:rsidRPr="00D62D04">
              <w:rPr>
                <w:rFonts w:eastAsia="Times New Roman"/>
                <w:bCs/>
                <w:sz w:val="20"/>
                <w:szCs w:val="20"/>
                <w:lang w:val="en-GB"/>
              </w:rPr>
              <w:t>.</w:t>
            </w:r>
            <w:r w:rsidRPr="00D62D04">
              <w:rPr>
                <w:rFonts w:eastAsia="Times New Roman"/>
                <w:bCs/>
                <w:sz w:val="20"/>
                <w:szCs w:val="20"/>
                <w:lang w:val="en-GB"/>
              </w:rPr>
              <w:t>00</w:t>
            </w:r>
          </w:p>
        </w:tc>
        <w:tc>
          <w:tcPr>
            <w:tcW w:w="1433" w:type="dxa"/>
            <w:vAlign w:val="center"/>
          </w:tcPr>
          <w:p w14:paraId="4D5D1A28" w14:textId="77777777" w:rsidR="00F31B10" w:rsidRPr="00D62D04" w:rsidRDefault="00F31B10" w:rsidP="002137FD">
            <w:pPr>
              <w:spacing w:after="0" w:line="240" w:lineRule="auto"/>
              <w:jc w:val="center"/>
              <w:rPr>
                <w:rFonts w:eastAsia="Times New Roman"/>
                <w:bCs/>
                <w:sz w:val="20"/>
                <w:szCs w:val="20"/>
                <w:lang w:val="en-GB"/>
              </w:rPr>
            </w:pPr>
            <w:r w:rsidRPr="00D62D04">
              <w:rPr>
                <w:rFonts w:eastAsia="Times New Roman"/>
                <w:bCs/>
                <w:sz w:val="20"/>
                <w:szCs w:val="20"/>
                <w:lang w:val="en-GB"/>
              </w:rPr>
              <w:t>250</w:t>
            </w:r>
            <w:r w:rsidR="002137FD" w:rsidRPr="00D62D04">
              <w:rPr>
                <w:rFonts w:eastAsia="Times New Roman"/>
                <w:bCs/>
                <w:sz w:val="20"/>
                <w:szCs w:val="20"/>
                <w:lang w:val="en-GB"/>
              </w:rPr>
              <w:t>,000.</w:t>
            </w:r>
            <w:r w:rsidRPr="00D62D04">
              <w:rPr>
                <w:rFonts w:eastAsia="Times New Roman"/>
                <w:bCs/>
                <w:sz w:val="20"/>
                <w:szCs w:val="20"/>
                <w:lang w:val="en-GB"/>
              </w:rPr>
              <w:t>00</w:t>
            </w:r>
          </w:p>
        </w:tc>
        <w:tc>
          <w:tcPr>
            <w:tcW w:w="1310" w:type="dxa"/>
            <w:vAlign w:val="center"/>
          </w:tcPr>
          <w:p w14:paraId="07C160B4" w14:textId="77777777" w:rsidR="00F31B10" w:rsidRPr="00D62D04" w:rsidRDefault="00F31B10" w:rsidP="002137FD">
            <w:pPr>
              <w:spacing w:after="0" w:line="240" w:lineRule="auto"/>
              <w:jc w:val="center"/>
              <w:rPr>
                <w:rFonts w:eastAsia="Times New Roman"/>
                <w:bCs/>
                <w:sz w:val="20"/>
                <w:szCs w:val="20"/>
                <w:lang w:val="en-GB"/>
              </w:rPr>
            </w:pPr>
            <w:r w:rsidRPr="00D62D04">
              <w:rPr>
                <w:rFonts w:eastAsia="Times New Roman"/>
                <w:bCs/>
                <w:sz w:val="20"/>
                <w:szCs w:val="20"/>
                <w:lang w:val="en-GB"/>
              </w:rPr>
              <w:t>250</w:t>
            </w:r>
            <w:r w:rsidR="002137FD" w:rsidRPr="00D62D04">
              <w:rPr>
                <w:rFonts w:eastAsia="Times New Roman"/>
                <w:bCs/>
                <w:sz w:val="20"/>
                <w:szCs w:val="20"/>
                <w:lang w:val="en-GB"/>
              </w:rPr>
              <w:t>,</w:t>
            </w:r>
            <w:r w:rsidRPr="00D62D04">
              <w:rPr>
                <w:rFonts w:eastAsia="Times New Roman"/>
                <w:bCs/>
                <w:sz w:val="20"/>
                <w:szCs w:val="20"/>
                <w:lang w:val="en-GB"/>
              </w:rPr>
              <w:t>000</w:t>
            </w:r>
            <w:r w:rsidR="002137FD" w:rsidRPr="00D62D04">
              <w:rPr>
                <w:rFonts w:eastAsia="Times New Roman"/>
                <w:bCs/>
                <w:sz w:val="20"/>
                <w:szCs w:val="20"/>
                <w:lang w:val="en-GB"/>
              </w:rPr>
              <w:t>.</w:t>
            </w:r>
            <w:r w:rsidRPr="00D62D04">
              <w:rPr>
                <w:rFonts w:eastAsia="Times New Roman"/>
                <w:bCs/>
                <w:sz w:val="20"/>
                <w:szCs w:val="20"/>
                <w:lang w:val="en-GB"/>
              </w:rPr>
              <w:t>00</w:t>
            </w:r>
          </w:p>
        </w:tc>
      </w:tr>
      <w:tr w:rsidR="00F31B10" w:rsidRPr="00D62D04" w14:paraId="1D8811CC" w14:textId="77777777" w:rsidTr="0056662A">
        <w:trPr>
          <w:trHeight w:val="286"/>
        </w:trPr>
        <w:tc>
          <w:tcPr>
            <w:tcW w:w="2417" w:type="dxa"/>
            <w:vAlign w:val="center"/>
          </w:tcPr>
          <w:p w14:paraId="565857E1" w14:textId="77777777" w:rsidR="00F31B10" w:rsidRPr="00D62D04" w:rsidRDefault="002137FD" w:rsidP="0056662A">
            <w:pPr>
              <w:spacing w:after="0" w:line="240" w:lineRule="auto"/>
              <w:rPr>
                <w:rFonts w:eastAsia="Times New Roman"/>
                <w:bCs/>
                <w:iCs/>
                <w:sz w:val="20"/>
                <w:szCs w:val="20"/>
                <w:lang w:val="en-GB"/>
              </w:rPr>
            </w:pPr>
            <w:r w:rsidRPr="00D62D04">
              <w:rPr>
                <w:rFonts w:eastAsia="Times New Roman"/>
                <w:bCs/>
                <w:iCs/>
                <w:sz w:val="20"/>
                <w:szCs w:val="20"/>
                <w:lang w:val="en-GB"/>
              </w:rPr>
              <w:t xml:space="preserve">Romanians </w:t>
            </w:r>
          </w:p>
        </w:tc>
        <w:tc>
          <w:tcPr>
            <w:tcW w:w="1393" w:type="dxa"/>
            <w:vAlign w:val="center"/>
          </w:tcPr>
          <w:p w14:paraId="163043E2" w14:textId="77777777" w:rsidR="00F31B10" w:rsidRPr="00D62D04" w:rsidRDefault="00F31B10" w:rsidP="002137FD">
            <w:pPr>
              <w:spacing w:after="0" w:line="240" w:lineRule="auto"/>
              <w:jc w:val="center"/>
              <w:rPr>
                <w:rFonts w:eastAsia="Times New Roman"/>
                <w:bCs/>
                <w:sz w:val="20"/>
                <w:szCs w:val="20"/>
                <w:lang w:val="en-GB"/>
              </w:rPr>
            </w:pPr>
            <w:r w:rsidRPr="00D62D04">
              <w:rPr>
                <w:rFonts w:eastAsia="Times New Roman"/>
                <w:bCs/>
                <w:sz w:val="20"/>
                <w:szCs w:val="20"/>
                <w:lang w:val="en-GB"/>
              </w:rPr>
              <w:t>784</w:t>
            </w:r>
            <w:r w:rsidR="002137FD" w:rsidRPr="00D62D04">
              <w:rPr>
                <w:rFonts w:eastAsia="Times New Roman"/>
                <w:bCs/>
                <w:sz w:val="20"/>
                <w:szCs w:val="20"/>
                <w:lang w:val="en-GB"/>
              </w:rPr>
              <w:t>,</w:t>
            </w:r>
            <w:r w:rsidRPr="00D62D04">
              <w:rPr>
                <w:rFonts w:eastAsia="Times New Roman"/>
                <w:bCs/>
                <w:sz w:val="20"/>
                <w:szCs w:val="20"/>
                <w:lang w:val="en-GB"/>
              </w:rPr>
              <w:t>000</w:t>
            </w:r>
            <w:r w:rsidR="002137FD" w:rsidRPr="00D62D04">
              <w:rPr>
                <w:rFonts w:eastAsia="Times New Roman"/>
                <w:bCs/>
                <w:sz w:val="20"/>
                <w:szCs w:val="20"/>
                <w:lang w:val="en-GB"/>
              </w:rPr>
              <w:t>.</w:t>
            </w:r>
            <w:r w:rsidRPr="00D62D04">
              <w:rPr>
                <w:rFonts w:eastAsia="Times New Roman"/>
                <w:bCs/>
                <w:sz w:val="20"/>
                <w:szCs w:val="20"/>
                <w:lang w:val="en-GB"/>
              </w:rPr>
              <w:t>00</w:t>
            </w:r>
          </w:p>
        </w:tc>
        <w:tc>
          <w:tcPr>
            <w:tcW w:w="1468" w:type="dxa"/>
            <w:vAlign w:val="center"/>
          </w:tcPr>
          <w:p w14:paraId="54A8F337" w14:textId="77777777" w:rsidR="00F31B10" w:rsidRPr="00D62D04" w:rsidRDefault="00F31B10" w:rsidP="002137FD">
            <w:pPr>
              <w:spacing w:after="0" w:line="240" w:lineRule="auto"/>
              <w:jc w:val="center"/>
              <w:rPr>
                <w:rFonts w:eastAsia="Times New Roman"/>
                <w:bCs/>
                <w:sz w:val="20"/>
                <w:szCs w:val="20"/>
                <w:lang w:val="en-GB"/>
              </w:rPr>
            </w:pPr>
            <w:r w:rsidRPr="00D62D04">
              <w:rPr>
                <w:rFonts w:eastAsia="Times New Roman"/>
                <w:bCs/>
                <w:sz w:val="20"/>
                <w:szCs w:val="20"/>
                <w:lang w:val="en-GB"/>
              </w:rPr>
              <w:t>1</w:t>
            </w:r>
            <w:r w:rsidR="002137FD" w:rsidRPr="00D62D04">
              <w:rPr>
                <w:rFonts w:eastAsia="Times New Roman"/>
                <w:bCs/>
                <w:sz w:val="20"/>
                <w:szCs w:val="20"/>
                <w:lang w:val="en-GB"/>
              </w:rPr>
              <w:t>,</w:t>
            </w:r>
            <w:r w:rsidRPr="00D62D04">
              <w:rPr>
                <w:rFonts w:eastAsia="Times New Roman"/>
                <w:bCs/>
                <w:sz w:val="20"/>
                <w:szCs w:val="20"/>
                <w:lang w:val="en-GB"/>
              </w:rPr>
              <w:t>734</w:t>
            </w:r>
            <w:r w:rsidR="002137FD" w:rsidRPr="00D62D04">
              <w:rPr>
                <w:rFonts w:eastAsia="Times New Roman"/>
                <w:bCs/>
                <w:sz w:val="20"/>
                <w:szCs w:val="20"/>
                <w:lang w:val="en-GB"/>
              </w:rPr>
              <w:t>,</w:t>
            </w:r>
            <w:r w:rsidRPr="00D62D04">
              <w:rPr>
                <w:rFonts w:eastAsia="Times New Roman"/>
                <w:bCs/>
                <w:sz w:val="20"/>
                <w:szCs w:val="20"/>
                <w:lang w:val="en-GB"/>
              </w:rPr>
              <w:t>000</w:t>
            </w:r>
            <w:r w:rsidR="002137FD" w:rsidRPr="00D62D04">
              <w:rPr>
                <w:rFonts w:eastAsia="Times New Roman"/>
                <w:bCs/>
                <w:sz w:val="20"/>
                <w:szCs w:val="20"/>
                <w:lang w:val="en-GB"/>
              </w:rPr>
              <w:t>.</w:t>
            </w:r>
            <w:r w:rsidRPr="00D62D04">
              <w:rPr>
                <w:rFonts w:eastAsia="Times New Roman"/>
                <w:bCs/>
                <w:sz w:val="20"/>
                <w:szCs w:val="20"/>
                <w:lang w:val="en-GB"/>
              </w:rPr>
              <w:t>00</w:t>
            </w:r>
          </w:p>
        </w:tc>
        <w:tc>
          <w:tcPr>
            <w:tcW w:w="1317" w:type="dxa"/>
            <w:vAlign w:val="center"/>
          </w:tcPr>
          <w:p w14:paraId="70877512" w14:textId="77777777" w:rsidR="00F31B10" w:rsidRPr="00D62D04" w:rsidRDefault="00F31B10" w:rsidP="002137FD">
            <w:pPr>
              <w:spacing w:after="0" w:line="240" w:lineRule="auto"/>
              <w:jc w:val="center"/>
              <w:rPr>
                <w:rFonts w:eastAsia="Times New Roman"/>
                <w:bCs/>
                <w:sz w:val="20"/>
                <w:szCs w:val="20"/>
                <w:lang w:val="en-GB"/>
              </w:rPr>
            </w:pPr>
            <w:r w:rsidRPr="00D62D04">
              <w:rPr>
                <w:rFonts w:eastAsia="Times New Roman"/>
                <w:bCs/>
                <w:sz w:val="20"/>
                <w:szCs w:val="20"/>
                <w:lang w:val="en-GB"/>
              </w:rPr>
              <w:t>710</w:t>
            </w:r>
            <w:r w:rsidR="002137FD" w:rsidRPr="00D62D04">
              <w:rPr>
                <w:rFonts w:eastAsia="Times New Roman"/>
                <w:bCs/>
                <w:sz w:val="20"/>
                <w:szCs w:val="20"/>
                <w:lang w:val="en-GB"/>
              </w:rPr>
              <w:t>,</w:t>
            </w:r>
            <w:r w:rsidRPr="00D62D04">
              <w:rPr>
                <w:rFonts w:eastAsia="Times New Roman"/>
                <w:bCs/>
                <w:sz w:val="20"/>
                <w:szCs w:val="20"/>
                <w:lang w:val="en-GB"/>
              </w:rPr>
              <w:t>000</w:t>
            </w:r>
            <w:r w:rsidR="002137FD" w:rsidRPr="00D62D04">
              <w:rPr>
                <w:rFonts w:eastAsia="Times New Roman"/>
                <w:bCs/>
                <w:sz w:val="20"/>
                <w:szCs w:val="20"/>
                <w:lang w:val="en-GB"/>
              </w:rPr>
              <w:t>.</w:t>
            </w:r>
            <w:r w:rsidRPr="00D62D04">
              <w:rPr>
                <w:rFonts w:eastAsia="Times New Roman"/>
                <w:bCs/>
                <w:sz w:val="20"/>
                <w:szCs w:val="20"/>
                <w:lang w:val="en-GB"/>
              </w:rPr>
              <w:t>00</w:t>
            </w:r>
          </w:p>
        </w:tc>
        <w:tc>
          <w:tcPr>
            <w:tcW w:w="1433" w:type="dxa"/>
            <w:vAlign w:val="center"/>
          </w:tcPr>
          <w:p w14:paraId="17A3298E" w14:textId="77777777" w:rsidR="00F31B10" w:rsidRPr="00D62D04" w:rsidRDefault="00F31B10" w:rsidP="002137FD">
            <w:pPr>
              <w:spacing w:after="0" w:line="240" w:lineRule="auto"/>
              <w:jc w:val="center"/>
              <w:rPr>
                <w:rFonts w:eastAsia="Times New Roman"/>
                <w:bCs/>
                <w:sz w:val="20"/>
                <w:szCs w:val="20"/>
                <w:lang w:val="en-GB"/>
              </w:rPr>
            </w:pPr>
            <w:r w:rsidRPr="00D62D04">
              <w:rPr>
                <w:rFonts w:eastAsia="Times New Roman"/>
                <w:bCs/>
                <w:sz w:val="20"/>
                <w:szCs w:val="20"/>
                <w:lang w:val="en-GB"/>
              </w:rPr>
              <w:t>700</w:t>
            </w:r>
            <w:r w:rsidR="002137FD" w:rsidRPr="00D62D04">
              <w:rPr>
                <w:rFonts w:eastAsia="Times New Roman"/>
                <w:bCs/>
                <w:sz w:val="20"/>
                <w:szCs w:val="20"/>
                <w:lang w:val="en-GB"/>
              </w:rPr>
              <w:t>,</w:t>
            </w:r>
            <w:r w:rsidRPr="00D62D04">
              <w:rPr>
                <w:rFonts w:eastAsia="Times New Roman"/>
                <w:bCs/>
                <w:sz w:val="20"/>
                <w:szCs w:val="20"/>
                <w:lang w:val="en-GB"/>
              </w:rPr>
              <w:t>000</w:t>
            </w:r>
            <w:r w:rsidR="002137FD" w:rsidRPr="00D62D04">
              <w:rPr>
                <w:rFonts w:eastAsia="Times New Roman"/>
                <w:bCs/>
                <w:sz w:val="20"/>
                <w:szCs w:val="20"/>
                <w:lang w:val="en-GB"/>
              </w:rPr>
              <w:t>.</w:t>
            </w:r>
            <w:r w:rsidRPr="00D62D04">
              <w:rPr>
                <w:rFonts w:eastAsia="Times New Roman"/>
                <w:bCs/>
                <w:sz w:val="20"/>
                <w:szCs w:val="20"/>
                <w:lang w:val="en-GB"/>
              </w:rPr>
              <w:t>00</w:t>
            </w:r>
          </w:p>
        </w:tc>
        <w:tc>
          <w:tcPr>
            <w:tcW w:w="1310" w:type="dxa"/>
            <w:vAlign w:val="center"/>
          </w:tcPr>
          <w:p w14:paraId="697DE35B" w14:textId="77777777" w:rsidR="00F31B10" w:rsidRPr="00D62D04" w:rsidRDefault="00F31B10" w:rsidP="002137FD">
            <w:pPr>
              <w:spacing w:after="0" w:line="240" w:lineRule="auto"/>
              <w:jc w:val="center"/>
              <w:rPr>
                <w:rFonts w:eastAsia="Times New Roman"/>
                <w:bCs/>
                <w:sz w:val="20"/>
                <w:szCs w:val="20"/>
                <w:lang w:val="en-GB"/>
              </w:rPr>
            </w:pPr>
            <w:r w:rsidRPr="00D62D04">
              <w:rPr>
                <w:rFonts w:eastAsia="Times New Roman"/>
                <w:bCs/>
                <w:sz w:val="20"/>
                <w:szCs w:val="20"/>
                <w:lang w:val="en-GB"/>
              </w:rPr>
              <w:t>700</w:t>
            </w:r>
            <w:r w:rsidR="002137FD" w:rsidRPr="00D62D04">
              <w:rPr>
                <w:rFonts w:eastAsia="Times New Roman"/>
                <w:bCs/>
                <w:sz w:val="20"/>
                <w:szCs w:val="20"/>
                <w:lang w:val="en-GB"/>
              </w:rPr>
              <w:t>,</w:t>
            </w:r>
            <w:r w:rsidRPr="00D62D04">
              <w:rPr>
                <w:rFonts w:eastAsia="Times New Roman"/>
                <w:bCs/>
                <w:sz w:val="20"/>
                <w:szCs w:val="20"/>
                <w:lang w:val="en-GB"/>
              </w:rPr>
              <w:t>000</w:t>
            </w:r>
            <w:r w:rsidR="002137FD" w:rsidRPr="00D62D04">
              <w:rPr>
                <w:rFonts w:eastAsia="Times New Roman"/>
                <w:bCs/>
                <w:sz w:val="20"/>
                <w:szCs w:val="20"/>
                <w:lang w:val="en-GB"/>
              </w:rPr>
              <w:t>.</w:t>
            </w:r>
            <w:r w:rsidRPr="00D62D04">
              <w:rPr>
                <w:rFonts w:eastAsia="Times New Roman"/>
                <w:bCs/>
                <w:sz w:val="20"/>
                <w:szCs w:val="20"/>
                <w:lang w:val="en-GB"/>
              </w:rPr>
              <w:t>00</w:t>
            </w:r>
          </w:p>
        </w:tc>
      </w:tr>
      <w:tr w:rsidR="00F31B10" w:rsidRPr="00D62D04" w14:paraId="00C9AD98" w14:textId="77777777" w:rsidTr="0056662A">
        <w:trPr>
          <w:trHeight w:val="286"/>
        </w:trPr>
        <w:tc>
          <w:tcPr>
            <w:tcW w:w="2417" w:type="dxa"/>
            <w:vAlign w:val="center"/>
          </w:tcPr>
          <w:p w14:paraId="081F7CA1" w14:textId="77777777" w:rsidR="00F31B10" w:rsidRPr="00D62D04" w:rsidRDefault="002137FD" w:rsidP="0056662A">
            <w:pPr>
              <w:spacing w:after="0" w:line="240" w:lineRule="auto"/>
              <w:rPr>
                <w:rFonts w:eastAsia="Times New Roman"/>
                <w:bCs/>
                <w:iCs/>
                <w:sz w:val="20"/>
                <w:szCs w:val="20"/>
                <w:lang w:val="en-GB"/>
              </w:rPr>
            </w:pPr>
            <w:r w:rsidRPr="00D62D04">
              <w:rPr>
                <w:rFonts w:eastAsia="Times New Roman"/>
                <w:bCs/>
                <w:iCs/>
                <w:sz w:val="20"/>
                <w:szCs w:val="20"/>
                <w:lang w:val="en-GB"/>
              </w:rPr>
              <w:t xml:space="preserve">Russians </w:t>
            </w:r>
          </w:p>
        </w:tc>
        <w:tc>
          <w:tcPr>
            <w:tcW w:w="1393" w:type="dxa"/>
            <w:vAlign w:val="center"/>
          </w:tcPr>
          <w:p w14:paraId="3AFCE4D6" w14:textId="77777777" w:rsidR="00F31B10" w:rsidRPr="00D62D04" w:rsidRDefault="00F31B10" w:rsidP="002137FD">
            <w:pPr>
              <w:spacing w:after="0" w:line="240" w:lineRule="auto"/>
              <w:jc w:val="center"/>
              <w:rPr>
                <w:rFonts w:eastAsia="Times New Roman"/>
                <w:bCs/>
                <w:sz w:val="20"/>
                <w:szCs w:val="20"/>
                <w:lang w:val="en-GB"/>
              </w:rPr>
            </w:pPr>
            <w:r w:rsidRPr="00D62D04">
              <w:rPr>
                <w:rFonts w:eastAsia="Times New Roman"/>
                <w:bCs/>
                <w:sz w:val="20"/>
                <w:szCs w:val="20"/>
                <w:lang w:val="en-GB"/>
              </w:rPr>
              <w:t>20</w:t>
            </w:r>
            <w:r w:rsidR="002137FD" w:rsidRPr="00D62D04">
              <w:rPr>
                <w:rFonts w:eastAsia="Times New Roman"/>
                <w:bCs/>
                <w:sz w:val="20"/>
                <w:szCs w:val="20"/>
                <w:lang w:val="en-GB"/>
              </w:rPr>
              <w:t>,</w:t>
            </w:r>
            <w:r w:rsidRPr="00D62D04">
              <w:rPr>
                <w:rFonts w:eastAsia="Times New Roman"/>
                <w:bCs/>
                <w:sz w:val="20"/>
                <w:szCs w:val="20"/>
                <w:lang w:val="en-GB"/>
              </w:rPr>
              <w:t>000</w:t>
            </w:r>
            <w:r w:rsidR="002137FD" w:rsidRPr="00D62D04">
              <w:rPr>
                <w:rFonts w:eastAsia="Times New Roman"/>
                <w:bCs/>
                <w:sz w:val="20"/>
                <w:szCs w:val="20"/>
                <w:lang w:val="en-GB"/>
              </w:rPr>
              <w:t>.</w:t>
            </w:r>
            <w:r w:rsidRPr="00D62D04">
              <w:rPr>
                <w:rFonts w:eastAsia="Times New Roman"/>
                <w:bCs/>
                <w:sz w:val="20"/>
                <w:szCs w:val="20"/>
                <w:lang w:val="en-GB"/>
              </w:rPr>
              <w:t>00</w:t>
            </w:r>
          </w:p>
        </w:tc>
        <w:tc>
          <w:tcPr>
            <w:tcW w:w="1468" w:type="dxa"/>
            <w:vAlign w:val="center"/>
          </w:tcPr>
          <w:p w14:paraId="12E3B000" w14:textId="77777777" w:rsidR="00F31B10" w:rsidRPr="00D62D04" w:rsidRDefault="00F31B10" w:rsidP="002137FD">
            <w:pPr>
              <w:spacing w:after="0" w:line="240" w:lineRule="auto"/>
              <w:jc w:val="center"/>
              <w:rPr>
                <w:rFonts w:eastAsia="Times New Roman"/>
                <w:bCs/>
                <w:sz w:val="20"/>
                <w:szCs w:val="20"/>
                <w:lang w:val="en-GB"/>
              </w:rPr>
            </w:pPr>
            <w:r w:rsidRPr="00D62D04">
              <w:rPr>
                <w:rFonts w:eastAsia="Times New Roman"/>
                <w:bCs/>
                <w:sz w:val="20"/>
                <w:szCs w:val="20"/>
                <w:lang w:val="en-GB"/>
              </w:rPr>
              <w:t>70</w:t>
            </w:r>
            <w:r w:rsidR="002137FD" w:rsidRPr="00D62D04">
              <w:rPr>
                <w:rFonts w:eastAsia="Times New Roman"/>
                <w:bCs/>
                <w:sz w:val="20"/>
                <w:szCs w:val="20"/>
                <w:lang w:val="en-GB"/>
              </w:rPr>
              <w:t>,</w:t>
            </w:r>
            <w:r w:rsidRPr="00D62D04">
              <w:rPr>
                <w:rFonts w:eastAsia="Times New Roman"/>
                <w:bCs/>
                <w:sz w:val="20"/>
                <w:szCs w:val="20"/>
                <w:lang w:val="en-GB"/>
              </w:rPr>
              <w:t>000</w:t>
            </w:r>
            <w:r w:rsidR="002137FD" w:rsidRPr="00D62D04">
              <w:rPr>
                <w:rFonts w:eastAsia="Times New Roman"/>
                <w:bCs/>
                <w:sz w:val="20"/>
                <w:szCs w:val="20"/>
                <w:lang w:val="en-GB"/>
              </w:rPr>
              <w:t>.</w:t>
            </w:r>
            <w:r w:rsidRPr="00D62D04">
              <w:rPr>
                <w:rFonts w:eastAsia="Times New Roman"/>
                <w:bCs/>
                <w:sz w:val="20"/>
                <w:szCs w:val="20"/>
                <w:lang w:val="en-GB"/>
              </w:rPr>
              <w:t>00</w:t>
            </w:r>
          </w:p>
        </w:tc>
        <w:tc>
          <w:tcPr>
            <w:tcW w:w="1317" w:type="dxa"/>
            <w:vAlign w:val="center"/>
          </w:tcPr>
          <w:p w14:paraId="43E3A3B3" w14:textId="77777777" w:rsidR="00F31B10" w:rsidRPr="00D62D04" w:rsidRDefault="00F31B10" w:rsidP="002137FD">
            <w:pPr>
              <w:spacing w:after="0" w:line="240" w:lineRule="auto"/>
              <w:jc w:val="center"/>
              <w:rPr>
                <w:rFonts w:eastAsia="Times New Roman"/>
                <w:bCs/>
                <w:sz w:val="20"/>
                <w:szCs w:val="20"/>
                <w:lang w:val="en-GB"/>
              </w:rPr>
            </w:pPr>
            <w:r w:rsidRPr="00D62D04">
              <w:rPr>
                <w:rFonts w:eastAsia="Times New Roman"/>
                <w:bCs/>
                <w:sz w:val="20"/>
                <w:szCs w:val="20"/>
                <w:lang w:val="en-GB"/>
              </w:rPr>
              <w:t>50</w:t>
            </w:r>
            <w:r w:rsidR="002137FD" w:rsidRPr="00D62D04">
              <w:rPr>
                <w:rFonts w:eastAsia="Times New Roman"/>
                <w:bCs/>
                <w:sz w:val="20"/>
                <w:szCs w:val="20"/>
                <w:lang w:val="en-GB"/>
              </w:rPr>
              <w:t>,</w:t>
            </w:r>
            <w:r w:rsidRPr="00D62D04">
              <w:rPr>
                <w:rFonts w:eastAsia="Times New Roman"/>
                <w:bCs/>
                <w:sz w:val="20"/>
                <w:szCs w:val="20"/>
                <w:lang w:val="en-GB"/>
              </w:rPr>
              <w:t>000</w:t>
            </w:r>
            <w:r w:rsidR="002137FD" w:rsidRPr="00D62D04">
              <w:rPr>
                <w:rFonts w:eastAsia="Times New Roman"/>
                <w:bCs/>
                <w:sz w:val="20"/>
                <w:szCs w:val="20"/>
                <w:lang w:val="en-GB"/>
              </w:rPr>
              <w:t>.</w:t>
            </w:r>
            <w:r w:rsidRPr="00D62D04">
              <w:rPr>
                <w:rFonts w:eastAsia="Times New Roman"/>
                <w:bCs/>
                <w:sz w:val="20"/>
                <w:szCs w:val="20"/>
                <w:lang w:val="en-GB"/>
              </w:rPr>
              <w:t>00</w:t>
            </w:r>
          </w:p>
        </w:tc>
        <w:tc>
          <w:tcPr>
            <w:tcW w:w="1433" w:type="dxa"/>
            <w:vAlign w:val="center"/>
          </w:tcPr>
          <w:p w14:paraId="0F0BF09C" w14:textId="77777777" w:rsidR="00F31B10" w:rsidRPr="00D62D04" w:rsidRDefault="00F31B10" w:rsidP="002137FD">
            <w:pPr>
              <w:spacing w:after="0" w:line="240" w:lineRule="auto"/>
              <w:jc w:val="center"/>
              <w:rPr>
                <w:rFonts w:eastAsia="Times New Roman"/>
                <w:bCs/>
                <w:sz w:val="20"/>
                <w:szCs w:val="20"/>
                <w:lang w:val="en-GB"/>
              </w:rPr>
            </w:pPr>
            <w:r w:rsidRPr="00D62D04">
              <w:rPr>
                <w:rFonts w:eastAsia="Times New Roman"/>
                <w:bCs/>
                <w:sz w:val="20"/>
                <w:szCs w:val="20"/>
                <w:lang w:val="en-GB"/>
              </w:rPr>
              <w:t>50</w:t>
            </w:r>
            <w:r w:rsidR="002137FD" w:rsidRPr="00D62D04">
              <w:rPr>
                <w:rFonts w:eastAsia="Times New Roman"/>
                <w:bCs/>
                <w:sz w:val="20"/>
                <w:szCs w:val="20"/>
                <w:lang w:val="en-GB"/>
              </w:rPr>
              <w:t>,</w:t>
            </w:r>
            <w:r w:rsidRPr="00D62D04">
              <w:rPr>
                <w:rFonts w:eastAsia="Times New Roman"/>
                <w:bCs/>
                <w:sz w:val="20"/>
                <w:szCs w:val="20"/>
                <w:lang w:val="en-GB"/>
              </w:rPr>
              <w:t>000</w:t>
            </w:r>
            <w:r w:rsidR="002137FD" w:rsidRPr="00D62D04">
              <w:rPr>
                <w:rFonts w:eastAsia="Times New Roman"/>
                <w:bCs/>
                <w:sz w:val="20"/>
                <w:szCs w:val="20"/>
                <w:lang w:val="en-GB"/>
              </w:rPr>
              <w:t>.</w:t>
            </w:r>
            <w:r w:rsidRPr="00D62D04">
              <w:rPr>
                <w:rFonts w:eastAsia="Times New Roman"/>
                <w:bCs/>
                <w:sz w:val="20"/>
                <w:szCs w:val="20"/>
                <w:lang w:val="en-GB"/>
              </w:rPr>
              <w:t>00</w:t>
            </w:r>
          </w:p>
        </w:tc>
        <w:tc>
          <w:tcPr>
            <w:tcW w:w="1310" w:type="dxa"/>
            <w:vAlign w:val="center"/>
          </w:tcPr>
          <w:p w14:paraId="581A3755" w14:textId="77777777" w:rsidR="00F31B10" w:rsidRPr="00D62D04" w:rsidRDefault="00F31B10" w:rsidP="002137FD">
            <w:pPr>
              <w:spacing w:after="0" w:line="240" w:lineRule="auto"/>
              <w:jc w:val="center"/>
              <w:rPr>
                <w:rFonts w:eastAsia="Times New Roman"/>
                <w:bCs/>
                <w:sz w:val="20"/>
                <w:szCs w:val="20"/>
                <w:lang w:val="en-GB"/>
              </w:rPr>
            </w:pPr>
            <w:r w:rsidRPr="00D62D04">
              <w:rPr>
                <w:rFonts w:eastAsia="Times New Roman"/>
                <w:bCs/>
                <w:sz w:val="20"/>
                <w:szCs w:val="20"/>
                <w:lang w:val="en-GB"/>
              </w:rPr>
              <w:t>100</w:t>
            </w:r>
            <w:r w:rsidR="002137FD" w:rsidRPr="00D62D04">
              <w:rPr>
                <w:rFonts w:eastAsia="Times New Roman"/>
                <w:bCs/>
                <w:sz w:val="20"/>
                <w:szCs w:val="20"/>
                <w:lang w:val="en-GB"/>
              </w:rPr>
              <w:t>,</w:t>
            </w:r>
            <w:r w:rsidRPr="00D62D04">
              <w:rPr>
                <w:rFonts w:eastAsia="Times New Roman"/>
                <w:bCs/>
                <w:sz w:val="20"/>
                <w:szCs w:val="20"/>
                <w:lang w:val="en-GB"/>
              </w:rPr>
              <w:t>000</w:t>
            </w:r>
            <w:r w:rsidR="002137FD" w:rsidRPr="00D62D04">
              <w:rPr>
                <w:rFonts w:eastAsia="Times New Roman"/>
                <w:bCs/>
                <w:sz w:val="20"/>
                <w:szCs w:val="20"/>
                <w:lang w:val="en-GB"/>
              </w:rPr>
              <w:t>.</w:t>
            </w:r>
            <w:r w:rsidRPr="00D62D04">
              <w:rPr>
                <w:rFonts w:eastAsia="Times New Roman"/>
                <w:bCs/>
                <w:sz w:val="20"/>
                <w:szCs w:val="20"/>
                <w:lang w:val="en-GB"/>
              </w:rPr>
              <w:t>00</w:t>
            </w:r>
          </w:p>
        </w:tc>
      </w:tr>
      <w:tr w:rsidR="00F31B10" w:rsidRPr="00D62D04" w14:paraId="7B58E87F" w14:textId="77777777" w:rsidTr="0056662A">
        <w:trPr>
          <w:trHeight w:val="286"/>
        </w:trPr>
        <w:tc>
          <w:tcPr>
            <w:tcW w:w="2417" w:type="dxa"/>
            <w:vAlign w:val="center"/>
          </w:tcPr>
          <w:p w14:paraId="54156168" w14:textId="77777777" w:rsidR="00F31B10" w:rsidRPr="00D62D04" w:rsidRDefault="002137FD" w:rsidP="0056662A">
            <w:pPr>
              <w:spacing w:after="0" w:line="240" w:lineRule="auto"/>
              <w:rPr>
                <w:rFonts w:eastAsia="Times New Roman"/>
                <w:bCs/>
                <w:iCs/>
                <w:sz w:val="20"/>
                <w:szCs w:val="20"/>
                <w:lang w:val="en-GB"/>
              </w:rPr>
            </w:pPr>
            <w:proofErr w:type="spellStart"/>
            <w:r w:rsidRPr="00D62D04">
              <w:rPr>
                <w:rFonts w:eastAsia="Times New Roman"/>
                <w:bCs/>
                <w:iCs/>
                <w:sz w:val="20"/>
                <w:szCs w:val="20"/>
                <w:lang w:val="en-GB"/>
              </w:rPr>
              <w:t>Ruthenians</w:t>
            </w:r>
            <w:proofErr w:type="spellEnd"/>
            <w:r w:rsidRPr="00D62D04">
              <w:rPr>
                <w:rFonts w:eastAsia="Times New Roman"/>
                <w:bCs/>
                <w:iCs/>
                <w:sz w:val="20"/>
                <w:szCs w:val="20"/>
                <w:lang w:val="en-GB"/>
              </w:rPr>
              <w:t xml:space="preserve"> </w:t>
            </w:r>
          </w:p>
        </w:tc>
        <w:tc>
          <w:tcPr>
            <w:tcW w:w="1393" w:type="dxa"/>
            <w:vAlign w:val="center"/>
          </w:tcPr>
          <w:p w14:paraId="5346ADAB" w14:textId="77777777" w:rsidR="00F31B10" w:rsidRPr="00D62D04" w:rsidRDefault="00F31B10" w:rsidP="002137FD">
            <w:pPr>
              <w:spacing w:after="0" w:line="240" w:lineRule="auto"/>
              <w:jc w:val="center"/>
              <w:rPr>
                <w:rFonts w:eastAsia="Times New Roman"/>
                <w:bCs/>
                <w:sz w:val="20"/>
                <w:szCs w:val="20"/>
                <w:lang w:val="en-GB"/>
              </w:rPr>
            </w:pPr>
            <w:r w:rsidRPr="00D62D04">
              <w:rPr>
                <w:rFonts w:eastAsia="Times New Roman"/>
                <w:bCs/>
                <w:sz w:val="20"/>
                <w:szCs w:val="20"/>
                <w:lang w:val="en-GB"/>
              </w:rPr>
              <w:t>735</w:t>
            </w:r>
            <w:r w:rsidR="002137FD" w:rsidRPr="00D62D04">
              <w:rPr>
                <w:rFonts w:eastAsia="Times New Roman"/>
                <w:bCs/>
                <w:sz w:val="20"/>
                <w:szCs w:val="20"/>
                <w:lang w:val="en-GB"/>
              </w:rPr>
              <w:t>,</w:t>
            </w:r>
            <w:r w:rsidRPr="00D62D04">
              <w:rPr>
                <w:rFonts w:eastAsia="Times New Roman"/>
                <w:bCs/>
                <w:sz w:val="20"/>
                <w:szCs w:val="20"/>
                <w:lang w:val="en-GB"/>
              </w:rPr>
              <w:t>000</w:t>
            </w:r>
            <w:r w:rsidR="002137FD" w:rsidRPr="00D62D04">
              <w:rPr>
                <w:rFonts w:eastAsia="Times New Roman"/>
                <w:bCs/>
                <w:sz w:val="20"/>
                <w:szCs w:val="20"/>
                <w:lang w:val="en-GB"/>
              </w:rPr>
              <w:t>.</w:t>
            </w:r>
            <w:r w:rsidRPr="00D62D04">
              <w:rPr>
                <w:rFonts w:eastAsia="Times New Roman"/>
                <w:bCs/>
                <w:sz w:val="20"/>
                <w:szCs w:val="20"/>
                <w:lang w:val="en-GB"/>
              </w:rPr>
              <w:t>00</w:t>
            </w:r>
          </w:p>
        </w:tc>
        <w:tc>
          <w:tcPr>
            <w:tcW w:w="1468" w:type="dxa"/>
            <w:vAlign w:val="center"/>
          </w:tcPr>
          <w:p w14:paraId="59816B16" w14:textId="77777777" w:rsidR="00F31B10" w:rsidRPr="00D62D04" w:rsidRDefault="00F31B10" w:rsidP="002137FD">
            <w:pPr>
              <w:spacing w:after="0" w:line="240" w:lineRule="auto"/>
              <w:jc w:val="center"/>
              <w:rPr>
                <w:rFonts w:eastAsia="Times New Roman"/>
                <w:bCs/>
                <w:sz w:val="20"/>
                <w:szCs w:val="20"/>
                <w:lang w:val="en-GB"/>
              </w:rPr>
            </w:pPr>
            <w:r w:rsidRPr="00D62D04">
              <w:rPr>
                <w:rFonts w:eastAsia="Times New Roman"/>
                <w:bCs/>
                <w:sz w:val="20"/>
                <w:szCs w:val="20"/>
                <w:lang w:val="en-GB"/>
              </w:rPr>
              <w:t>1</w:t>
            </w:r>
            <w:r w:rsidR="002137FD" w:rsidRPr="00D62D04">
              <w:rPr>
                <w:rFonts w:eastAsia="Times New Roman"/>
                <w:bCs/>
                <w:sz w:val="20"/>
                <w:szCs w:val="20"/>
                <w:lang w:val="en-GB"/>
              </w:rPr>
              <w:t>,</w:t>
            </w:r>
            <w:r w:rsidRPr="00D62D04">
              <w:rPr>
                <w:rFonts w:eastAsia="Times New Roman"/>
                <w:bCs/>
                <w:sz w:val="20"/>
                <w:szCs w:val="20"/>
                <w:lang w:val="en-GB"/>
              </w:rPr>
              <w:t>385</w:t>
            </w:r>
            <w:r w:rsidR="002137FD" w:rsidRPr="00D62D04">
              <w:rPr>
                <w:rFonts w:eastAsia="Times New Roman"/>
                <w:bCs/>
                <w:sz w:val="20"/>
                <w:szCs w:val="20"/>
                <w:lang w:val="en-GB"/>
              </w:rPr>
              <w:t>,</w:t>
            </w:r>
            <w:r w:rsidRPr="00D62D04">
              <w:rPr>
                <w:rFonts w:eastAsia="Times New Roman"/>
                <w:bCs/>
                <w:sz w:val="20"/>
                <w:szCs w:val="20"/>
                <w:lang w:val="en-GB"/>
              </w:rPr>
              <w:t>000</w:t>
            </w:r>
            <w:r w:rsidR="002137FD" w:rsidRPr="00D62D04">
              <w:rPr>
                <w:rFonts w:eastAsia="Times New Roman"/>
                <w:bCs/>
                <w:sz w:val="20"/>
                <w:szCs w:val="20"/>
                <w:lang w:val="en-GB"/>
              </w:rPr>
              <w:t>.</w:t>
            </w:r>
            <w:r w:rsidRPr="00D62D04">
              <w:rPr>
                <w:rFonts w:eastAsia="Times New Roman"/>
                <w:bCs/>
                <w:sz w:val="20"/>
                <w:szCs w:val="20"/>
                <w:lang w:val="en-GB"/>
              </w:rPr>
              <w:t>00</w:t>
            </w:r>
          </w:p>
        </w:tc>
        <w:tc>
          <w:tcPr>
            <w:tcW w:w="1317" w:type="dxa"/>
            <w:vAlign w:val="center"/>
          </w:tcPr>
          <w:p w14:paraId="54F60F65" w14:textId="77777777" w:rsidR="00F31B10" w:rsidRPr="00D62D04" w:rsidRDefault="00F31B10" w:rsidP="002137FD">
            <w:pPr>
              <w:spacing w:after="0" w:line="240" w:lineRule="auto"/>
              <w:jc w:val="center"/>
              <w:rPr>
                <w:rFonts w:eastAsia="Times New Roman"/>
                <w:bCs/>
                <w:sz w:val="20"/>
                <w:szCs w:val="20"/>
                <w:lang w:val="en-GB"/>
              </w:rPr>
            </w:pPr>
            <w:r w:rsidRPr="00D62D04">
              <w:rPr>
                <w:rFonts w:eastAsia="Times New Roman"/>
                <w:bCs/>
                <w:sz w:val="20"/>
                <w:szCs w:val="20"/>
                <w:lang w:val="en-GB"/>
              </w:rPr>
              <w:t>695</w:t>
            </w:r>
            <w:r w:rsidR="002137FD" w:rsidRPr="00D62D04">
              <w:rPr>
                <w:rFonts w:eastAsia="Times New Roman"/>
                <w:bCs/>
                <w:sz w:val="20"/>
                <w:szCs w:val="20"/>
                <w:lang w:val="en-GB"/>
              </w:rPr>
              <w:t>,</w:t>
            </w:r>
            <w:r w:rsidRPr="00D62D04">
              <w:rPr>
                <w:rFonts w:eastAsia="Times New Roman"/>
                <w:bCs/>
                <w:sz w:val="20"/>
                <w:szCs w:val="20"/>
                <w:lang w:val="en-GB"/>
              </w:rPr>
              <w:t>000</w:t>
            </w:r>
            <w:r w:rsidR="002137FD" w:rsidRPr="00D62D04">
              <w:rPr>
                <w:rFonts w:eastAsia="Times New Roman"/>
                <w:bCs/>
                <w:sz w:val="20"/>
                <w:szCs w:val="20"/>
                <w:lang w:val="en-GB"/>
              </w:rPr>
              <w:t>.</w:t>
            </w:r>
            <w:r w:rsidRPr="00D62D04">
              <w:rPr>
                <w:rFonts w:eastAsia="Times New Roman"/>
                <w:bCs/>
                <w:sz w:val="20"/>
                <w:szCs w:val="20"/>
                <w:lang w:val="en-GB"/>
              </w:rPr>
              <w:t>00</w:t>
            </w:r>
          </w:p>
        </w:tc>
        <w:tc>
          <w:tcPr>
            <w:tcW w:w="1433" w:type="dxa"/>
            <w:vAlign w:val="center"/>
          </w:tcPr>
          <w:p w14:paraId="7EB97ED0" w14:textId="77777777" w:rsidR="00F31B10" w:rsidRPr="00D62D04" w:rsidRDefault="00F31B10" w:rsidP="002137FD">
            <w:pPr>
              <w:spacing w:after="0" w:line="240" w:lineRule="auto"/>
              <w:jc w:val="center"/>
              <w:rPr>
                <w:rFonts w:eastAsia="Times New Roman"/>
                <w:bCs/>
                <w:sz w:val="20"/>
                <w:szCs w:val="20"/>
                <w:lang w:val="en-GB"/>
              </w:rPr>
            </w:pPr>
            <w:r w:rsidRPr="00D62D04">
              <w:rPr>
                <w:rFonts w:eastAsia="Times New Roman"/>
                <w:bCs/>
                <w:sz w:val="20"/>
                <w:szCs w:val="20"/>
                <w:lang w:val="en-GB"/>
              </w:rPr>
              <w:t>575</w:t>
            </w:r>
            <w:r w:rsidR="002137FD" w:rsidRPr="00D62D04">
              <w:rPr>
                <w:rFonts w:eastAsia="Times New Roman"/>
                <w:bCs/>
                <w:sz w:val="20"/>
                <w:szCs w:val="20"/>
                <w:lang w:val="en-GB"/>
              </w:rPr>
              <w:t>,</w:t>
            </w:r>
            <w:r w:rsidRPr="00D62D04">
              <w:rPr>
                <w:rFonts w:eastAsia="Times New Roman"/>
                <w:bCs/>
                <w:sz w:val="20"/>
                <w:szCs w:val="20"/>
                <w:lang w:val="en-GB"/>
              </w:rPr>
              <w:t>000</w:t>
            </w:r>
            <w:r w:rsidR="002137FD" w:rsidRPr="00D62D04">
              <w:rPr>
                <w:rFonts w:eastAsia="Times New Roman"/>
                <w:bCs/>
                <w:sz w:val="20"/>
                <w:szCs w:val="20"/>
                <w:lang w:val="en-GB"/>
              </w:rPr>
              <w:t>.</w:t>
            </w:r>
            <w:r w:rsidRPr="00D62D04">
              <w:rPr>
                <w:rFonts w:eastAsia="Times New Roman"/>
                <w:bCs/>
                <w:sz w:val="20"/>
                <w:szCs w:val="20"/>
                <w:lang w:val="en-GB"/>
              </w:rPr>
              <w:t>00</w:t>
            </w:r>
          </w:p>
        </w:tc>
        <w:tc>
          <w:tcPr>
            <w:tcW w:w="1310" w:type="dxa"/>
            <w:vAlign w:val="center"/>
          </w:tcPr>
          <w:p w14:paraId="2D42EBB2" w14:textId="77777777" w:rsidR="00F31B10" w:rsidRPr="00D62D04" w:rsidRDefault="00F31B10" w:rsidP="002137FD">
            <w:pPr>
              <w:spacing w:after="0" w:line="240" w:lineRule="auto"/>
              <w:jc w:val="center"/>
              <w:rPr>
                <w:rFonts w:eastAsia="Times New Roman"/>
                <w:bCs/>
                <w:sz w:val="20"/>
                <w:szCs w:val="20"/>
                <w:lang w:val="en-GB"/>
              </w:rPr>
            </w:pPr>
            <w:r w:rsidRPr="00D62D04">
              <w:rPr>
                <w:rFonts w:eastAsia="Times New Roman"/>
                <w:bCs/>
                <w:sz w:val="20"/>
                <w:szCs w:val="20"/>
                <w:lang w:val="en-GB"/>
              </w:rPr>
              <w:t>600</w:t>
            </w:r>
            <w:r w:rsidR="002137FD" w:rsidRPr="00D62D04">
              <w:rPr>
                <w:rFonts w:eastAsia="Times New Roman"/>
                <w:bCs/>
                <w:sz w:val="20"/>
                <w:szCs w:val="20"/>
                <w:lang w:val="en-GB"/>
              </w:rPr>
              <w:t>,</w:t>
            </w:r>
            <w:r w:rsidRPr="00D62D04">
              <w:rPr>
                <w:rFonts w:eastAsia="Times New Roman"/>
                <w:bCs/>
                <w:sz w:val="20"/>
                <w:szCs w:val="20"/>
                <w:lang w:val="en-GB"/>
              </w:rPr>
              <w:t>000</w:t>
            </w:r>
            <w:r w:rsidR="002137FD" w:rsidRPr="00D62D04">
              <w:rPr>
                <w:rFonts w:eastAsia="Times New Roman"/>
                <w:bCs/>
                <w:sz w:val="20"/>
                <w:szCs w:val="20"/>
                <w:lang w:val="en-GB"/>
              </w:rPr>
              <w:t>.</w:t>
            </w:r>
            <w:r w:rsidRPr="00D62D04">
              <w:rPr>
                <w:rFonts w:eastAsia="Times New Roman"/>
                <w:bCs/>
                <w:sz w:val="20"/>
                <w:szCs w:val="20"/>
                <w:lang w:val="en-GB"/>
              </w:rPr>
              <w:t>00</w:t>
            </w:r>
          </w:p>
        </w:tc>
      </w:tr>
      <w:tr w:rsidR="00F31B10" w:rsidRPr="00D62D04" w14:paraId="0A13C49F" w14:textId="77777777" w:rsidTr="0056662A">
        <w:trPr>
          <w:trHeight w:val="286"/>
        </w:trPr>
        <w:tc>
          <w:tcPr>
            <w:tcW w:w="2417" w:type="dxa"/>
            <w:vAlign w:val="center"/>
          </w:tcPr>
          <w:p w14:paraId="1CDC525D" w14:textId="77777777" w:rsidR="00F31B10" w:rsidRPr="00D62D04" w:rsidRDefault="002137FD" w:rsidP="0056662A">
            <w:pPr>
              <w:spacing w:after="0" w:line="240" w:lineRule="auto"/>
              <w:rPr>
                <w:rFonts w:eastAsia="Times New Roman"/>
                <w:bCs/>
                <w:iCs/>
                <w:sz w:val="20"/>
                <w:szCs w:val="20"/>
                <w:lang w:val="en-GB"/>
              </w:rPr>
            </w:pPr>
            <w:r w:rsidRPr="00D62D04">
              <w:rPr>
                <w:rFonts w:eastAsia="Times New Roman"/>
                <w:bCs/>
                <w:iCs/>
                <w:sz w:val="20"/>
                <w:szCs w:val="20"/>
                <w:lang w:val="en-GB"/>
              </w:rPr>
              <w:t xml:space="preserve">Slovaks </w:t>
            </w:r>
          </w:p>
        </w:tc>
        <w:tc>
          <w:tcPr>
            <w:tcW w:w="1393" w:type="dxa"/>
            <w:vAlign w:val="center"/>
          </w:tcPr>
          <w:p w14:paraId="4B5087EF" w14:textId="77777777" w:rsidR="00F31B10" w:rsidRPr="00D62D04" w:rsidRDefault="00F31B10" w:rsidP="002137FD">
            <w:pPr>
              <w:spacing w:after="0" w:line="240" w:lineRule="auto"/>
              <w:jc w:val="center"/>
              <w:rPr>
                <w:rFonts w:eastAsia="Times New Roman"/>
                <w:bCs/>
                <w:sz w:val="20"/>
                <w:szCs w:val="20"/>
                <w:lang w:val="en-GB"/>
              </w:rPr>
            </w:pPr>
            <w:r w:rsidRPr="00D62D04">
              <w:rPr>
                <w:rFonts w:eastAsia="Times New Roman"/>
                <w:bCs/>
                <w:sz w:val="20"/>
                <w:szCs w:val="20"/>
                <w:lang w:val="en-GB"/>
              </w:rPr>
              <w:t>1</w:t>
            </w:r>
            <w:r w:rsidR="002137FD" w:rsidRPr="00D62D04">
              <w:rPr>
                <w:rFonts w:eastAsia="Times New Roman"/>
                <w:bCs/>
                <w:sz w:val="20"/>
                <w:szCs w:val="20"/>
                <w:lang w:val="en-GB"/>
              </w:rPr>
              <w:t>,</w:t>
            </w:r>
            <w:r w:rsidRPr="00D62D04">
              <w:rPr>
                <w:rFonts w:eastAsia="Times New Roman"/>
                <w:bCs/>
                <w:sz w:val="20"/>
                <w:szCs w:val="20"/>
                <w:lang w:val="en-GB"/>
              </w:rPr>
              <w:t>130</w:t>
            </w:r>
            <w:r w:rsidR="002137FD" w:rsidRPr="00D62D04">
              <w:rPr>
                <w:rFonts w:eastAsia="Times New Roman"/>
                <w:bCs/>
                <w:sz w:val="20"/>
                <w:szCs w:val="20"/>
                <w:lang w:val="en-GB"/>
              </w:rPr>
              <w:t>,</w:t>
            </w:r>
            <w:r w:rsidRPr="00D62D04">
              <w:rPr>
                <w:rFonts w:eastAsia="Times New Roman"/>
                <w:bCs/>
                <w:sz w:val="20"/>
                <w:szCs w:val="20"/>
                <w:lang w:val="en-GB"/>
              </w:rPr>
              <w:t>000</w:t>
            </w:r>
            <w:r w:rsidR="002137FD" w:rsidRPr="00D62D04">
              <w:rPr>
                <w:rFonts w:eastAsia="Times New Roman"/>
                <w:bCs/>
                <w:sz w:val="20"/>
                <w:szCs w:val="20"/>
                <w:lang w:val="en-GB"/>
              </w:rPr>
              <w:t>.</w:t>
            </w:r>
            <w:r w:rsidRPr="00D62D04">
              <w:rPr>
                <w:rFonts w:eastAsia="Times New Roman"/>
                <w:bCs/>
                <w:sz w:val="20"/>
                <w:szCs w:val="20"/>
                <w:lang w:val="en-GB"/>
              </w:rPr>
              <w:t>00</w:t>
            </w:r>
          </w:p>
        </w:tc>
        <w:tc>
          <w:tcPr>
            <w:tcW w:w="1468" w:type="dxa"/>
            <w:vAlign w:val="center"/>
          </w:tcPr>
          <w:p w14:paraId="6B7BC6F8" w14:textId="77777777" w:rsidR="00F31B10" w:rsidRPr="00D62D04" w:rsidRDefault="00F31B10" w:rsidP="002137FD">
            <w:pPr>
              <w:spacing w:after="0" w:line="240" w:lineRule="auto"/>
              <w:jc w:val="center"/>
              <w:rPr>
                <w:rFonts w:eastAsia="Times New Roman"/>
                <w:bCs/>
                <w:sz w:val="20"/>
                <w:szCs w:val="20"/>
                <w:lang w:val="en-GB"/>
              </w:rPr>
            </w:pPr>
            <w:r w:rsidRPr="00D62D04">
              <w:rPr>
                <w:rFonts w:eastAsia="Times New Roman"/>
                <w:bCs/>
                <w:sz w:val="20"/>
                <w:szCs w:val="20"/>
                <w:lang w:val="en-GB"/>
              </w:rPr>
              <w:t>2</w:t>
            </w:r>
            <w:r w:rsidR="002137FD" w:rsidRPr="00D62D04">
              <w:rPr>
                <w:rFonts w:eastAsia="Times New Roman"/>
                <w:bCs/>
                <w:sz w:val="20"/>
                <w:szCs w:val="20"/>
                <w:lang w:val="en-GB"/>
              </w:rPr>
              <w:t>,</w:t>
            </w:r>
            <w:r w:rsidRPr="00D62D04">
              <w:rPr>
                <w:rFonts w:eastAsia="Times New Roman"/>
                <w:bCs/>
                <w:sz w:val="20"/>
                <w:szCs w:val="20"/>
                <w:lang w:val="en-GB"/>
              </w:rPr>
              <w:t>350</w:t>
            </w:r>
            <w:r w:rsidR="002137FD" w:rsidRPr="00D62D04">
              <w:rPr>
                <w:rFonts w:eastAsia="Times New Roman"/>
                <w:bCs/>
                <w:sz w:val="20"/>
                <w:szCs w:val="20"/>
                <w:lang w:val="en-GB"/>
              </w:rPr>
              <w:t>,</w:t>
            </w:r>
            <w:r w:rsidRPr="00D62D04">
              <w:rPr>
                <w:rFonts w:eastAsia="Times New Roman"/>
                <w:bCs/>
                <w:sz w:val="20"/>
                <w:szCs w:val="20"/>
                <w:lang w:val="en-GB"/>
              </w:rPr>
              <w:t>000</w:t>
            </w:r>
            <w:r w:rsidR="002137FD" w:rsidRPr="00D62D04">
              <w:rPr>
                <w:rFonts w:eastAsia="Times New Roman"/>
                <w:bCs/>
                <w:sz w:val="20"/>
                <w:szCs w:val="20"/>
                <w:lang w:val="en-GB"/>
              </w:rPr>
              <w:t>.</w:t>
            </w:r>
            <w:r w:rsidRPr="00D62D04">
              <w:rPr>
                <w:rFonts w:eastAsia="Times New Roman"/>
                <w:bCs/>
                <w:sz w:val="20"/>
                <w:szCs w:val="20"/>
                <w:lang w:val="en-GB"/>
              </w:rPr>
              <w:t>00</w:t>
            </w:r>
          </w:p>
        </w:tc>
        <w:tc>
          <w:tcPr>
            <w:tcW w:w="1317" w:type="dxa"/>
            <w:vAlign w:val="center"/>
          </w:tcPr>
          <w:p w14:paraId="068D0E8F" w14:textId="77777777" w:rsidR="00F31B10" w:rsidRPr="00D62D04" w:rsidRDefault="00F31B10" w:rsidP="002137FD">
            <w:pPr>
              <w:spacing w:after="0" w:line="240" w:lineRule="auto"/>
              <w:jc w:val="center"/>
              <w:rPr>
                <w:rFonts w:eastAsia="Times New Roman"/>
                <w:bCs/>
                <w:sz w:val="20"/>
                <w:szCs w:val="20"/>
                <w:lang w:val="en-GB"/>
              </w:rPr>
            </w:pPr>
            <w:r w:rsidRPr="00D62D04">
              <w:rPr>
                <w:rFonts w:eastAsia="Times New Roman"/>
                <w:bCs/>
                <w:sz w:val="20"/>
                <w:szCs w:val="20"/>
                <w:lang w:val="en-GB"/>
              </w:rPr>
              <w:t>1</w:t>
            </w:r>
            <w:r w:rsidR="002137FD" w:rsidRPr="00D62D04">
              <w:rPr>
                <w:rFonts w:eastAsia="Times New Roman"/>
                <w:bCs/>
                <w:sz w:val="20"/>
                <w:szCs w:val="20"/>
                <w:lang w:val="en-GB"/>
              </w:rPr>
              <w:t>,</w:t>
            </w:r>
            <w:r w:rsidRPr="00D62D04">
              <w:rPr>
                <w:rFonts w:eastAsia="Times New Roman"/>
                <w:bCs/>
                <w:sz w:val="20"/>
                <w:szCs w:val="20"/>
                <w:lang w:val="en-GB"/>
              </w:rPr>
              <w:t>100</w:t>
            </w:r>
            <w:r w:rsidR="002137FD" w:rsidRPr="00D62D04">
              <w:rPr>
                <w:rFonts w:eastAsia="Times New Roman"/>
                <w:bCs/>
                <w:sz w:val="20"/>
                <w:szCs w:val="20"/>
                <w:lang w:val="en-GB"/>
              </w:rPr>
              <w:t>,</w:t>
            </w:r>
            <w:r w:rsidRPr="00D62D04">
              <w:rPr>
                <w:rFonts w:eastAsia="Times New Roman"/>
                <w:bCs/>
                <w:sz w:val="20"/>
                <w:szCs w:val="20"/>
                <w:lang w:val="en-GB"/>
              </w:rPr>
              <w:t>000</w:t>
            </w:r>
            <w:r w:rsidR="002137FD" w:rsidRPr="00D62D04">
              <w:rPr>
                <w:rFonts w:eastAsia="Times New Roman"/>
                <w:bCs/>
                <w:sz w:val="20"/>
                <w:szCs w:val="20"/>
                <w:lang w:val="en-GB"/>
              </w:rPr>
              <w:t>.</w:t>
            </w:r>
            <w:r w:rsidRPr="00D62D04">
              <w:rPr>
                <w:rFonts w:eastAsia="Times New Roman"/>
                <w:bCs/>
                <w:sz w:val="20"/>
                <w:szCs w:val="20"/>
                <w:lang w:val="en-GB"/>
              </w:rPr>
              <w:t>00</w:t>
            </w:r>
          </w:p>
        </w:tc>
        <w:tc>
          <w:tcPr>
            <w:tcW w:w="1433" w:type="dxa"/>
            <w:vAlign w:val="center"/>
          </w:tcPr>
          <w:p w14:paraId="6C743E2B" w14:textId="77777777" w:rsidR="00F31B10" w:rsidRPr="00D62D04" w:rsidRDefault="00F31B10" w:rsidP="002137FD">
            <w:pPr>
              <w:spacing w:after="0" w:line="240" w:lineRule="auto"/>
              <w:jc w:val="center"/>
              <w:rPr>
                <w:rFonts w:eastAsia="Times New Roman"/>
                <w:bCs/>
                <w:sz w:val="20"/>
                <w:szCs w:val="20"/>
                <w:lang w:val="en-GB"/>
              </w:rPr>
            </w:pPr>
            <w:r w:rsidRPr="00D62D04">
              <w:rPr>
                <w:rFonts w:eastAsia="Times New Roman"/>
                <w:bCs/>
                <w:sz w:val="20"/>
                <w:szCs w:val="20"/>
                <w:lang w:val="en-GB"/>
              </w:rPr>
              <w:t>1</w:t>
            </w:r>
            <w:r w:rsidR="002137FD" w:rsidRPr="00D62D04">
              <w:rPr>
                <w:rFonts w:eastAsia="Times New Roman"/>
                <w:bCs/>
                <w:sz w:val="20"/>
                <w:szCs w:val="20"/>
                <w:lang w:val="en-GB"/>
              </w:rPr>
              <w:t>,</w:t>
            </w:r>
            <w:r w:rsidRPr="00D62D04">
              <w:rPr>
                <w:rFonts w:eastAsia="Times New Roman"/>
                <w:bCs/>
                <w:sz w:val="20"/>
                <w:szCs w:val="20"/>
                <w:lang w:val="en-GB"/>
              </w:rPr>
              <w:t>150</w:t>
            </w:r>
            <w:r w:rsidR="002137FD" w:rsidRPr="00D62D04">
              <w:rPr>
                <w:rFonts w:eastAsia="Times New Roman"/>
                <w:bCs/>
                <w:sz w:val="20"/>
                <w:szCs w:val="20"/>
                <w:lang w:val="en-GB"/>
              </w:rPr>
              <w:t>,</w:t>
            </w:r>
            <w:r w:rsidRPr="00D62D04">
              <w:rPr>
                <w:rFonts w:eastAsia="Times New Roman"/>
                <w:bCs/>
                <w:sz w:val="20"/>
                <w:szCs w:val="20"/>
                <w:lang w:val="en-GB"/>
              </w:rPr>
              <w:t>000</w:t>
            </w:r>
            <w:r w:rsidR="002137FD" w:rsidRPr="00D62D04">
              <w:rPr>
                <w:rFonts w:eastAsia="Times New Roman"/>
                <w:bCs/>
                <w:sz w:val="20"/>
                <w:szCs w:val="20"/>
                <w:lang w:val="en-GB"/>
              </w:rPr>
              <w:t>.</w:t>
            </w:r>
            <w:r w:rsidRPr="00D62D04">
              <w:rPr>
                <w:rFonts w:eastAsia="Times New Roman"/>
                <w:bCs/>
                <w:sz w:val="20"/>
                <w:szCs w:val="20"/>
                <w:lang w:val="en-GB"/>
              </w:rPr>
              <w:t>00</w:t>
            </w:r>
          </w:p>
        </w:tc>
        <w:tc>
          <w:tcPr>
            <w:tcW w:w="1310" w:type="dxa"/>
            <w:vAlign w:val="center"/>
          </w:tcPr>
          <w:p w14:paraId="4281D6A1" w14:textId="77777777" w:rsidR="00F31B10" w:rsidRPr="00D62D04" w:rsidRDefault="00F31B10" w:rsidP="002137FD">
            <w:pPr>
              <w:spacing w:after="0" w:line="240" w:lineRule="auto"/>
              <w:jc w:val="center"/>
              <w:rPr>
                <w:rFonts w:eastAsia="Times New Roman"/>
                <w:bCs/>
                <w:sz w:val="20"/>
                <w:szCs w:val="20"/>
                <w:lang w:val="en-GB"/>
              </w:rPr>
            </w:pPr>
            <w:r w:rsidRPr="00D62D04">
              <w:rPr>
                <w:rFonts w:eastAsia="Times New Roman"/>
                <w:bCs/>
                <w:sz w:val="20"/>
                <w:szCs w:val="20"/>
                <w:lang w:val="en-GB"/>
              </w:rPr>
              <w:t>1</w:t>
            </w:r>
            <w:r w:rsidR="002137FD" w:rsidRPr="00D62D04">
              <w:rPr>
                <w:rFonts w:eastAsia="Times New Roman"/>
                <w:bCs/>
                <w:sz w:val="20"/>
                <w:szCs w:val="20"/>
                <w:lang w:val="en-GB"/>
              </w:rPr>
              <w:t>,</w:t>
            </w:r>
            <w:r w:rsidRPr="00D62D04">
              <w:rPr>
                <w:rFonts w:eastAsia="Times New Roman"/>
                <w:bCs/>
                <w:sz w:val="20"/>
                <w:szCs w:val="20"/>
                <w:lang w:val="en-GB"/>
              </w:rPr>
              <w:t>150</w:t>
            </w:r>
            <w:r w:rsidR="002137FD" w:rsidRPr="00D62D04">
              <w:rPr>
                <w:rFonts w:eastAsia="Times New Roman"/>
                <w:bCs/>
                <w:sz w:val="20"/>
                <w:szCs w:val="20"/>
                <w:lang w:val="en-GB"/>
              </w:rPr>
              <w:t>,</w:t>
            </w:r>
            <w:r w:rsidRPr="00D62D04">
              <w:rPr>
                <w:rFonts w:eastAsia="Times New Roman"/>
                <w:bCs/>
                <w:sz w:val="20"/>
                <w:szCs w:val="20"/>
                <w:lang w:val="en-GB"/>
              </w:rPr>
              <w:t>000</w:t>
            </w:r>
            <w:r w:rsidR="002137FD" w:rsidRPr="00D62D04">
              <w:rPr>
                <w:rFonts w:eastAsia="Times New Roman"/>
                <w:bCs/>
                <w:sz w:val="20"/>
                <w:szCs w:val="20"/>
                <w:lang w:val="en-GB"/>
              </w:rPr>
              <w:t>.</w:t>
            </w:r>
            <w:r w:rsidRPr="00D62D04">
              <w:rPr>
                <w:rFonts w:eastAsia="Times New Roman"/>
                <w:bCs/>
                <w:sz w:val="20"/>
                <w:szCs w:val="20"/>
                <w:lang w:val="en-GB"/>
              </w:rPr>
              <w:t>00</w:t>
            </w:r>
          </w:p>
        </w:tc>
      </w:tr>
      <w:tr w:rsidR="00F31B10" w:rsidRPr="00D62D04" w14:paraId="777AFFAF" w14:textId="77777777" w:rsidTr="0056662A">
        <w:trPr>
          <w:trHeight w:val="276"/>
        </w:trPr>
        <w:tc>
          <w:tcPr>
            <w:tcW w:w="2417" w:type="dxa"/>
            <w:vAlign w:val="center"/>
          </w:tcPr>
          <w:p w14:paraId="336AAAFB" w14:textId="77777777" w:rsidR="00F31B10" w:rsidRPr="00D62D04" w:rsidRDefault="002137FD" w:rsidP="0056662A">
            <w:pPr>
              <w:spacing w:after="0" w:line="240" w:lineRule="auto"/>
              <w:rPr>
                <w:rFonts w:eastAsia="Times New Roman"/>
                <w:bCs/>
                <w:iCs/>
                <w:sz w:val="20"/>
                <w:szCs w:val="20"/>
                <w:lang w:val="en-GB"/>
              </w:rPr>
            </w:pPr>
            <w:r w:rsidRPr="00D62D04">
              <w:rPr>
                <w:rFonts w:eastAsia="Times New Roman"/>
                <w:bCs/>
                <w:iCs/>
                <w:sz w:val="20"/>
                <w:szCs w:val="20"/>
                <w:lang w:val="en-GB"/>
              </w:rPr>
              <w:t xml:space="preserve">Slovenians </w:t>
            </w:r>
          </w:p>
        </w:tc>
        <w:tc>
          <w:tcPr>
            <w:tcW w:w="1393" w:type="dxa"/>
            <w:vAlign w:val="center"/>
          </w:tcPr>
          <w:p w14:paraId="1E2E20E6" w14:textId="77777777" w:rsidR="00F31B10" w:rsidRPr="00D62D04" w:rsidRDefault="00F31B10" w:rsidP="002137FD">
            <w:pPr>
              <w:spacing w:after="0" w:line="240" w:lineRule="auto"/>
              <w:jc w:val="center"/>
              <w:rPr>
                <w:rFonts w:eastAsia="Times New Roman"/>
                <w:bCs/>
                <w:sz w:val="20"/>
                <w:szCs w:val="20"/>
                <w:lang w:val="en-GB"/>
              </w:rPr>
            </w:pPr>
            <w:r w:rsidRPr="00D62D04">
              <w:rPr>
                <w:rFonts w:eastAsia="Times New Roman"/>
                <w:bCs/>
                <w:sz w:val="20"/>
                <w:szCs w:val="20"/>
                <w:lang w:val="en-GB"/>
              </w:rPr>
              <w:t>20</w:t>
            </w:r>
            <w:r w:rsidR="002137FD" w:rsidRPr="00D62D04">
              <w:rPr>
                <w:rFonts w:eastAsia="Times New Roman"/>
                <w:bCs/>
                <w:sz w:val="20"/>
                <w:szCs w:val="20"/>
                <w:lang w:val="en-GB"/>
              </w:rPr>
              <w:t>,</w:t>
            </w:r>
            <w:r w:rsidRPr="00D62D04">
              <w:rPr>
                <w:rFonts w:eastAsia="Times New Roman"/>
                <w:bCs/>
                <w:sz w:val="20"/>
                <w:szCs w:val="20"/>
                <w:lang w:val="en-GB"/>
              </w:rPr>
              <w:t>000</w:t>
            </w:r>
            <w:r w:rsidR="002137FD" w:rsidRPr="00D62D04">
              <w:rPr>
                <w:rFonts w:eastAsia="Times New Roman"/>
                <w:bCs/>
                <w:sz w:val="20"/>
                <w:szCs w:val="20"/>
                <w:lang w:val="en-GB"/>
              </w:rPr>
              <w:t>.</w:t>
            </w:r>
            <w:r w:rsidRPr="00D62D04">
              <w:rPr>
                <w:rFonts w:eastAsia="Times New Roman"/>
                <w:bCs/>
                <w:sz w:val="20"/>
                <w:szCs w:val="20"/>
                <w:lang w:val="en-GB"/>
              </w:rPr>
              <w:t>00</w:t>
            </w:r>
          </w:p>
        </w:tc>
        <w:tc>
          <w:tcPr>
            <w:tcW w:w="1468" w:type="dxa"/>
            <w:vAlign w:val="center"/>
          </w:tcPr>
          <w:p w14:paraId="6AB0D67E" w14:textId="77777777" w:rsidR="00F31B10" w:rsidRPr="00D62D04" w:rsidRDefault="00F31B10" w:rsidP="002137FD">
            <w:pPr>
              <w:spacing w:after="0" w:line="240" w:lineRule="auto"/>
              <w:jc w:val="center"/>
              <w:rPr>
                <w:rFonts w:eastAsia="Times New Roman"/>
                <w:bCs/>
                <w:sz w:val="20"/>
                <w:szCs w:val="20"/>
                <w:lang w:val="en-GB"/>
              </w:rPr>
            </w:pPr>
            <w:r w:rsidRPr="00D62D04">
              <w:rPr>
                <w:rFonts w:eastAsia="Times New Roman"/>
                <w:bCs/>
                <w:sz w:val="20"/>
                <w:szCs w:val="20"/>
                <w:lang w:val="en-GB"/>
              </w:rPr>
              <w:t>20</w:t>
            </w:r>
            <w:r w:rsidR="002137FD" w:rsidRPr="00D62D04">
              <w:rPr>
                <w:rFonts w:eastAsia="Times New Roman"/>
                <w:bCs/>
                <w:sz w:val="20"/>
                <w:szCs w:val="20"/>
                <w:lang w:val="en-GB"/>
              </w:rPr>
              <w:t>,</w:t>
            </w:r>
            <w:r w:rsidRPr="00D62D04">
              <w:rPr>
                <w:rFonts w:eastAsia="Times New Roman"/>
                <w:bCs/>
                <w:sz w:val="20"/>
                <w:szCs w:val="20"/>
                <w:lang w:val="en-GB"/>
              </w:rPr>
              <w:t>000</w:t>
            </w:r>
            <w:r w:rsidR="002137FD" w:rsidRPr="00D62D04">
              <w:rPr>
                <w:rFonts w:eastAsia="Times New Roman"/>
                <w:bCs/>
                <w:sz w:val="20"/>
                <w:szCs w:val="20"/>
                <w:lang w:val="en-GB"/>
              </w:rPr>
              <w:t>.</w:t>
            </w:r>
            <w:r w:rsidRPr="00D62D04">
              <w:rPr>
                <w:rFonts w:eastAsia="Times New Roman"/>
                <w:bCs/>
                <w:sz w:val="20"/>
                <w:szCs w:val="20"/>
                <w:lang w:val="en-GB"/>
              </w:rPr>
              <w:t>00</w:t>
            </w:r>
          </w:p>
        </w:tc>
        <w:tc>
          <w:tcPr>
            <w:tcW w:w="1317" w:type="dxa"/>
            <w:vAlign w:val="center"/>
          </w:tcPr>
          <w:p w14:paraId="1D218FCB" w14:textId="77777777" w:rsidR="00F31B10" w:rsidRPr="00D62D04" w:rsidRDefault="00F31B10" w:rsidP="002137FD">
            <w:pPr>
              <w:spacing w:after="0" w:line="240" w:lineRule="auto"/>
              <w:jc w:val="center"/>
              <w:rPr>
                <w:rFonts w:eastAsia="Times New Roman"/>
                <w:bCs/>
                <w:sz w:val="20"/>
                <w:szCs w:val="20"/>
                <w:lang w:val="en-GB"/>
              </w:rPr>
            </w:pPr>
            <w:r w:rsidRPr="00D62D04">
              <w:rPr>
                <w:rFonts w:eastAsia="Times New Roman"/>
                <w:bCs/>
                <w:sz w:val="20"/>
                <w:szCs w:val="20"/>
                <w:lang w:val="en-GB"/>
              </w:rPr>
              <w:t>50</w:t>
            </w:r>
            <w:r w:rsidR="002137FD" w:rsidRPr="00D62D04">
              <w:rPr>
                <w:rFonts w:eastAsia="Times New Roman"/>
                <w:bCs/>
                <w:sz w:val="20"/>
                <w:szCs w:val="20"/>
                <w:lang w:val="en-GB"/>
              </w:rPr>
              <w:t>,</w:t>
            </w:r>
            <w:r w:rsidRPr="00D62D04">
              <w:rPr>
                <w:rFonts w:eastAsia="Times New Roman"/>
                <w:bCs/>
                <w:sz w:val="20"/>
                <w:szCs w:val="20"/>
                <w:lang w:val="en-GB"/>
              </w:rPr>
              <w:t>000</w:t>
            </w:r>
            <w:r w:rsidR="002137FD" w:rsidRPr="00D62D04">
              <w:rPr>
                <w:rFonts w:eastAsia="Times New Roman"/>
                <w:bCs/>
                <w:sz w:val="20"/>
                <w:szCs w:val="20"/>
                <w:lang w:val="en-GB"/>
              </w:rPr>
              <w:t>.</w:t>
            </w:r>
            <w:r w:rsidRPr="00D62D04">
              <w:rPr>
                <w:rFonts w:eastAsia="Times New Roman"/>
                <w:bCs/>
                <w:sz w:val="20"/>
                <w:szCs w:val="20"/>
                <w:lang w:val="en-GB"/>
              </w:rPr>
              <w:t>00</w:t>
            </w:r>
          </w:p>
        </w:tc>
        <w:tc>
          <w:tcPr>
            <w:tcW w:w="1433" w:type="dxa"/>
            <w:vAlign w:val="center"/>
          </w:tcPr>
          <w:p w14:paraId="2B96276E" w14:textId="77777777" w:rsidR="00F31B10" w:rsidRPr="00D62D04" w:rsidRDefault="00F31B10" w:rsidP="002137FD">
            <w:pPr>
              <w:spacing w:after="0" w:line="240" w:lineRule="auto"/>
              <w:jc w:val="center"/>
              <w:rPr>
                <w:rFonts w:eastAsia="Times New Roman"/>
                <w:bCs/>
                <w:sz w:val="20"/>
                <w:szCs w:val="20"/>
                <w:lang w:val="en-GB"/>
              </w:rPr>
            </w:pPr>
            <w:r w:rsidRPr="00D62D04">
              <w:rPr>
                <w:rFonts w:eastAsia="Times New Roman"/>
                <w:bCs/>
                <w:sz w:val="20"/>
                <w:szCs w:val="20"/>
                <w:lang w:val="en-GB"/>
              </w:rPr>
              <w:t>50</w:t>
            </w:r>
            <w:r w:rsidR="002137FD" w:rsidRPr="00D62D04">
              <w:rPr>
                <w:rFonts w:eastAsia="Times New Roman"/>
                <w:bCs/>
                <w:sz w:val="20"/>
                <w:szCs w:val="20"/>
                <w:lang w:val="en-GB"/>
              </w:rPr>
              <w:t>,</w:t>
            </w:r>
            <w:r w:rsidRPr="00D62D04">
              <w:rPr>
                <w:rFonts w:eastAsia="Times New Roman"/>
                <w:bCs/>
                <w:sz w:val="20"/>
                <w:szCs w:val="20"/>
                <w:lang w:val="en-GB"/>
              </w:rPr>
              <w:t>000</w:t>
            </w:r>
            <w:r w:rsidR="002137FD" w:rsidRPr="00D62D04">
              <w:rPr>
                <w:rFonts w:eastAsia="Times New Roman"/>
                <w:bCs/>
                <w:sz w:val="20"/>
                <w:szCs w:val="20"/>
                <w:lang w:val="en-GB"/>
              </w:rPr>
              <w:t>.</w:t>
            </w:r>
            <w:r w:rsidRPr="00D62D04">
              <w:rPr>
                <w:rFonts w:eastAsia="Times New Roman"/>
                <w:bCs/>
                <w:sz w:val="20"/>
                <w:szCs w:val="20"/>
                <w:lang w:val="en-GB"/>
              </w:rPr>
              <w:t>00</w:t>
            </w:r>
          </w:p>
        </w:tc>
        <w:tc>
          <w:tcPr>
            <w:tcW w:w="1310" w:type="dxa"/>
            <w:vAlign w:val="center"/>
          </w:tcPr>
          <w:p w14:paraId="3A7361C8" w14:textId="77777777" w:rsidR="00F31B10" w:rsidRPr="00D62D04" w:rsidRDefault="00F31B10" w:rsidP="0056662A">
            <w:pPr>
              <w:spacing w:after="0" w:line="240" w:lineRule="auto"/>
              <w:jc w:val="center"/>
              <w:rPr>
                <w:rFonts w:eastAsia="Times New Roman"/>
                <w:bCs/>
                <w:sz w:val="20"/>
                <w:szCs w:val="20"/>
                <w:lang w:val="en-GB"/>
              </w:rPr>
            </w:pPr>
          </w:p>
        </w:tc>
      </w:tr>
      <w:tr w:rsidR="00F31B10" w:rsidRPr="00D62D04" w14:paraId="21CB6008" w14:textId="77777777" w:rsidTr="0056662A">
        <w:trPr>
          <w:trHeight w:val="286"/>
        </w:trPr>
        <w:tc>
          <w:tcPr>
            <w:tcW w:w="2417" w:type="dxa"/>
            <w:vAlign w:val="center"/>
          </w:tcPr>
          <w:p w14:paraId="44AFC819" w14:textId="77777777" w:rsidR="00F31B10" w:rsidRPr="00D62D04" w:rsidRDefault="002137FD" w:rsidP="0056662A">
            <w:pPr>
              <w:spacing w:after="0" w:line="240" w:lineRule="auto"/>
              <w:rPr>
                <w:rFonts w:eastAsia="Times New Roman"/>
                <w:bCs/>
                <w:iCs/>
                <w:sz w:val="20"/>
                <w:szCs w:val="20"/>
                <w:lang w:val="en-GB"/>
              </w:rPr>
            </w:pPr>
            <w:r w:rsidRPr="00D62D04">
              <w:rPr>
                <w:rFonts w:eastAsia="Times New Roman"/>
                <w:bCs/>
                <w:iCs/>
                <w:sz w:val="20"/>
                <w:szCs w:val="20"/>
                <w:lang w:val="en-GB"/>
              </w:rPr>
              <w:t xml:space="preserve">Ukrainians </w:t>
            </w:r>
          </w:p>
        </w:tc>
        <w:tc>
          <w:tcPr>
            <w:tcW w:w="1393" w:type="dxa"/>
            <w:vAlign w:val="center"/>
          </w:tcPr>
          <w:p w14:paraId="269C33BC" w14:textId="77777777" w:rsidR="00F31B10" w:rsidRPr="00D62D04" w:rsidRDefault="00F31B10" w:rsidP="002137FD">
            <w:pPr>
              <w:spacing w:after="0" w:line="240" w:lineRule="auto"/>
              <w:jc w:val="center"/>
              <w:rPr>
                <w:rFonts w:eastAsia="Times New Roman"/>
                <w:bCs/>
                <w:sz w:val="20"/>
                <w:szCs w:val="20"/>
                <w:lang w:val="en-GB"/>
              </w:rPr>
            </w:pPr>
            <w:r w:rsidRPr="00D62D04">
              <w:rPr>
                <w:rFonts w:eastAsia="Times New Roman"/>
                <w:bCs/>
                <w:sz w:val="20"/>
                <w:szCs w:val="20"/>
                <w:lang w:val="en-GB"/>
              </w:rPr>
              <w:t>141</w:t>
            </w:r>
            <w:r w:rsidR="002137FD" w:rsidRPr="00D62D04">
              <w:rPr>
                <w:rFonts w:eastAsia="Times New Roman"/>
                <w:bCs/>
                <w:sz w:val="20"/>
                <w:szCs w:val="20"/>
                <w:lang w:val="en-GB"/>
              </w:rPr>
              <w:t>,</w:t>
            </w:r>
            <w:r w:rsidRPr="00D62D04">
              <w:rPr>
                <w:rFonts w:eastAsia="Times New Roman"/>
                <w:bCs/>
                <w:sz w:val="20"/>
                <w:szCs w:val="20"/>
                <w:lang w:val="en-GB"/>
              </w:rPr>
              <w:t>000</w:t>
            </w:r>
            <w:r w:rsidR="002137FD" w:rsidRPr="00D62D04">
              <w:rPr>
                <w:rFonts w:eastAsia="Times New Roman"/>
                <w:bCs/>
                <w:sz w:val="20"/>
                <w:szCs w:val="20"/>
                <w:lang w:val="en-GB"/>
              </w:rPr>
              <w:t>.</w:t>
            </w:r>
            <w:r w:rsidRPr="00D62D04">
              <w:rPr>
                <w:rFonts w:eastAsia="Times New Roman"/>
                <w:bCs/>
                <w:sz w:val="20"/>
                <w:szCs w:val="20"/>
                <w:lang w:val="en-GB"/>
              </w:rPr>
              <w:t>00</w:t>
            </w:r>
          </w:p>
        </w:tc>
        <w:tc>
          <w:tcPr>
            <w:tcW w:w="1468" w:type="dxa"/>
            <w:vAlign w:val="center"/>
          </w:tcPr>
          <w:p w14:paraId="5179862B" w14:textId="77777777" w:rsidR="00F31B10" w:rsidRPr="00D62D04" w:rsidRDefault="00F31B10" w:rsidP="002137FD">
            <w:pPr>
              <w:spacing w:after="0" w:line="240" w:lineRule="auto"/>
              <w:jc w:val="center"/>
              <w:rPr>
                <w:rFonts w:eastAsia="Times New Roman"/>
                <w:bCs/>
                <w:sz w:val="20"/>
                <w:szCs w:val="20"/>
                <w:lang w:val="en-GB"/>
              </w:rPr>
            </w:pPr>
            <w:r w:rsidRPr="00D62D04">
              <w:rPr>
                <w:rFonts w:eastAsia="Times New Roman"/>
                <w:bCs/>
                <w:sz w:val="20"/>
                <w:szCs w:val="20"/>
                <w:lang w:val="en-GB"/>
              </w:rPr>
              <w:t>191</w:t>
            </w:r>
            <w:r w:rsidR="002137FD" w:rsidRPr="00D62D04">
              <w:rPr>
                <w:rFonts w:eastAsia="Times New Roman"/>
                <w:bCs/>
                <w:sz w:val="20"/>
                <w:szCs w:val="20"/>
                <w:lang w:val="en-GB"/>
              </w:rPr>
              <w:t>,</w:t>
            </w:r>
            <w:r w:rsidRPr="00D62D04">
              <w:rPr>
                <w:rFonts w:eastAsia="Times New Roman"/>
                <w:bCs/>
                <w:sz w:val="20"/>
                <w:szCs w:val="20"/>
                <w:lang w:val="en-GB"/>
              </w:rPr>
              <w:t>000</w:t>
            </w:r>
            <w:r w:rsidR="002137FD" w:rsidRPr="00D62D04">
              <w:rPr>
                <w:rFonts w:eastAsia="Times New Roman"/>
                <w:bCs/>
                <w:sz w:val="20"/>
                <w:szCs w:val="20"/>
                <w:lang w:val="en-GB"/>
              </w:rPr>
              <w:t>.</w:t>
            </w:r>
            <w:r w:rsidRPr="00D62D04">
              <w:rPr>
                <w:rFonts w:eastAsia="Times New Roman"/>
                <w:bCs/>
                <w:sz w:val="20"/>
                <w:szCs w:val="20"/>
                <w:lang w:val="en-GB"/>
              </w:rPr>
              <w:t>00</w:t>
            </w:r>
          </w:p>
        </w:tc>
        <w:tc>
          <w:tcPr>
            <w:tcW w:w="1317" w:type="dxa"/>
            <w:vAlign w:val="center"/>
          </w:tcPr>
          <w:p w14:paraId="3E1CF56A" w14:textId="77777777" w:rsidR="00F31B10" w:rsidRPr="00D62D04" w:rsidRDefault="00F31B10" w:rsidP="002137FD">
            <w:pPr>
              <w:spacing w:after="0" w:line="240" w:lineRule="auto"/>
              <w:jc w:val="center"/>
              <w:rPr>
                <w:rFonts w:eastAsia="Times New Roman"/>
                <w:bCs/>
                <w:sz w:val="20"/>
                <w:szCs w:val="20"/>
                <w:lang w:val="en-GB"/>
              </w:rPr>
            </w:pPr>
            <w:r w:rsidRPr="00D62D04">
              <w:rPr>
                <w:rFonts w:eastAsia="Times New Roman"/>
                <w:bCs/>
                <w:sz w:val="20"/>
                <w:szCs w:val="20"/>
                <w:lang w:val="en-GB"/>
              </w:rPr>
              <w:t>100</w:t>
            </w:r>
            <w:r w:rsidR="002137FD" w:rsidRPr="00D62D04">
              <w:rPr>
                <w:rFonts w:eastAsia="Times New Roman"/>
                <w:bCs/>
                <w:sz w:val="20"/>
                <w:szCs w:val="20"/>
                <w:lang w:val="en-GB"/>
              </w:rPr>
              <w:t>,</w:t>
            </w:r>
            <w:r w:rsidRPr="00D62D04">
              <w:rPr>
                <w:rFonts w:eastAsia="Times New Roman"/>
                <w:bCs/>
                <w:sz w:val="20"/>
                <w:szCs w:val="20"/>
                <w:lang w:val="en-GB"/>
              </w:rPr>
              <w:t>000</w:t>
            </w:r>
            <w:r w:rsidR="002137FD" w:rsidRPr="00D62D04">
              <w:rPr>
                <w:rFonts w:eastAsia="Times New Roman"/>
                <w:bCs/>
                <w:sz w:val="20"/>
                <w:szCs w:val="20"/>
                <w:lang w:val="en-GB"/>
              </w:rPr>
              <w:t>.</w:t>
            </w:r>
            <w:r w:rsidRPr="00D62D04">
              <w:rPr>
                <w:rFonts w:eastAsia="Times New Roman"/>
                <w:bCs/>
                <w:sz w:val="20"/>
                <w:szCs w:val="20"/>
                <w:lang w:val="en-GB"/>
              </w:rPr>
              <w:t>00</w:t>
            </w:r>
          </w:p>
        </w:tc>
        <w:tc>
          <w:tcPr>
            <w:tcW w:w="1433" w:type="dxa"/>
            <w:vAlign w:val="center"/>
          </w:tcPr>
          <w:p w14:paraId="77FFBC85" w14:textId="77777777" w:rsidR="00F31B10" w:rsidRPr="00D62D04" w:rsidRDefault="00F31B10" w:rsidP="002137FD">
            <w:pPr>
              <w:spacing w:after="0" w:line="240" w:lineRule="auto"/>
              <w:jc w:val="center"/>
              <w:rPr>
                <w:rFonts w:eastAsia="Times New Roman"/>
                <w:bCs/>
                <w:sz w:val="20"/>
                <w:szCs w:val="20"/>
                <w:lang w:val="en-GB"/>
              </w:rPr>
            </w:pPr>
            <w:r w:rsidRPr="00D62D04">
              <w:rPr>
                <w:rFonts w:eastAsia="Times New Roman"/>
                <w:bCs/>
                <w:sz w:val="20"/>
                <w:szCs w:val="20"/>
                <w:lang w:val="en-GB"/>
              </w:rPr>
              <w:t>150</w:t>
            </w:r>
            <w:r w:rsidR="002137FD" w:rsidRPr="00D62D04">
              <w:rPr>
                <w:rFonts w:eastAsia="Times New Roman"/>
                <w:bCs/>
                <w:sz w:val="20"/>
                <w:szCs w:val="20"/>
                <w:lang w:val="en-GB"/>
              </w:rPr>
              <w:t>,</w:t>
            </w:r>
            <w:r w:rsidRPr="00D62D04">
              <w:rPr>
                <w:rFonts w:eastAsia="Times New Roman"/>
                <w:bCs/>
                <w:sz w:val="20"/>
                <w:szCs w:val="20"/>
                <w:lang w:val="en-GB"/>
              </w:rPr>
              <w:t>000</w:t>
            </w:r>
            <w:r w:rsidR="002137FD" w:rsidRPr="00D62D04">
              <w:rPr>
                <w:rFonts w:eastAsia="Times New Roman"/>
                <w:bCs/>
                <w:sz w:val="20"/>
                <w:szCs w:val="20"/>
                <w:lang w:val="en-GB"/>
              </w:rPr>
              <w:t>.</w:t>
            </w:r>
            <w:r w:rsidRPr="00D62D04">
              <w:rPr>
                <w:rFonts w:eastAsia="Times New Roman"/>
                <w:bCs/>
                <w:sz w:val="20"/>
                <w:szCs w:val="20"/>
                <w:lang w:val="en-GB"/>
              </w:rPr>
              <w:t>00</w:t>
            </w:r>
          </w:p>
        </w:tc>
        <w:tc>
          <w:tcPr>
            <w:tcW w:w="1310" w:type="dxa"/>
            <w:vAlign w:val="center"/>
          </w:tcPr>
          <w:p w14:paraId="28F0326E" w14:textId="77777777" w:rsidR="00F31B10" w:rsidRPr="00D62D04" w:rsidRDefault="00F31B10" w:rsidP="002137FD">
            <w:pPr>
              <w:spacing w:after="0" w:line="240" w:lineRule="auto"/>
              <w:jc w:val="center"/>
              <w:rPr>
                <w:rFonts w:eastAsia="Times New Roman"/>
                <w:bCs/>
                <w:sz w:val="20"/>
                <w:szCs w:val="20"/>
                <w:lang w:val="en-GB"/>
              </w:rPr>
            </w:pPr>
            <w:r w:rsidRPr="00D62D04">
              <w:rPr>
                <w:rFonts w:eastAsia="Times New Roman"/>
                <w:bCs/>
                <w:sz w:val="20"/>
                <w:szCs w:val="20"/>
                <w:lang w:val="en-GB"/>
              </w:rPr>
              <w:t>195</w:t>
            </w:r>
            <w:r w:rsidR="002137FD" w:rsidRPr="00D62D04">
              <w:rPr>
                <w:rFonts w:eastAsia="Times New Roman"/>
                <w:bCs/>
                <w:sz w:val="20"/>
                <w:szCs w:val="20"/>
                <w:lang w:val="en-GB"/>
              </w:rPr>
              <w:t>,</w:t>
            </w:r>
            <w:r w:rsidRPr="00D62D04">
              <w:rPr>
                <w:rFonts w:eastAsia="Times New Roman"/>
                <w:bCs/>
                <w:sz w:val="20"/>
                <w:szCs w:val="20"/>
                <w:lang w:val="en-GB"/>
              </w:rPr>
              <w:t>000</w:t>
            </w:r>
            <w:r w:rsidR="002137FD" w:rsidRPr="00D62D04">
              <w:rPr>
                <w:rFonts w:eastAsia="Times New Roman"/>
                <w:bCs/>
                <w:sz w:val="20"/>
                <w:szCs w:val="20"/>
                <w:lang w:val="en-GB"/>
              </w:rPr>
              <w:t>.</w:t>
            </w:r>
            <w:r w:rsidRPr="00D62D04">
              <w:rPr>
                <w:rFonts w:eastAsia="Times New Roman"/>
                <w:bCs/>
                <w:sz w:val="20"/>
                <w:szCs w:val="20"/>
                <w:lang w:val="en-GB"/>
              </w:rPr>
              <w:t>00</w:t>
            </w:r>
          </w:p>
        </w:tc>
      </w:tr>
      <w:tr w:rsidR="00F31B10" w:rsidRPr="00D62D04" w14:paraId="43E1EEB8" w14:textId="77777777" w:rsidTr="0056662A">
        <w:trPr>
          <w:trHeight w:val="286"/>
        </w:trPr>
        <w:tc>
          <w:tcPr>
            <w:tcW w:w="2417" w:type="dxa"/>
            <w:vAlign w:val="center"/>
          </w:tcPr>
          <w:p w14:paraId="122FE3FB" w14:textId="77777777" w:rsidR="00F31B10" w:rsidRPr="00D62D04" w:rsidRDefault="002137FD" w:rsidP="0056662A">
            <w:pPr>
              <w:spacing w:after="0" w:line="240" w:lineRule="auto"/>
              <w:rPr>
                <w:rFonts w:eastAsia="Times New Roman"/>
                <w:bCs/>
                <w:iCs/>
                <w:sz w:val="20"/>
                <w:szCs w:val="20"/>
                <w:lang w:val="en-GB"/>
              </w:rPr>
            </w:pPr>
            <w:r w:rsidRPr="00D62D04">
              <w:rPr>
                <w:rFonts w:eastAsia="Times New Roman"/>
                <w:bCs/>
                <w:iCs/>
                <w:sz w:val="20"/>
                <w:szCs w:val="20"/>
                <w:lang w:val="en-GB"/>
              </w:rPr>
              <w:t xml:space="preserve">Croats </w:t>
            </w:r>
          </w:p>
        </w:tc>
        <w:tc>
          <w:tcPr>
            <w:tcW w:w="1393" w:type="dxa"/>
            <w:vAlign w:val="center"/>
          </w:tcPr>
          <w:p w14:paraId="5249DC30" w14:textId="77777777" w:rsidR="00F31B10" w:rsidRPr="00D62D04" w:rsidRDefault="00F31B10" w:rsidP="002137FD">
            <w:pPr>
              <w:spacing w:after="0" w:line="240" w:lineRule="auto"/>
              <w:jc w:val="center"/>
              <w:rPr>
                <w:rFonts w:eastAsia="Times New Roman"/>
                <w:bCs/>
                <w:sz w:val="20"/>
                <w:szCs w:val="20"/>
                <w:lang w:val="en-GB"/>
              </w:rPr>
            </w:pPr>
            <w:r w:rsidRPr="00D62D04">
              <w:rPr>
                <w:rFonts w:eastAsia="Times New Roman"/>
                <w:bCs/>
                <w:sz w:val="20"/>
                <w:szCs w:val="20"/>
                <w:lang w:val="en-GB"/>
              </w:rPr>
              <w:t>914</w:t>
            </w:r>
            <w:r w:rsidR="002137FD" w:rsidRPr="00D62D04">
              <w:rPr>
                <w:rFonts w:eastAsia="Times New Roman"/>
                <w:bCs/>
                <w:sz w:val="20"/>
                <w:szCs w:val="20"/>
                <w:lang w:val="en-GB"/>
              </w:rPr>
              <w:t>,</w:t>
            </w:r>
            <w:r w:rsidRPr="00D62D04">
              <w:rPr>
                <w:rFonts w:eastAsia="Times New Roman"/>
                <w:bCs/>
                <w:sz w:val="20"/>
                <w:szCs w:val="20"/>
                <w:lang w:val="en-GB"/>
              </w:rPr>
              <w:t>000</w:t>
            </w:r>
            <w:r w:rsidR="002137FD" w:rsidRPr="00D62D04">
              <w:rPr>
                <w:rFonts w:eastAsia="Times New Roman"/>
                <w:bCs/>
                <w:sz w:val="20"/>
                <w:szCs w:val="20"/>
                <w:lang w:val="en-GB"/>
              </w:rPr>
              <w:t>.</w:t>
            </w:r>
            <w:r w:rsidRPr="00D62D04">
              <w:rPr>
                <w:rFonts w:eastAsia="Times New Roman"/>
                <w:bCs/>
                <w:sz w:val="20"/>
                <w:szCs w:val="20"/>
                <w:lang w:val="en-GB"/>
              </w:rPr>
              <w:t>00</w:t>
            </w:r>
          </w:p>
        </w:tc>
        <w:tc>
          <w:tcPr>
            <w:tcW w:w="1468" w:type="dxa"/>
            <w:vAlign w:val="center"/>
          </w:tcPr>
          <w:p w14:paraId="76910CA1" w14:textId="77777777" w:rsidR="00F31B10" w:rsidRPr="00D62D04" w:rsidRDefault="00F31B10" w:rsidP="002137FD">
            <w:pPr>
              <w:spacing w:after="0" w:line="240" w:lineRule="auto"/>
              <w:jc w:val="center"/>
              <w:rPr>
                <w:rFonts w:eastAsia="Times New Roman"/>
                <w:bCs/>
                <w:sz w:val="20"/>
                <w:szCs w:val="20"/>
                <w:lang w:val="en-GB"/>
              </w:rPr>
            </w:pPr>
            <w:r w:rsidRPr="00D62D04">
              <w:rPr>
                <w:rFonts w:eastAsia="Times New Roman"/>
                <w:bCs/>
                <w:sz w:val="20"/>
                <w:szCs w:val="20"/>
                <w:lang w:val="en-GB"/>
              </w:rPr>
              <w:t>1</w:t>
            </w:r>
            <w:r w:rsidR="002137FD" w:rsidRPr="00D62D04">
              <w:rPr>
                <w:rFonts w:eastAsia="Times New Roman"/>
                <w:bCs/>
                <w:sz w:val="20"/>
                <w:szCs w:val="20"/>
                <w:lang w:val="en-GB"/>
              </w:rPr>
              <w:t>,</w:t>
            </w:r>
            <w:r w:rsidRPr="00D62D04">
              <w:rPr>
                <w:rFonts w:eastAsia="Times New Roman"/>
                <w:bCs/>
                <w:sz w:val="20"/>
                <w:szCs w:val="20"/>
                <w:lang w:val="en-GB"/>
              </w:rPr>
              <w:t>894</w:t>
            </w:r>
            <w:r w:rsidR="002137FD" w:rsidRPr="00D62D04">
              <w:rPr>
                <w:rFonts w:eastAsia="Times New Roman"/>
                <w:bCs/>
                <w:sz w:val="20"/>
                <w:szCs w:val="20"/>
                <w:lang w:val="en-GB"/>
              </w:rPr>
              <w:t>,</w:t>
            </w:r>
            <w:r w:rsidRPr="00D62D04">
              <w:rPr>
                <w:rFonts w:eastAsia="Times New Roman"/>
                <w:bCs/>
                <w:sz w:val="20"/>
                <w:szCs w:val="20"/>
                <w:lang w:val="en-GB"/>
              </w:rPr>
              <w:t>000</w:t>
            </w:r>
            <w:r w:rsidR="002137FD" w:rsidRPr="00D62D04">
              <w:rPr>
                <w:rFonts w:eastAsia="Times New Roman"/>
                <w:bCs/>
                <w:sz w:val="20"/>
                <w:szCs w:val="20"/>
                <w:lang w:val="en-GB"/>
              </w:rPr>
              <w:t>.</w:t>
            </w:r>
            <w:r w:rsidRPr="00D62D04">
              <w:rPr>
                <w:rFonts w:eastAsia="Times New Roman"/>
                <w:bCs/>
                <w:sz w:val="20"/>
                <w:szCs w:val="20"/>
                <w:lang w:val="en-GB"/>
              </w:rPr>
              <w:t>00</w:t>
            </w:r>
          </w:p>
        </w:tc>
        <w:tc>
          <w:tcPr>
            <w:tcW w:w="1317" w:type="dxa"/>
            <w:vAlign w:val="center"/>
          </w:tcPr>
          <w:p w14:paraId="359E6B9C" w14:textId="77777777" w:rsidR="00F31B10" w:rsidRPr="00D62D04" w:rsidRDefault="00F31B10" w:rsidP="002137FD">
            <w:pPr>
              <w:spacing w:after="0" w:line="240" w:lineRule="auto"/>
              <w:jc w:val="center"/>
              <w:rPr>
                <w:rFonts w:eastAsia="Times New Roman"/>
                <w:bCs/>
                <w:sz w:val="20"/>
                <w:szCs w:val="20"/>
                <w:lang w:val="en-GB"/>
              </w:rPr>
            </w:pPr>
            <w:r w:rsidRPr="00D62D04">
              <w:rPr>
                <w:rFonts w:eastAsia="Times New Roman"/>
                <w:bCs/>
                <w:sz w:val="20"/>
                <w:szCs w:val="20"/>
                <w:lang w:val="en-GB"/>
              </w:rPr>
              <w:t>1</w:t>
            </w:r>
            <w:r w:rsidR="002137FD" w:rsidRPr="00D62D04">
              <w:rPr>
                <w:rFonts w:eastAsia="Times New Roman"/>
                <w:bCs/>
                <w:sz w:val="20"/>
                <w:szCs w:val="20"/>
                <w:lang w:val="en-GB"/>
              </w:rPr>
              <w:t>,</w:t>
            </w:r>
            <w:r w:rsidRPr="00D62D04">
              <w:rPr>
                <w:rFonts w:eastAsia="Times New Roman"/>
                <w:bCs/>
                <w:sz w:val="20"/>
                <w:szCs w:val="20"/>
                <w:lang w:val="en-GB"/>
              </w:rPr>
              <w:t>000</w:t>
            </w:r>
            <w:r w:rsidR="002137FD" w:rsidRPr="00D62D04">
              <w:rPr>
                <w:rFonts w:eastAsia="Times New Roman"/>
                <w:bCs/>
                <w:sz w:val="20"/>
                <w:szCs w:val="20"/>
                <w:lang w:val="en-GB"/>
              </w:rPr>
              <w:t>.</w:t>
            </w:r>
            <w:r w:rsidRPr="00D62D04">
              <w:rPr>
                <w:rFonts w:eastAsia="Times New Roman"/>
                <w:bCs/>
                <w:sz w:val="20"/>
                <w:szCs w:val="20"/>
                <w:lang w:val="en-GB"/>
              </w:rPr>
              <w:t>000</w:t>
            </w:r>
            <w:r w:rsidR="002137FD" w:rsidRPr="00D62D04">
              <w:rPr>
                <w:rFonts w:eastAsia="Times New Roman"/>
                <w:bCs/>
                <w:sz w:val="20"/>
                <w:szCs w:val="20"/>
                <w:lang w:val="en-GB"/>
              </w:rPr>
              <w:t>.</w:t>
            </w:r>
            <w:r w:rsidRPr="00D62D04">
              <w:rPr>
                <w:rFonts w:eastAsia="Times New Roman"/>
                <w:bCs/>
                <w:sz w:val="20"/>
                <w:szCs w:val="20"/>
                <w:lang w:val="en-GB"/>
              </w:rPr>
              <w:t>00</w:t>
            </w:r>
          </w:p>
        </w:tc>
        <w:tc>
          <w:tcPr>
            <w:tcW w:w="1433" w:type="dxa"/>
            <w:vAlign w:val="center"/>
          </w:tcPr>
          <w:p w14:paraId="19930189" w14:textId="77777777" w:rsidR="00F31B10" w:rsidRPr="00D62D04" w:rsidRDefault="00F31B10" w:rsidP="002137FD">
            <w:pPr>
              <w:spacing w:after="0" w:line="240" w:lineRule="auto"/>
              <w:jc w:val="center"/>
              <w:rPr>
                <w:rFonts w:eastAsia="Times New Roman"/>
                <w:bCs/>
                <w:sz w:val="20"/>
                <w:szCs w:val="20"/>
                <w:lang w:val="en-GB"/>
              </w:rPr>
            </w:pPr>
            <w:r w:rsidRPr="00D62D04">
              <w:rPr>
                <w:rFonts w:eastAsia="Times New Roman"/>
                <w:bCs/>
                <w:sz w:val="20"/>
                <w:szCs w:val="20"/>
                <w:lang w:val="en-GB"/>
              </w:rPr>
              <w:t>990</w:t>
            </w:r>
            <w:r w:rsidR="002137FD" w:rsidRPr="00D62D04">
              <w:rPr>
                <w:rFonts w:eastAsia="Times New Roman"/>
                <w:bCs/>
                <w:sz w:val="20"/>
                <w:szCs w:val="20"/>
                <w:lang w:val="en-GB"/>
              </w:rPr>
              <w:t>,</w:t>
            </w:r>
            <w:r w:rsidRPr="00D62D04">
              <w:rPr>
                <w:rFonts w:eastAsia="Times New Roman"/>
                <w:bCs/>
                <w:sz w:val="20"/>
                <w:szCs w:val="20"/>
                <w:lang w:val="en-GB"/>
              </w:rPr>
              <w:t>000.00</w:t>
            </w:r>
          </w:p>
        </w:tc>
        <w:tc>
          <w:tcPr>
            <w:tcW w:w="1310" w:type="dxa"/>
            <w:vAlign w:val="center"/>
          </w:tcPr>
          <w:p w14:paraId="37AEB1A6" w14:textId="77777777" w:rsidR="00F31B10" w:rsidRPr="00D62D04" w:rsidRDefault="00F31B10" w:rsidP="002137FD">
            <w:pPr>
              <w:spacing w:after="0" w:line="240" w:lineRule="auto"/>
              <w:jc w:val="center"/>
              <w:rPr>
                <w:rFonts w:eastAsia="Times New Roman"/>
                <w:bCs/>
                <w:sz w:val="20"/>
                <w:szCs w:val="20"/>
                <w:lang w:val="en-GB"/>
              </w:rPr>
            </w:pPr>
            <w:r w:rsidRPr="00D62D04">
              <w:rPr>
                <w:rFonts w:eastAsia="Times New Roman"/>
                <w:bCs/>
                <w:sz w:val="20"/>
                <w:szCs w:val="20"/>
                <w:lang w:val="en-GB"/>
              </w:rPr>
              <w:t>1</w:t>
            </w:r>
            <w:r w:rsidR="002137FD" w:rsidRPr="00D62D04">
              <w:rPr>
                <w:rFonts w:eastAsia="Times New Roman"/>
                <w:bCs/>
                <w:sz w:val="20"/>
                <w:szCs w:val="20"/>
                <w:lang w:val="en-GB"/>
              </w:rPr>
              <w:t>,</w:t>
            </w:r>
            <w:r w:rsidRPr="00D62D04">
              <w:rPr>
                <w:rFonts w:eastAsia="Times New Roman"/>
                <w:bCs/>
                <w:sz w:val="20"/>
                <w:szCs w:val="20"/>
                <w:lang w:val="en-GB"/>
              </w:rPr>
              <w:t>000</w:t>
            </w:r>
            <w:r w:rsidR="002137FD" w:rsidRPr="00D62D04">
              <w:rPr>
                <w:rFonts w:eastAsia="Times New Roman"/>
                <w:bCs/>
                <w:sz w:val="20"/>
                <w:szCs w:val="20"/>
                <w:lang w:val="en-GB"/>
              </w:rPr>
              <w:t>,</w:t>
            </w:r>
            <w:r w:rsidRPr="00D62D04">
              <w:rPr>
                <w:rFonts w:eastAsia="Times New Roman"/>
                <w:bCs/>
                <w:sz w:val="20"/>
                <w:szCs w:val="20"/>
                <w:lang w:val="en-GB"/>
              </w:rPr>
              <w:t>000</w:t>
            </w:r>
            <w:r w:rsidR="002137FD" w:rsidRPr="00D62D04">
              <w:rPr>
                <w:rFonts w:eastAsia="Times New Roman"/>
                <w:bCs/>
                <w:sz w:val="20"/>
                <w:szCs w:val="20"/>
                <w:lang w:val="en-GB"/>
              </w:rPr>
              <w:t>.</w:t>
            </w:r>
            <w:r w:rsidRPr="00D62D04">
              <w:rPr>
                <w:rFonts w:eastAsia="Times New Roman"/>
                <w:bCs/>
                <w:sz w:val="20"/>
                <w:szCs w:val="20"/>
                <w:lang w:val="en-GB"/>
              </w:rPr>
              <w:t>00</w:t>
            </w:r>
          </w:p>
        </w:tc>
      </w:tr>
      <w:tr w:rsidR="00F31B10" w:rsidRPr="00D62D04" w14:paraId="1538F983" w14:textId="77777777" w:rsidTr="0056662A">
        <w:trPr>
          <w:trHeight w:val="286"/>
        </w:trPr>
        <w:tc>
          <w:tcPr>
            <w:tcW w:w="2417" w:type="dxa"/>
            <w:vAlign w:val="center"/>
          </w:tcPr>
          <w:p w14:paraId="4D8FD246" w14:textId="77777777" w:rsidR="00F31B10" w:rsidRPr="00D62D04" w:rsidRDefault="002137FD" w:rsidP="0056662A">
            <w:pPr>
              <w:spacing w:after="0" w:line="240" w:lineRule="auto"/>
              <w:rPr>
                <w:rFonts w:eastAsia="Times New Roman"/>
                <w:bCs/>
                <w:iCs/>
                <w:sz w:val="20"/>
                <w:szCs w:val="20"/>
                <w:lang w:val="en-GB"/>
              </w:rPr>
            </w:pPr>
            <w:r w:rsidRPr="00D62D04">
              <w:rPr>
                <w:rFonts w:eastAsia="Times New Roman"/>
                <w:bCs/>
                <w:iCs/>
                <w:sz w:val="20"/>
                <w:szCs w:val="20"/>
                <w:lang w:val="en-GB"/>
              </w:rPr>
              <w:t xml:space="preserve">Montenegrins </w:t>
            </w:r>
          </w:p>
        </w:tc>
        <w:tc>
          <w:tcPr>
            <w:tcW w:w="1393" w:type="dxa"/>
            <w:vAlign w:val="center"/>
          </w:tcPr>
          <w:p w14:paraId="2182A192" w14:textId="77777777" w:rsidR="00F31B10" w:rsidRPr="00D62D04" w:rsidRDefault="00F31B10" w:rsidP="002137FD">
            <w:pPr>
              <w:spacing w:after="0" w:line="240" w:lineRule="auto"/>
              <w:jc w:val="center"/>
              <w:rPr>
                <w:rFonts w:eastAsia="Times New Roman"/>
                <w:bCs/>
                <w:sz w:val="20"/>
                <w:szCs w:val="20"/>
                <w:lang w:val="en-GB"/>
              </w:rPr>
            </w:pPr>
            <w:r w:rsidRPr="00D62D04">
              <w:rPr>
                <w:rFonts w:eastAsia="Times New Roman"/>
                <w:bCs/>
                <w:sz w:val="20"/>
                <w:szCs w:val="20"/>
                <w:lang w:val="en-GB"/>
              </w:rPr>
              <w:t>207</w:t>
            </w:r>
            <w:r w:rsidR="002137FD" w:rsidRPr="00D62D04">
              <w:rPr>
                <w:rFonts w:eastAsia="Times New Roman"/>
                <w:bCs/>
                <w:sz w:val="20"/>
                <w:szCs w:val="20"/>
                <w:lang w:val="en-GB"/>
              </w:rPr>
              <w:t>,</w:t>
            </w:r>
            <w:r w:rsidRPr="00D62D04">
              <w:rPr>
                <w:rFonts w:eastAsia="Times New Roman"/>
                <w:bCs/>
                <w:sz w:val="20"/>
                <w:szCs w:val="20"/>
                <w:lang w:val="en-GB"/>
              </w:rPr>
              <w:t>000</w:t>
            </w:r>
            <w:r w:rsidR="002137FD" w:rsidRPr="00D62D04">
              <w:rPr>
                <w:rFonts w:eastAsia="Times New Roman"/>
                <w:bCs/>
                <w:sz w:val="20"/>
                <w:szCs w:val="20"/>
                <w:lang w:val="en-GB"/>
              </w:rPr>
              <w:t>.</w:t>
            </w:r>
            <w:r w:rsidRPr="00D62D04">
              <w:rPr>
                <w:rFonts w:eastAsia="Times New Roman"/>
                <w:bCs/>
                <w:sz w:val="20"/>
                <w:szCs w:val="20"/>
                <w:lang w:val="en-GB"/>
              </w:rPr>
              <w:t>00</w:t>
            </w:r>
          </w:p>
        </w:tc>
        <w:tc>
          <w:tcPr>
            <w:tcW w:w="1468" w:type="dxa"/>
            <w:vAlign w:val="center"/>
          </w:tcPr>
          <w:p w14:paraId="2B7D2539" w14:textId="77777777" w:rsidR="00F31B10" w:rsidRPr="00D62D04" w:rsidRDefault="00F31B10" w:rsidP="002137FD">
            <w:pPr>
              <w:spacing w:after="0" w:line="240" w:lineRule="auto"/>
              <w:jc w:val="center"/>
              <w:rPr>
                <w:rFonts w:eastAsia="Times New Roman"/>
                <w:bCs/>
                <w:sz w:val="20"/>
                <w:szCs w:val="20"/>
                <w:lang w:val="en-GB"/>
              </w:rPr>
            </w:pPr>
            <w:r w:rsidRPr="00D62D04">
              <w:rPr>
                <w:rFonts w:eastAsia="Times New Roman"/>
                <w:bCs/>
                <w:sz w:val="20"/>
                <w:szCs w:val="20"/>
                <w:lang w:val="en-GB"/>
              </w:rPr>
              <w:t>432</w:t>
            </w:r>
            <w:r w:rsidR="002137FD" w:rsidRPr="00D62D04">
              <w:rPr>
                <w:rFonts w:eastAsia="Times New Roman"/>
                <w:bCs/>
                <w:sz w:val="20"/>
                <w:szCs w:val="20"/>
                <w:lang w:val="en-GB"/>
              </w:rPr>
              <w:t>,</w:t>
            </w:r>
            <w:r w:rsidRPr="00D62D04">
              <w:rPr>
                <w:rFonts w:eastAsia="Times New Roman"/>
                <w:bCs/>
                <w:sz w:val="20"/>
                <w:szCs w:val="20"/>
                <w:lang w:val="en-GB"/>
              </w:rPr>
              <w:t>000</w:t>
            </w:r>
            <w:r w:rsidR="002137FD" w:rsidRPr="00D62D04">
              <w:rPr>
                <w:rFonts w:eastAsia="Times New Roman"/>
                <w:bCs/>
                <w:sz w:val="20"/>
                <w:szCs w:val="20"/>
                <w:lang w:val="en-GB"/>
              </w:rPr>
              <w:t>.</w:t>
            </w:r>
            <w:r w:rsidRPr="00D62D04">
              <w:rPr>
                <w:rFonts w:eastAsia="Times New Roman"/>
                <w:bCs/>
                <w:sz w:val="20"/>
                <w:szCs w:val="20"/>
                <w:lang w:val="en-GB"/>
              </w:rPr>
              <w:t>00</w:t>
            </w:r>
          </w:p>
        </w:tc>
        <w:tc>
          <w:tcPr>
            <w:tcW w:w="1317" w:type="dxa"/>
            <w:vAlign w:val="center"/>
          </w:tcPr>
          <w:p w14:paraId="7B09C49C" w14:textId="77777777" w:rsidR="00F31B10" w:rsidRPr="00D62D04" w:rsidRDefault="00F31B10" w:rsidP="002137FD">
            <w:pPr>
              <w:spacing w:after="0" w:line="240" w:lineRule="auto"/>
              <w:jc w:val="center"/>
              <w:rPr>
                <w:rFonts w:eastAsia="Times New Roman"/>
                <w:bCs/>
                <w:sz w:val="20"/>
                <w:szCs w:val="20"/>
                <w:lang w:val="en-GB"/>
              </w:rPr>
            </w:pPr>
            <w:r w:rsidRPr="00D62D04">
              <w:rPr>
                <w:rFonts w:eastAsia="Times New Roman"/>
                <w:bCs/>
                <w:sz w:val="20"/>
                <w:szCs w:val="20"/>
                <w:lang w:val="en-GB"/>
              </w:rPr>
              <w:t>180</w:t>
            </w:r>
            <w:r w:rsidR="002137FD" w:rsidRPr="00D62D04">
              <w:rPr>
                <w:rFonts w:eastAsia="Times New Roman"/>
                <w:bCs/>
                <w:sz w:val="20"/>
                <w:szCs w:val="20"/>
                <w:lang w:val="en-GB"/>
              </w:rPr>
              <w:t>,</w:t>
            </w:r>
            <w:r w:rsidRPr="00D62D04">
              <w:rPr>
                <w:rFonts w:eastAsia="Times New Roman"/>
                <w:bCs/>
                <w:sz w:val="20"/>
                <w:szCs w:val="20"/>
                <w:lang w:val="en-GB"/>
              </w:rPr>
              <w:t>000</w:t>
            </w:r>
            <w:r w:rsidR="002137FD" w:rsidRPr="00D62D04">
              <w:rPr>
                <w:rFonts w:eastAsia="Times New Roman"/>
                <w:bCs/>
                <w:sz w:val="20"/>
                <w:szCs w:val="20"/>
                <w:lang w:val="en-GB"/>
              </w:rPr>
              <w:t>.</w:t>
            </w:r>
            <w:r w:rsidRPr="00D62D04">
              <w:rPr>
                <w:rFonts w:eastAsia="Times New Roman"/>
                <w:bCs/>
                <w:sz w:val="20"/>
                <w:szCs w:val="20"/>
                <w:lang w:val="en-GB"/>
              </w:rPr>
              <w:t>00</w:t>
            </w:r>
          </w:p>
        </w:tc>
        <w:tc>
          <w:tcPr>
            <w:tcW w:w="1433" w:type="dxa"/>
            <w:vAlign w:val="center"/>
          </w:tcPr>
          <w:p w14:paraId="40C88AC2" w14:textId="77777777" w:rsidR="00F31B10" w:rsidRPr="00D62D04" w:rsidRDefault="00F31B10" w:rsidP="002137FD">
            <w:pPr>
              <w:spacing w:after="0" w:line="240" w:lineRule="auto"/>
              <w:jc w:val="center"/>
              <w:rPr>
                <w:rFonts w:eastAsia="Times New Roman"/>
                <w:bCs/>
                <w:sz w:val="20"/>
                <w:szCs w:val="20"/>
                <w:lang w:val="en-GB"/>
              </w:rPr>
            </w:pPr>
            <w:r w:rsidRPr="00D62D04">
              <w:rPr>
                <w:rFonts w:eastAsia="Times New Roman"/>
                <w:bCs/>
                <w:sz w:val="20"/>
                <w:szCs w:val="20"/>
                <w:lang w:val="en-GB"/>
              </w:rPr>
              <w:t>180</w:t>
            </w:r>
            <w:r w:rsidR="002137FD" w:rsidRPr="00D62D04">
              <w:rPr>
                <w:rFonts w:eastAsia="Times New Roman"/>
                <w:bCs/>
                <w:sz w:val="20"/>
                <w:szCs w:val="20"/>
                <w:lang w:val="en-GB"/>
              </w:rPr>
              <w:t>,</w:t>
            </w:r>
            <w:r w:rsidRPr="00D62D04">
              <w:rPr>
                <w:rFonts w:eastAsia="Times New Roman"/>
                <w:bCs/>
                <w:sz w:val="20"/>
                <w:szCs w:val="20"/>
                <w:lang w:val="en-GB"/>
              </w:rPr>
              <w:t>000</w:t>
            </w:r>
            <w:r w:rsidR="002137FD" w:rsidRPr="00D62D04">
              <w:rPr>
                <w:rFonts w:eastAsia="Times New Roman"/>
                <w:bCs/>
                <w:sz w:val="20"/>
                <w:szCs w:val="20"/>
                <w:lang w:val="en-GB"/>
              </w:rPr>
              <w:t>.</w:t>
            </w:r>
            <w:r w:rsidRPr="00D62D04">
              <w:rPr>
                <w:rFonts w:eastAsia="Times New Roman"/>
                <w:bCs/>
                <w:sz w:val="20"/>
                <w:szCs w:val="20"/>
                <w:lang w:val="en-GB"/>
              </w:rPr>
              <w:t>00</w:t>
            </w:r>
          </w:p>
        </w:tc>
        <w:tc>
          <w:tcPr>
            <w:tcW w:w="1310" w:type="dxa"/>
            <w:vAlign w:val="center"/>
          </w:tcPr>
          <w:p w14:paraId="68801881" w14:textId="77777777" w:rsidR="00F31B10" w:rsidRPr="00D62D04" w:rsidRDefault="00F31B10" w:rsidP="002137FD">
            <w:pPr>
              <w:spacing w:after="0" w:line="240" w:lineRule="auto"/>
              <w:jc w:val="center"/>
              <w:rPr>
                <w:rFonts w:eastAsia="Times New Roman"/>
                <w:bCs/>
                <w:sz w:val="20"/>
                <w:szCs w:val="20"/>
                <w:lang w:val="en-GB"/>
              </w:rPr>
            </w:pPr>
            <w:r w:rsidRPr="00D62D04">
              <w:rPr>
                <w:rFonts w:eastAsia="Times New Roman"/>
                <w:bCs/>
                <w:sz w:val="20"/>
                <w:szCs w:val="20"/>
                <w:lang w:val="en-GB"/>
              </w:rPr>
              <w:t>175</w:t>
            </w:r>
            <w:r w:rsidR="002137FD" w:rsidRPr="00D62D04">
              <w:rPr>
                <w:rFonts w:eastAsia="Times New Roman"/>
                <w:bCs/>
                <w:sz w:val="20"/>
                <w:szCs w:val="20"/>
                <w:lang w:val="en-GB"/>
              </w:rPr>
              <w:t>,</w:t>
            </w:r>
            <w:r w:rsidRPr="00D62D04">
              <w:rPr>
                <w:rFonts w:eastAsia="Times New Roman"/>
                <w:bCs/>
                <w:sz w:val="20"/>
                <w:szCs w:val="20"/>
                <w:lang w:val="en-GB"/>
              </w:rPr>
              <w:t>000</w:t>
            </w:r>
            <w:r w:rsidR="002137FD" w:rsidRPr="00D62D04">
              <w:rPr>
                <w:rFonts w:eastAsia="Times New Roman"/>
                <w:bCs/>
                <w:sz w:val="20"/>
                <w:szCs w:val="20"/>
                <w:lang w:val="en-GB"/>
              </w:rPr>
              <w:t>.</w:t>
            </w:r>
            <w:r w:rsidRPr="00D62D04">
              <w:rPr>
                <w:rFonts w:eastAsia="Times New Roman"/>
                <w:bCs/>
                <w:sz w:val="20"/>
                <w:szCs w:val="20"/>
                <w:lang w:val="en-GB"/>
              </w:rPr>
              <w:t>00</w:t>
            </w:r>
          </w:p>
        </w:tc>
      </w:tr>
      <w:tr w:rsidR="002137FD" w:rsidRPr="00D62D04" w14:paraId="6D2B31DE" w14:textId="77777777" w:rsidTr="002137FD">
        <w:trPr>
          <w:trHeight w:val="286"/>
        </w:trPr>
        <w:tc>
          <w:tcPr>
            <w:tcW w:w="2417" w:type="dxa"/>
            <w:vAlign w:val="bottom"/>
          </w:tcPr>
          <w:p w14:paraId="45C8D89A" w14:textId="77777777" w:rsidR="002137FD" w:rsidRPr="00D62D04" w:rsidRDefault="002137FD" w:rsidP="002137FD">
            <w:pPr>
              <w:spacing w:after="0"/>
              <w:rPr>
                <w:rFonts w:eastAsia="Times New Roman"/>
                <w:bCs/>
                <w:sz w:val="20"/>
                <w:szCs w:val="20"/>
                <w:lang w:val="en-GB"/>
              </w:rPr>
            </w:pPr>
            <w:r w:rsidRPr="00D62D04">
              <w:rPr>
                <w:rFonts w:eastAsia="Times New Roman"/>
                <w:bCs/>
                <w:sz w:val="20"/>
                <w:szCs w:val="20"/>
                <w:lang w:val="en-GB"/>
              </w:rPr>
              <w:t>Czechs</w:t>
            </w:r>
          </w:p>
        </w:tc>
        <w:tc>
          <w:tcPr>
            <w:tcW w:w="1393" w:type="dxa"/>
            <w:vAlign w:val="center"/>
          </w:tcPr>
          <w:p w14:paraId="452A66C2" w14:textId="77777777" w:rsidR="002137FD" w:rsidRPr="00D62D04" w:rsidRDefault="002137FD" w:rsidP="002137FD">
            <w:pPr>
              <w:spacing w:after="0" w:line="240" w:lineRule="auto"/>
              <w:jc w:val="center"/>
              <w:rPr>
                <w:rFonts w:eastAsia="Times New Roman"/>
                <w:bCs/>
                <w:sz w:val="20"/>
                <w:szCs w:val="20"/>
                <w:lang w:val="en-GB"/>
              </w:rPr>
            </w:pPr>
            <w:r w:rsidRPr="00D62D04">
              <w:rPr>
                <w:rFonts w:eastAsia="Times New Roman"/>
                <w:bCs/>
                <w:sz w:val="20"/>
                <w:szCs w:val="20"/>
                <w:lang w:val="en-GB"/>
              </w:rPr>
              <w:t>20,000.00</w:t>
            </w:r>
          </w:p>
        </w:tc>
        <w:tc>
          <w:tcPr>
            <w:tcW w:w="1468" w:type="dxa"/>
            <w:vAlign w:val="center"/>
          </w:tcPr>
          <w:p w14:paraId="06B50004" w14:textId="77777777" w:rsidR="002137FD" w:rsidRPr="00D62D04" w:rsidRDefault="002137FD" w:rsidP="002137FD">
            <w:pPr>
              <w:spacing w:after="0" w:line="240" w:lineRule="auto"/>
              <w:jc w:val="center"/>
              <w:rPr>
                <w:rFonts w:eastAsia="Times New Roman"/>
                <w:bCs/>
                <w:sz w:val="20"/>
                <w:szCs w:val="20"/>
                <w:lang w:val="en-GB"/>
              </w:rPr>
            </w:pPr>
            <w:r w:rsidRPr="00D62D04">
              <w:rPr>
                <w:rFonts w:eastAsia="Times New Roman"/>
                <w:bCs/>
                <w:sz w:val="20"/>
                <w:szCs w:val="20"/>
                <w:lang w:val="en-GB"/>
              </w:rPr>
              <w:t>70,000.00</w:t>
            </w:r>
          </w:p>
        </w:tc>
        <w:tc>
          <w:tcPr>
            <w:tcW w:w="1317" w:type="dxa"/>
            <w:vAlign w:val="center"/>
          </w:tcPr>
          <w:p w14:paraId="68CE3D44" w14:textId="77777777" w:rsidR="002137FD" w:rsidRPr="00D62D04" w:rsidRDefault="002137FD" w:rsidP="002137FD">
            <w:pPr>
              <w:spacing w:after="0" w:line="240" w:lineRule="auto"/>
              <w:jc w:val="center"/>
              <w:rPr>
                <w:rFonts w:eastAsia="Times New Roman"/>
                <w:bCs/>
                <w:sz w:val="20"/>
                <w:szCs w:val="20"/>
                <w:lang w:val="en-GB"/>
              </w:rPr>
            </w:pPr>
            <w:r w:rsidRPr="00D62D04">
              <w:rPr>
                <w:rFonts w:eastAsia="Times New Roman"/>
                <w:bCs/>
                <w:sz w:val="20"/>
                <w:szCs w:val="20"/>
                <w:lang w:val="en-GB"/>
              </w:rPr>
              <w:t>50,000.00</w:t>
            </w:r>
          </w:p>
        </w:tc>
        <w:tc>
          <w:tcPr>
            <w:tcW w:w="1433" w:type="dxa"/>
            <w:vAlign w:val="center"/>
          </w:tcPr>
          <w:p w14:paraId="4B115329" w14:textId="77777777" w:rsidR="002137FD" w:rsidRPr="00D62D04" w:rsidRDefault="002137FD" w:rsidP="002137FD">
            <w:pPr>
              <w:spacing w:after="0" w:line="240" w:lineRule="auto"/>
              <w:jc w:val="center"/>
              <w:rPr>
                <w:rFonts w:eastAsia="Times New Roman"/>
                <w:bCs/>
                <w:sz w:val="20"/>
                <w:szCs w:val="20"/>
                <w:lang w:val="en-GB"/>
              </w:rPr>
            </w:pPr>
            <w:r w:rsidRPr="00D62D04">
              <w:rPr>
                <w:rFonts w:eastAsia="Times New Roman"/>
                <w:bCs/>
                <w:sz w:val="20"/>
                <w:szCs w:val="20"/>
                <w:lang w:val="en-GB"/>
              </w:rPr>
              <w:t>50,000.00</w:t>
            </w:r>
          </w:p>
        </w:tc>
        <w:tc>
          <w:tcPr>
            <w:tcW w:w="1310" w:type="dxa"/>
            <w:vAlign w:val="center"/>
          </w:tcPr>
          <w:p w14:paraId="72B03697" w14:textId="77777777" w:rsidR="002137FD" w:rsidRPr="00D62D04" w:rsidRDefault="002137FD" w:rsidP="002137FD">
            <w:pPr>
              <w:spacing w:after="0" w:line="240" w:lineRule="auto"/>
              <w:jc w:val="center"/>
              <w:rPr>
                <w:rFonts w:eastAsia="Times New Roman"/>
                <w:bCs/>
                <w:sz w:val="20"/>
                <w:szCs w:val="20"/>
                <w:lang w:val="en-GB"/>
              </w:rPr>
            </w:pPr>
            <w:r w:rsidRPr="00D62D04">
              <w:rPr>
                <w:rFonts w:eastAsia="Times New Roman"/>
                <w:bCs/>
                <w:sz w:val="20"/>
                <w:szCs w:val="20"/>
                <w:lang w:val="en-GB"/>
              </w:rPr>
              <w:t>50,000.00</w:t>
            </w:r>
          </w:p>
        </w:tc>
      </w:tr>
    </w:tbl>
    <w:p w14:paraId="2D250AF5" w14:textId="77777777" w:rsidR="00F31B10" w:rsidRPr="00D62D04" w:rsidRDefault="00F31B10" w:rsidP="00F31B10">
      <w:pPr>
        <w:spacing w:after="0"/>
        <w:jc w:val="both"/>
        <w:rPr>
          <w:sz w:val="24"/>
          <w:szCs w:val="24"/>
          <w:highlight w:val="cyan"/>
          <w:lang w:val="en-GB"/>
        </w:rPr>
      </w:pPr>
    </w:p>
    <w:p w14:paraId="012235D8" w14:textId="77777777" w:rsidR="006718EC" w:rsidRPr="00D62D04" w:rsidRDefault="006718EC" w:rsidP="00F31B10">
      <w:pPr>
        <w:spacing w:after="0"/>
        <w:ind w:firstLine="720"/>
        <w:jc w:val="both"/>
        <w:rPr>
          <w:sz w:val="24"/>
          <w:szCs w:val="24"/>
          <w:lang w:val="en-GB"/>
        </w:rPr>
      </w:pPr>
      <w:r w:rsidRPr="00D62D04">
        <w:rPr>
          <w:sz w:val="24"/>
          <w:szCs w:val="24"/>
          <w:lang w:val="en-GB"/>
        </w:rPr>
        <w:t>As is the case with competitions at the state level, a large number of projects of national minorities or projects of importance for national minorities are financed at the provincial level as well through other competitions of the provincial secretariat in charge of culture. Data on the number of supported projects and the amount of funds per year are given in the table below.</w:t>
      </w:r>
    </w:p>
    <w:p w14:paraId="187854F8" w14:textId="77777777" w:rsidR="00F31B10" w:rsidRPr="00D62D04" w:rsidRDefault="00F31B10" w:rsidP="00F31B10">
      <w:pPr>
        <w:spacing w:after="0"/>
        <w:jc w:val="both"/>
        <w:rPr>
          <w:sz w:val="24"/>
          <w:szCs w:val="24"/>
          <w:highlight w:val="cyan"/>
          <w:lang w:val="en-GB"/>
        </w:rPr>
      </w:pPr>
    </w:p>
    <w:tbl>
      <w:tblPr>
        <w:tblStyle w:val="TableGrid"/>
        <w:tblW w:w="9356" w:type="dxa"/>
        <w:tblInd w:w="-147" w:type="dxa"/>
        <w:tblLook w:val="04A0" w:firstRow="1" w:lastRow="0" w:firstColumn="1" w:lastColumn="0" w:noHBand="0" w:noVBand="1"/>
      </w:tblPr>
      <w:tblGrid>
        <w:gridCol w:w="1950"/>
        <w:gridCol w:w="1804"/>
        <w:gridCol w:w="1804"/>
        <w:gridCol w:w="1804"/>
        <w:gridCol w:w="1994"/>
      </w:tblGrid>
      <w:tr w:rsidR="00F31B10" w:rsidRPr="00D62D04" w14:paraId="75AD0116" w14:textId="77777777" w:rsidTr="0056662A">
        <w:trPr>
          <w:trHeight w:val="278"/>
        </w:trPr>
        <w:tc>
          <w:tcPr>
            <w:tcW w:w="1950" w:type="dxa"/>
          </w:tcPr>
          <w:p w14:paraId="5B607C18" w14:textId="77777777" w:rsidR="00F31B10" w:rsidRPr="00D62D04" w:rsidRDefault="00F31B10" w:rsidP="0056662A">
            <w:pPr>
              <w:spacing w:after="0"/>
              <w:jc w:val="center"/>
              <w:rPr>
                <w:sz w:val="20"/>
                <w:szCs w:val="20"/>
                <w:lang w:val="en-GB"/>
              </w:rPr>
            </w:pPr>
          </w:p>
        </w:tc>
        <w:tc>
          <w:tcPr>
            <w:tcW w:w="1804" w:type="dxa"/>
          </w:tcPr>
          <w:p w14:paraId="1F858D6F" w14:textId="77777777" w:rsidR="00F31B10" w:rsidRPr="00D62D04" w:rsidRDefault="00B90620" w:rsidP="0056662A">
            <w:pPr>
              <w:spacing w:after="0"/>
              <w:jc w:val="center"/>
              <w:rPr>
                <w:sz w:val="20"/>
                <w:szCs w:val="20"/>
                <w:lang w:val="en-GB"/>
              </w:rPr>
            </w:pPr>
            <w:r w:rsidRPr="00D62D04">
              <w:rPr>
                <w:sz w:val="20"/>
                <w:szCs w:val="20"/>
                <w:lang w:val="en-GB"/>
              </w:rPr>
              <w:t>2018</w:t>
            </w:r>
          </w:p>
        </w:tc>
        <w:tc>
          <w:tcPr>
            <w:tcW w:w="1804" w:type="dxa"/>
          </w:tcPr>
          <w:p w14:paraId="618F9BE9" w14:textId="77777777" w:rsidR="00F31B10" w:rsidRPr="00D62D04" w:rsidRDefault="00B90620" w:rsidP="0056662A">
            <w:pPr>
              <w:spacing w:after="0"/>
              <w:jc w:val="center"/>
              <w:rPr>
                <w:sz w:val="20"/>
                <w:szCs w:val="20"/>
                <w:lang w:val="en-GB"/>
              </w:rPr>
            </w:pPr>
            <w:r w:rsidRPr="00D62D04">
              <w:rPr>
                <w:sz w:val="20"/>
                <w:szCs w:val="20"/>
                <w:lang w:val="en-GB"/>
              </w:rPr>
              <w:t>2019</w:t>
            </w:r>
          </w:p>
        </w:tc>
        <w:tc>
          <w:tcPr>
            <w:tcW w:w="1804" w:type="dxa"/>
          </w:tcPr>
          <w:p w14:paraId="5D5D2983" w14:textId="77777777" w:rsidR="00F31B10" w:rsidRPr="00D62D04" w:rsidRDefault="00F31B10" w:rsidP="0056662A">
            <w:pPr>
              <w:spacing w:after="0"/>
              <w:jc w:val="center"/>
              <w:rPr>
                <w:sz w:val="20"/>
                <w:szCs w:val="20"/>
                <w:lang w:val="en-GB"/>
              </w:rPr>
            </w:pPr>
            <w:r w:rsidRPr="00D62D04">
              <w:rPr>
                <w:sz w:val="20"/>
                <w:szCs w:val="20"/>
                <w:lang w:val="en-GB"/>
              </w:rPr>
              <w:t>2020</w:t>
            </w:r>
          </w:p>
        </w:tc>
        <w:tc>
          <w:tcPr>
            <w:tcW w:w="1994" w:type="dxa"/>
          </w:tcPr>
          <w:p w14:paraId="5A0E67B2" w14:textId="77777777" w:rsidR="00F31B10" w:rsidRPr="00D62D04" w:rsidRDefault="00B90620" w:rsidP="0056662A">
            <w:pPr>
              <w:spacing w:after="0"/>
              <w:jc w:val="center"/>
              <w:rPr>
                <w:sz w:val="20"/>
                <w:szCs w:val="20"/>
                <w:lang w:val="en-GB"/>
              </w:rPr>
            </w:pPr>
            <w:r w:rsidRPr="00D62D04">
              <w:rPr>
                <w:sz w:val="20"/>
                <w:szCs w:val="20"/>
                <w:lang w:val="en-GB"/>
              </w:rPr>
              <w:t>2021</w:t>
            </w:r>
          </w:p>
        </w:tc>
      </w:tr>
      <w:tr w:rsidR="00F31B10" w:rsidRPr="00D62D04" w14:paraId="00123CB6" w14:textId="77777777" w:rsidTr="0056662A">
        <w:trPr>
          <w:trHeight w:val="278"/>
        </w:trPr>
        <w:tc>
          <w:tcPr>
            <w:tcW w:w="1950" w:type="dxa"/>
            <w:vAlign w:val="bottom"/>
          </w:tcPr>
          <w:p w14:paraId="090F98A4" w14:textId="77777777" w:rsidR="00F31B10" w:rsidRPr="00D62D04" w:rsidRDefault="00B90620" w:rsidP="0056662A">
            <w:pPr>
              <w:spacing w:after="0"/>
              <w:rPr>
                <w:rFonts w:eastAsia="Times New Roman"/>
                <w:color w:val="000000"/>
                <w:sz w:val="20"/>
                <w:szCs w:val="20"/>
                <w:lang w:val="en-GB"/>
              </w:rPr>
            </w:pPr>
            <w:r w:rsidRPr="00D62D04">
              <w:rPr>
                <w:rFonts w:eastAsia="Times New Roman"/>
                <w:color w:val="000000"/>
                <w:sz w:val="20"/>
                <w:szCs w:val="20"/>
                <w:lang w:val="en-GB"/>
              </w:rPr>
              <w:t>Number of projects</w:t>
            </w:r>
          </w:p>
        </w:tc>
        <w:tc>
          <w:tcPr>
            <w:tcW w:w="1804" w:type="dxa"/>
            <w:vAlign w:val="center"/>
          </w:tcPr>
          <w:p w14:paraId="365F7191" w14:textId="77777777" w:rsidR="00F31B10" w:rsidRPr="00D62D04" w:rsidRDefault="00F31B10" w:rsidP="0056662A">
            <w:pPr>
              <w:spacing w:after="0"/>
              <w:jc w:val="center"/>
              <w:rPr>
                <w:rFonts w:eastAsia="Times New Roman"/>
                <w:color w:val="000000"/>
                <w:sz w:val="20"/>
                <w:szCs w:val="20"/>
                <w:lang w:val="en-GB"/>
              </w:rPr>
            </w:pPr>
            <w:r w:rsidRPr="00D62D04">
              <w:rPr>
                <w:rFonts w:eastAsia="Times New Roman"/>
                <w:color w:val="000000"/>
                <w:sz w:val="20"/>
                <w:szCs w:val="20"/>
                <w:lang w:val="en-GB"/>
              </w:rPr>
              <w:t>9</w:t>
            </w:r>
          </w:p>
        </w:tc>
        <w:tc>
          <w:tcPr>
            <w:tcW w:w="1804" w:type="dxa"/>
            <w:vAlign w:val="center"/>
          </w:tcPr>
          <w:p w14:paraId="0694A50A" w14:textId="77777777" w:rsidR="00F31B10" w:rsidRPr="00D62D04" w:rsidRDefault="00F31B10" w:rsidP="0056662A">
            <w:pPr>
              <w:spacing w:after="0"/>
              <w:jc w:val="center"/>
              <w:rPr>
                <w:rFonts w:eastAsia="Times New Roman"/>
                <w:color w:val="000000"/>
                <w:sz w:val="20"/>
                <w:szCs w:val="20"/>
                <w:lang w:val="en-GB"/>
              </w:rPr>
            </w:pPr>
            <w:r w:rsidRPr="00D62D04">
              <w:rPr>
                <w:rFonts w:eastAsia="Times New Roman"/>
                <w:color w:val="000000"/>
                <w:sz w:val="20"/>
                <w:szCs w:val="20"/>
                <w:lang w:val="en-GB"/>
              </w:rPr>
              <w:t>11</w:t>
            </w:r>
          </w:p>
        </w:tc>
        <w:tc>
          <w:tcPr>
            <w:tcW w:w="1804" w:type="dxa"/>
            <w:vAlign w:val="center"/>
          </w:tcPr>
          <w:p w14:paraId="0F8C308D" w14:textId="77777777" w:rsidR="00F31B10" w:rsidRPr="00D62D04" w:rsidRDefault="00F31B10" w:rsidP="0056662A">
            <w:pPr>
              <w:spacing w:after="0"/>
              <w:jc w:val="center"/>
              <w:rPr>
                <w:rFonts w:eastAsia="Times New Roman"/>
                <w:color w:val="000000"/>
                <w:sz w:val="20"/>
                <w:szCs w:val="20"/>
                <w:lang w:val="en-GB"/>
              </w:rPr>
            </w:pPr>
            <w:r w:rsidRPr="00D62D04">
              <w:rPr>
                <w:rFonts w:eastAsia="Times New Roman"/>
                <w:color w:val="000000"/>
                <w:sz w:val="20"/>
                <w:szCs w:val="20"/>
                <w:lang w:val="en-GB"/>
              </w:rPr>
              <w:t>7</w:t>
            </w:r>
          </w:p>
        </w:tc>
        <w:tc>
          <w:tcPr>
            <w:tcW w:w="1994" w:type="dxa"/>
            <w:vAlign w:val="center"/>
          </w:tcPr>
          <w:p w14:paraId="102F4261" w14:textId="77777777" w:rsidR="00F31B10" w:rsidRPr="00D62D04" w:rsidRDefault="00F31B10" w:rsidP="0056662A">
            <w:pPr>
              <w:spacing w:after="0"/>
              <w:jc w:val="center"/>
              <w:rPr>
                <w:rFonts w:eastAsia="Times New Roman"/>
                <w:color w:val="000000"/>
                <w:sz w:val="20"/>
                <w:szCs w:val="20"/>
                <w:lang w:val="en-GB"/>
              </w:rPr>
            </w:pPr>
            <w:r w:rsidRPr="00D62D04">
              <w:rPr>
                <w:rFonts w:eastAsia="Times New Roman"/>
                <w:color w:val="000000"/>
                <w:sz w:val="20"/>
                <w:szCs w:val="20"/>
                <w:lang w:val="en-GB"/>
              </w:rPr>
              <w:t>15</w:t>
            </w:r>
          </w:p>
        </w:tc>
      </w:tr>
      <w:tr w:rsidR="00F31B10" w:rsidRPr="00D62D04" w14:paraId="09DF2161" w14:textId="77777777" w:rsidTr="0056662A">
        <w:trPr>
          <w:trHeight w:val="557"/>
        </w:trPr>
        <w:tc>
          <w:tcPr>
            <w:tcW w:w="1950" w:type="dxa"/>
            <w:vAlign w:val="center"/>
          </w:tcPr>
          <w:p w14:paraId="56AFD1CE" w14:textId="77777777" w:rsidR="00F31B10" w:rsidRPr="00D62D04" w:rsidRDefault="00B90620" w:rsidP="0056662A">
            <w:pPr>
              <w:spacing w:after="0"/>
              <w:jc w:val="both"/>
              <w:rPr>
                <w:sz w:val="20"/>
                <w:szCs w:val="20"/>
                <w:lang w:val="en-GB"/>
              </w:rPr>
            </w:pPr>
            <w:r w:rsidRPr="00D62D04">
              <w:rPr>
                <w:sz w:val="20"/>
                <w:szCs w:val="20"/>
                <w:lang w:val="en-GB"/>
              </w:rPr>
              <w:t>Amount of funds</w:t>
            </w:r>
          </w:p>
        </w:tc>
        <w:tc>
          <w:tcPr>
            <w:tcW w:w="1804" w:type="dxa"/>
            <w:vAlign w:val="center"/>
          </w:tcPr>
          <w:p w14:paraId="3210B4D0" w14:textId="77777777" w:rsidR="00F31B10" w:rsidRPr="00D62D04" w:rsidRDefault="00F31B10" w:rsidP="00B90620">
            <w:pPr>
              <w:spacing w:after="0"/>
              <w:jc w:val="center"/>
              <w:rPr>
                <w:sz w:val="20"/>
                <w:szCs w:val="20"/>
                <w:lang w:val="en-GB"/>
              </w:rPr>
            </w:pPr>
            <w:r w:rsidRPr="00D62D04">
              <w:rPr>
                <w:rFonts w:eastAsia="Times New Roman"/>
                <w:color w:val="000000"/>
                <w:sz w:val="20"/>
                <w:szCs w:val="20"/>
                <w:lang w:val="en-GB"/>
              </w:rPr>
              <w:t>2</w:t>
            </w:r>
            <w:r w:rsidR="00B90620" w:rsidRPr="00D62D04">
              <w:rPr>
                <w:rFonts w:eastAsia="Times New Roman"/>
                <w:color w:val="000000"/>
                <w:sz w:val="20"/>
                <w:szCs w:val="20"/>
                <w:lang w:val="en-GB"/>
              </w:rPr>
              <w:t>,</w:t>
            </w:r>
            <w:r w:rsidRPr="00D62D04">
              <w:rPr>
                <w:rFonts w:eastAsia="Times New Roman"/>
                <w:color w:val="000000"/>
                <w:sz w:val="20"/>
                <w:szCs w:val="20"/>
                <w:lang w:val="en-GB"/>
              </w:rPr>
              <w:t>600</w:t>
            </w:r>
            <w:r w:rsidR="00B90620" w:rsidRPr="00D62D04">
              <w:rPr>
                <w:rFonts w:eastAsia="Times New Roman"/>
                <w:color w:val="000000"/>
                <w:sz w:val="20"/>
                <w:szCs w:val="20"/>
                <w:lang w:val="en-GB"/>
              </w:rPr>
              <w:t>,</w:t>
            </w:r>
            <w:r w:rsidRPr="00D62D04">
              <w:rPr>
                <w:rFonts w:eastAsia="Times New Roman"/>
                <w:color w:val="000000"/>
                <w:sz w:val="20"/>
                <w:szCs w:val="20"/>
                <w:lang w:val="en-GB"/>
              </w:rPr>
              <w:t>000</w:t>
            </w:r>
            <w:r w:rsidR="00B90620" w:rsidRPr="00D62D04">
              <w:rPr>
                <w:rFonts w:eastAsia="Times New Roman"/>
                <w:color w:val="000000"/>
                <w:sz w:val="20"/>
                <w:szCs w:val="20"/>
                <w:lang w:val="en-GB"/>
              </w:rPr>
              <w:t>.</w:t>
            </w:r>
            <w:r w:rsidRPr="00D62D04">
              <w:rPr>
                <w:rFonts w:eastAsia="Times New Roman"/>
                <w:color w:val="000000"/>
                <w:sz w:val="20"/>
                <w:szCs w:val="20"/>
                <w:lang w:val="en-GB"/>
              </w:rPr>
              <w:t>00</w:t>
            </w:r>
          </w:p>
        </w:tc>
        <w:tc>
          <w:tcPr>
            <w:tcW w:w="1804" w:type="dxa"/>
            <w:vAlign w:val="center"/>
          </w:tcPr>
          <w:p w14:paraId="45F56308" w14:textId="77777777" w:rsidR="00F31B10" w:rsidRPr="00D62D04" w:rsidRDefault="00F31B10" w:rsidP="00B90620">
            <w:pPr>
              <w:spacing w:after="0"/>
              <w:jc w:val="center"/>
              <w:rPr>
                <w:sz w:val="20"/>
                <w:szCs w:val="20"/>
                <w:lang w:val="en-GB"/>
              </w:rPr>
            </w:pPr>
            <w:r w:rsidRPr="00D62D04">
              <w:rPr>
                <w:rFonts w:eastAsia="Times New Roman"/>
                <w:color w:val="000000"/>
                <w:sz w:val="20"/>
                <w:szCs w:val="20"/>
                <w:lang w:val="en-GB"/>
              </w:rPr>
              <w:t>2</w:t>
            </w:r>
            <w:r w:rsidR="00B90620" w:rsidRPr="00D62D04">
              <w:rPr>
                <w:rFonts w:eastAsia="Times New Roman"/>
                <w:color w:val="000000"/>
                <w:sz w:val="20"/>
                <w:szCs w:val="20"/>
                <w:lang w:val="en-GB"/>
              </w:rPr>
              <w:t>,</w:t>
            </w:r>
            <w:r w:rsidRPr="00D62D04">
              <w:rPr>
                <w:rFonts w:eastAsia="Times New Roman"/>
                <w:color w:val="000000"/>
                <w:sz w:val="20"/>
                <w:szCs w:val="20"/>
                <w:lang w:val="en-GB"/>
              </w:rPr>
              <w:t>520</w:t>
            </w:r>
            <w:r w:rsidR="00B90620" w:rsidRPr="00D62D04">
              <w:rPr>
                <w:rFonts w:eastAsia="Times New Roman"/>
                <w:color w:val="000000"/>
                <w:sz w:val="20"/>
                <w:szCs w:val="20"/>
                <w:lang w:val="en-GB"/>
              </w:rPr>
              <w:t>,</w:t>
            </w:r>
            <w:r w:rsidRPr="00D62D04">
              <w:rPr>
                <w:rFonts w:eastAsia="Times New Roman"/>
                <w:color w:val="000000"/>
                <w:sz w:val="20"/>
                <w:szCs w:val="20"/>
                <w:lang w:val="en-GB"/>
              </w:rPr>
              <w:t>000</w:t>
            </w:r>
            <w:r w:rsidR="00B90620" w:rsidRPr="00D62D04">
              <w:rPr>
                <w:rFonts w:eastAsia="Times New Roman"/>
                <w:color w:val="000000"/>
                <w:sz w:val="20"/>
                <w:szCs w:val="20"/>
                <w:lang w:val="en-GB"/>
              </w:rPr>
              <w:t>.</w:t>
            </w:r>
            <w:r w:rsidRPr="00D62D04">
              <w:rPr>
                <w:rFonts w:eastAsia="Times New Roman"/>
                <w:color w:val="000000"/>
                <w:sz w:val="20"/>
                <w:szCs w:val="20"/>
                <w:lang w:val="en-GB"/>
              </w:rPr>
              <w:t>00</w:t>
            </w:r>
          </w:p>
        </w:tc>
        <w:tc>
          <w:tcPr>
            <w:tcW w:w="1804" w:type="dxa"/>
            <w:vAlign w:val="center"/>
          </w:tcPr>
          <w:p w14:paraId="71E51114" w14:textId="77777777" w:rsidR="00F31B10" w:rsidRPr="00D62D04" w:rsidRDefault="00F31B10" w:rsidP="00B90620">
            <w:pPr>
              <w:spacing w:after="0"/>
              <w:jc w:val="center"/>
              <w:rPr>
                <w:sz w:val="20"/>
                <w:szCs w:val="20"/>
                <w:lang w:val="en-GB"/>
              </w:rPr>
            </w:pPr>
            <w:r w:rsidRPr="00D62D04">
              <w:rPr>
                <w:rFonts w:eastAsia="Times New Roman"/>
                <w:color w:val="000000"/>
                <w:sz w:val="20"/>
                <w:szCs w:val="20"/>
                <w:lang w:val="en-GB"/>
              </w:rPr>
              <w:t>2</w:t>
            </w:r>
            <w:r w:rsidR="00B90620" w:rsidRPr="00D62D04">
              <w:rPr>
                <w:rFonts w:eastAsia="Times New Roman"/>
                <w:color w:val="000000"/>
                <w:sz w:val="20"/>
                <w:szCs w:val="20"/>
                <w:lang w:val="en-GB"/>
              </w:rPr>
              <w:t>,</w:t>
            </w:r>
            <w:r w:rsidRPr="00D62D04">
              <w:rPr>
                <w:rFonts w:eastAsia="Times New Roman"/>
                <w:color w:val="000000"/>
                <w:sz w:val="20"/>
                <w:szCs w:val="20"/>
                <w:lang w:val="en-GB"/>
              </w:rPr>
              <w:t>050</w:t>
            </w:r>
            <w:r w:rsidR="00B90620" w:rsidRPr="00D62D04">
              <w:rPr>
                <w:rFonts w:eastAsia="Times New Roman"/>
                <w:color w:val="000000"/>
                <w:sz w:val="20"/>
                <w:szCs w:val="20"/>
                <w:lang w:val="en-GB"/>
              </w:rPr>
              <w:t>,</w:t>
            </w:r>
            <w:r w:rsidRPr="00D62D04">
              <w:rPr>
                <w:rFonts w:eastAsia="Times New Roman"/>
                <w:color w:val="000000"/>
                <w:sz w:val="20"/>
                <w:szCs w:val="20"/>
                <w:lang w:val="en-GB"/>
              </w:rPr>
              <w:t>000</w:t>
            </w:r>
            <w:r w:rsidR="00B90620" w:rsidRPr="00D62D04">
              <w:rPr>
                <w:rFonts w:eastAsia="Times New Roman"/>
                <w:color w:val="000000"/>
                <w:sz w:val="20"/>
                <w:szCs w:val="20"/>
                <w:lang w:val="en-GB"/>
              </w:rPr>
              <w:t>.</w:t>
            </w:r>
            <w:r w:rsidRPr="00D62D04">
              <w:rPr>
                <w:rFonts w:eastAsia="Times New Roman"/>
                <w:color w:val="000000"/>
                <w:sz w:val="20"/>
                <w:szCs w:val="20"/>
                <w:lang w:val="en-GB"/>
              </w:rPr>
              <w:t>00</w:t>
            </w:r>
          </w:p>
        </w:tc>
        <w:tc>
          <w:tcPr>
            <w:tcW w:w="1994" w:type="dxa"/>
            <w:vAlign w:val="center"/>
          </w:tcPr>
          <w:p w14:paraId="7BCD3109" w14:textId="77777777" w:rsidR="00F31B10" w:rsidRPr="00D62D04" w:rsidRDefault="00F31B10" w:rsidP="00B90620">
            <w:pPr>
              <w:spacing w:after="0"/>
              <w:jc w:val="center"/>
              <w:rPr>
                <w:sz w:val="20"/>
                <w:szCs w:val="20"/>
                <w:lang w:val="en-GB"/>
              </w:rPr>
            </w:pPr>
            <w:r w:rsidRPr="00D62D04">
              <w:rPr>
                <w:rFonts w:eastAsia="Times New Roman"/>
                <w:color w:val="000000"/>
                <w:sz w:val="20"/>
                <w:szCs w:val="20"/>
                <w:lang w:val="en-GB"/>
              </w:rPr>
              <w:t>5</w:t>
            </w:r>
            <w:r w:rsidR="00B90620" w:rsidRPr="00D62D04">
              <w:rPr>
                <w:rFonts w:eastAsia="Times New Roman"/>
                <w:color w:val="000000"/>
                <w:sz w:val="20"/>
                <w:szCs w:val="20"/>
                <w:lang w:val="en-GB"/>
              </w:rPr>
              <w:t>,</w:t>
            </w:r>
            <w:r w:rsidRPr="00D62D04">
              <w:rPr>
                <w:rFonts w:eastAsia="Times New Roman"/>
                <w:color w:val="000000"/>
                <w:sz w:val="20"/>
                <w:szCs w:val="20"/>
                <w:lang w:val="en-GB"/>
              </w:rPr>
              <w:t>330</w:t>
            </w:r>
            <w:r w:rsidR="00B90620" w:rsidRPr="00D62D04">
              <w:rPr>
                <w:rFonts w:eastAsia="Times New Roman"/>
                <w:color w:val="000000"/>
                <w:sz w:val="20"/>
                <w:szCs w:val="20"/>
                <w:lang w:val="en-GB"/>
              </w:rPr>
              <w:t>,</w:t>
            </w:r>
            <w:r w:rsidRPr="00D62D04">
              <w:rPr>
                <w:rFonts w:eastAsia="Times New Roman"/>
                <w:color w:val="000000"/>
                <w:sz w:val="20"/>
                <w:szCs w:val="20"/>
                <w:lang w:val="en-GB"/>
              </w:rPr>
              <w:t>000</w:t>
            </w:r>
            <w:r w:rsidR="00B90620" w:rsidRPr="00D62D04">
              <w:rPr>
                <w:rFonts w:eastAsia="Times New Roman"/>
                <w:color w:val="000000"/>
                <w:sz w:val="20"/>
                <w:szCs w:val="20"/>
                <w:lang w:val="en-GB"/>
              </w:rPr>
              <w:t>.</w:t>
            </w:r>
            <w:r w:rsidRPr="00D62D04">
              <w:rPr>
                <w:rFonts w:eastAsia="Times New Roman"/>
                <w:color w:val="000000"/>
                <w:sz w:val="20"/>
                <w:szCs w:val="20"/>
                <w:lang w:val="en-GB"/>
              </w:rPr>
              <w:t>00</w:t>
            </w:r>
          </w:p>
        </w:tc>
      </w:tr>
    </w:tbl>
    <w:p w14:paraId="50104A7F" w14:textId="77777777" w:rsidR="00F31B10" w:rsidRPr="00D62D04" w:rsidRDefault="00F31B10" w:rsidP="00F31B10">
      <w:pPr>
        <w:spacing w:after="0"/>
        <w:jc w:val="both"/>
        <w:rPr>
          <w:sz w:val="24"/>
          <w:szCs w:val="24"/>
          <w:highlight w:val="cyan"/>
          <w:lang w:val="en-GB"/>
        </w:rPr>
      </w:pPr>
    </w:p>
    <w:p w14:paraId="1C06D630" w14:textId="77777777" w:rsidR="005A3D62" w:rsidRPr="00D62D04" w:rsidRDefault="005A3D62" w:rsidP="00F31B10">
      <w:pPr>
        <w:spacing w:after="0"/>
        <w:ind w:firstLine="720"/>
        <w:jc w:val="both"/>
        <w:rPr>
          <w:sz w:val="24"/>
          <w:szCs w:val="24"/>
          <w:lang w:val="en-GB"/>
        </w:rPr>
      </w:pPr>
      <w:r w:rsidRPr="00D62D04">
        <w:rPr>
          <w:sz w:val="24"/>
          <w:szCs w:val="24"/>
          <w:lang w:val="en-GB"/>
        </w:rPr>
        <w:t xml:space="preserve">In addition to the abovementioned, the budget of AP </w:t>
      </w:r>
      <w:proofErr w:type="spellStart"/>
      <w:r w:rsidRPr="00D62D04">
        <w:rPr>
          <w:sz w:val="24"/>
          <w:szCs w:val="24"/>
          <w:lang w:val="en-GB"/>
        </w:rPr>
        <w:t>Vojvodina</w:t>
      </w:r>
      <w:proofErr w:type="spellEnd"/>
      <w:r w:rsidRPr="00D62D04">
        <w:rPr>
          <w:sz w:val="24"/>
          <w:szCs w:val="24"/>
          <w:lang w:val="en-GB"/>
        </w:rPr>
        <w:t xml:space="preserve"> co-finances the work of the Institute for the Culture of National Minorities, the Publishing Institute "Forum" - "Forum </w:t>
      </w:r>
      <w:proofErr w:type="spellStart"/>
      <w:r w:rsidRPr="00D62D04">
        <w:rPr>
          <w:sz w:val="24"/>
          <w:szCs w:val="24"/>
          <w:lang w:val="en-GB"/>
        </w:rPr>
        <w:t>Könyvkiadó</w:t>
      </w:r>
      <w:proofErr w:type="spellEnd"/>
      <w:r w:rsidRPr="00D62D04">
        <w:rPr>
          <w:sz w:val="24"/>
          <w:szCs w:val="24"/>
          <w:lang w:val="en-GB"/>
        </w:rPr>
        <w:t xml:space="preserve"> </w:t>
      </w:r>
      <w:proofErr w:type="spellStart"/>
      <w:r w:rsidRPr="00D62D04">
        <w:rPr>
          <w:sz w:val="24"/>
          <w:szCs w:val="24"/>
          <w:lang w:val="en-GB"/>
        </w:rPr>
        <w:t>Intézet</w:t>
      </w:r>
      <w:proofErr w:type="spellEnd"/>
      <w:r w:rsidRPr="00D62D04">
        <w:rPr>
          <w:sz w:val="24"/>
          <w:szCs w:val="24"/>
          <w:lang w:val="en-GB"/>
        </w:rPr>
        <w:t xml:space="preserve">", which deals with publishing activities in the Hungarian language, as well as cultural institutions the </w:t>
      </w:r>
      <w:proofErr w:type="spellStart"/>
      <w:r w:rsidRPr="00D62D04">
        <w:rPr>
          <w:sz w:val="24"/>
          <w:szCs w:val="24"/>
          <w:lang w:val="en-GB"/>
        </w:rPr>
        <w:t>programnes</w:t>
      </w:r>
      <w:proofErr w:type="spellEnd"/>
      <w:r w:rsidRPr="00D62D04">
        <w:rPr>
          <w:sz w:val="24"/>
          <w:szCs w:val="24"/>
          <w:lang w:val="en-GB"/>
        </w:rPr>
        <w:t xml:space="preserve"> of which go beyond local importance and are more permanent they meet the cultural needs of citizens in AP </w:t>
      </w:r>
      <w:proofErr w:type="spellStart"/>
      <w:r w:rsidRPr="00D62D04">
        <w:rPr>
          <w:sz w:val="24"/>
          <w:szCs w:val="24"/>
          <w:lang w:val="en-GB"/>
        </w:rPr>
        <w:t>Vojvodina</w:t>
      </w:r>
      <w:proofErr w:type="spellEnd"/>
      <w:r w:rsidRPr="00D62D04">
        <w:rPr>
          <w:sz w:val="24"/>
          <w:szCs w:val="24"/>
          <w:lang w:val="en-GB"/>
        </w:rPr>
        <w:t>, and are important for national minorities. The table below contains data on the financing of these institutes and institutions by year.</w:t>
      </w:r>
    </w:p>
    <w:p w14:paraId="4D53A011" w14:textId="77777777" w:rsidR="00F31B10" w:rsidRPr="00D62D04" w:rsidRDefault="00F31B10" w:rsidP="00F31B10">
      <w:pPr>
        <w:spacing w:after="0"/>
        <w:jc w:val="both"/>
        <w:rPr>
          <w:sz w:val="24"/>
          <w:szCs w:val="24"/>
          <w:highlight w:val="cyan"/>
          <w:lang w:val="en-GB"/>
        </w:rPr>
      </w:pPr>
    </w:p>
    <w:tbl>
      <w:tblPr>
        <w:tblStyle w:val="TableGrid"/>
        <w:tblW w:w="0" w:type="auto"/>
        <w:tblLook w:val="04A0" w:firstRow="1" w:lastRow="0" w:firstColumn="1" w:lastColumn="0" w:noHBand="0" w:noVBand="1"/>
      </w:tblPr>
      <w:tblGrid>
        <w:gridCol w:w="1676"/>
        <w:gridCol w:w="1438"/>
        <w:gridCol w:w="1477"/>
        <w:gridCol w:w="1475"/>
        <w:gridCol w:w="1475"/>
        <w:gridCol w:w="1475"/>
      </w:tblGrid>
      <w:tr w:rsidR="00F31B10" w:rsidRPr="00D62D04" w14:paraId="3A057F6A" w14:textId="77777777" w:rsidTr="0056662A">
        <w:tc>
          <w:tcPr>
            <w:tcW w:w="1676" w:type="dxa"/>
          </w:tcPr>
          <w:p w14:paraId="1C308199" w14:textId="77777777" w:rsidR="00F31B10" w:rsidRPr="00D62D04" w:rsidRDefault="00F31B10" w:rsidP="0056662A">
            <w:pPr>
              <w:spacing w:after="0" w:line="240" w:lineRule="auto"/>
              <w:jc w:val="both"/>
              <w:rPr>
                <w:sz w:val="20"/>
                <w:szCs w:val="20"/>
                <w:lang w:val="en-GB"/>
              </w:rPr>
            </w:pPr>
          </w:p>
        </w:tc>
        <w:tc>
          <w:tcPr>
            <w:tcW w:w="1438" w:type="dxa"/>
          </w:tcPr>
          <w:p w14:paraId="0BE880C2" w14:textId="77777777" w:rsidR="00F31B10" w:rsidRPr="00D62D04" w:rsidRDefault="00C05390" w:rsidP="0056662A">
            <w:pPr>
              <w:spacing w:after="0" w:line="240" w:lineRule="auto"/>
              <w:jc w:val="center"/>
              <w:rPr>
                <w:sz w:val="20"/>
                <w:szCs w:val="20"/>
                <w:lang w:val="en-GB"/>
              </w:rPr>
            </w:pPr>
            <w:r w:rsidRPr="00D62D04">
              <w:rPr>
                <w:sz w:val="20"/>
                <w:szCs w:val="20"/>
                <w:lang w:val="en-GB"/>
              </w:rPr>
              <w:t>2017</w:t>
            </w:r>
          </w:p>
        </w:tc>
        <w:tc>
          <w:tcPr>
            <w:tcW w:w="1477" w:type="dxa"/>
          </w:tcPr>
          <w:p w14:paraId="71A05276" w14:textId="77777777" w:rsidR="00F31B10" w:rsidRPr="00D62D04" w:rsidRDefault="00C05390" w:rsidP="0056662A">
            <w:pPr>
              <w:spacing w:after="0" w:line="240" w:lineRule="auto"/>
              <w:jc w:val="center"/>
              <w:rPr>
                <w:sz w:val="20"/>
                <w:szCs w:val="20"/>
                <w:lang w:val="en-GB"/>
              </w:rPr>
            </w:pPr>
            <w:r w:rsidRPr="00D62D04">
              <w:rPr>
                <w:sz w:val="20"/>
                <w:szCs w:val="20"/>
                <w:lang w:val="en-GB"/>
              </w:rPr>
              <w:t>2018</w:t>
            </w:r>
          </w:p>
        </w:tc>
        <w:tc>
          <w:tcPr>
            <w:tcW w:w="1475" w:type="dxa"/>
          </w:tcPr>
          <w:p w14:paraId="2E887DB7" w14:textId="77777777" w:rsidR="00F31B10" w:rsidRPr="00D62D04" w:rsidRDefault="00C05390" w:rsidP="0056662A">
            <w:pPr>
              <w:spacing w:after="0" w:line="240" w:lineRule="auto"/>
              <w:jc w:val="center"/>
              <w:rPr>
                <w:sz w:val="20"/>
                <w:szCs w:val="20"/>
                <w:lang w:val="en-GB"/>
              </w:rPr>
            </w:pPr>
            <w:r w:rsidRPr="00D62D04">
              <w:rPr>
                <w:sz w:val="20"/>
                <w:szCs w:val="20"/>
                <w:lang w:val="en-GB"/>
              </w:rPr>
              <w:t>2019</w:t>
            </w:r>
          </w:p>
        </w:tc>
        <w:tc>
          <w:tcPr>
            <w:tcW w:w="1475" w:type="dxa"/>
          </w:tcPr>
          <w:p w14:paraId="454BB145" w14:textId="77777777" w:rsidR="00F31B10" w:rsidRPr="00D62D04" w:rsidRDefault="00C05390" w:rsidP="0056662A">
            <w:pPr>
              <w:spacing w:after="0" w:line="240" w:lineRule="auto"/>
              <w:jc w:val="center"/>
              <w:rPr>
                <w:sz w:val="20"/>
                <w:szCs w:val="20"/>
                <w:lang w:val="en-GB"/>
              </w:rPr>
            </w:pPr>
            <w:r w:rsidRPr="00D62D04">
              <w:rPr>
                <w:sz w:val="20"/>
                <w:szCs w:val="20"/>
                <w:lang w:val="en-GB"/>
              </w:rPr>
              <w:t>2020</w:t>
            </w:r>
          </w:p>
        </w:tc>
        <w:tc>
          <w:tcPr>
            <w:tcW w:w="1475" w:type="dxa"/>
          </w:tcPr>
          <w:p w14:paraId="03DC6B1A" w14:textId="77777777" w:rsidR="00F31B10" w:rsidRPr="00D62D04" w:rsidRDefault="00C05390" w:rsidP="0056662A">
            <w:pPr>
              <w:spacing w:after="0" w:line="240" w:lineRule="auto"/>
              <w:jc w:val="center"/>
              <w:rPr>
                <w:sz w:val="20"/>
                <w:szCs w:val="20"/>
                <w:lang w:val="en-GB"/>
              </w:rPr>
            </w:pPr>
            <w:r w:rsidRPr="00D62D04">
              <w:rPr>
                <w:sz w:val="20"/>
                <w:szCs w:val="20"/>
                <w:lang w:val="en-GB"/>
              </w:rPr>
              <w:t>2021</w:t>
            </w:r>
          </w:p>
        </w:tc>
      </w:tr>
      <w:tr w:rsidR="00F31B10" w:rsidRPr="00D62D04" w14:paraId="67253B71" w14:textId="77777777" w:rsidTr="0056662A">
        <w:tc>
          <w:tcPr>
            <w:tcW w:w="1676" w:type="dxa"/>
          </w:tcPr>
          <w:p w14:paraId="7FF5DD78" w14:textId="77777777" w:rsidR="00F31B10" w:rsidRPr="00D62D04" w:rsidRDefault="00C05390" w:rsidP="0056662A">
            <w:pPr>
              <w:spacing w:after="0" w:line="240" w:lineRule="auto"/>
              <w:rPr>
                <w:sz w:val="20"/>
                <w:szCs w:val="20"/>
                <w:lang w:val="en-GB"/>
              </w:rPr>
            </w:pPr>
            <w:r w:rsidRPr="00D62D04">
              <w:rPr>
                <w:sz w:val="20"/>
                <w:szCs w:val="20"/>
                <w:lang w:val="en-GB"/>
              </w:rPr>
              <w:t xml:space="preserve">Institute for the Culture of </w:t>
            </w:r>
            <w:proofErr w:type="spellStart"/>
            <w:r w:rsidRPr="00D62D04">
              <w:rPr>
                <w:sz w:val="20"/>
                <w:szCs w:val="20"/>
                <w:lang w:val="en-GB"/>
              </w:rPr>
              <w:t>Vojvodina</w:t>
            </w:r>
            <w:proofErr w:type="spellEnd"/>
            <w:r w:rsidRPr="00D62D04">
              <w:rPr>
                <w:sz w:val="20"/>
                <w:szCs w:val="20"/>
                <w:lang w:val="en-GB"/>
              </w:rPr>
              <w:t xml:space="preserve"> Hungarians</w:t>
            </w:r>
          </w:p>
        </w:tc>
        <w:tc>
          <w:tcPr>
            <w:tcW w:w="1438" w:type="dxa"/>
            <w:vAlign w:val="center"/>
          </w:tcPr>
          <w:p w14:paraId="163E4E3D" w14:textId="77777777" w:rsidR="00F31B10" w:rsidRPr="00D62D04" w:rsidRDefault="00F31B10" w:rsidP="00C05390">
            <w:pPr>
              <w:spacing w:after="0" w:line="240" w:lineRule="auto"/>
              <w:jc w:val="center"/>
              <w:rPr>
                <w:sz w:val="20"/>
                <w:szCs w:val="20"/>
                <w:lang w:val="en-GB"/>
              </w:rPr>
            </w:pPr>
            <w:r w:rsidRPr="00D62D04">
              <w:rPr>
                <w:sz w:val="20"/>
                <w:szCs w:val="20"/>
                <w:lang w:val="en-GB"/>
              </w:rPr>
              <w:t>15</w:t>
            </w:r>
            <w:r w:rsidR="00C05390" w:rsidRPr="00D62D04">
              <w:rPr>
                <w:sz w:val="20"/>
                <w:szCs w:val="20"/>
                <w:lang w:val="en-GB"/>
              </w:rPr>
              <w:t>,</w:t>
            </w:r>
            <w:r w:rsidRPr="00D62D04">
              <w:rPr>
                <w:sz w:val="20"/>
                <w:szCs w:val="20"/>
                <w:lang w:val="en-GB"/>
              </w:rPr>
              <w:t>000</w:t>
            </w:r>
            <w:r w:rsidR="00C05390" w:rsidRPr="00D62D04">
              <w:rPr>
                <w:sz w:val="20"/>
                <w:szCs w:val="20"/>
                <w:lang w:val="en-GB"/>
              </w:rPr>
              <w:t>,</w:t>
            </w:r>
            <w:r w:rsidRPr="00D62D04">
              <w:rPr>
                <w:sz w:val="20"/>
                <w:szCs w:val="20"/>
                <w:lang w:val="en-GB"/>
              </w:rPr>
              <w:t>000</w:t>
            </w:r>
            <w:r w:rsidR="00C05390" w:rsidRPr="00D62D04">
              <w:rPr>
                <w:sz w:val="20"/>
                <w:szCs w:val="20"/>
                <w:lang w:val="en-GB"/>
              </w:rPr>
              <w:t>.</w:t>
            </w:r>
            <w:r w:rsidRPr="00D62D04">
              <w:rPr>
                <w:sz w:val="20"/>
                <w:szCs w:val="20"/>
                <w:lang w:val="en-GB"/>
              </w:rPr>
              <w:t>00</w:t>
            </w:r>
          </w:p>
        </w:tc>
        <w:tc>
          <w:tcPr>
            <w:tcW w:w="1477" w:type="dxa"/>
            <w:vAlign w:val="center"/>
          </w:tcPr>
          <w:p w14:paraId="6F4C478F" w14:textId="77777777" w:rsidR="00F31B10" w:rsidRPr="00D62D04" w:rsidRDefault="00F31B10" w:rsidP="00C05390">
            <w:pPr>
              <w:spacing w:after="0" w:line="240" w:lineRule="auto"/>
              <w:jc w:val="center"/>
              <w:rPr>
                <w:sz w:val="20"/>
                <w:szCs w:val="20"/>
                <w:lang w:val="en-GB"/>
              </w:rPr>
            </w:pPr>
            <w:r w:rsidRPr="00D62D04">
              <w:rPr>
                <w:sz w:val="20"/>
                <w:szCs w:val="20"/>
                <w:lang w:val="en-GB"/>
              </w:rPr>
              <w:t>15</w:t>
            </w:r>
            <w:r w:rsidR="00C05390" w:rsidRPr="00D62D04">
              <w:rPr>
                <w:sz w:val="20"/>
                <w:szCs w:val="20"/>
                <w:lang w:val="en-GB"/>
              </w:rPr>
              <w:t>,</w:t>
            </w:r>
            <w:r w:rsidRPr="00D62D04">
              <w:rPr>
                <w:sz w:val="20"/>
                <w:szCs w:val="20"/>
                <w:lang w:val="en-GB"/>
              </w:rPr>
              <w:t>000</w:t>
            </w:r>
            <w:r w:rsidR="00C05390" w:rsidRPr="00D62D04">
              <w:rPr>
                <w:sz w:val="20"/>
                <w:szCs w:val="20"/>
                <w:lang w:val="en-GB"/>
              </w:rPr>
              <w:t>,</w:t>
            </w:r>
            <w:r w:rsidRPr="00D62D04">
              <w:rPr>
                <w:sz w:val="20"/>
                <w:szCs w:val="20"/>
                <w:lang w:val="en-GB"/>
              </w:rPr>
              <w:t>000</w:t>
            </w:r>
            <w:r w:rsidR="00C05390" w:rsidRPr="00D62D04">
              <w:rPr>
                <w:sz w:val="20"/>
                <w:szCs w:val="20"/>
                <w:lang w:val="en-GB"/>
              </w:rPr>
              <w:t>.</w:t>
            </w:r>
            <w:r w:rsidRPr="00D62D04">
              <w:rPr>
                <w:sz w:val="20"/>
                <w:szCs w:val="20"/>
                <w:lang w:val="en-GB"/>
              </w:rPr>
              <w:t>00</w:t>
            </w:r>
          </w:p>
        </w:tc>
        <w:tc>
          <w:tcPr>
            <w:tcW w:w="1475" w:type="dxa"/>
            <w:vAlign w:val="center"/>
          </w:tcPr>
          <w:p w14:paraId="5C622B23" w14:textId="77777777" w:rsidR="00F31B10" w:rsidRPr="00D62D04" w:rsidRDefault="00F31B10" w:rsidP="00C05390">
            <w:pPr>
              <w:spacing w:after="0" w:line="240" w:lineRule="auto"/>
              <w:jc w:val="center"/>
              <w:rPr>
                <w:sz w:val="20"/>
                <w:szCs w:val="20"/>
                <w:lang w:val="en-GB"/>
              </w:rPr>
            </w:pPr>
            <w:r w:rsidRPr="00D62D04">
              <w:rPr>
                <w:sz w:val="20"/>
                <w:szCs w:val="20"/>
                <w:lang w:val="en-GB"/>
              </w:rPr>
              <w:t>15</w:t>
            </w:r>
            <w:r w:rsidR="00C05390" w:rsidRPr="00D62D04">
              <w:rPr>
                <w:sz w:val="20"/>
                <w:szCs w:val="20"/>
                <w:lang w:val="en-GB"/>
              </w:rPr>
              <w:t>,</w:t>
            </w:r>
            <w:r w:rsidRPr="00D62D04">
              <w:rPr>
                <w:sz w:val="20"/>
                <w:szCs w:val="20"/>
                <w:lang w:val="en-GB"/>
              </w:rPr>
              <w:t>000,000</w:t>
            </w:r>
            <w:r w:rsidR="00C05390" w:rsidRPr="00D62D04">
              <w:rPr>
                <w:sz w:val="20"/>
                <w:szCs w:val="20"/>
                <w:lang w:val="en-GB"/>
              </w:rPr>
              <w:t>.</w:t>
            </w:r>
            <w:r w:rsidRPr="00D62D04">
              <w:rPr>
                <w:sz w:val="20"/>
                <w:szCs w:val="20"/>
                <w:lang w:val="en-GB"/>
              </w:rPr>
              <w:t>00</w:t>
            </w:r>
          </w:p>
        </w:tc>
        <w:tc>
          <w:tcPr>
            <w:tcW w:w="1475" w:type="dxa"/>
            <w:vAlign w:val="center"/>
          </w:tcPr>
          <w:p w14:paraId="3D1DD706" w14:textId="77777777" w:rsidR="00F31B10" w:rsidRPr="00D62D04" w:rsidRDefault="00F31B10" w:rsidP="00C05390">
            <w:pPr>
              <w:spacing w:after="0" w:line="240" w:lineRule="auto"/>
              <w:jc w:val="center"/>
              <w:rPr>
                <w:sz w:val="20"/>
                <w:szCs w:val="20"/>
                <w:lang w:val="en-GB"/>
              </w:rPr>
            </w:pPr>
            <w:r w:rsidRPr="00D62D04">
              <w:rPr>
                <w:sz w:val="20"/>
                <w:szCs w:val="20"/>
                <w:lang w:val="en-GB"/>
              </w:rPr>
              <w:t>15</w:t>
            </w:r>
            <w:r w:rsidR="00C05390" w:rsidRPr="00D62D04">
              <w:rPr>
                <w:sz w:val="20"/>
                <w:szCs w:val="20"/>
                <w:lang w:val="en-GB"/>
              </w:rPr>
              <w:t>,</w:t>
            </w:r>
            <w:r w:rsidRPr="00D62D04">
              <w:rPr>
                <w:sz w:val="20"/>
                <w:szCs w:val="20"/>
                <w:lang w:val="en-GB"/>
              </w:rPr>
              <w:t>000,000</w:t>
            </w:r>
            <w:r w:rsidR="00C05390" w:rsidRPr="00D62D04">
              <w:rPr>
                <w:sz w:val="20"/>
                <w:szCs w:val="20"/>
                <w:lang w:val="en-GB"/>
              </w:rPr>
              <w:t>.</w:t>
            </w:r>
            <w:r w:rsidRPr="00D62D04">
              <w:rPr>
                <w:sz w:val="20"/>
                <w:szCs w:val="20"/>
                <w:lang w:val="en-GB"/>
              </w:rPr>
              <w:t>00</w:t>
            </w:r>
          </w:p>
        </w:tc>
        <w:tc>
          <w:tcPr>
            <w:tcW w:w="1475" w:type="dxa"/>
            <w:vAlign w:val="center"/>
          </w:tcPr>
          <w:p w14:paraId="3CCEDDF1" w14:textId="77777777" w:rsidR="00F31B10" w:rsidRPr="00D62D04" w:rsidRDefault="00F31B10" w:rsidP="00C05390">
            <w:pPr>
              <w:spacing w:after="0" w:line="240" w:lineRule="auto"/>
              <w:jc w:val="center"/>
              <w:rPr>
                <w:sz w:val="20"/>
                <w:szCs w:val="20"/>
                <w:lang w:val="en-GB"/>
              </w:rPr>
            </w:pPr>
            <w:r w:rsidRPr="00D62D04">
              <w:rPr>
                <w:sz w:val="20"/>
                <w:szCs w:val="20"/>
                <w:lang w:val="en-GB"/>
              </w:rPr>
              <w:t>15</w:t>
            </w:r>
            <w:r w:rsidR="00C05390" w:rsidRPr="00D62D04">
              <w:rPr>
                <w:sz w:val="20"/>
                <w:szCs w:val="20"/>
                <w:lang w:val="en-GB"/>
              </w:rPr>
              <w:t>,</w:t>
            </w:r>
            <w:r w:rsidRPr="00D62D04">
              <w:rPr>
                <w:sz w:val="20"/>
                <w:szCs w:val="20"/>
                <w:lang w:val="en-GB"/>
              </w:rPr>
              <w:t>000,000</w:t>
            </w:r>
            <w:r w:rsidR="00C05390" w:rsidRPr="00D62D04">
              <w:rPr>
                <w:sz w:val="20"/>
                <w:szCs w:val="20"/>
                <w:lang w:val="en-GB"/>
              </w:rPr>
              <w:t>.</w:t>
            </w:r>
            <w:r w:rsidRPr="00D62D04">
              <w:rPr>
                <w:sz w:val="20"/>
                <w:szCs w:val="20"/>
                <w:lang w:val="en-GB"/>
              </w:rPr>
              <w:t>00</w:t>
            </w:r>
          </w:p>
        </w:tc>
      </w:tr>
      <w:tr w:rsidR="00F31B10" w:rsidRPr="00D62D04" w14:paraId="2AD2BCB0" w14:textId="77777777" w:rsidTr="0056662A">
        <w:tc>
          <w:tcPr>
            <w:tcW w:w="1676" w:type="dxa"/>
          </w:tcPr>
          <w:p w14:paraId="1A66568A" w14:textId="77777777" w:rsidR="00F31B10" w:rsidRPr="00D62D04" w:rsidRDefault="00B3412F" w:rsidP="0056662A">
            <w:pPr>
              <w:spacing w:after="0" w:line="240" w:lineRule="auto"/>
              <w:rPr>
                <w:sz w:val="20"/>
                <w:szCs w:val="20"/>
                <w:lang w:val="en-GB"/>
              </w:rPr>
            </w:pPr>
            <w:r w:rsidRPr="00D62D04">
              <w:rPr>
                <w:sz w:val="20"/>
                <w:szCs w:val="20"/>
                <w:lang w:val="en-GB"/>
              </w:rPr>
              <w:t xml:space="preserve">Institute for the Culture of </w:t>
            </w:r>
            <w:proofErr w:type="spellStart"/>
            <w:r w:rsidRPr="00D62D04">
              <w:rPr>
                <w:sz w:val="20"/>
                <w:szCs w:val="20"/>
                <w:lang w:val="en-GB"/>
              </w:rPr>
              <w:t>Vojvodina</w:t>
            </w:r>
            <w:proofErr w:type="spellEnd"/>
            <w:r w:rsidRPr="00D62D04">
              <w:rPr>
                <w:sz w:val="20"/>
                <w:szCs w:val="20"/>
                <w:lang w:val="en-GB"/>
              </w:rPr>
              <w:t xml:space="preserve"> Romanians</w:t>
            </w:r>
          </w:p>
        </w:tc>
        <w:tc>
          <w:tcPr>
            <w:tcW w:w="1438" w:type="dxa"/>
            <w:vAlign w:val="center"/>
          </w:tcPr>
          <w:p w14:paraId="6312A29B" w14:textId="77777777" w:rsidR="00F31B10" w:rsidRPr="00D62D04" w:rsidRDefault="00F31B10" w:rsidP="00B3412F">
            <w:pPr>
              <w:spacing w:after="0" w:line="240" w:lineRule="auto"/>
              <w:jc w:val="center"/>
              <w:rPr>
                <w:sz w:val="20"/>
                <w:szCs w:val="20"/>
                <w:lang w:val="en-GB"/>
              </w:rPr>
            </w:pPr>
            <w:r w:rsidRPr="00D62D04">
              <w:rPr>
                <w:sz w:val="20"/>
                <w:szCs w:val="20"/>
                <w:lang w:val="en-GB"/>
              </w:rPr>
              <w:t>9</w:t>
            </w:r>
            <w:r w:rsidR="00B3412F" w:rsidRPr="00D62D04">
              <w:rPr>
                <w:sz w:val="20"/>
                <w:szCs w:val="20"/>
                <w:lang w:val="en-GB"/>
              </w:rPr>
              <w:t>,</w:t>
            </w:r>
            <w:r w:rsidRPr="00D62D04">
              <w:rPr>
                <w:sz w:val="20"/>
                <w:szCs w:val="20"/>
                <w:lang w:val="en-GB"/>
              </w:rPr>
              <w:t>400</w:t>
            </w:r>
            <w:r w:rsidR="00B3412F" w:rsidRPr="00D62D04">
              <w:rPr>
                <w:sz w:val="20"/>
                <w:szCs w:val="20"/>
                <w:lang w:val="en-GB"/>
              </w:rPr>
              <w:t>,</w:t>
            </w:r>
            <w:r w:rsidRPr="00D62D04">
              <w:rPr>
                <w:sz w:val="20"/>
                <w:szCs w:val="20"/>
                <w:lang w:val="en-GB"/>
              </w:rPr>
              <w:t>000</w:t>
            </w:r>
            <w:r w:rsidR="00B3412F" w:rsidRPr="00D62D04">
              <w:rPr>
                <w:sz w:val="20"/>
                <w:szCs w:val="20"/>
                <w:lang w:val="en-GB"/>
              </w:rPr>
              <w:t>.</w:t>
            </w:r>
            <w:r w:rsidRPr="00D62D04">
              <w:rPr>
                <w:sz w:val="20"/>
                <w:szCs w:val="20"/>
                <w:lang w:val="en-GB"/>
              </w:rPr>
              <w:t>00</w:t>
            </w:r>
          </w:p>
        </w:tc>
        <w:tc>
          <w:tcPr>
            <w:tcW w:w="1477" w:type="dxa"/>
            <w:vAlign w:val="center"/>
          </w:tcPr>
          <w:p w14:paraId="5CF4F02B" w14:textId="77777777" w:rsidR="00F31B10" w:rsidRPr="00D62D04" w:rsidRDefault="00F31B10" w:rsidP="00B3412F">
            <w:pPr>
              <w:spacing w:after="0" w:line="240" w:lineRule="auto"/>
              <w:jc w:val="center"/>
              <w:rPr>
                <w:sz w:val="20"/>
                <w:szCs w:val="20"/>
                <w:lang w:val="en-GB"/>
              </w:rPr>
            </w:pPr>
            <w:r w:rsidRPr="00D62D04">
              <w:rPr>
                <w:sz w:val="20"/>
                <w:szCs w:val="20"/>
                <w:lang w:val="en-GB"/>
              </w:rPr>
              <w:t>9</w:t>
            </w:r>
            <w:r w:rsidR="00B3412F" w:rsidRPr="00D62D04">
              <w:rPr>
                <w:sz w:val="20"/>
                <w:szCs w:val="20"/>
                <w:lang w:val="en-GB"/>
              </w:rPr>
              <w:t>,</w:t>
            </w:r>
            <w:r w:rsidRPr="00D62D04">
              <w:rPr>
                <w:sz w:val="20"/>
                <w:szCs w:val="20"/>
                <w:lang w:val="en-GB"/>
              </w:rPr>
              <w:t>400</w:t>
            </w:r>
            <w:r w:rsidR="00B3412F" w:rsidRPr="00D62D04">
              <w:rPr>
                <w:sz w:val="20"/>
                <w:szCs w:val="20"/>
                <w:lang w:val="en-GB"/>
              </w:rPr>
              <w:t>,</w:t>
            </w:r>
            <w:r w:rsidRPr="00D62D04">
              <w:rPr>
                <w:sz w:val="20"/>
                <w:szCs w:val="20"/>
                <w:lang w:val="en-GB"/>
              </w:rPr>
              <w:t>000</w:t>
            </w:r>
            <w:r w:rsidR="00B3412F" w:rsidRPr="00D62D04">
              <w:rPr>
                <w:sz w:val="20"/>
                <w:szCs w:val="20"/>
                <w:lang w:val="en-GB"/>
              </w:rPr>
              <w:t>.</w:t>
            </w:r>
            <w:r w:rsidRPr="00D62D04">
              <w:rPr>
                <w:sz w:val="20"/>
                <w:szCs w:val="20"/>
                <w:lang w:val="en-GB"/>
              </w:rPr>
              <w:t>00</w:t>
            </w:r>
          </w:p>
        </w:tc>
        <w:tc>
          <w:tcPr>
            <w:tcW w:w="1475" w:type="dxa"/>
            <w:vAlign w:val="center"/>
          </w:tcPr>
          <w:p w14:paraId="3BAE95FC" w14:textId="77777777" w:rsidR="00F31B10" w:rsidRPr="00D62D04" w:rsidRDefault="00F31B10" w:rsidP="00B3412F">
            <w:pPr>
              <w:spacing w:after="0" w:line="240" w:lineRule="auto"/>
              <w:jc w:val="center"/>
              <w:rPr>
                <w:sz w:val="20"/>
                <w:szCs w:val="20"/>
                <w:lang w:val="en-GB"/>
              </w:rPr>
            </w:pPr>
            <w:r w:rsidRPr="00D62D04">
              <w:rPr>
                <w:sz w:val="20"/>
                <w:szCs w:val="20"/>
                <w:lang w:val="en-GB"/>
              </w:rPr>
              <w:t>9</w:t>
            </w:r>
            <w:r w:rsidR="00B3412F" w:rsidRPr="00D62D04">
              <w:rPr>
                <w:sz w:val="20"/>
                <w:szCs w:val="20"/>
                <w:lang w:val="en-GB"/>
              </w:rPr>
              <w:t>,</w:t>
            </w:r>
            <w:r w:rsidRPr="00D62D04">
              <w:rPr>
                <w:sz w:val="20"/>
                <w:szCs w:val="20"/>
                <w:lang w:val="en-GB"/>
              </w:rPr>
              <w:t>400</w:t>
            </w:r>
            <w:r w:rsidR="00B3412F" w:rsidRPr="00D62D04">
              <w:rPr>
                <w:sz w:val="20"/>
                <w:szCs w:val="20"/>
                <w:lang w:val="en-GB"/>
              </w:rPr>
              <w:t>,</w:t>
            </w:r>
            <w:r w:rsidRPr="00D62D04">
              <w:rPr>
                <w:sz w:val="20"/>
                <w:szCs w:val="20"/>
                <w:lang w:val="en-GB"/>
              </w:rPr>
              <w:t>000</w:t>
            </w:r>
            <w:r w:rsidR="00B3412F" w:rsidRPr="00D62D04">
              <w:rPr>
                <w:sz w:val="20"/>
                <w:szCs w:val="20"/>
                <w:lang w:val="en-GB"/>
              </w:rPr>
              <w:t>.</w:t>
            </w:r>
            <w:r w:rsidRPr="00D62D04">
              <w:rPr>
                <w:sz w:val="20"/>
                <w:szCs w:val="20"/>
                <w:lang w:val="en-GB"/>
              </w:rPr>
              <w:t>00</w:t>
            </w:r>
          </w:p>
        </w:tc>
        <w:tc>
          <w:tcPr>
            <w:tcW w:w="1475" w:type="dxa"/>
            <w:vAlign w:val="center"/>
          </w:tcPr>
          <w:p w14:paraId="33BCC1C2" w14:textId="77777777" w:rsidR="00F31B10" w:rsidRPr="00D62D04" w:rsidRDefault="00F31B10" w:rsidP="00B3412F">
            <w:pPr>
              <w:spacing w:after="0" w:line="240" w:lineRule="auto"/>
              <w:jc w:val="center"/>
              <w:rPr>
                <w:sz w:val="20"/>
                <w:szCs w:val="20"/>
                <w:lang w:val="en-GB"/>
              </w:rPr>
            </w:pPr>
            <w:r w:rsidRPr="00D62D04">
              <w:rPr>
                <w:sz w:val="20"/>
                <w:szCs w:val="20"/>
                <w:lang w:val="en-GB"/>
              </w:rPr>
              <w:t>9</w:t>
            </w:r>
            <w:r w:rsidR="00B3412F" w:rsidRPr="00D62D04">
              <w:rPr>
                <w:sz w:val="20"/>
                <w:szCs w:val="20"/>
                <w:lang w:val="en-GB"/>
              </w:rPr>
              <w:t>,</w:t>
            </w:r>
            <w:r w:rsidRPr="00D62D04">
              <w:rPr>
                <w:sz w:val="20"/>
                <w:szCs w:val="20"/>
                <w:lang w:val="en-GB"/>
              </w:rPr>
              <w:t>400</w:t>
            </w:r>
            <w:r w:rsidR="00B3412F" w:rsidRPr="00D62D04">
              <w:rPr>
                <w:sz w:val="20"/>
                <w:szCs w:val="20"/>
                <w:lang w:val="en-GB"/>
              </w:rPr>
              <w:t>,</w:t>
            </w:r>
            <w:r w:rsidRPr="00D62D04">
              <w:rPr>
                <w:sz w:val="20"/>
                <w:szCs w:val="20"/>
                <w:lang w:val="en-GB"/>
              </w:rPr>
              <w:t>000</w:t>
            </w:r>
            <w:r w:rsidR="00B3412F" w:rsidRPr="00D62D04">
              <w:rPr>
                <w:sz w:val="20"/>
                <w:szCs w:val="20"/>
                <w:lang w:val="en-GB"/>
              </w:rPr>
              <w:t>.</w:t>
            </w:r>
            <w:r w:rsidRPr="00D62D04">
              <w:rPr>
                <w:sz w:val="20"/>
                <w:szCs w:val="20"/>
                <w:lang w:val="en-GB"/>
              </w:rPr>
              <w:t>00</w:t>
            </w:r>
          </w:p>
        </w:tc>
        <w:tc>
          <w:tcPr>
            <w:tcW w:w="1475" w:type="dxa"/>
            <w:vAlign w:val="center"/>
          </w:tcPr>
          <w:p w14:paraId="6B6207D1" w14:textId="77777777" w:rsidR="00F31B10" w:rsidRPr="00D62D04" w:rsidRDefault="00F31B10" w:rsidP="00B3412F">
            <w:pPr>
              <w:spacing w:after="0" w:line="240" w:lineRule="auto"/>
              <w:jc w:val="center"/>
              <w:rPr>
                <w:sz w:val="20"/>
                <w:szCs w:val="20"/>
                <w:lang w:val="en-GB"/>
              </w:rPr>
            </w:pPr>
            <w:r w:rsidRPr="00D62D04">
              <w:rPr>
                <w:sz w:val="20"/>
                <w:szCs w:val="20"/>
                <w:lang w:val="en-GB"/>
              </w:rPr>
              <w:t>9</w:t>
            </w:r>
            <w:r w:rsidR="00B3412F" w:rsidRPr="00D62D04">
              <w:rPr>
                <w:sz w:val="20"/>
                <w:szCs w:val="20"/>
                <w:lang w:val="en-GB"/>
              </w:rPr>
              <w:t>,</w:t>
            </w:r>
            <w:r w:rsidRPr="00D62D04">
              <w:rPr>
                <w:sz w:val="20"/>
                <w:szCs w:val="20"/>
                <w:lang w:val="en-GB"/>
              </w:rPr>
              <w:t>400</w:t>
            </w:r>
            <w:r w:rsidR="00B3412F" w:rsidRPr="00D62D04">
              <w:rPr>
                <w:sz w:val="20"/>
                <w:szCs w:val="20"/>
                <w:lang w:val="en-GB"/>
              </w:rPr>
              <w:t>,</w:t>
            </w:r>
            <w:r w:rsidRPr="00D62D04">
              <w:rPr>
                <w:sz w:val="20"/>
                <w:szCs w:val="20"/>
                <w:lang w:val="en-GB"/>
              </w:rPr>
              <w:t>000</w:t>
            </w:r>
            <w:r w:rsidR="00B3412F" w:rsidRPr="00D62D04">
              <w:rPr>
                <w:sz w:val="20"/>
                <w:szCs w:val="20"/>
                <w:lang w:val="en-GB"/>
              </w:rPr>
              <w:t>.</w:t>
            </w:r>
            <w:r w:rsidRPr="00D62D04">
              <w:rPr>
                <w:sz w:val="20"/>
                <w:szCs w:val="20"/>
                <w:lang w:val="en-GB"/>
              </w:rPr>
              <w:t>00</w:t>
            </w:r>
          </w:p>
        </w:tc>
      </w:tr>
      <w:tr w:rsidR="00F31B10" w:rsidRPr="00D62D04" w14:paraId="336E0763" w14:textId="77777777" w:rsidTr="0056662A">
        <w:tc>
          <w:tcPr>
            <w:tcW w:w="1676" w:type="dxa"/>
          </w:tcPr>
          <w:p w14:paraId="719D64CE" w14:textId="77777777" w:rsidR="00F31B10" w:rsidRPr="00D62D04" w:rsidRDefault="00B3412F" w:rsidP="0056662A">
            <w:pPr>
              <w:spacing w:after="0" w:line="240" w:lineRule="auto"/>
              <w:rPr>
                <w:sz w:val="20"/>
                <w:szCs w:val="20"/>
                <w:lang w:val="en-GB"/>
              </w:rPr>
            </w:pPr>
            <w:r w:rsidRPr="00D62D04">
              <w:rPr>
                <w:sz w:val="20"/>
                <w:szCs w:val="20"/>
                <w:lang w:val="en-GB"/>
              </w:rPr>
              <w:t xml:space="preserve">Institute for the Culture of </w:t>
            </w:r>
            <w:proofErr w:type="spellStart"/>
            <w:r w:rsidRPr="00D62D04">
              <w:rPr>
                <w:sz w:val="20"/>
                <w:szCs w:val="20"/>
                <w:lang w:val="en-GB"/>
              </w:rPr>
              <w:t>Vojvodina</w:t>
            </w:r>
            <w:proofErr w:type="spellEnd"/>
            <w:r w:rsidRPr="00D62D04">
              <w:rPr>
                <w:sz w:val="20"/>
                <w:szCs w:val="20"/>
                <w:lang w:val="en-GB"/>
              </w:rPr>
              <w:t xml:space="preserve"> </w:t>
            </w:r>
            <w:proofErr w:type="spellStart"/>
            <w:r w:rsidRPr="00D62D04">
              <w:rPr>
                <w:sz w:val="20"/>
                <w:szCs w:val="20"/>
                <w:lang w:val="en-GB"/>
              </w:rPr>
              <w:t>Ruthenians</w:t>
            </w:r>
            <w:proofErr w:type="spellEnd"/>
          </w:p>
        </w:tc>
        <w:tc>
          <w:tcPr>
            <w:tcW w:w="1438" w:type="dxa"/>
            <w:vAlign w:val="center"/>
          </w:tcPr>
          <w:p w14:paraId="3E312DDE" w14:textId="77777777" w:rsidR="00F31B10" w:rsidRPr="00D62D04" w:rsidRDefault="00F31B10" w:rsidP="00B3412F">
            <w:pPr>
              <w:spacing w:after="0" w:line="240" w:lineRule="auto"/>
              <w:jc w:val="center"/>
              <w:rPr>
                <w:sz w:val="20"/>
                <w:szCs w:val="20"/>
                <w:lang w:val="en-GB"/>
              </w:rPr>
            </w:pPr>
            <w:r w:rsidRPr="00D62D04">
              <w:rPr>
                <w:sz w:val="20"/>
                <w:szCs w:val="20"/>
                <w:lang w:val="en-GB"/>
              </w:rPr>
              <w:t>6</w:t>
            </w:r>
            <w:r w:rsidR="00B3412F" w:rsidRPr="00D62D04">
              <w:rPr>
                <w:sz w:val="20"/>
                <w:szCs w:val="20"/>
                <w:lang w:val="en-GB"/>
              </w:rPr>
              <w:t>,</w:t>
            </w:r>
            <w:r w:rsidRPr="00D62D04">
              <w:rPr>
                <w:sz w:val="20"/>
                <w:szCs w:val="20"/>
                <w:lang w:val="en-GB"/>
              </w:rPr>
              <w:t>600</w:t>
            </w:r>
            <w:r w:rsidR="00B3412F" w:rsidRPr="00D62D04">
              <w:rPr>
                <w:sz w:val="20"/>
                <w:szCs w:val="20"/>
                <w:lang w:val="en-GB"/>
              </w:rPr>
              <w:t>,</w:t>
            </w:r>
            <w:r w:rsidRPr="00D62D04">
              <w:rPr>
                <w:sz w:val="20"/>
                <w:szCs w:val="20"/>
                <w:lang w:val="en-GB"/>
              </w:rPr>
              <w:t>000</w:t>
            </w:r>
            <w:r w:rsidR="00B3412F" w:rsidRPr="00D62D04">
              <w:rPr>
                <w:sz w:val="20"/>
                <w:szCs w:val="20"/>
                <w:lang w:val="en-GB"/>
              </w:rPr>
              <w:t>.</w:t>
            </w:r>
            <w:r w:rsidRPr="00D62D04">
              <w:rPr>
                <w:sz w:val="20"/>
                <w:szCs w:val="20"/>
                <w:lang w:val="en-GB"/>
              </w:rPr>
              <w:t>00</w:t>
            </w:r>
          </w:p>
        </w:tc>
        <w:tc>
          <w:tcPr>
            <w:tcW w:w="1477" w:type="dxa"/>
            <w:vAlign w:val="center"/>
          </w:tcPr>
          <w:p w14:paraId="7FB98160" w14:textId="77777777" w:rsidR="00F31B10" w:rsidRPr="00D62D04" w:rsidRDefault="00F31B10" w:rsidP="00B3412F">
            <w:pPr>
              <w:spacing w:after="0" w:line="240" w:lineRule="auto"/>
              <w:jc w:val="center"/>
              <w:rPr>
                <w:sz w:val="20"/>
                <w:szCs w:val="20"/>
                <w:lang w:val="en-GB"/>
              </w:rPr>
            </w:pPr>
            <w:r w:rsidRPr="00D62D04">
              <w:rPr>
                <w:sz w:val="20"/>
                <w:szCs w:val="20"/>
                <w:lang w:val="en-GB"/>
              </w:rPr>
              <w:t>6</w:t>
            </w:r>
            <w:r w:rsidR="00B3412F" w:rsidRPr="00D62D04">
              <w:rPr>
                <w:sz w:val="20"/>
                <w:szCs w:val="20"/>
                <w:lang w:val="en-GB"/>
              </w:rPr>
              <w:t>,</w:t>
            </w:r>
            <w:r w:rsidRPr="00D62D04">
              <w:rPr>
                <w:sz w:val="20"/>
                <w:szCs w:val="20"/>
                <w:lang w:val="en-GB"/>
              </w:rPr>
              <w:t>600</w:t>
            </w:r>
            <w:r w:rsidR="00B3412F" w:rsidRPr="00D62D04">
              <w:rPr>
                <w:sz w:val="20"/>
                <w:szCs w:val="20"/>
                <w:lang w:val="en-GB"/>
              </w:rPr>
              <w:t>,</w:t>
            </w:r>
            <w:r w:rsidRPr="00D62D04">
              <w:rPr>
                <w:sz w:val="20"/>
                <w:szCs w:val="20"/>
                <w:lang w:val="en-GB"/>
              </w:rPr>
              <w:t>000</w:t>
            </w:r>
            <w:r w:rsidR="00B3412F" w:rsidRPr="00D62D04">
              <w:rPr>
                <w:sz w:val="20"/>
                <w:szCs w:val="20"/>
                <w:lang w:val="en-GB"/>
              </w:rPr>
              <w:t>.</w:t>
            </w:r>
            <w:r w:rsidRPr="00D62D04">
              <w:rPr>
                <w:sz w:val="20"/>
                <w:szCs w:val="20"/>
                <w:lang w:val="en-GB"/>
              </w:rPr>
              <w:t>00</w:t>
            </w:r>
          </w:p>
        </w:tc>
        <w:tc>
          <w:tcPr>
            <w:tcW w:w="1475" w:type="dxa"/>
            <w:vAlign w:val="center"/>
          </w:tcPr>
          <w:p w14:paraId="0AA53704" w14:textId="77777777" w:rsidR="00F31B10" w:rsidRPr="00D62D04" w:rsidRDefault="00F31B10" w:rsidP="00B3412F">
            <w:pPr>
              <w:spacing w:after="0" w:line="240" w:lineRule="auto"/>
              <w:jc w:val="center"/>
              <w:rPr>
                <w:sz w:val="20"/>
                <w:szCs w:val="20"/>
                <w:lang w:val="en-GB"/>
              </w:rPr>
            </w:pPr>
            <w:r w:rsidRPr="00D62D04">
              <w:rPr>
                <w:sz w:val="20"/>
                <w:szCs w:val="20"/>
                <w:lang w:val="en-GB"/>
              </w:rPr>
              <w:t>6</w:t>
            </w:r>
            <w:r w:rsidR="00B3412F" w:rsidRPr="00D62D04">
              <w:rPr>
                <w:sz w:val="20"/>
                <w:szCs w:val="20"/>
                <w:lang w:val="en-GB"/>
              </w:rPr>
              <w:t>,</w:t>
            </w:r>
            <w:r w:rsidRPr="00D62D04">
              <w:rPr>
                <w:sz w:val="20"/>
                <w:szCs w:val="20"/>
                <w:lang w:val="en-GB"/>
              </w:rPr>
              <w:t>600</w:t>
            </w:r>
            <w:r w:rsidR="00B3412F" w:rsidRPr="00D62D04">
              <w:rPr>
                <w:sz w:val="20"/>
                <w:szCs w:val="20"/>
                <w:lang w:val="en-GB"/>
              </w:rPr>
              <w:t>,</w:t>
            </w:r>
            <w:r w:rsidRPr="00D62D04">
              <w:rPr>
                <w:sz w:val="20"/>
                <w:szCs w:val="20"/>
                <w:lang w:val="en-GB"/>
              </w:rPr>
              <w:t>000</w:t>
            </w:r>
            <w:r w:rsidR="00B3412F" w:rsidRPr="00D62D04">
              <w:rPr>
                <w:sz w:val="20"/>
                <w:szCs w:val="20"/>
                <w:lang w:val="en-GB"/>
              </w:rPr>
              <w:t>.</w:t>
            </w:r>
            <w:r w:rsidRPr="00D62D04">
              <w:rPr>
                <w:sz w:val="20"/>
                <w:szCs w:val="20"/>
                <w:lang w:val="en-GB"/>
              </w:rPr>
              <w:t>00</w:t>
            </w:r>
          </w:p>
        </w:tc>
        <w:tc>
          <w:tcPr>
            <w:tcW w:w="1475" w:type="dxa"/>
            <w:vAlign w:val="center"/>
          </w:tcPr>
          <w:p w14:paraId="7F3C40BB" w14:textId="77777777" w:rsidR="00F31B10" w:rsidRPr="00D62D04" w:rsidRDefault="00F31B10" w:rsidP="00B3412F">
            <w:pPr>
              <w:spacing w:after="0" w:line="240" w:lineRule="auto"/>
              <w:jc w:val="center"/>
              <w:rPr>
                <w:sz w:val="20"/>
                <w:szCs w:val="20"/>
                <w:lang w:val="en-GB"/>
              </w:rPr>
            </w:pPr>
            <w:r w:rsidRPr="00D62D04">
              <w:rPr>
                <w:sz w:val="20"/>
                <w:szCs w:val="20"/>
                <w:lang w:val="en-GB"/>
              </w:rPr>
              <w:t>6</w:t>
            </w:r>
            <w:r w:rsidR="00B3412F" w:rsidRPr="00D62D04">
              <w:rPr>
                <w:sz w:val="20"/>
                <w:szCs w:val="20"/>
                <w:lang w:val="en-GB"/>
              </w:rPr>
              <w:t>,</w:t>
            </w:r>
            <w:r w:rsidRPr="00D62D04">
              <w:rPr>
                <w:sz w:val="20"/>
                <w:szCs w:val="20"/>
                <w:lang w:val="en-GB"/>
              </w:rPr>
              <w:t>600</w:t>
            </w:r>
            <w:r w:rsidR="00B3412F" w:rsidRPr="00D62D04">
              <w:rPr>
                <w:sz w:val="20"/>
                <w:szCs w:val="20"/>
                <w:lang w:val="en-GB"/>
              </w:rPr>
              <w:t>,</w:t>
            </w:r>
            <w:r w:rsidRPr="00D62D04">
              <w:rPr>
                <w:sz w:val="20"/>
                <w:szCs w:val="20"/>
                <w:lang w:val="en-GB"/>
              </w:rPr>
              <w:t>000</w:t>
            </w:r>
            <w:r w:rsidR="00B3412F" w:rsidRPr="00D62D04">
              <w:rPr>
                <w:sz w:val="20"/>
                <w:szCs w:val="20"/>
                <w:lang w:val="en-GB"/>
              </w:rPr>
              <w:t>.</w:t>
            </w:r>
            <w:r w:rsidRPr="00D62D04">
              <w:rPr>
                <w:sz w:val="20"/>
                <w:szCs w:val="20"/>
                <w:lang w:val="en-GB"/>
              </w:rPr>
              <w:t>00</w:t>
            </w:r>
          </w:p>
        </w:tc>
        <w:tc>
          <w:tcPr>
            <w:tcW w:w="1475" w:type="dxa"/>
            <w:vAlign w:val="center"/>
          </w:tcPr>
          <w:p w14:paraId="458C538C" w14:textId="77777777" w:rsidR="00F31B10" w:rsidRPr="00D62D04" w:rsidRDefault="00F31B10" w:rsidP="00B3412F">
            <w:pPr>
              <w:spacing w:after="0" w:line="240" w:lineRule="auto"/>
              <w:jc w:val="center"/>
              <w:rPr>
                <w:sz w:val="20"/>
                <w:szCs w:val="20"/>
                <w:lang w:val="en-GB"/>
              </w:rPr>
            </w:pPr>
            <w:r w:rsidRPr="00D62D04">
              <w:rPr>
                <w:sz w:val="20"/>
                <w:szCs w:val="20"/>
                <w:lang w:val="en-GB"/>
              </w:rPr>
              <w:t>6</w:t>
            </w:r>
            <w:r w:rsidR="00B3412F" w:rsidRPr="00D62D04">
              <w:rPr>
                <w:sz w:val="20"/>
                <w:szCs w:val="20"/>
                <w:lang w:val="en-GB"/>
              </w:rPr>
              <w:t>,</w:t>
            </w:r>
            <w:r w:rsidRPr="00D62D04">
              <w:rPr>
                <w:sz w:val="20"/>
                <w:szCs w:val="20"/>
                <w:lang w:val="en-GB"/>
              </w:rPr>
              <w:t>600</w:t>
            </w:r>
            <w:r w:rsidR="00B3412F" w:rsidRPr="00D62D04">
              <w:rPr>
                <w:sz w:val="20"/>
                <w:szCs w:val="20"/>
                <w:lang w:val="en-GB"/>
              </w:rPr>
              <w:t>,</w:t>
            </w:r>
            <w:r w:rsidRPr="00D62D04">
              <w:rPr>
                <w:sz w:val="20"/>
                <w:szCs w:val="20"/>
                <w:lang w:val="en-GB"/>
              </w:rPr>
              <w:t>000</w:t>
            </w:r>
            <w:r w:rsidR="00B3412F" w:rsidRPr="00D62D04">
              <w:rPr>
                <w:sz w:val="20"/>
                <w:szCs w:val="20"/>
                <w:lang w:val="en-GB"/>
              </w:rPr>
              <w:t>.</w:t>
            </w:r>
            <w:r w:rsidRPr="00D62D04">
              <w:rPr>
                <w:sz w:val="20"/>
                <w:szCs w:val="20"/>
                <w:lang w:val="en-GB"/>
              </w:rPr>
              <w:t>00</w:t>
            </w:r>
          </w:p>
        </w:tc>
      </w:tr>
      <w:tr w:rsidR="00F31B10" w:rsidRPr="00D62D04" w14:paraId="44B52FD6" w14:textId="77777777" w:rsidTr="0056662A">
        <w:tc>
          <w:tcPr>
            <w:tcW w:w="1676" w:type="dxa"/>
          </w:tcPr>
          <w:p w14:paraId="1F1E3F87" w14:textId="77777777" w:rsidR="00F31B10" w:rsidRPr="00D62D04" w:rsidRDefault="005B4512" w:rsidP="0056662A">
            <w:pPr>
              <w:spacing w:after="0" w:line="240" w:lineRule="auto"/>
              <w:rPr>
                <w:sz w:val="20"/>
                <w:szCs w:val="20"/>
                <w:lang w:val="en-GB"/>
              </w:rPr>
            </w:pPr>
            <w:r w:rsidRPr="00D62D04">
              <w:rPr>
                <w:sz w:val="20"/>
                <w:szCs w:val="20"/>
                <w:lang w:val="en-GB"/>
              </w:rPr>
              <w:t xml:space="preserve">Institute for Culture of </w:t>
            </w:r>
            <w:proofErr w:type="spellStart"/>
            <w:r w:rsidRPr="00D62D04">
              <w:rPr>
                <w:sz w:val="20"/>
                <w:szCs w:val="20"/>
                <w:lang w:val="en-GB"/>
              </w:rPr>
              <w:t>Vojvodina</w:t>
            </w:r>
            <w:proofErr w:type="spellEnd"/>
            <w:r w:rsidRPr="00D62D04">
              <w:rPr>
                <w:sz w:val="20"/>
                <w:szCs w:val="20"/>
                <w:lang w:val="en-GB"/>
              </w:rPr>
              <w:t xml:space="preserve"> Slovaks</w:t>
            </w:r>
          </w:p>
        </w:tc>
        <w:tc>
          <w:tcPr>
            <w:tcW w:w="1438" w:type="dxa"/>
            <w:vAlign w:val="center"/>
          </w:tcPr>
          <w:p w14:paraId="6677DA5C" w14:textId="77777777" w:rsidR="00F31B10" w:rsidRPr="00D62D04" w:rsidRDefault="00F31B10" w:rsidP="005B4512">
            <w:pPr>
              <w:spacing w:after="0" w:line="240" w:lineRule="auto"/>
              <w:jc w:val="center"/>
              <w:rPr>
                <w:sz w:val="20"/>
                <w:szCs w:val="20"/>
                <w:lang w:val="en-GB"/>
              </w:rPr>
            </w:pPr>
            <w:r w:rsidRPr="00D62D04">
              <w:rPr>
                <w:sz w:val="20"/>
                <w:szCs w:val="20"/>
                <w:lang w:val="en-GB"/>
              </w:rPr>
              <w:t>10</w:t>
            </w:r>
            <w:r w:rsidR="005B4512" w:rsidRPr="00D62D04">
              <w:rPr>
                <w:sz w:val="20"/>
                <w:szCs w:val="20"/>
                <w:lang w:val="en-GB"/>
              </w:rPr>
              <w:t>,</w:t>
            </w:r>
            <w:r w:rsidRPr="00D62D04">
              <w:rPr>
                <w:sz w:val="20"/>
                <w:szCs w:val="20"/>
                <w:lang w:val="en-GB"/>
              </w:rPr>
              <w:t>000</w:t>
            </w:r>
            <w:r w:rsidR="005B4512" w:rsidRPr="00D62D04">
              <w:rPr>
                <w:sz w:val="20"/>
                <w:szCs w:val="20"/>
                <w:lang w:val="en-GB"/>
              </w:rPr>
              <w:t>,</w:t>
            </w:r>
            <w:r w:rsidRPr="00D62D04">
              <w:rPr>
                <w:sz w:val="20"/>
                <w:szCs w:val="20"/>
                <w:lang w:val="en-GB"/>
              </w:rPr>
              <w:t>000</w:t>
            </w:r>
            <w:r w:rsidR="005B4512" w:rsidRPr="00D62D04">
              <w:rPr>
                <w:sz w:val="20"/>
                <w:szCs w:val="20"/>
                <w:lang w:val="en-GB"/>
              </w:rPr>
              <w:t>.</w:t>
            </w:r>
            <w:r w:rsidRPr="00D62D04">
              <w:rPr>
                <w:sz w:val="20"/>
                <w:szCs w:val="20"/>
                <w:lang w:val="en-GB"/>
              </w:rPr>
              <w:t>00</w:t>
            </w:r>
          </w:p>
        </w:tc>
        <w:tc>
          <w:tcPr>
            <w:tcW w:w="1477" w:type="dxa"/>
            <w:vAlign w:val="center"/>
          </w:tcPr>
          <w:p w14:paraId="1F00DDBB" w14:textId="77777777" w:rsidR="00F31B10" w:rsidRPr="00D62D04" w:rsidRDefault="00F31B10" w:rsidP="005B4512">
            <w:pPr>
              <w:spacing w:after="0" w:line="240" w:lineRule="auto"/>
              <w:jc w:val="center"/>
              <w:rPr>
                <w:sz w:val="20"/>
                <w:szCs w:val="20"/>
                <w:lang w:val="en-GB"/>
              </w:rPr>
            </w:pPr>
            <w:r w:rsidRPr="00D62D04">
              <w:rPr>
                <w:sz w:val="20"/>
                <w:szCs w:val="20"/>
                <w:lang w:val="en-GB"/>
              </w:rPr>
              <w:t>10</w:t>
            </w:r>
            <w:r w:rsidR="005B4512" w:rsidRPr="00D62D04">
              <w:rPr>
                <w:sz w:val="20"/>
                <w:szCs w:val="20"/>
                <w:lang w:val="en-GB"/>
              </w:rPr>
              <w:t>,</w:t>
            </w:r>
            <w:r w:rsidRPr="00D62D04">
              <w:rPr>
                <w:sz w:val="20"/>
                <w:szCs w:val="20"/>
                <w:lang w:val="en-GB"/>
              </w:rPr>
              <w:t>000</w:t>
            </w:r>
            <w:r w:rsidR="005B4512" w:rsidRPr="00D62D04">
              <w:rPr>
                <w:sz w:val="20"/>
                <w:szCs w:val="20"/>
                <w:lang w:val="en-GB"/>
              </w:rPr>
              <w:t>,</w:t>
            </w:r>
            <w:r w:rsidRPr="00D62D04">
              <w:rPr>
                <w:sz w:val="20"/>
                <w:szCs w:val="20"/>
                <w:lang w:val="en-GB"/>
              </w:rPr>
              <w:t>000</w:t>
            </w:r>
            <w:r w:rsidR="005B4512" w:rsidRPr="00D62D04">
              <w:rPr>
                <w:sz w:val="20"/>
                <w:szCs w:val="20"/>
                <w:lang w:val="en-GB"/>
              </w:rPr>
              <w:t>.</w:t>
            </w:r>
            <w:r w:rsidRPr="00D62D04">
              <w:rPr>
                <w:sz w:val="20"/>
                <w:szCs w:val="20"/>
                <w:lang w:val="en-GB"/>
              </w:rPr>
              <w:t>00</w:t>
            </w:r>
          </w:p>
        </w:tc>
        <w:tc>
          <w:tcPr>
            <w:tcW w:w="1475" w:type="dxa"/>
            <w:vAlign w:val="center"/>
          </w:tcPr>
          <w:p w14:paraId="7F470E65" w14:textId="77777777" w:rsidR="00F31B10" w:rsidRPr="00D62D04" w:rsidRDefault="00F31B10" w:rsidP="005B4512">
            <w:pPr>
              <w:spacing w:after="0" w:line="240" w:lineRule="auto"/>
              <w:jc w:val="center"/>
              <w:rPr>
                <w:sz w:val="20"/>
                <w:szCs w:val="20"/>
                <w:lang w:val="en-GB"/>
              </w:rPr>
            </w:pPr>
            <w:r w:rsidRPr="00D62D04">
              <w:rPr>
                <w:sz w:val="20"/>
                <w:szCs w:val="20"/>
                <w:lang w:val="en-GB"/>
              </w:rPr>
              <w:t>10</w:t>
            </w:r>
            <w:r w:rsidR="005B4512" w:rsidRPr="00D62D04">
              <w:rPr>
                <w:sz w:val="20"/>
                <w:szCs w:val="20"/>
                <w:lang w:val="en-GB"/>
              </w:rPr>
              <w:t>,</w:t>
            </w:r>
            <w:r w:rsidRPr="00D62D04">
              <w:rPr>
                <w:sz w:val="20"/>
                <w:szCs w:val="20"/>
                <w:lang w:val="en-GB"/>
              </w:rPr>
              <w:t>000</w:t>
            </w:r>
            <w:r w:rsidR="005B4512" w:rsidRPr="00D62D04">
              <w:rPr>
                <w:sz w:val="20"/>
                <w:szCs w:val="20"/>
                <w:lang w:val="en-GB"/>
              </w:rPr>
              <w:t>,</w:t>
            </w:r>
            <w:r w:rsidRPr="00D62D04">
              <w:rPr>
                <w:sz w:val="20"/>
                <w:szCs w:val="20"/>
                <w:lang w:val="en-GB"/>
              </w:rPr>
              <w:t>000</w:t>
            </w:r>
            <w:r w:rsidR="005B4512" w:rsidRPr="00D62D04">
              <w:rPr>
                <w:sz w:val="20"/>
                <w:szCs w:val="20"/>
                <w:lang w:val="en-GB"/>
              </w:rPr>
              <w:t>.</w:t>
            </w:r>
            <w:r w:rsidRPr="00D62D04">
              <w:rPr>
                <w:sz w:val="20"/>
                <w:szCs w:val="20"/>
                <w:lang w:val="en-GB"/>
              </w:rPr>
              <w:t>00</w:t>
            </w:r>
          </w:p>
        </w:tc>
        <w:tc>
          <w:tcPr>
            <w:tcW w:w="1475" w:type="dxa"/>
            <w:vAlign w:val="center"/>
          </w:tcPr>
          <w:p w14:paraId="6400331F" w14:textId="77777777" w:rsidR="00F31B10" w:rsidRPr="00D62D04" w:rsidRDefault="00F31B10" w:rsidP="005B4512">
            <w:pPr>
              <w:spacing w:after="0" w:line="240" w:lineRule="auto"/>
              <w:jc w:val="center"/>
              <w:rPr>
                <w:sz w:val="20"/>
                <w:szCs w:val="20"/>
                <w:lang w:val="en-GB"/>
              </w:rPr>
            </w:pPr>
            <w:r w:rsidRPr="00D62D04">
              <w:rPr>
                <w:sz w:val="20"/>
                <w:szCs w:val="20"/>
                <w:lang w:val="en-GB"/>
              </w:rPr>
              <w:t>10</w:t>
            </w:r>
            <w:r w:rsidR="005B4512" w:rsidRPr="00D62D04">
              <w:rPr>
                <w:sz w:val="20"/>
                <w:szCs w:val="20"/>
                <w:lang w:val="en-GB"/>
              </w:rPr>
              <w:t>,</w:t>
            </w:r>
            <w:r w:rsidRPr="00D62D04">
              <w:rPr>
                <w:sz w:val="20"/>
                <w:szCs w:val="20"/>
                <w:lang w:val="en-GB"/>
              </w:rPr>
              <w:t>000</w:t>
            </w:r>
            <w:r w:rsidR="005B4512" w:rsidRPr="00D62D04">
              <w:rPr>
                <w:sz w:val="20"/>
                <w:szCs w:val="20"/>
                <w:lang w:val="en-GB"/>
              </w:rPr>
              <w:t>,</w:t>
            </w:r>
            <w:r w:rsidRPr="00D62D04">
              <w:rPr>
                <w:sz w:val="20"/>
                <w:szCs w:val="20"/>
                <w:lang w:val="en-GB"/>
              </w:rPr>
              <w:t>000</w:t>
            </w:r>
            <w:r w:rsidR="005B4512" w:rsidRPr="00D62D04">
              <w:rPr>
                <w:sz w:val="20"/>
                <w:szCs w:val="20"/>
                <w:lang w:val="en-GB"/>
              </w:rPr>
              <w:t>.</w:t>
            </w:r>
            <w:r w:rsidRPr="00D62D04">
              <w:rPr>
                <w:sz w:val="20"/>
                <w:szCs w:val="20"/>
                <w:lang w:val="en-GB"/>
              </w:rPr>
              <w:t>00</w:t>
            </w:r>
          </w:p>
        </w:tc>
        <w:tc>
          <w:tcPr>
            <w:tcW w:w="1475" w:type="dxa"/>
            <w:vAlign w:val="center"/>
          </w:tcPr>
          <w:p w14:paraId="76B624F8" w14:textId="77777777" w:rsidR="00F31B10" w:rsidRPr="00D62D04" w:rsidRDefault="00F31B10" w:rsidP="005B4512">
            <w:pPr>
              <w:spacing w:after="0" w:line="240" w:lineRule="auto"/>
              <w:jc w:val="center"/>
              <w:rPr>
                <w:sz w:val="20"/>
                <w:szCs w:val="20"/>
                <w:lang w:val="en-GB"/>
              </w:rPr>
            </w:pPr>
            <w:r w:rsidRPr="00D62D04">
              <w:rPr>
                <w:sz w:val="20"/>
                <w:szCs w:val="20"/>
                <w:lang w:val="en-GB"/>
              </w:rPr>
              <w:t>10</w:t>
            </w:r>
            <w:r w:rsidR="005B4512" w:rsidRPr="00D62D04">
              <w:rPr>
                <w:sz w:val="20"/>
                <w:szCs w:val="20"/>
                <w:lang w:val="en-GB"/>
              </w:rPr>
              <w:t>,</w:t>
            </w:r>
            <w:r w:rsidRPr="00D62D04">
              <w:rPr>
                <w:sz w:val="20"/>
                <w:szCs w:val="20"/>
                <w:lang w:val="en-GB"/>
              </w:rPr>
              <w:t>000</w:t>
            </w:r>
            <w:r w:rsidR="005B4512" w:rsidRPr="00D62D04">
              <w:rPr>
                <w:sz w:val="20"/>
                <w:szCs w:val="20"/>
                <w:lang w:val="en-GB"/>
              </w:rPr>
              <w:t>,</w:t>
            </w:r>
            <w:r w:rsidRPr="00D62D04">
              <w:rPr>
                <w:sz w:val="20"/>
                <w:szCs w:val="20"/>
                <w:lang w:val="en-GB"/>
              </w:rPr>
              <w:t>000</w:t>
            </w:r>
            <w:r w:rsidR="005B4512" w:rsidRPr="00D62D04">
              <w:rPr>
                <w:sz w:val="20"/>
                <w:szCs w:val="20"/>
                <w:lang w:val="en-GB"/>
              </w:rPr>
              <w:t>.</w:t>
            </w:r>
            <w:r w:rsidRPr="00D62D04">
              <w:rPr>
                <w:sz w:val="20"/>
                <w:szCs w:val="20"/>
                <w:lang w:val="en-GB"/>
              </w:rPr>
              <w:t>00</w:t>
            </w:r>
          </w:p>
        </w:tc>
      </w:tr>
      <w:tr w:rsidR="00F31B10" w:rsidRPr="00D62D04" w14:paraId="2CEDDEBC" w14:textId="77777777" w:rsidTr="0056662A">
        <w:tc>
          <w:tcPr>
            <w:tcW w:w="1676" w:type="dxa"/>
          </w:tcPr>
          <w:p w14:paraId="75F8F463" w14:textId="77777777" w:rsidR="00F31B10" w:rsidRPr="00D62D04" w:rsidRDefault="005B4512" w:rsidP="0056662A">
            <w:pPr>
              <w:spacing w:after="0" w:line="240" w:lineRule="auto"/>
              <w:rPr>
                <w:sz w:val="20"/>
                <w:szCs w:val="20"/>
                <w:lang w:val="en-GB"/>
              </w:rPr>
            </w:pPr>
            <w:r w:rsidRPr="00D62D04">
              <w:rPr>
                <w:sz w:val="20"/>
                <w:szCs w:val="20"/>
                <w:lang w:val="en-GB"/>
              </w:rPr>
              <w:t xml:space="preserve">Institute for Culture of </w:t>
            </w:r>
            <w:proofErr w:type="spellStart"/>
            <w:r w:rsidRPr="00D62D04">
              <w:rPr>
                <w:sz w:val="20"/>
                <w:szCs w:val="20"/>
                <w:lang w:val="en-GB"/>
              </w:rPr>
              <w:t>Vojvodina</w:t>
            </w:r>
            <w:proofErr w:type="spellEnd"/>
            <w:r w:rsidRPr="00D62D04">
              <w:rPr>
                <w:sz w:val="20"/>
                <w:szCs w:val="20"/>
                <w:lang w:val="en-GB"/>
              </w:rPr>
              <w:t xml:space="preserve"> Croats</w:t>
            </w:r>
          </w:p>
        </w:tc>
        <w:tc>
          <w:tcPr>
            <w:tcW w:w="1438" w:type="dxa"/>
            <w:vAlign w:val="center"/>
          </w:tcPr>
          <w:p w14:paraId="6AC47D63" w14:textId="77777777" w:rsidR="00F31B10" w:rsidRPr="00D62D04" w:rsidRDefault="00F31B10" w:rsidP="005B4512">
            <w:pPr>
              <w:spacing w:after="0" w:line="240" w:lineRule="auto"/>
              <w:jc w:val="center"/>
              <w:rPr>
                <w:sz w:val="20"/>
                <w:szCs w:val="20"/>
                <w:lang w:val="en-GB"/>
              </w:rPr>
            </w:pPr>
            <w:r w:rsidRPr="00D62D04">
              <w:rPr>
                <w:sz w:val="20"/>
                <w:szCs w:val="20"/>
                <w:lang w:val="en-GB"/>
              </w:rPr>
              <w:t>10</w:t>
            </w:r>
            <w:r w:rsidR="005B4512" w:rsidRPr="00D62D04">
              <w:rPr>
                <w:sz w:val="20"/>
                <w:szCs w:val="20"/>
                <w:lang w:val="en-GB"/>
              </w:rPr>
              <w:t>,</w:t>
            </w:r>
            <w:r w:rsidRPr="00D62D04">
              <w:rPr>
                <w:sz w:val="20"/>
                <w:szCs w:val="20"/>
                <w:lang w:val="en-GB"/>
              </w:rPr>
              <w:t>000</w:t>
            </w:r>
            <w:r w:rsidR="005B4512" w:rsidRPr="00D62D04">
              <w:rPr>
                <w:sz w:val="20"/>
                <w:szCs w:val="20"/>
                <w:lang w:val="en-GB"/>
              </w:rPr>
              <w:t>,</w:t>
            </w:r>
            <w:r w:rsidRPr="00D62D04">
              <w:rPr>
                <w:sz w:val="20"/>
                <w:szCs w:val="20"/>
                <w:lang w:val="en-GB"/>
              </w:rPr>
              <w:t>000</w:t>
            </w:r>
            <w:r w:rsidR="005B4512" w:rsidRPr="00D62D04">
              <w:rPr>
                <w:sz w:val="20"/>
                <w:szCs w:val="20"/>
                <w:lang w:val="en-GB"/>
              </w:rPr>
              <w:t>.</w:t>
            </w:r>
            <w:r w:rsidRPr="00D62D04">
              <w:rPr>
                <w:sz w:val="20"/>
                <w:szCs w:val="20"/>
                <w:lang w:val="en-GB"/>
              </w:rPr>
              <w:t>00</w:t>
            </w:r>
          </w:p>
        </w:tc>
        <w:tc>
          <w:tcPr>
            <w:tcW w:w="1477" w:type="dxa"/>
            <w:vAlign w:val="center"/>
          </w:tcPr>
          <w:p w14:paraId="0F0B2FE3" w14:textId="77777777" w:rsidR="00F31B10" w:rsidRPr="00D62D04" w:rsidRDefault="00F31B10" w:rsidP="005B4512">
            <w:pPr>
              <w:spacing w:after="0" w:line="240" w:lineRule="auto"/>
              <w:jc w:val="center"/>
              <w:rPr>
                <w:sz w:val="20"/>
                <w:szCs w:val="20"/>
                <w:lang w:val="en-GB"/>
              </w:rPr>
            </w:pPr>
            <w:r w:rsidRPr="00D62D04">
              <w:rPr>
                <w:sz w:val="20"/>
                <w:szCs w:val="20"/>
                <w:lang w:val="en-GB"/>
              </w:rPr>
              <w:t>10</w:t>
            </w:r>
            <w:r w:rsidR="005B4512" w:rsidRPr="00D62D04">
              <w:rPr>
                <w:sz w:val="20"/>
                <w:szCs w:val="20"/>
                <w:lang w:val="en-GB"/>
              </w:rPr>
              <w:t>,</w:t>
            </w:r>
            <w:r w:rsidRPr="00D62D04">
              <w:rPr>
                <w:sz w:val="20"/>
                <w:szCs w:val="20"/>
                <w:lang w:val="en-GB"/>
              </w:rPr>
              <w:t>000</w:t>
            </w:r>
            <w:r w:rsidR="005B4512" w:rsidRPr="00D62D04">
              <w:rPr>
                <w:sz w:val="20"/>
                <w:szCs w:val="20"/>
                <w:lang w:val="en-GB"/>
              </w:rPr>
              <w:t>,</w:t>
            </w:r>
            <w:r w:rsidRPr="00D62D04">
              <w:rPr>
                <w:sz w:val="20"/>
                <w:szCs w:val="20"/>
                <w:lang w:val="en-GB"/>
              </w:rPr>
              <w:t>000</w:t>
            </w:r>
            <w:r w:rsidR="005B4512" w:rsidRPr="00D62D04">
              <w:rPr>
                <w:sz w:val="20"/>
                <w:szCs w:val="20"/>
                <w:lang w:val="en-GB"/>
              </w:rPr>
              <w:t>.</w:t>
            </w:r>
            <w:r w:rsidRPr="00D62D04">
              <w:rPr>
                <w:sz w:val="20"/>
                <w:szCs w:val="20"/>
                <w:lang w:val="en-GB"/>
              </w:rPr>
              <w:t>00</w:t>
            </w:r>
          </w:p>
        </w:tc>
        <w:tc>
          <w:tcPr>
            <w:tcW w:w="1475" w:type="dxa"/>
            <w:vAlign w:val="center"/>
          </w:tcPr>
          <w:p w14:paraId="3B38C0C0" w14:textId="77777777" w:rsidR="00F31B10" w:rsidRPr="00D62D04" w:rsidRDefault="00F31B10" w:rsidP="005B4512">
            <w:pPr>
              <w:spacing w:after="0" w:line="240" w:lineRule="auto"/>
              <w:jc w:val="center"/>
              <w:rPr>
                <w:sz w:val="20"/>
                <w:szCs w:val="20"/>
                <w:lang w:val="en-GB"/>
              </w:rPr>
            </w:pPr>
            <w:r w:rsidRPr="00D62D04">
              <w:rPr>
                <w:sz w:val="20"/>
                <w:szCs w:val="20"/>
                <w:lang w:val="en-GB"/>
              </w:rPr>
              <w:t>10</w:t>
            </w:r>
            <w:r w:rsidR="005B4512" w:rsidRPr="00D62D04">
              <w:rPr>
                <w:sz w:val="20"/>
                <w:szCs w:val="20"/>
                <w:lang w:val="en-GB"/>
              </w:rPr>
              <w:t>,</w:t>
            </w:r>
            <w:r w:rsidRPr="00D62D04">
              <w:rPr>
                <w:sz w:val="20"/>
                <w:szCs w:val="20"/>
                <w:lang w:val="en-GB"/>
              </w:rPr>
              <w:t>000</w:t>
            </w:r>
            <w:r w:rsidR="005B4512" w:rsidRPr="00D62D04">
              <w:rPr>
                <w:sz w:val="20"/>
                <w:szCs w:val="20"/>
                <w:lang w:val="en-GB"/>
              </w:rPr>
              <w:t>,</w:t>
            </w:r>
            <w:r w:rsidRPr="00D62D04">
              <w:rPr>
                <w:sz w:val="20"/>
                <w:szCs w:val="20"/>
                <w:lang w:val="en-GB"/>
              </w:rPr>
              <w:t>000</w:t>
            </w:r>
            <w:r w:rsidR="005B4512" w:rsidRPr="00D62D04">
              <w:rPr>
                <w:sz w:val="20"/>
                <w:szCs w:val="20"/>
                <w:lang w:val="en-GB"/>
              </w:rPr>
              <w:t>.</w:t>
            </w:r>
            <w:r w:rsidRPr="00D62D04">
              <w:rPr>
                <w:sz w:val="20"/>
                <w:szCs w:val="20"/>
                <w:lang w:val="en-GB"/>
              </w:rPr>
              <w:t>00</w:t>
            </w:r>
          </w:p>
        </w:tc>
        <w:tc>
          <w:tcPr>
            <w:tcW w:w="1475" w:type="dxa"/>
            <w:vAlign w:val="center"/>
          </w:tcPr>
          <w:p w14:paraId="0B4762D1" w14:textId="77777777" w:rsidR="00F31B10" w:rsidRPr="00D62D04" w:rsidRDefault="00F31B10" w:rsidP="005B4512">
            <w:pPr>
              <w:spacing w:after="0" w:line="240" w:lineRule="auto"/>
              <w:jc w:val="center"/>
              <w:rPr>
                <w:sz w:val="20"/>
                <w:szCs w:val="20"/>
                <w:lang w:val="en-GB"/>
              </w:rPr>
            </w:pPr>
            <w:r w:rsidRPr="00D62D04">
              <w:rPr>
                <w:sz w:val="20"/>
                <w:szCs w:val="20"/>
                <w:lang w:val="en-GB"/>
              </w:rPr>
              <w:t>10</w:t>
            </w:r>
            <w:r w:rsidR="005B4512" w:rsidRPr="00D62D04">
              <w:rPr>
                <w:sz w:val="20"/>
                <w:szCs w:val="20"/>
                <w:lang w:val="en-GB"/>
              </w:rPr>
              <w:t>,</w:t>
            </w:r>
            <w:r w:rsidRPr="00D62D04">
              <w:rPr>
                <w:sz w:val="20"/>
                <w:szCs w:val="20"/>
                <w:lang w:val="en-GB"/>
              </w:rPr>
              <w:t>000</w:t>
            </w:r>
            <w:r w:rsidR="005B4512" w:rsidRPr="00D62D04">
              <w:rPr>
                <w:sz w:val="20"/>
                <w:szCs w:val="20"/>
                <w:lang w:val="en-GB"/>
              </w:rPr>
              <w:t>,</w:t>
            </w:r>
            <w:r w:rsidRPr="00D62D04">
              <w:rPr>
                <w:sz w:val="20"/>
                <w:szCs w:val="20"/>
                <w:lang w:val="en-GB"/>
              </w:rPr>
              <w:t>000</w:t>
            </w:r>
            <w:r w:rsidR="005B4512" w:rsidRPr="00D62D04">
              <w:rPr>
                <w:sz w:val="20"/>
                <w:szCs w:val="20"/>
                <w:lang w:val="en-GB"/>
              </w:rPr>
              <w:t>.</w:t>
            </w:r>
            <w:r w:rsidRPr="00D62D04">
              <w:rPr>
                <w:sz w:val="20"/>
                <w:szCs w:val="20"/>
                <w:lang w:val="en-GB"/>
              </w:rPr>
              <w:t>00</w:t>
            </w:r>
          </w:p>
        </w:tc>
        <w:tc>
          <w:tcPr>
            <w:tcW w:w="1475" w:type="dxa"/>
            <w:vAlign w:val="center"/>
          </w:tcPr>
          <w:p w14:paraId="4CA68FF7" w14:textId="77777777" w:rsidR="00F31B10" w:rsidRPr="00D62D04" w:rsidRDefault="00F31B10" w:rsidP="005B4512">
            <w:pPr>
              <w:spacing w:after="0" w:line="240" w:lineRule="auto"/>
              <w:jc w:val="center"/>
              <w:rPr>
                <w:sz w:val="20"/>
                <w:szCs w:val="20"/>
                <w:lang w:val="en-GB"/>
              </w:rPr>
            </w:pPr>
            <w:r w:rsidRPr="00D62D04">
              <w:rPr>
                <w:sz w:val="20"/>
                <w:szCs w:val="20"/>
                <w:lang w:val="en-GB"/>
              </w:rPr>
              <w:t>10</w:t>
            </w:r>
            <w:r w:rsidR="005B4512" w:rsidRPr="00D62D04">
              <w:rPr>
                <w:sz w:val="20"/>
                <w:szCs w:val="20"/>
                <w:lang w:val="en-GB"/>
              </w:rPr>
              <w:t>,</w:t>
            </w:r>
            <w:r w:rsidRPr="00D62D04">
              <w:rPr>
                <w:sz w:val="20"/>
                <w:szCs w:val="20"/>
                <w:lang w:val="en-GB"/>
              </w:rPr>
              <w:t>000</w:t>
            </w:r>
            <w:r w:rsidR="005B4512" w:rsidRPr="00D62D04">
              <w:rPr>
                <w:sz w:val="20"/>
                <w:szCs w:val="20"/>
                <w:lang w:val="en-GB"/>
              </w:rPr>
              <w:t>,</w:t>
            </w:r>
            <w:r w:rsidRPr="00D62D04">
              <w:rPr>
                <w:sz w:val="20"/>
                <w:szCs w:val="20"/>
                <w:lang w:val="en-GB"/>
              </w:rPr>
              <w:t>000</w:t>
            </w:r>
            <w:r w:rsidR="005B4512" w:rsidRPr="00D62D04">
              <w:rPr>
                <w:sz w:val="20"/>
                <w:szCs w:val="20"/>
                <w:lang w:val="en-GB"/>
              </w:rPr>
              <w:t>.</w:t>
            </w:r>
            <w:r w:rsidRPr="00D62D04">
              <w:rPr>
                <w:sz w:val="20"/>
                <w:szCs w:val="20"/>
                <w:lang w:val="en-GB"/>
              </w:rPr>
              <w:t>00</w:t>
            </w:r>
          </w:p>
        </w:tc>
      </w:tr>
      <w:tr w:rsidR="00F31B10" w:rsidRPr="00D62D04" w14:paraId="0264E1B9" w14:textId="77777777" w:rsidTr="0056662A">
        <w:tc>
          <w:tcPr>
            <w:tcW w:w="1676" w:type="dxa"/>
          </w:tcPr>
          <w:p w14:paraId="3C868A45" w14:textId="77777777" w:rsidR="00F31B10" w:rsidRPr="00D62D04" w:rsidRDefault="005B4512" w:rsidP="0056662A">
            <w:pPr>
              <w:spacing w:after="0" w:line="240" w:lineRule="auto"/>
              <w:rPr>
                <w:sz w:val="20"/>
                <w:szCs w:val="20"/>
                <w:lang w:val="en-GB"/>
              </w:rPr>
            </w:pPr>
            <w:r w:rsidRPr="00D62D04">
              <w:rPr>
                <w:sz w:val="20"/>
                <w:szCs w:val="20"/>
                <w:lang w:val="en-GB"/>
              </w:rPr>
              <w:lastRenderedPageBreak/>
              <w:t>"Forum" publishing house</w:t>
            </w:r>
          </w:p>
        </w:tc>
        <w:tc>
          <w:tcPr>
            <w:tcW w:w="1438" w:type="dxa"/>
            <w:vAlign w:val="center"/>
          </w:tcPr>
          <w:p w14:paraId="107346D8" w14:textId="77777777" w:rsidR="00F31B10" w:rsidRPr="00D62D04" w:rsidRDefault="00F31B10" w:rsidP="005B4512">
            <w:pPr>
              <w:spacing w:after="0" w:line="240" w:lineRule="auto"/>
              <w:jc w:val="center"/>
              <w:rPr>
                <w:sz w:val="20"/>
                <w:szCs w:val="20"/>
                <w:lang w:val="en-GB"/>
              </w:rPr>
            </w:pPr>
            <w:r w:rsidRPr="00D62D04">
              <w:rPr>
                <w:bCs/>
                <w:sz w:val="20"/>
                <w:szCs w:val="20"/>
                <w:lang w:val="en-GB"/>
              </w:rPr>
              <w:t>17</w:t>
            </w:r>
            <w:r w:rsidR="005B4512" w:rsidRPr="00D62D04">
              <w:rPr>
                <w:bCs/>
                <w:sz w:val="20"/>
                <w:szCs w:val="20"/>
                <w:lang w:val="en-GB"/>
              </w:rPr>
              <w:t>,</w:t>
            </w:r>
            <w:r w:rsidRPr="00D62D04">
              <w:rPr>
                <w:bCs/>
                <w:sz w:val="20"/>
                <w:szCs w:val="20"/>
                <w:lang w:val="en-GB"/>
              </w:rPr>
              <w:t>505</w:t>
            </w:r>
            <w:r w:rsidR="005B4512" w:rsidRPr="00D62D04">
              <w:rPr>
                <w:bCs/>
                <w:sz w:val="20"/>
                <w:szCs w:val="20"/>
                <w:lang w:val="en-GB"/>
              </w:rPr>
              <w:t>,</w:t>
            </w:r>
            <w:r w:rsidRPr="00D62D04">
              <w:rPr>
                <w:bCs/>
                <w:sz w:val="20"/>
                <w:szCs w:val="20"/>
                <w:lang w:val="en-GB"/>
              </w:rPr>
              <w:t>719</w:t>
            </w:r>
            <w:r w:rsidR="005B4512" w:rsidRPr="00D62D04">
              <w:rPr>
                <w:bCs/>
                <w:sz w:val="20"/>
                <w:szCs w:val="20"/>
                <w:lang w:val="en-GB"/>
              </w:rPr>
              <w:t>.</w:t>
            </w:r>
            <w:r w:rsidRPr="00D62D04">
              <w:rPr>
                <w:bCs/>
                <w:sz w:val="20"/>
                <w:szCs w:val="20"/>
                <w:lang w:val="en-GB"/>
              </w:rPr>
              <w:t>63</w:t>
            </w:r>
          </w:p>
        </w:tc>
        <w:tc>
          <w:tcPr>
            <w:tcW w:w="1477" w:type="dxa"/>
            <w:vAlign w:val="center"/>
          </w:tcPr>
          <w:p w14:paraId="317194C7" w14:textId="77777777" w:rsidR="00F31B10" w:rsidRPr="00D62D04" w:rsidRDefault="00F31B10" w:rsidP="005B4512">
            <w:pPr>
              <w:spacing w:after="0" w:line="240" w:lineRule="auto"/>
              <w:jc w:val="center"/>
              <w:rPr>
                <w:sz w:val="20"/>
                <w:szCs w:val="20"/>
                <w:lang w:val="en-GB"/>
              </w:rPr>
            </w:pPr>
            <w:r w:rsidRPr="00D62D04">
              <w:rPr>
                <w:bCs/>
                <w:sz w:val="20"/>
                <w:szCs w:val="20"/>
                <w:lang w:val="en-GB"/>
              </w:rPr>
              <w:t>18</w:t>
            </w:r>
            <w:r w:rsidR="005B4512" w:rsidRPr="00D62D04">
              <w:rPr>
                <w:bCs/>
                <w:sz w:val="20"/>
                <w:szCs w:val="20"/>
                <w:lang w:val="en-GB"/>
              </w:rPr>
              <w:t>,</w:t>
            </w:r>
            <w:r w:rsidRPr="00D62D04">
              <w:rPr>
                <w:bCs/>
                <w:sz w:val="20"/>
                <w:szCs w:val="20"/>
                <w:lang w:val="en-GB"/>
              </w:rPr>
              <w:t>206</w:t>
            </w:r>
            <w:r w:rsidR="005B4512" w:rsidRPr="00D62D04">
              <w:rPr>
                <w:bCs/>
                <w:sz w:val="20"/>
                <w:szCs w:val="20"/>
                <w:lang w:val="en-GB"/>
              </w:rPr>
              <w:t>,</w:t>
            </w:r>
            <w:r w:rsidRPr="00D62D04">
              <w:rPr>
                <w:bCs/>
                <w:sz w:val="20"/>
                <w:szCs w:val="20"/>
                <w:lang w:val="en-GB"/>
              </w:rPr>
              <w:t>064</w:t>
            </w:r>
            <w:r w:rsidR="005B4512" w:rsidRPr="00D62D04">
              <w:rPr>
                <w:bCs/>
                <w:sz w:val="20"/>
                <w:szCs w:val="20"/>
                <w:lang w:val="en-GB"/>
              </w:rPr>
              <w:t>.</w:t>
            </w:r>
            <w:r w:rsidRPr="00D62D04">
              <w:rPr>
                <w:bCs/>
                <w:sz w:val="20"/>
                <w:szCs w:val="20"/>
                <w:lang w:val="en-GB"/>
              </w:rPr>
              <w:t>91</w:t>
            </w:r>
          </w:p>
        </w:tc>
        <w:tc>
          <w:tcPr>
            <w:tcW w:w="1475" w:type="dxa"/>
            <w:vAlign w:val="center"/>
          </w:tcPr>
          <w:p w14:paraId="6D6554A2" w14:textId="77777777" w:rsidR="00F31B10" w:rsidRPr="00D62D04" w:rsidRDefault="00F31B10" w:rsidP="005B4512">
            <w:pPr>
              <w:spacing w:after="0" w:line="240" w:lineRule="auto"/>
              <w:jc w:val="center"/>
              <w:rPr>
                <w:sz w:val="20"/>
                <w:szCs w:val="20"/>
                <w:lang w:val="en-GB"/>
              </w:rPr>
            </w:pPr>
            <w:r w:rsidRPr="00D62D04">
              <w:rPr>
                <w:bCs/>
                <w:sz w:val="20"/>
                <w:szCs w:val="20"/>
                <w:lang w:val="en-GB"/>
              </w:rPr>
              <w:t>20</w:t>
            </w:r>
            <w:r w:rsidR="005B4512" w:rsidRPr="00D62D04">
              <w:rPr>
                <w:bCs/>
                <w:sz w:val="20"/>
                <w:szCs w:val="20"/>
                <w:lang w:val="en-GB"/>
              </w:rPr>
              <w:t>,</w:t>
            </w:r>
            <w:r w:rsidRPr="00D62D04">
              <w:rPr>
                <w:bCs/>
                <w:sz w:val="20"/>
                <w:szCs w:val="20"/>
                <w:lang w:val="en-GB"/>
              </w:rPr>
              <w:t>384</w:t>
            </w:r>
            <w:r w:rsidR="005B4512" w:rsidRPr="00D62D04">
              <w:rPr>
                <w:bCs/>
                <w:sz w:val="20"/>
                <w:szCs w:val="20"/>
                <w:lang w:val="en-GB"/>
              </w:rPr>
              <w:t>,</w:t>
            </w:r>
            <w:r w:rsidRPr="00D62D04">
              <w:rPr>
                <w:bCs/>
                <w:sz w:val="20"/>
                <w:szCs w:val="20"/>
                <w:lang w:val="en-GB"/>
              </w:rPr>
              <w:t>428</w:t>
            </w:r>
            <w:r w:rsidR="005B4512" w:rsidRPr="00D62D04">
              <w:rPr>
                <w:bCs/>
                <w:sz w:val="20"/>
                <w:szCs w:val="20"/>
                <w:lang w:val="en-GB"/>
              </w:rPr>
              <w:t>.</w:t>
            </w:r>
            <w:r w:rsidRPr="00D62D04">
              <w:rPr>
                <w:bCs/>
                <w:sz w:val="20"/>
                <w:szCs w:val="20"/>
                <w:lang w:val="en-GB"/>
              </w:rPr>
              <w:t>00</w:t>
            </w:r>
          </w:p>
        </w:tc>
        <w:tc>
          <w:tcPr>
            <w:tcW w:w="1475" w:type="dxa"/>
            <w:vAlign w:val="center"/>
          </w:tcPr>
          <w:p w14:paraId="636CA97C" w14:textId="77777777" w:rsidR="00F31B10" w:rsidRPr="00D62D04" w:rsidRDefault="00F31B10" w:rsidP="005B4512">
            <w:pPr>
              <w:spacing w:after="0" w:line="240" w:lineRule="auto"/>
              <w:jc w:val="center"/>
              <w:rPr>
                <w:sz w:val="20"/>
                <w:szCs w:val="20"/>
                <w:lang w:val="en-GB"/>
              </w:rPr>
            </w:pPr>
            <w:r w:rsidRPr="00D62D04">
              <w:rPr>
                <w:bCs/>
                <w:sz w:val="20"/>
                <w:szCs w:val="20"/>
                <w:lang w:val="en-GB"/>
              </w:rPr>
              <w:t>18</w:t>
            </w:r>
            <w:r w:rsidR="005B4512" w:rsidRPr="00D62D04">
              <w:rPr>
                <w:bCs/>
                <w:sz w:val="20"/>
                <w:szCs w:val="20"/>
                <w:lang w:val="en-GB"/>
              </w:rPr>
              <w:t>,</w:t>
            </w:r>
            <w:r w:rsidRPr="00D62D04">
              <w:rPr>
                <w:bCs/>
                <w:sz w:val="20"/>
                <w:szCs w:val="20"/>
                <w:lang w:val="en-GB"/>
              </w:rPr>
              <w:t>708</w:t>
            </w:r>
            <w:r w:rsidR="005B4512" w:rsidRPr="00D62D04">
              <w:rPr>
                <w:bCs/>
                <w:sz w:val="20"/>
                <w:szCs w:val="20"/>
                <w:lang w:val="en-GB"/>
              </w:rPr>
              <w:t>,</w:t>
            </w:r>
            <w:r w:rsidRPr="00D62D04">
              <w:rPr>
                <w:bCs/>
                <w:sz w:val="20"/>
                <w:szCs w:val="20"/>
                <w:lang w:val="en-GB"/>
              </w:rPr>
              <w:t>327</w:t>
            </w:r>
            <w:r w:rsidR="005B4512" w:rsidRPr="00D62D04">
              <w:rPr>
                <w:bCs/>
                <w:sz w:val="20"/>
                <w:szCs w:val="20"/>
                <w:lang w:val="en-GB"/>
              </w:rPr>
              <w:t>.</w:t>
            </w:r>
            <w:r w:rsidRPr="00D62D04">
              <w:rPr>
                <w:bCs/>
                <w:sz w:val="20"/>
                <w:szCs w:val="20"/>
                <w:lang w:val="en-GB"/>
              </w:rPr>
              <w:t>00</w:t>
            </w:r>
          </w:p>
        </w:tc>
        <w:tc>
          <w:tcPr>
            <w:tcW w:w="1475" w:type="dxa"/>
            <w:vAlign w:val="center"/>
          </w:tcPr>
          <w:p w14:paraId="5AAEE3C5" w14:textId="77777777" w:rsidR="00F31B10" w:rsidRPr="00D62D04" w:rsidRDefault="00F31B10" w:rsidP="005B4512">
            <w:pPr>
              <w:spacing w:after="0" w:line="240" w:lineRule="auto"/>
              <w:jc w:val="center"/>
              <w:rPr>
                <w:sz w:val="20"/>
                <w:szCs w:val="20"/>
                <w:lang w:val="en-GB"/>
              </w:rPr>
            </w:pPr>
            <w:r w:rsidRPr="00D62D04">
              <w:rPr>
                <w:bCs/>
                <w:sz w:val="20"/>
                <w:szCs w:val="20"/>
                <w:lang w:val="en-GB"/>
              </w:rPr>
              <w:t>19</w:t>
            </w:r>
            <w:r w:rsidR="005B4512" w:rsidRPr="00D62D04">
              <w:rPr>
                <w:bCs/>
                <w:sz w:val="20"/>
                <w:szCs w:val="20"/>
                <w:lang w:val="en-GB"/>
              </w:rPr>
              <w:t>,</w:t>
            </w:r>
            <w:r w:rsidRPr="00D62D04">
              <w:rPr>
                <w:bCs/>
                <w:sz w:val="20"/>
                <w:szCs w:val="20"/>
                <w:lang w:val="en-GB"/>
              </w:rPr>
              <w:t>643</w:t>
            </w:r>
            <w:r w:rsidR="005B4512" w:rsidRPr="00D62D04">
              <w:rPr>
                <w:bCs/>
                <w:sz w:val="20"/>
                <w:szCs w:val="20"/>
                <w:lang w:val="en-GB"/>
              </w:rPr>
              <w:t>,</w:t>
            </w:r>
            <w:r w:rsidRPr="00D62D04">
              <w:rPr>
                <w:bCs/>
                <w:sz w:val="20"/>
                <w:szCs w:val="20"/>
                <w:lang w:val="en-GB"/>
              </w:rPr>
              <w:t>385</w:t>
            </w:r>
            <w:r w:rsidR="005B4512" w:rsidRPr="00D62D04">
              <w:rPr>
                <w:bCs/>
                <w:sz w:val="20"/>
                <w:szCs w:val="20"/>
                <w:lang w:val="en-GB"/>
              </w:rPr>
              <w:t>.</w:t>
            </w:r>
            <w:r w:rsidRPr="00D62D04">
              <w:rPr>
                <w:bCs/>
                <w:sz w:val="20"/>
                <w:szCs w:val="20"/>
                <w:lang w:val="en-GB"/>
              </w:rPr>
              <w:t>00</w:t>
            </w:r>
          </w:p>
        </w:tc>
      </w:tr>
      <w:tr w:rsidR="00F31B10" w:rsidRPr="00D62D04" w14:paraId="4621F8FA" w14:textId="77777777" w:rsidTr="0056662A">
        <w:tc>
          <w:tcPr>
            <w:tcW w:w="1676" w:type="dxa"/>
          </w:tcPr>
          <w:p w14:paraId="733431EC" w14:textId="77777777" w:rsidR="00F31B10" w:rsidRPr="00D62D04" w:rsidRDefault="009024B6" w:rsidP="009024B6">
            <w:pPr>
              <w:spacing w:after="0" w:line="240" w:lineRule="auto"/>
              <w:rPr>
                <w:sz w:val="20"/>
                <w:szCs w:val="20"/>
                <w:lang w:val="en-GB"/>
              </w:rPr>
            </w:pPr>
            <w:proofErr w:type="spellStart"/>
            <w:r w:rsidRPr="00D62D04">
              <w:rPr>
                <w:sz w:val="20"/>
                <w:szCs w:val="20"/>
                <w:lang w:val="en-GB"/>
              </w:rPr>
              <w:t>Bunjevac</w:t>
            </w:r>
            <w:proofErr w:type="spellEnd"/>
            <w:r w:rsidRPr="00D62D04">
              <w:rPr>
                <w:sz w:val="20"/>
                <w:szCs w:val="20"/>
                <w:lang w:val="en-GB"/>
              </w:rPr>
              <w:t xml:space="preserve"> Culture Centre</w:t>
            </w:r>
          </w:p>
        </w:tc>
        <w:tc>
          <w:tcPr>
            <w:tcW w:w="1438" w:type="dxa"/>
            <w:vAlign w:val="center"/>
          </w:tcPr>
          <w:p w14:paraId="346C2206" w14:textId="77777777" w:rsidR="00F31B10" w:rsidRPr="00D62D04" w:rsidRDefault="00F31B10" w:rsidP="009024B6">
            <w:pPr>
              <w:spacing w:after="0" w:line="240" w:lineRule="auto"/>
              <w:jc w:val="center"/>
              <w:rPr>
                <w:bCs/>
                <w:sz w:val="20"/>
                <w:szCs w:val="20"/>
                <w:lang w:val="en-GB"/>
              </w:rPr>
            </w:pPr>
            <w:r w:rsidRPr="00D62D04">
              <w:rPr>
                <w:bCs/>
                <w:sz w:val="20"/>
                <w:szCs w:val="20"/>
                <w:lang w:val="en-GB"/>
              </w:rPr>
              <w:t>443</w:t>
            </w:r>
            <w:r w:rsidR="009024B6" w:rsidRPr="00D62D04">
              <w:rPr>
                <w:bCs/>
                <w:sz w:val="20"/>
                <w:szCs w:val="20"/>
                <w:lang w:val="en-GB"/>
              </w:rPr>
              <w:t>,</w:t>
            </w:r>
            <w:r w:rsidRPr="00D62D04">
              <w:rPr>
                <w:bCs/>
                <w:sz w:val="20"/>
                <w:szCs w:val="20"/>
                <w:lang w:val="en-GB"/>
              </w:rPr>
              <w:t>000</w:t>
            </w:r>
            <w:r w:rsidR="009024B6" w:rsidRPr="00D62D04">
              <w:rPr>
                <w:bCs/>
                <w:sz w:val="20"/>
                <w:szCs w:val="20"/>
                <w:lang w:val="en-GB"/>
              </w:rPr>
              <w:t>.</w:t>
            </w:r>
            <w:r w:rsidRPr="00D62D04">
              <w:rPr>
                <w:bCs/>
                <w:sz w:val="20"/>
                <w:szCs w:val="20"/>
                <w:lang w:val="en-GB"/>
              </w:rPr>
              <w:t>00</w:t>
            </w:r>
          </w:p>
        </w:tc>
        <w:tc>
          <w:tcPr>
            <w:tcW w:w="1477" w:type="dxa"/>
            <w:vAlign w:val="center"/>
          </w:tcPr>
          <w:p w14:paraId="33621154" w14:textId="77777777" w:rsidR="00F31B10" w:rsidRPr="00D62D04" w:rsidRDefault="00F31B10" w:rsidP="009024B6">
            <w:pPr>
              <w:spacing w:after="0" w:line="240" w:lineRule="auto"/>
              <w:jc w:val="center"/>
              <w:rPr>
                <w:bCs/>
                <w:sz w:val="20"/>
                <w:szCs w:val="20"/>
                <w:lang w:val="en-GB"/>
              </w:rPr>
            </w:pPr>
            <w:r w:rsidRPr="00D62D04">
              <w:rPr>
                <w:bCs/>
                <w:sz w:val="20"/>
                <w:szCs w:val="20"/>
                <w:lang w:val="en-GB"/>
              </w:rPr>
              <w:t>743</w:t>
            </w:r>
            <w:r w:rsidR="009024B6" w:rsidRPr="00D62D04">
              <w:rPr>
                <w:bCs/>
                <w:sz w:val="20"/>
                <w:szCs w:val="20"/>
                <w:lang w:val="en-GB"/>
              </w:rPr>
              <w:t>,</w:t>
            </w:r>
            <w:r w:rsidRPr="00D62D04">
              <w:rPr>
                <w:bCs/>
                <w:sz w:val="20"/>
                <w:szCs w:val="20"/>
                <w:lang w:val="en-GB"/>
              </w:rPr>
              <w:t>000</w:t>
            </w:r>
            <w:r w:rsidR="009024B6" w:rsidRPr="00D62D04">
              <w:rPr>
                <w:bCs/>
                <w:sz w:val="20"/>
                <w:szCs w:val="20"/>
                <w:lang w:val="en-GB"/>
              </w:rPr>
              <w:t>.</w:t>
            </w:r>
            <w:r w:rsidRPr="00D62D04">
              <w:rPr>
                <w:bCs/>
                <w:sz w:val="20"/>
                <w:szCs w:val="20"/>
                <w:lang w:val="en-GB"/>
              </w:rPr>
              <w:t>00</w:t>
            </w:r>
          </w:p>
        </w:tc>
        <w:tc>
          <w:tcPr>
            <w:tcW w:w="1475" w:type="dxa"/>
            <w:vAlign w:val="center"/>
          </w:tcPr>
          <w:p w14:paraId="543F927D" w14:textId="77777777" w:rsidR="00F31B10" w:rsidRPr="00D62D04" w:rsidRDefault="00F31B10" w:rsidP="009024B6">
            <w:pPr>
              <w:spacing w:after="0" w:line="240" w:lineRule="auto"/>
              <w:jc w:val="center"/>
              <w:rPr>
                <w:bCs/>
                <w:sz w:val="20"/>
                <w:szCs w:val="20"/>
                <w:lang w:val="en-GB"/>
              </w:rPr>
            </w:pPr>
            <w:r w:rsidRPr="00D62D04">
              <w:rPr>
                <w:bCs/>
                <w:sz w:val="20"/>
                <w:szCs w:val="20"/>
                <w:lang w:val="en-GB"/>
              </w:rPr>
              <w:t>443</w:t>
            </w:r>
            <w:r w:rsidR="009024B6" w:rsidRPr="00D62D04">
              <w:rPr>
                <w:bCs/>
                <w:sz w:val="20"/>
                <w:szCs w:val="20"/>
                <w:lang w:val="en-GB"/>
              </w:rPr>
              <w:t>,</w:t>
            </w:r>
            <w:r w:rsidRPr="00D62D04">
              <w:rPr>
                <w:bCs/>
                <w:sz w:val="20"/>
                <w:szCs w:val="20"/>
                <w:lang w:val="en-GB"/>
              </w:rPr>
              <w:t>000</w:t>
            </w:r>
            <w:r w:rsidR="009024B6" w:rsidRPr="00D62D04">
              <w:rPr>
                <w:bCs/>
                <w:sz w:val="20"/>
                <w:szCs w:val="20"/>
                <w:lang w:val="en-GB"/>
              </w:rPr>
              <w:t>.</w:t>
            </w:r>
            <w:r w:rsidRPr="00D62D04">
              <w:rPr>
                <w:bCs/>
                <w:sz w:val="20"/>
                <w:szCs w:val="20"/>
                <w:lang w:val="en-GB"/>
              </w:rPr>
              <w:t>00</w:t>
            </w:r>
          </w:p>
        </w:tc>
        <w:tc>
          <w:tcPr>
            <w:tcW w:w="1475" w:type="dxa"/>
            <w:vAlign w:val="center"/>
          </w:tcPr>
          <w:p w14:paraId="25E3B07C" w14:textId="77777777" w:rsidR="00F31B10" w:rsidRPr="00D62D04" w:rsidRDefault="00F31B10" w:rsidP="009024B6">
            <w:pPr>
              <w:spacing w:after="0" w:line="240" w:lineRule="auto"/>
              <w:jc w:val="center"/>
              <w:rPr>
                <w:bCs/>
                <w:sz w:val="20"/>
                <w:szCs w:val="20"/>
                <w:lang w:val="en-GB"/>
              </w:rPr>
            </w:pPr>
            <w:r w:rsidRPr="00D62D04">
              <w:rPr>
                <w:bCs/>
                <w:sz w:val="20"/>
                <w:szCs w:val="20"/>
                <w:lang w:val="en-GB"/>
              </w:rPr>
              <w:t>443</w:t>
            </w:r>
            <w:r w:rsidR="009024B6" w:rsidRPr="00D62D04">
              <w:rPr>
                <w:bCs/>
                <w:sz w:val="20"/>
                <w:szCs w:val="20"/>
                <w:lang w:val="en-GB"/>
              </w:rPr>
              <w:t>,</w:t>
            </w:r>
            <w:r w:rsidRPr="00D62D04">
              <w:rPr>
                <w:bCs/>
                <w:sz w:val="20"/>
                <w:szCs w:val="20"/>
                <w:lang w:val="en-GB"/>
              </w:rPr>
              <w:t>000</w:t>
            </w:r>
            <w:r w:rsidR="009024B6" w:rsidRPr="00D62D04">
              <w:rPr>
                <w:bCs/>
                <w:sz w:val="20"/>
                <w:szCs w:val="20"/>
                <w:lang w:val="en-GB"/>
              </w:rPr>
              <w:t>.</w:t>
            </w:r>
            <w:r w:rsidRPr="00D62D04">
              <w:rPr>
                <w:bCs/>
                <w:sz w:val="20"/>
                <w:szCs w:val="20"/>
                <w:lang w:val="en-GB"/>
              </w:rPr>
              <w:t>00</w:t>
            </w:r>
          </w:p>
        </w:tc>
        <w:tc>
          <w:tcPr>
            <w:tcW w:w="1475" w:type="dxa"/>
            <w:vAlign w:val="center"/>
          </w:tcPr>
          <w:p w14:paraId="2AF64E2E" w14:textId="77777777" w:rsidR="00F31B10" w:rsidRPr="00D62D04" w:rsidRDefault="00F31B10" w:rsidP="009024B6">
            <w:pPr>
              <w:spacing w:after="0" w:line="240" w:lineRule="auto"/>
              <w:jc w:val="center"/>
              <w:rPr>
                <w:bCs/>
                <w:sz w:val="20"/>
                <w:szCs w:val="20"/>
                <w:lang w:val="en-GB"/>
              </w:rPr>
            </w:pPr>
            <w:r w:rsidRPr="00D62D04">
              <w:rPr>
                <w:bCs/>
                <w:sz w:val="20"/>
                <w:szCs w:val="20"/>
                <w:lang w:val="en-GB"/>
              </w:rPr>
              <w:t>550</w:t>
            </w:r>
            <w:r w:rsidR="009024B6" w:rsidRPr="00D62D04">
              <w:rPr>
                <w:bCs/>
                <w:sz w:val="20"/>
                <w:szCs w:val="20"/>
                <w:lang w:val="en-GB"/>
              </w:rPr>
              <w:t>,</w:t>
            </w:r>
            <w:r w:rsidRPr="00D62D04">
              <w:rPr>
                <w:bCs/>
                <w:sz w:val="20"/>
                <w:szCs w:val="20"/>
                <w:lang w:val="en-GB"/>
              </w:rPr>
              <w:t>000</w:t>
            </w:r>
            <w:r w:rsidR="009024B6" w:rsidRPr="00D62D04">
              <w:rPr>
                <w:bCs/>
                <w:sz w:val="20"/>
                <w:szCs w:val="20"/>
                <w:lang w:val="en-GB"/>
              </w:rPr>
              <w:t>.</w:t>
            </w:r>
            <w:r w:rsidRPr="00D62D04">
              <w:rPr>
                <w:bCs/>
                <w:sz w:val="20"/>
                <w:szCs w:val="20"/>
                <w:lang w:val="en-GB"/>
              </w:rPr>
              <w:t>00</w:t>
            </w:r>
          </w:p>
        </w:tc>
      </w:tr>
      <w:tr w:rsidR="00F31B10" w:rsidRPr="00D62D04" w14:paraId="140ACC46" w14:textId="77777777" w:rsidTr="0056662A">
        <w:tc>
          <w:tcPr>
            <w:tcW w:w="1676" w:type="dxa"/>
          </w:tcPr>
          <w:p w14:paraId="2059667D" w14:textId="77777777" w:rsidR="00F31B10" w:rsidRPr="00D62D04" w:rsidRDefault="009024B6" w:rsidP="0056662A">
            <w:pPr>
              <w:spacing w:after="0" w:line="240" w:lineRule="auto"/>
              <w:rPr>
                <w:sz w:val="20"/>
                <w:szCs w:val="20"/>
                <w:lang w:val="en-GB"/>
              </w:rPr>
            </w:pPr>
            <w:r w:rsidRPr="00D62D04">
              <w:rPr>
                <w:sz w:val="20"/>
                <w:szCs w:val="20"/>
                <w:lang w:val="en-GB"/>
              </w:rPr>
              <w:t xml:space="preserve">Museum of </w:t>
            </w:r>
            <w:proofErr w:type="spellStart"/>
            <w:r w:rsidRPr="00D62D04">
              <w:rPr>
                <w:sz w:val="20"/>
                <w:szCs w:val="20"/>
                <w:lang w:val="en-GB"/>
              </w:rPr>
              <w:t>Vojvodina</w:t>
            </w:r>
            <w:proofErr w:type="spellEnd"/>
            <w:r w:rsidRPr="00D62D04">
              <w:rPr>
                <w:sz w:val="20"/>
                <w:szCs w:val="20"/>
                <w:lang w:val="en-GB"/>
              </w:rPr>
              <w:t xml:space="preserve"> Slovaks</w:t>
            </w:r>
          </w:p>
        </w:tc>
        <w:tc>
          <w:tcPr>
            <w:tcW w:w="1438" w:type="dxa"/>
            <w:vAlign w:val="center"/>
          </w:tcPr>
          <w:p w14:paraId="20BD90D2" w14:textId="77777777" w:rsidR="00F31B10" w:rsidRPr="00D62D04" w:rsidRDefault="00F31B10" w:rsidP="009024B6">
            <w:pPr>
              <w:spacing w:after="0" w:line="240" w:lineRule="auto"/>
              <w:jc w:val="center"/>
              <w:rPr>
                <w:bCs/>
                <w:sz w:val="20"/>
                <w:szCs w:val="20"/>
                <w:lang w:val="en-GB"/>
              </w:rPr>
            </w:pPr>
            <w:r w:rsidRPr="00D62D04">
              <w:rPr>
                <w:bCs/>
                <w:sz w:val="20"/>
                <w:szCs w:val="20"/>
                <w:lang w:val="en-GB"/>
              </w:rPr>
              <w:t>150</w:t>
            </w:r>
            <w:r w:rsidR="009024B6" w:rsidRPr="00D62D04">
              <w:rPr>
                <w:bCs/>
                <w:sz w:val="20"/>
                <w:szCs w:val="20"/>
                <w:lang w:val="en-GB"/>
              </w:rPr>
              <w:t>,</w:t>
            </w:r>
            <w:r w:rsidRPr="00D62D04">
              <w:rPr>
                <w:bCs/>
                <w:sz w:val="20"/>
                <w:szCs w:val="20"/>
                <w:lang w:val="en-GB"/>
              </w:rPr>
              <w:t>000</w:t>
            </w:r>
            <w:r w:rsidR="009024B6" w:rsidRPr="00D62D04">
              <w:rPr>
                <w:bCs/>
                <w:sz w:val="20"/>
                <w:szCs w:val="20"/>
                <w:lang w:val="en-GB"/>
              </w:rPr>
              <w:t>.</w:t>
            </w:r>
            <w:r w:rsidRPr="00D62D04">
              <w:rPr>
                <w:bCs/>
                <w:sz w:val="20"/>
                <w:szCs w:val="20"/>
                <w:lang w:val="en-GB"/>
              </w:rPr>
              <w:t>00</w:t>
            </w:r>
          </w:p>
        </w:tc>
        <w:tc>
          <w:tcPr>
            <w:tcW w:w="1477" w:type="dxa"/>
            <w:vAlign w:val="center"/>
          </w:tcPr>
          <w:p w14:paraId="23697FBD" w14:textId="77777777" w:rsidR="00F31B10" w:rsidRPr="00D62D04" w:rsidRDefault="00F31B10" w:rsidP="009024B6">
            <w:pPr>
              <w:spacing w:after="0" w:line="240" w:lineRule="auto"/>
              <w:jc w:val="center"/>
              <w:rPr>
                <w:bCs/>
                <w:sz w:val="20"/>
                <w:szCs w:val="20"/>
                <w:lang w:val="en-GB"/>
              </w:rPr>
            </w:pPr>
            <w:r w:rsidRPr="00D62D04">
              <w:rPr>
                <w:bCs/>
                <w:sz w:val="20"/>
                <w:szCs w:val="20"/>
                <w:lang w:val="en-GB"/>
              </w:rPr>
              <w:t>350</w:t>
            </w:r>
            <w:r w:rsidR="009024B6" w:rsidRPr="00D62D04">
              <w:rPr>
                <w:bCs/>
                <w:sz w:val="20"/>
                <w:szCs w:val="20"/>
                <w:lang w:val="en-GB"/>
              </w:rPr>
              <w:t>,</w:t>
            </w:r>
            <w:r w:rsidRPr="00D62D04">
              <w:rPr>
                <w:bCs/>
                <w:sz w:val="20"/>
                <w:szCs w:val="20"/>
                <w:lang w:val="en-GB"/>
              </w:rPr>
              <w:t>000</w:t>
            </w:r>
            <w:r w:rsidR="009024B6" w:rsidRPr="00D62D04">
              <w:rPr>
                <w:bCs/>
                <w:sz w:val="20"/>
                <w:szCs w:val="20"/>
                <w:lang w:val="en-GB"/>
              </w:rPr>
              <w:t>.</w:t>
            </w:r>
            <w:r w:rsidRPr="00D62D04">
              <w:rPr>
                <w:bCs/>
                <w:sz w:val="20"/>
                <w:szCs w:val="20"/>
                <w:lang w:val="en-GB"/>
              </w:rPr>
              <w:t>00</w:t>
            </w:r>
          </w:p>
        </w:tc>
        <w:tc>
          <w:tcPr>
            <w:tcW w:w="1475" w:type="dxa"/>
            <w:vAlign w:val="center"/>
          </w:tcPr>
          <w:p w14:paraId="21563906" w14:textId="77777777" w:rsidR="00F31B10" w:rsidRPr="00D62D04" w:rsidRDefault="00F31B10" w:rsidP="009024B6">
            <w:pPr>
              <w:spacing w:after="0" w:line="240" w:lineRule="auto"/>
              <w:jc w:val="center"/>
              <w:rPr>
                <w:bCs/>
                <w:sz w:val="20"/>
                <w:szCs w:val="20"/>
                <w:lang w:val="en-GB"/>
              </w:rPr>
            </w:pPr>
            <w:r w:rsidRPr="00D62D04">
              <w:rPr>
                <w:bCs/>
                <w:sz w:val="20"/>
                <w:szCs w:val="20"/>
                <w:lang w:val="en-GB"/>
              </w:rPr>
              <w:t>130</w:t>
            </w:r>
            <w:r w:rsidR="009024B6" w:rsidRPr="00D62D04">
              <w:rPr>
                <w:bCs/>
                <w:sz w:val="20"/>
                <w:szCs w:val="20"/>
                <w:lang w:val="en-GB"/>
              </w:rPr>
              <w:t>,</w:t>
            </w:r>
            <w:r w:rsidRPr="00D62D04">
              <w:rPr>
                <w:bCs/>
                <w:sz w:val="20"/>
                <w:szCs w:val="20"/>
                <w:lang w:val="en-GB"/>
              </w:rPr>
              <w:t>000</w:t>
            </w:r>
            <w:r w:rsidR="009024B6" w:rsidRPr="00D62D04">
              <w:rPr>
                <w:bCs/>
                <w:sz w:val="20"/>
                <w:szCs w:val="20"/>
                <w:lang w:val="en-GB"/>
              </w:rPr>
              <w:t>.</w:t>
            </w:r>
            <w:r w:rsidRPr="00D62D04">
              <w:rPr>
                <w:bCs/>
                <w:sz w:val="20"/>
                <w:szCs w:val="20"/>
                <w:lang w:val="en-GB"/>
              </w:rPr>
              <w:t>00</w:t>
            </w:r>
          </w:p>
        </w:tc>
        <w:tc>
          <w:tcPr>
            <w:tcW w:w="1475" w:type="dxa"/>
            <w:vAlign w:val="center"/>
          </w:tcPr>
          <w:p w14:paraId="03D659F9" w14:textId="77777777" w:rsidR="00F31B10" w:rsidRPr="00D62D04" w:rsidRDefault="00F31B10" w:rsidP="009024B6">
            <w:pPr>
              <w:spacing w:after="0" w:line="240" w:lineRule="auto"/>
              <w:jc w:val="center"/>
              <w:rPr>
                <w:bCs/>
                <w:sz w:val="20"/>
                <w:szCs w:val="20"/>
                <w:lang w:val="en-GB"/>
              </w:rPr>
            </w:pPr>
            <w:r w:rsidRPr="00D62D04">
              <w:rPr>
                <w:bCs/>
                <w:sz w:val="20"/>
                <w:szCs w:val="20"/>
                <w:lang w:val="en-GB"/>
              </w:rPr>
              <w:t>140</w:t>
            </w:r>
            <w:r w:rsidR="009024B6" w:rsidRPr="00D62D04">
              <w:rPr>
                <w:bCs/>
                <w:sz w:val="20"/>
                <w:szCs w:val="20"/>
                <w:lang w:val="en-GB"/>
              </w:rPr>
              <w:t>,</w:t>
            </w:r>
            <w:r w:rsidRPr="00D62D04">
              <w:rPr>
                <w:bCs/>
                <w:sz w:val="20"/>
                <w:szCs w:val="20"/>
                <w:lang w:val="en-GB"/>
              </w:rPr>
              <w:t>000</w:t>
            </w:r>
            <w:r w:rsidR="009024B6" w:rsidRPr="00D62D04">
              <w:rPr>
                <w:bCs/>
                <w:sz w:val="20"/>
                <w:szCs w:val="20"/>
                <w:lang w:val="en-GB"/>
              </w:rPr>
              <w:t>.</w:t>
            </w:r>
            <w:r w:rsidRPr="00D62D04">
              <w:rPr>
                <w:bCs/>
                <w:sz w:val="20"/>
                <w:szCs w:val="20"/>
                <w:lang w:val="en-GB"/>
              </w:rPr>
              <w:t>00</w:t>
            </w:r>
          </w:p>
        </w:tc>
        <w:tc>
          <w:tcPr>
            <w:tcW w:w="1475" w:type="dxa"/>
            <w:vAlign w:val="center"/>
          </w:tcPr>
          <w:p w14:paraId="5146612D" w14:textId="77777777" w:rsidR="00F31B10" w:rsidRPr="00D62D04" w:rsidRDefault="00F31B10" w:rsidP="009024B6">
            <w:pPr>
              <w:spacing w:after="0" w:line="240" w:lineRule="auto"/>
              <w:jc w:val="center"/>
              <w:rPr>
                <w:bCs/>
                <w:sz w:val="20"/>
                <w:szCs w:val="20"/>
                <w:lang w:val="en-GB"/>
              </w:rPr>
            </w:pPr>
            <w:r w:rsidRPr="00D62D04">
              <w:rPr>
                <w:bCs/>
                <w:sz w:val="20"/>
                <w:szCs w:val="20"/>
                <w:lang w:val="en-GB"/>
              </w:rPr>
              <w:t>413</w:t>
            </w:r>
            <w:r w:rsidR="009024B6" w:rsidRPr="00D62D04">
              <w:rPr>
                <w:bCs/>
                <w:sz w:val="20"/>
                <w:szCs w:val="20"/>
                <w:lang w:val="en-GB"/>
              </w:rPr>
              <w:t>,</w:t>
            </w:r>
            <w:r w:rsidRPr="00D62D04">
              <w:rPr>
                <w:bCs/>
                <w:sz w:val="20"/>
                <w:szCs w:val="20"/>
                <w:lang w:val="en-GB"/>
              </w:rPr>
              <w:t>300</w:t>
            </w:r>
            <w:r w:rsidR="009024B6" w:rsidRPr="00D62D04">
              <w:rPr>
                <w:bCs/>
                <w:sz w:val="20"/>
                <w:szCs w:val="20"/>
                <w:lang w:val="en-GB"/>
              </w:rPr>
              <w:t>.</w:t>
            </w:r>
            <w:r w:rsidRPr="00D62D04">
              <w:rPr>
                <w:bCs/>
                <w:sz w:val="20"/>
                <w:szCs w:val="20"/>
                <w:lang w:val="en-GB"/>
              </w:rPr>
              <w:t>00</w:t>
            </w:r>
          </w:p>
        </w:tc>
      </w:tr>
      <w:tr w:rsidR="00F31B10" w:rsidRPr="00D62D04" w14:paraId="4795DE3C" w14:textId="77777777" w:rsidTr="0056662A">
        <w:tc>
          <w:tcPr>
            <w:tcW w:w="1676" w:type="dxa"/>
          </w:tcPr>
          <w:p w14:paraId="7D4B537F" w14:textId="77777777" w:rsidR="00F31B10" w:rsidRPr="00D62D04" w:rsidRDefault="00AF3622" w:rsidP="0056662A">
            <w:pPr>
              <w:spacing w:after="0" w:line="240" w:lineRule="auto"/>
              <w:rPr>
                <w:sz w:val="20"/>
                <w:szCs w:val="20"/>
                <w:lang w:val="en-GB"/>
              </w:rPr>
            </w:pPr>
            <w:r w:rsidRPr="00D62D04">
              <w:rPr>
                <w:sz w:val="20"/>
                <w:szCs w:val="20"/>
                <w:lang w:val="en-GB"/>
              </w:rPr>
              <w:t>Gallery of naive Slovak art</w:t>
            </w:r>
          </w:p>
        </w:tc>
        <w:tc>
          <w:tcPr>
            <w:tcW w:w="1438" w:type="dxa"/>
            <w:vAlign w:val="center"/>
          </w:tcPr>
          <w:p w14:paraId="4DCF2692" w14:textId="77777777" w:rsidR="00F31B10" w:rsidRPr="00D62D04" w:rsidRDefault="00F31B10" w:rsidP="00AF3622">
            <w:pPr>
              <w:spacing w:after="0" w:line="240" w:lineRule="auto"/>
              <w:jc w:val="center"/>
              <w:rPr>
                <w:bCs/>
                <w:sz w:val="20"/>
                <w:szCs w:val="20"/>
                <w:lang w:val="en-GB"/>
              </w:rPr>
            </w:pPr>
            <w:r w:rsidRPr="00D62D04">
              <w:rPr>
                <w:bCs/>
                <w:sz w:val="20"/>
                <w:szCs w:val="20"/>
                <w:lang w:val="en-GB"/>
              </w:rPr>
              <w:t>100</w:t>
            </w:r>
            <w:r w:rsidR="00AF3622" w:rsidRPr="00D62D04">
              <w:rPr>
                <w:bCs/>
                <w:sz w:val="20"/>
                <w:szCs w:val="20"/>
                <w:lang w:val="en-GB"/>
              </w:rPr>
              <w:t>,</w:t>
            </w:r>
            <w:r w:rsidRPr="00D62D04">
              <w:rPr>
                <w:bCs/>
                <w:sz w:val="20"/>
                <w:szCs w:val="20"/>
                <w:lang w:val="en-GB"/>
              </w:rPr>
              <w:t>000</w:t>
            </w:r>
            <w:r w:rsidR="00AF3622" w:rsidRPr="00D62D04">
              <w:rPr>
                <w:bCs/>
                <w:sz w:val="20"/>
                <w:szCs w:val="20"/>
                <w:lang w:val="en-GB"/>
              </w:rPr>
              <w:t>.</w:t>
            </w:r>
            <w:r w:rsidRPr="00D62D04">
              <w:rPr>
                <w:bCs/>
                <w:sz w:val="20"/>
                <w:szCs w:val="20"/>
                <w:lang w:val="en-GB"/>
              </w:rPr>
              <w:t>00</w:t>
            </w:r>
          </w:p>
        </w:tc>
        <w:tc>
          <w:tcPr>
            <w:tcW w:w="1477" w:type="dxa"/>
            <w:vAlign w:val="center"/>
          </w:tcPr>
          <w:p w14:paraId="1F079D90" w14:textId="77777777" w:rsidR="00F31B10" w:rsidRPr="00D62D04" w:rsidRDefault="00F31B10" w:rsidP="00AF3622">
            <w:pPr>
              <w:spacing w:after="0" w:line="240" w:lineRule="auto"/>
              <w:jc w:val="center"/>
              <w:rPr>
                <w:bCs/>
                <w:sz w:val="20"/>
                <w:szCs w:val="20"/>
                <w:lang w:val="en-GB"/>
              </w:rPr>
            </w:pPr>
            <w:r w:rsidRPr="00D62D04">
              <w:rPr>
                <w:bCs/>
                <w:sz w:val="20"/>
                <w:szCs w:val="20"/>
                <w:lang w:val="en-GB"/>
              </w:rPr>
              <w:t>100</w:t>
            </w:r>
            <w:r w:rsidR="00AF3622" w:rsidRPr="00D62D04">
              <w:rPr>
                <w:bCs/>
                <w:sz w:val="20"/>
                <w:szCs w:val="20"/>
                <w:lang w:val="en-GB"/>
              </w:rPr>
              <w:t>,</w:t>
            </w:r>
            <w:r w:rsidRPr="00D62D04">
              <w:rPr>
                <w:bCs/>
                <w:sz w:val="20"/>
                <w:szCs w:val="20"/>
                <w:lang w:val="en-GB"/>
              </w:rPr>
              <w:t>000</w:t>
            </w:r>
            <w:r w:rsidR="00AF3622" w:rsidRPr="00D62D04">
              <w:rPr>
                <w:bCs/>
                <w:sz w:val="20"/>
                <w:szCs w:val="20"/>
                <w:lang w:val="en-GB"/>
              </w:rPr>
              <w:t>.</w:t>
            </w:r>
            <w:r w:rsidRPr="00D62D04">
              <w:rPr>
                <w:bCs/>
                <w:sz w:val="20"/>
                <w:szCs w:val="20"/>
                <w:lang w:val="en-GB"/>
              </w:rPr>
              <w:t>00</w:t>
            </w:r>
          </w:p>
        </w:tc>
        <w:tc>
          <w:tcPr>
            <w:tcW w:w="1475" w:type="dxa"/>
            <w:vAlign w:val="center"/>
          </w:tcPr>
          <w:p w14:paraId="02344DB8" w14:textId="77777777" w:rsidR="00F31B10" w:rsidRPr="00D62D04" w:rsidRDefault="00F31B10" w:rsidP="00AF3622">
            <w:pPr>
              <w:spacing w:after="0" w:line="240" w:lineRule="auto"/>
              <w:jc w:val="center"/>
              <w:rPr>
                <w:bCs/>
                <w:sz w:val="20"/>
                <w:szCs w:val="20"/>
                <w:lang w:val="en-GB"/>
              </w:rPr>
            </w:pPr>
            <w:r w:rsidRPr="00D62D04">
              <w:rPr>
                <w:bCs/>
                <w:sz w:val="20"/>
                <w:szCs w:val="20"/>
                <w:lang w:val="en-GB"/>
              </w:rPr>
              <w:t>70</w:t>
            </w:r>
            <w:r w:rsidR="00AF3622" w:rsidRPr="00D62D04">
              <w:rPr>
                <w:bCs/>
                <w:sz w:val="20"/>
                <w:szCs w:val="20"/>
                <w:lang w:val="en-GB"/>
              </w:rPr>
              <w:t>,</w:t>
            </w:r>
            <w:r w:rsidRPr="00D62D04">
              <w:rPr>
                <w:bCs/>
                <w:sz w:val="20"/>
                <w:szCs w:val="20"/>
                <w:lang w:val="en-GB"/>
              </w:rPr>
              <w:t>000</w:t>
            </w:r>
            <w:r w:rsidR="00AF3622" w:rsidRPr="00D62D04">
              <w:rPr>
                <w:bCs/>
                <w:sz w:val="20"/>
                <w:szCs w:val="20"/>
                <w:lang w:val="en-GB"/>
              </w:rPr>
              <w:t>.</w:t>
            </w:r>
            <w:r w:rsidRPr="00D62D04">
              <w:rPr>
                <w:bCs/>
                <w:sz w:val="20"/>
                <w:szCs w:val="20"/>
                <w:lang w:val="en-GB"/>
              </w:rPr>
              <w:t>00</w:t>
            </w:r>
          </w:p>
        </w:tc>
        <w:tc>
          <w:tcPr>
            <w:tcW w:w="1475" w:type="dxa"/>
            <w:vAlign w:val="center"/>
          </w:tcPr>
          <w:p w14:paraId="2B964C5C" w14:textId="77777777" w:rsidR="00F31B10" w:rsidRPr="00D62D04" w:rsidRDefault="00F31B10" w:rsidP="0056662A">
            <w:pPr>
              <w:spacing w:after="0" w:line="240" w:lineRule="auto"/>
              <w:jc w:val="center"/>
              <w:rPr>
                <w:bCs/>
                <w:sz w:val="20"/>
                <w:szCs w:val="20"/>
                <w:lang w:val="en-GB"/>
              </w:rPr>
            </w:pPr>
          </w:p>
        </w:tc>
        <w:tc>
          <w:tcPr>
            <w:tcW w:w="1475" w:type="dxa"/>
            <w:vAlign w:val="center"/>
          </w:tcPr>
          <w:p w14:paraId="3FFC27F6" w14:textId="77777777" w:rsidR="00F31B10" w:rsidRPr="00D62D04" w:rsidRDefault="00F31B10" w:rsidP="0056662A">
            <w:pPr>
              <w:spacing w:after="0" w:line="240" w:lineRule="auto"/>
              <w:jc w:val="center"/>
              <w:rPr>
                <w:bCs/>
                <w:sz w:val="20"/>
                <w:szCs w:val="20"/>
                <w:lang w:val="en-GB"/>
              </w:rPr>
            </w:pPr>
          </w:p>
        </w:tc>
      </w:tr>
      <w:tr w:rsidR="00F31B10" w:rsidRPr="00D62D04" w14:paraId="074B49D5" w14:textId="77777777" w:rsidTr="0056662A">
        <w:tc>
          <w:tcPr>
            <w:tcW w:w="1676" w:type="dxa"/>
          </w:tcPr>
          <w:p w14:paraId="5B7B83C7" w14:textId="77777777" w:rsidR="00F31B10" w:rsidRPr="00D62D04" w:rsidRDefault="00AF3622" w:rsidP="00AF3622">
            <w:pPr>
              <w:spacing w:after="0" w:line="240" w:lineRule="auto"/>
              <w:rPr>
                <w:sz w:val="20"/>
                <w:szCs w:val="20"/>
                <w:lang w:val="en-GB"/>
              </w:rPr>
            </w:pPr>
            <w:r w:rsidRPr="00D62D04">
              <w:rPr>
                <w:sz w:val="20"/>
                <w:szCs w:val="20"/>
                <w:lang w:val="en-GB"/>
              </w:rPr>
              <w:t xml:space="preserve">Gallery of naive art of </w:t>
            </w:r>
            <w:proofErr w:type="spellStart"/>
            <w:r w:rsidRPr="00D62D04">
              <w:rPr>
                <w:sz w:val="20"/>
                <w:szCs w:val="20"/>
                <w:lang w:val="en-GB"/>
              </w:rPr>
              <w:t>Vojvodina</w:t>
            </w:r>
            <w:proofErr w:type="spellEnd"/>
            <w:r w:rsidRPr="00D62D04">
              <w:rPr>
                <w:sz w:val="20"/>
                <w:szCs w:val="20"/>
                <w:lang w:val="en-GB"/>
              </w:rPr>
              <w:t xml:space="preserve"> Romanians at the "</w:t>
            </w:r>
            <w:proofErr w:type="spellStart"/>
            <w:r w:rsidRPr="00D62D04">
              <w:rPr>
                <w:sz w:val="20"/>
                <w:szCs w:val="20"/>
                <w:lang w:val="en-GB"/>
              </w:rPr>
              <w:t>Doina</w:t>
            </w:r>
            <w:proofErr w:type="spellEnd"/>
            <w:r w:rsidRPr="00D62D04">
              <w:rPr>
                <w:sz w:val="20"/>
                <w:szCs w:val="20"/>
                <w:lang w:val="en-GB"/>
              </w:rPr>
              <w:t>" Culture Centre</w:t>
            </w:r>
          </w:p>
        </w:tc>
        <w:tc>
          <w:tcPr>
            <w:tcW w:w="1438" w:type="dxa"/>
            <w:vAlign w:val="center"/>
          </w:tcPr>
          <w:p w14:paraId="2C7B5D49" w14:textId="77777777" w:rsidR="00F31B10" w:rsidRPr="00D62D04" w:rsidRDefault="00F31B10" w:rsidP="00AF3622">
            <w:pPr>
              <w:spacing w:after="0" w:line="240" w:lineRule="auto"/>
              <w:jc w:val="center"/>
              <w:rPr>
                <w:bCs/>
                <w:sz w:val="20"/>
                <w:szCs w:val="20"/>
                <w:lang w:val="en-GB"/>
              </w:rPr>
            </w:pPr>
            <w:r w:rsidRPr="00D62D04">
              <w:rPr>
                <w:bCs/>
                <w:sz w:val="20"/>
                <w:szCs w:val="20"/>
                <w:lang w:val="en-GB"/>
              </w:rPr>
              <w:t>100</w:t>
            </w:r>
            <w:r w:rsidR="00AF3622" w:rsidRPr="00D62D04">
              <w:rPr>
                <w:bCs/>
                <w:sz w:val="20"/>
                <w:szCs w:val="20"/>
                <w:lang w:val="en-GB"/>
              </w:rPr>
              <w:t>,</w:t>
            </w:r>
            <w:r w:rsidRPr="00D62D04">
              <w:rPr>
                <w:bCs/>
                <w:sz w:val="20"/>
                <w:szCs w:val="20"/>
                <w:lang w:val="en-GB"/>
              </w:rPr>
              <w:t>000</w:t>
            </w:r>
            <w:r w:rsidR="00AF3622" w:rsidRPr="00D62D04">
              <w:rPr>
                <w:bCs/>
                <w:sz w:val="20"/>
                <w:szCs w:val="20"/>
                <w:lang w:val="en-GB"/>
              </w:rPr>
              <w:t>.</w:t>
            </w:r>
            <w:r w:rsidRPr="00D62D04">
              <w:rPr>
                <w:bCs/>
                <w:sz w:val="20"/>
                <w:szCs w:val="20"/>
                <w:lang w:val="en-GB"/>
              </w:rPr>
              <w:t>00</w:t>
            </w:r>
          </w:p>
        </w:tc>
        <w:tc>
          <w:tcPr>
            <w:tcW w:w="1477" w:type="dxa"/>
            <w:vAlign w:val="center"/>
          </w:tcPr>
          <w:p w14:paraId="13B673E4" w14:textId="77777777" w:rsidR="00F31B10" w:rsidRPr="00D62D04" w:rsidRDefault="00F31B10" w:rsidP="00AF3622">
            <w:pPr>
              <w:spacing w:after="0" w:line="240" w:lineRule="auto"/>
              <w:jc w:val="center"/>
              <w:rPr>
                <w:bCs/>
                <w:sz w:val="20"/>
                <w:szCs w:val="20"/>
                <w:lang w:val="en-GB"/>
              </w:rPr>
            </w:pPr>
            <w:r w:rsidRPr="00D62D04">
              <w:rPr>
                <w:bCs/>
                <w:sz w:val="20"/>
                <w:szCs w:val="20"/>
                <w:lang w:val="en-GB"/>
              </w:rPr>
              <w:t>200</w:t>
            </w:r>
            <w:r w:rsidR="00AF3622" w:rsidRPr="00D62D04">
              <w:rPr>
                <w:bCs/>
                <w:sz w:val="20"/>
                <w:szCs w:val="20"/>
                <w:lang w:val="en-GB"/>
              </w:rPr>
              <w:t>,</w:t>
            </w:r>
            <w:r w:rsidRPr="00D62D04">
              <w:rPr>
                <w:bCs/>
                <w:sz w:val="20"/>
                <w:szCs w:val="20"/>
                <w:lang w:val="en-GB"/>
              </w:rPr>
              <w:t>000</w:t>
            </w:r>
            <w:r w:rsidR="00AF3622" w:rsidRPr="00D62D04">
              <w:rPr>
                <w:bCs/>
                <w:sz w:val="20"/>
                <w:szCs w:val="20"/>
                <w:lang w:val="en-GB"/>
              </w:rPr>
              <w:t>.</w:t>
            </w:r>
            <w:r w:rsidRPr="00D62D04">
              <w:rPr>
                <w:bCs/>
                <w:sz w:val="20"/>
                <w:szCs w:val="20"/>
                <w:lang w:val="en-GB"/>
              </w:rPr>
              <w:t>00</w:t>
            </w:r>
          </w:p>
        </w:tc>
        <w:tc>
          <w:tcPr>
            <w:tcW w:w="1475" w:type="dxa"/>
            <w:vAlign w:val="center"/>
          </w:tcPr>
          <w:p w14:paraId="5988B869" w14:textId="77777777" w:rsidR="00F31B10" w:rsidRPr="00D62D04" w:rsidRDefault="00F31B10" w:rsidP="00AF3622">
            <w:pPr>
              <w:spacing w:after="0" w:line="240" w:lineRule="auto"/>
              <w:jc w:val="center"/>
              <w:rPr>
                <w:bCs/>
                <w:sz w:val="20"/>
                <w:szCs w:val="20"/>
                <w:lang w:val="en-GB"/>
              </w:rPr>
            </w:pPr>
            <w:r w:rsidRPr="00D62D04">
              <w:rPr>
                <w:bCs/>
                <w:sz w:val="20"/>
                <w:szCs w:val="20"/>
                <w:lang w:val="en-GB"/>
              </w:rPr>
              <w:t>80</w:t>
            </w:r>
            <w:r w:rsidR="00AF3622" w:rsidRPr="00D62D04">
              <w:rPr>
                <w:bCs/>
                <w:sz w:val="20"/>
                <w:szCs w:val="20"/>
                <w:lang w:val="en-GB"/>
              </w:rPr>
              <w:t>,</w:t>
            </w:r>
            <w:r w:rsidRPr="00D62D04">
              <w:rPr>
                <w:bCs/>
                <w:sz w:val="20"/>
                <w:szCs w:val="20"/>
                <w:lang w:val="en-GB"/>
              </w:rPr>
              <w:t>000</w:t>
            </w:r>
            <w:r w:rsidR="00AF3622" w:rsidRPr="00D62D04">
              <w:rPr>
                <w:bCs/>
                <w:sz w:val="20"/>
                <w:szCs w:val="20"/>
                <w:lang w:val="en-GB"/>
              </w:rPr>
              <w:t>.</w:t>
            </w:r>
            <w:r w:rsidRPr="00D62D04">
              <w:rPr>
                <w:bCs/>
                <w:sz w:val="20"/>
                <w:szCs w:val="20"/>
                <w:lang w:val="en-GB"/>
              </w:rPr>
              <w:t>00</w:t>
            </w:r>
          </w:p>
        </w:tc>
        <w:tc>
          <w:tcPr>
            <w:tcW w:w="1475" w:type="dxa"/>
            <w:vAlign w:val="center"/>
          </w:tcPr>
          <w:p w14:paraId="6D177207" w14:textId="77777777" w:rsidR="00F31B10" w:rsidRPr="00D62D04" w:rsidRDefault="00F31B10" w:rsidP="0056662A">
            <w:pPr>
              <w:spacing w:after="0" w:line="240" w:lineRule="auto"/>
              <w:jc w:val="center"/>
              <w:rPr>
                <w:bCs/>
                <w:sz w:val="20"/>
                <w:szCs w:val="20"/>
                <w:lang w:val="en-GB"/>
              </w:rPr>
            </w:pPr>
          </w:p>
        </w:tc>
        <w:tc>
          <w:tcPr>
            <w:tcW w:w="1475" w:type="dxa"/>
            <w:vAlign w:val="center"/>
          </w:tcPr>
          <w:p w14:paraId="377E673C" w14:textId="77777777" w:rsidR="00F31B10" w:rsidRPr="00D62D04" w:rsidRDefault="00F31B10" w:rsidP="0056662A">
            <w:pPr>
              <w:spacing w:after="0" w:line="240" w:lineRule="auto"/>
              <w:jc w:val="center"/>
              <w:rPr>
                <w:bCs/>
                <w:sz w:val="20"/>
                <w:szCs w:val="20"/>
                <w:lang w:val="en-GB"/>
              </w:rPr>
            </w:pPr>
          </w:p>
        </w:tc>
      </w:tr>
    </w:tbl>
    <w:p w14:paraId="6E5C2C78" w14:textId="77777777" w:rsidR="00F31B10" w:rsidRPr="00D62D04" w:rsidRDefault="00F31B10" w:rsidP="00F31B10">
      <w:pPr>
        <w:spacing w:after="0"/>
        <w:jc w:val="both"/>
        <w:rPr>
          <w:sz w:val="24"/>
          <w:szCs w:val="24"/>
          <w:highlight w:val="cyan"/>
          <w:lang w:val="en-GB"/>
        </w:rPr>
      </w:pPr>
    </w:p>
    <w:p w14:paraId="6122EB5B" w14:textId="77777777" w:rsidR="000F6875" w:rsidRPr="00D62D04" w:rsidRDefault="000F6875" w:rsidP="00BB3887">
      <w:pPr>
        <w:spacing w:after="0"/>
        <w:ind w:firstLine="720"/>
        <w:jc w:val="both"/>
        <w:rPr>
          <w:sz w:val="24"/>
          <w:szCs w:val="24"/>
          <w:lang w:val="en-GB"/>
        </w:rPr>
      </w:pPr>
      <w:r w:rsidRPr="00D62D04">
        <w:rPr>
          <w:sz w:val="24"/>
          <w:szCs w:val="24"/>
          <w:lang w:val="en-GB"/>
        </w:rPr>
        <w:t xml:space="preserve">In addition to the Provincial Secretariat for Culture, Public Information and Relations with Churches and Religious Communities, the Provincial Secretariat for Education, Regulations, Administration and National Minorities - National Communities provides regular financing and sustainability of projects of importance to national minorities through co-financing of programmes and projects aimed at improving rights of national minorities in the AP of </w:t>
      </w:r>
      <w:proofErr w:type="spellStart"/>
      <w:r w:rsidRPr="00D62D04">
        <w:rPr>
          <w:sz w:val="24"/>
          <w:szCs w:val="24"/>
          <w:lang w:val="en-GB"/>
        </w:rPr>
        <w:t>Vojvodina</w:t>
      </w:r>
      <w:proofErr w:type="spellEnd"/>
      <w:r w:rsidRPr="00D62D04">
        <w:rPr>
          <w:sz w:val="24"/>
          <w:szCs w:val="24"/>
          <w:lang w:val="en-GB"/>
        </w:rPr>
        <w:t>. At the public tender, funds are allocated for programmes and projects aimed at the exercise of the rights of national minorities, and especially for the preservation and nurturing of languages, folk customs and old crafts, the protection and presentation of folklore heritage, the creation of conditions for the development of culture, science and art, nurturing and encouragement folk creativity, presentation of cultural assets of exceptional importance, literary, dramatic, stage, musical and visual creative work, memorials, festivals, jubilee events, art colonies, camps and conferences that foster tolerance and the rights of national minorities, cultivating and developing amateurism and hosting ensembles , as well as cooperation with home countries and other forms of cooperation. The table below contains data on the distribution of funds on this basis.</w:t>
      </w:r>
    </w:p>
    <w:p w14:paraId="13ABF454" w14:textId="77777777" w:rsidR="00BB3887" w:rsidRPr="00D62D04" w:rsidRDefault="00BB3887" w:rsidP="00BB3887">
      <w:pPr>
        <w:spacing w:after="0"/>
        <w:jc w:val="both"/>
        <w:rPr>
          <w:sz w:val="24"/>
          <w:szCs w:val="24"/>
          <w:highlight w:val="cyan"/>
          <w:lang w:val="en-GB"/>
        </w:rPr>
      </w:pPr>
    </w:p>
    <w:tbl>
      <w:tblPr>
        <w:tblStyle w:val="TableGrid"/>
        <w:tblW w:w="0" w:type="auto"/>
        <w:tblLook w:val="04A0" w:firstRow="1" w:lastRow="0" w:firstColumn="1" w:lastColumn="0" w:noHBand="0" w:noVBand="1"/>
      </w:tblPr>
      <w:tblGrid>
        <w:gridCol w:w="1787"/>
        <w:gridCol w:w="1445"/>
        <w:gridCol w:w="1446"/>
        <w:gridCol w:w="1446"/>
        <w:gridCol w:w="1446"/>
        <w:gridCol w:w="1446"/>
      </w:tblGrid>
      <w:tr w:rsidR="00BB3887" w:rsidRPr="00D62D04" w14:paraId="5EDB6634" w14:textId="77777777" w:rsidTr="008906E9">
        <w:tc>
          <w:tcPr>
            <w:tcW w:w="1787" w:type="dxa"/>
          </w:tcPr>
          <w:p w14:paraId="46C8EE11" w14:textId="77777777" w:rsidR="00BB3887" w:rsidRPr="00D62D04" w:rsidRDefault="00BB3887" w:rsidP="00BB3887">
            <w:pPr>
              <w:spacing w:after="0"/>
              <w:rPr>
                <w:sz w:val="20"/>
                <w:szCs w:val="20"/>
                <w:lang w:val="en-GB"/>
              </w:rPr>
            </w:pPr>
          </w:p>
        </w:tc>
        <w:tc>
          <w:tcPr>
            <w:tcW w:w="1445" w:type="dxa"/>
          </w:tcPr>
          <w:p w14:paraId="2561DAD1" w14:textId="77777777" w:rsidR="00BB3887" w:rsidRPr="00D62D04" w:rsidRDefault="00984282" w:rsidP="00BB3887">
            <w:pPr>
              <w:spacing w:after="0"/>
              <w:jc w:val="center"/>
              <w:rPr>
                <w:sz w:val="20"/>
                <w:szCs w:val="20"/>
                <w:lang w:val="en-GB"/>
              </w:rPr>
            </w:pPr>
            <w:r w:rsidRPr="00D62D04">
              <w:rPr>
                <w:sz w:val="20"/>
                <w:szCs w:val="20"/>
                <w:lang w:val="en-GB"/>
              </w:rPr>
              <w:t>2017</w:t>
            </w:r>
          </w:p>
        </w:tc>
        <w:tc>
          <w:tcPr>
            <w:tcW w:w="1446" w:type="dxa"/>
          </w:tcPr>
          <w:p w14:paraId="36145932" w14:textId="77777777" w:rsidR="00BB3887" w:rsidRPr="00D62D04" w:rsidRDefault="00984282" w:rsidP="00BB3887">
            <w:pPr>
              <w:spacing w:after="0"/>
              <w:jc w:val="center"/>
              <w:rPr>
                <w:sz w:val="20"/>
                <w:szCs w:val="20"/>
                <w:lang w:val="en-GB"/>
              </w:rPr>
            </w:pPr>
            <w:r w:rsidRPr="00D62D04">
              <w:rPr>
                <w:sz w:val="20"/>
                <w:szCs w:val="20"/>
                <w:lang w:val="en-GB"/>
              </w:rPr>
              <w:t>2018</w:t>
            </w:r>
          </w:p>
        </w:tc>
        <w:tc>
          <w:tcPr>
            <w:tcW w:w="1446" w:type="dxa"/>
          </w:tcPr>
          <w:p w14:paraId="45AEA1C4" w14:textId="77777777" w:rsidR="00BB3887" w:rsidRPr="00D62D04" w:rsidRDefault="00984282" w:rsidP="00BB3887">
            <w:pPr>
              <w:spacing w:after="0"/>
              <w:jc w:val="center"/>
              <w:rPr>
                <w:sz w:val="20"/>
                <w:szCs w:val="20"/>
                <w:lang w:val="en-GB"/>
              </w:rPr>
            </w:pPr>
            <w:r w:rsidRPr="00D62D04">
              <w:rPr>
                <w:sz w:val="20"/>
                <w:szCs w:val="20"/>
                <w:lang w:val="en-GB"/>
              </w:rPr>
              <w:t>2019</w:t>
            </w:r>
          </w:p>
        </w:tc>
        <w:tc>
          <w:tcPr>
            <w:tcW w:w="1446" w:type="dxa"/>
          </w:tcPr>
          <w:p w14:paraId="5780A46F" w14:textId="77777777" w:rsidR="00BB3887" w:rsidRPr="00D62D04" w:rsidRDefault="00984282" w:rsidP="00BB3887">
            <w:pPr>
              <w:spacing w:after="0"/>
              <w:jc w:val="center"/>
              <w:rPr>
                <w:sz w:val="20"/>
                <w:szCs w:val="20"/>
                <w:lang w:val="en-GB"/>
              </w:rPr>
            </w:pPr>
            <w:r w:rsidRPr="00D62D04">
              <w:rPr>
                <w:sz w:val="20"/>
                <w:szCs w:val="20"/>
                <w:lang w:val="en-GB"/>
              </w:rPr>
              <w:t>2020</w:t>
            </w:r>
          </w:p>
        </w:tc>
        <w:tc>
          <w:tcPr>
            <w:tcW w:w="1446" w:type="dxa"/>
          </w:tcPr>
          <w:p w14:paraId="7D31140E" w14:textId="77777777" w:rsidR="00BB3887" w:rsidRPr="00D62D04" w:rsidRDefault="00984282" w:rsidP="00BB3887">
            <w:pPr>
              <w:spacing w:after="0"/>
              <w:jc w:val="center"/>
              <w:rPr>
                <w:sz w:val="20"/>
                <w:szCs w:val="20"/>
                <w:lang w:val="en-GB"/>
              </w:rPr>
            </w:pPr>
            <w:r w:rsidRPr="00D62D04">
              <w:rPr>
                <w:sz w:val="20"/>
                <w:szCs w:val="20"/>
                <w:lang w:val="en-GB"/>
              </w:rPr>
              <w:t>2021</w:t>
            </w:r>
          </w:p>
        </w:tc>
      </w:tr>
      <w:tr w:rsidR="00BB3887" w:rsidRPr="00D62D04" w14:paraId="2D2B8CA3" w14:textId="77777777" w:rsidTr="008906E9">
        <w:tc>
          <w:tcPr>
            <w:tcW w:w="1787" w:type="dxa"/>
          </w:tcPr>
          <w:p w14:paraId="21ECC251" w14:textId="77777777" w:rsidR="00BB3887" w:rsidRPr="00D62D04" w:rsidRDefault="00984282" w:rsidP="00BB3887">
            <w:pPr>
              <w:spacing w:after="0"/>
              <w:rPr>
                <w:sz w:val="20"/>
                <w:szCs w:val="20"/>
                <w:lang w:val="en-GB"/>
              </w:rPr>
            </w:pPr>
            <w:proofErr w:type="spellStart"/>
            <w:r w:rsidRPr="00D62D04">
              <w:rPr>
                <w:sz w:val="20"/>
                <w:szCs w:val="20"/>
                <w:lang w:val="en-GB"/>
              </w:rPr>
              <w:t>Ashkali</w:t>
            </w:r>
            <w:proofErr w:type="spellEnd"/>
            <w:r w:rsidRPr="00D62D04">
              <w:rPr>
                <w:sz w:val="20"/>
                <w:szCs w:val="20"/>
                <w:lang w:val="en-GB"/>
              </w:rPr>
              <w:t xml:space="preserve"> </w:t>
            </w:r>
          </w:p>
        </w:tc>
        <w:tc>
          <w:tcPr>
            <w:tcW w:w="1445" w:type="dxa"/>
          </w:tcPr>
          <w:p w14:paraId="12E766B5" w14:textId="77777777" w:rsidR="00BB3887" w:rsidRPr="00D62D04" w:rsidRDefault="00BB3887" w:rsidP="00984282">
            <w:pPr>
              <w:spacing w:after="0"/>
              <w:rPr>
                <w:sz w:val="20"/>
                <w:szCs w:val="20"/>
                <w:lang w:val="en-GB"/>
              </w:rPr>
            </w:pPr>
            <w:r w:rsidRPr="00D62D04">
              <w:rPr>
                <w:sz w:val="20"/>
                <w:szCs w:val="20"/>
                <w:lang w:val="en-GB"/>
              </w:rPr>
              <w:t>95</w:t>
            </w:r>
            <w:r w:rsidR="00984282" w:rsidRPr="00D62D04">
              <w:rPr>
                <w:sz w:val="20"/>
                <w:szCs w:val="20"/>
                <w:lang w:val="en-GB"/>
              </w:rPr>
              <w:t>,</w:t>
            </w:r>
            <w:r w:rsidRPr="00D62D04">
              <w:rPr>
                <w:sz w:val="20"/>
                <w:szCs w:val="20"/>
                <w:lang w:val="en-GB"/>
              </w:rPr>
              <w:t>000</w:t>
            </w:r>
            <w:r w:rsidR="00984282" w:rsidRPr="00D62D04">
              <w:rPr>
                <w:sz w:val="20"/>
                <w:szCs w:val="20"/>
                <w:lang w:val="en-GB"/>
              </w:rPr>
              <w:t>.</w:t>
            </w:r>
            <w:r w:rsidRPr="00D62D04">
              <w:rPr>
                <w:sz w:val="20"/>
                <w:szCs w:val="20"/>
                <w:lang w:val="en-GB"/>
              </w:rPr>
              <w:t>00</w:t>
            </w:r>
          </w:p>
        </w:tc>
        <w:tc>
          <w:tcPr>
            <w:tcW w:w="1446" w:type="dxa"/>
          </w:tcPr>
          <w:p w14:paraId="525BF9F5" w14:textId="77777777" w:rsidR="00BB3887" w:rsidRPr="00D62D04" w:rsidRDefault="00BB3887" w:rsidP="00984282">
            <w:pPr>
              <w:spacing w:after="0"/>
              <w:rPr>
                <w:sz w:val="20"/>
                <w:szCs w:val="20"/>
                <w:lang w:val="en-GB"/>
              </w:rPr>
            </w:pPr>
            <w:r w:rsidRPr="00D62D04">
              <w:rPr>
                <w:sz w:val="20"/>
                <w:szCs w:val="20"/>
                <w:lang w:val="en-GB"/>
              </w:rPr>
              <w:t>95</w:t>
            </w:r>
            <w:r w:rsidR="00984282" w:rsidRPr="00D62D04">
              <w:rPr>
                <w:sz w:val="20"/>
                <w:szCs w:val="20"/>
                <w:lang w:val="en-GB"/>
              </w:rPr>
              <w:t>,</w:t>
            </w:r>
            <w:r w:rsidRPr="00D62D04">
              <w:rPr>
                <w:sz w:val="20"/>
                <w:szCs w:val="20"/>
                <w:lang w:val="en-GB"/>
              </w:rPr>
              <w:t>000</w:t>
            </w:r>
            <w:r w:rsidR="00984282" w:rsidRPr="00D62D04">
              <w:rPr>
                <w:sz w:val="20"/>
                <w:szCs w:val="20"/>
                <w:lang w:val="en-GB"/>
              </w:rPr>
              <w:t>.</w:t>
            </w:r>
            <w:r w:rsidRPr="00D62D04">
              <w:rPr>
                <w:sz w:val="20"/>
                <w:szCs w:val="20"/>
                <w:lang w:val="en-GB"/>
              </w:rPr>
              <w:t>00</w:t>
            </w:r>
          </w:p>
        </w:tc>
        <w:tc>
          <w:tcPr>
            <w:tcW w:w="1446" w:type="dxa"/>
          </w:tcPr>
          <w:p w14:paraId="2D90FB6E" w14:textId="77777777" w:rsidR="00BB3887" w:rsidRPr="00D62D04" w:rsidRDefault="00BB3887" w:rsidP="00984282">
            <w:pPr>
              <w:spacing w:after="0"/>
              <w:rPr>
                <w:sz w:val="20"/>
                <w:szCs w:val="20"/>
                <w:lang w:val="en-GB"/>
              </w:rPr>
            </w:pPr>
            <w:r w:rsidRPr="00D62D04">
              <w:rPr>
                <w:sz w:val="20"/>
                <w:szCs w:val="20"/>
                <w:lang w:val="en-GB"/>
              </w:rPr>
              <w:t>200</w:t>
            </w:r>
            <w:r w:rsidR="00984282" w:rsidRPr="00D62D04">
              <w:rPr>
                <w:sz w:val="20"/>
                <w:szCs w:val="20"/>
                <w:lang w:val="en-GB"/>
              </w:rPr>
              <w:t>,</w:t>
            </w:r>
            <w:r w:rsidRPr="00D62D04">
              <w:rPr>
                <w:sz w:val="20"/>
                <w:szCs w:val="20"/>
                <w:lang w:val="en-GB"/>
              </w:rPr>
              <w:t>000</w:t>
            </w:r>
            <w:r w:rsidR="00984282" w:rsidRPr="00D62D04">
              <w:rPr>
                <w:sz w:val="20"/>
                <w:szCs w:val="20"/>
                <w:lang w:val="en-GB"/>
              </w:rPr>
              <w:t>.</w:t>
            </w:r>
            <w:r w:rsidRPr="00D62D04">
              <w:rPr>
                <w:sz w:val="20"/>
                <w:szCs w:val="20"/>
                <w:lang w:val="en-GB"/>
              </w:rPr>
              <w:t>00</w:t>
            </w:r>
          </w:p>
        </w:tc>
        <w:tc>
          <w:tcPr>
            <w:tcW w:w="1446" w:type="dxa"/>
          </w:tcPr>
          <w:p w14:paraId="2E0A731E" w14:textId="77777777" w:rsidR="00BB3887" w:rsidRPr="00D62D04" w:rsidRDefault="00BB3887" w:rsidP="00BB3887">
            <w:pPr>
              <w:spacing w:after="0"/>
              <w:rPr>
                <w:sz w:val="20"/>
                <w:szCs w:val="20"/>
                <w:lang w:val="en-GB"/>
              </w:rPr>
            </w:pPr>
          </w:p>
        </w:tc>
        <w:tc>
          <w:tcPr>
            <w:tcW w:w="1446" w:type="dxa"/>
          </w:tcPr>
          <w:p w14:paraId="61EF1CAA" w14:textId="77777777" w:rsidR="00BB3887" w:rsidRPr="00D62D04" w:rsidRDefault="00BB3887" w:rsidP="00984282">
            <w:pPr>
              <w:spacing w:after="0"/>
              <w:rPr>
                <w:sz w:val="20"/>
                <w:szCs w:val="20"/>
                <w:lang w:val="en-GB"/>
              </w:rPr>
            </w:pPr>
            <w:r w:rsidRPr="00D62D04">
              <w:rPr>
                <w:sz w:val="20"/>
                <w:szCs w:val="20"/>
                <w:lang w:val="en-GB"/>
              </w:rPr>
              <w:t>140</w:t>
            </w:r>
            <w:r w:rsidR="00984282" w:rsidRPr="00D62D04">
              <w:rPr>
                <w:sz w:val="20"/>
                <w:szCs w:val="20"/>
                <w:lang w:val="en-GB"/>
              </w:rPr>
              <w:t>,</w:t>
            </w:r>
            <w:r w:rsidRPr="00D62D04">
              <w:rPr>
                <w:sz w:val="20"/>
                <w:szCs w:val="20"/>
                <w:lang w:val="en-GB"/>
              </w:rPr>
              <w:t>000</w:t>
            </w:r>
            <w:r w:rsidR="00984282" w:rsidRPr="00D62D04">
              <w:rPr>
                <w:sz w:val="20"/>
                <w:szCs w:val="20"/>
                <w:lang w:val="en-GB"/>
              </w:rPr>
              <w:t>.</w:t>
            </w:r>
            <w:r w:rsidRPr="00D62D04">
              <w:rPr>
                <w:sz w:val="20"/>
                <w:szCs w:val="20"/>
                <w:lang w:val="en-GB"/>
              </w:rPr>
              <w:t>00</w:t>
            </w:r>
          </w:p>
        </w:tc>
      </w:tr>
      <w:tr w:rsidR="00BB3887" w:rsidRPr="00D62D04" w14:paraId="53AA3BF2" w14:textId="77777777" w:rsidTr="008906E9">
        <w:tc>
          <w:tcPr>
            <w:tcW w:w="1787" w:type="dxa"/>
          </w:tcPr>
          <w:p w14:paraId="7ABF0BBF" w14:textId="77777777" w:rsidR="00BB3887" w:rsidRPr="00D62D04" w:rsidRDefault="00984282" w:rsidP="00BB3887">
            <w:pPr>
              <w:spacing w:after="0"/>
              <w:rPr>
                <w:sz w:val="20"/>
                <w:szCs w:val="20"/>
                <w:lang w:val="en-GB"/>
              </w:rPr>
            </w:pPr>
            <w:proofErr w:type="spellStart"/>
            <w:r w:rsidRPr="00D62D04">
              <w:rPr>
                <w:sz w:val="20"/>
                <w:szCs w:val="20"/>
                <w:lang w:val="en-GB"/>
              </w:rPr>
              <w:t>Bosniaks</w:t>
            </w:r>
            <w:proofErr w:type="spellEnd"/>
          </w:p>
        </w:tc>
        <w:tc>
          <w:tcPr>
            <w:tcW w:w="1445" w:type="dxa"/>
          </w:tcPr>
          <w:p w14:paraId="0E32A9FB" w14:textId="77777777" w:rsidR="00BB3887" w:rsidRPr="00D62D04" w:rsidRDefault="00BB3887" w:rsidP="00984282">
            <w:pPr>
              <w:spacing w:after="0"/>
              <w:rPr>
                <w:sz w:val="20"/>
                <w:szCs w:val="20"/>
                <w:lang w:val="en-GB"/>
              </w:rPr>
            </w:pPr>
            <w:r w:rsidRPr="00D62D04">
              <w:rPr>
                <w:sz w:val="20"/>
                <w:szCs w:val="20"/>
                <w:lang w:val="en-GB"/>
              </w:rPr>
              <w:t>130</w:t>
            </w:r>
            <w:r w:rsidR="00984282" w:rsidRPr="00D62D04">
              <w:rPr>
                <w:sz w:val="20"/>
                <w:szCs w:val="20"/>
                <w:lang w:val="en-GB"/>
              </w:rPr>
              <w:t>,</w:t>
            </w:r>
            <w:r w:rsidRPr="00D62D04">
              <w:rPr>
                <w:sz w:val="20"/>
                <w:szCs w:val="20"/>
                <w:lang w:val="en-GB"/>
              </w:rPr>
              <w:t>000</w:t>
            </w:r>
            <w:r w:rsidR="00984282" w:rsidRPr="00D62D04">
              <w:rPr>
                <w:sz w:val="20"/>
                <w:szCs w:val="20"/>
                <w:lang w:val="en-GB"/>
              </w:rPr>
              <w:t>.</w:t>
            </w:r>
            <w:r w:rsidRPr="00D62D04">
              <w:rPr>
                <w:sz w:val="20"/>
                <w:szCs w:val="20"/>
                <w:lang w:val="en-GB"/>
              </w:rPr>
              <w:t>00</w:t>
            </w:r>
          </w:p>
        </w:tc>
        <w:tc>
          <w:tcPr>
            <w:tcW w:w="1446" w:type="dxa"/>
          </w:tcPr>
          <w:p w14:paraId="48AFC4F2" w14:textId="77777777" w:rsidR="00BB3887" w:rsidRPr="00D62D04" w:rsidRDefault="00BB3887" w:rsidP="00984282">
            <w:pPr>
              <w:spacing w:after="0"/>
              <w:rPr>
                <w:sz w:val="20"/>
                <w:szCs w:val="20"/>
                <w:lang w:val="en-GB"/>
              </w:rPr>
            </w:pPr>
            <w:r w:rsidRPr="00D62D04">
              <w:rPr>
                <w:sz w:val="20"/>
                <w:szCs w:val="20"/>
                <w:lang w:val="en-GB"/>
              </w:rPr>
              <w:t>100</w:t>
            </w:r>
            <w:r w:rsidR="00984282" w:rsidRPr="00D62D04">
              <w:rPr>
                <w:sz w:val="20"/>
                <w:szCs w:val="20"/>
                <w:lang w:val="en-GB"/>
              </w:rPr>
              <w:t>,</w:t>
            </w:r>
            <w:r w:rsidRPr="00D62D04">
              <w:rPr>
                <w:sz w:val="20"/>
                <w:szCs w:val="20"/>
                <w:lang w:val="en-GB"/>
              </w:rPr>
              <w:t>000</w:t>
            </w:r>
            <w:r w:rsidR="00984282" w:rsidRPr="00D62D04">
              <w:rPr>
                <w:sz w:val="20"/>
                <w:szCs w:val="20"/>
                <w:lang w:val="en-GB"/>
              </w:rPr>
              <w:t>.</w:t>
            </w:r>
            <w:r w:rsidRPr="00D62D04">
              <w:rPr>
                <w:sz w:val="20"/>
                <w:szCs w:val="20"/>
                <w:lang w:val="en-GB"/>
              </w:rPr>
              <w:t>00</w:t>
            </w:r>
          </w:p>
        </w:tc>
        <w:tc>
          <w:tcPr>
            <w:tcW w:w="1446" w:type="dxa"/>
          </w:tcPr>
          <w:p w14:paraId="1A234BB0" w14:textId="77777777" w:rsidR="00BB3887" w:rsidRPr="00D62D04" w:rsidRDefault="00BB3887" w:rsidP="00984282">
            <w:pPr>
              <w:spacing w:after="0"/>
              <w:rPr>
                <w:sz w:val="20"/>
                <w:szCs w:val="20"/>
                <w:lang w:val="en-GB"/>
              </w:rPr>
            </w:pPr>
            <w:r w:rsidRPr="00D62D04">
              <w:rPr>
                <w:sz w:val="20"/>
                <w:szCs w:val="20"/>
                <w:lang w:val="en-GB"/>
              </w:rPr>
              <w:t>95</w:t>
            </w:r>
            <w:r w:rsidR="00984282" w:rsidRPr="00D62D04">
              <w:rPr>
                <w:sz w:val="20"/>
                <w:szCs w:val="20"/>
                <w:lang w:val="en-GB"/>
              </w:rPr>
              <w:t>,</w:t>
            </w:r>
            <w:r w:rsidRPr="00D62D04">
              <w:rPr>
                <w:sz w:val="20"/>
                <w:szCs w:val="20"/>
                <w:lang w:val="en-GB"/>
              </w:rPr>
              <w:t>000</w:t>
            </w:r>
            <w:r w:rsidR="00984282" w:rsidRPr="00D62D04">
              <w:rPr>
                <w:sz w:val="20"/>
                <w:szCs w:val="20"/>
                <w:lang w:val="en-GB"/>
              </w:rPr>
              <w:t>.</w:t>
            </w:r>
            <w:r w:rsidRPr="00D62D04">
              <w:rPr>
                <w:sz w:val="20"/>
                <w:szCs w:val="20"/>
                <w:lang w:val="en-GB"/>
              </w:rPr>
              <w:t>00</w:t>
            </w:r>
          </w:p>
        </w:tc>
        <w:tc>
          <w:tcPr>
            <w:tcW w:w="1446" w:type="dxa"/>
          </w:tcPr>
          <w:p w14:paraId="571B5542" w14:textId="77777777" w:rsidR="00BB3887" w:rsidRPr="00D62D04" w:rsidRDefault="00BB3887" w:rsidP="00BB3887">
            <w:pPr>
              <w:spacing w:after="0"/>
              <w:rPr>
                <w:sz w:val="20"/>
                <w:szCs w:val="20"/>
                <w:lang w:val="en-GB"/>
              </w:rPr>
            </w:pPr>
          </w:p>
        </w:tc>
        <w:tc>
          <w:tcPr>
            <w:tcW w:w="1446" w:type="dxa"/>
          </w:tcPr>
          <w:p w14:paraId="4EA2B944" w14:textId="77777777" w:rsidR="00BB3887" w:rsidRPr="00D62D04" w:rsidRDefault="00BB3887" w:rsidP="00BB3887">
            <w:pPr>
              <w:spacing w:after="0"/>
              <w:rPr>
                <w:sz w:val="20"/>
                <w:szCs w:val="20"/>
                <w:lang w:val="en-GB"/>
              </w:rPr>
            </w:pPr>
          </w:p>
        </w:tc>
      </w:tr>
      <w:tr w:rsidR="00BB3887" w:rsidRPr="00D62D04" w14:paraId="36189C3E" w14:textId="77777777" w:rsidTr="008906E9">
        <w:tc>
          <w:tcPr>
            <w:tcW w:w="1787" w:type="dxa"/>
          </w:tcPr>
          <w:p w14:paraId="44CA8F60" w14:textId="77777777" w:rsidR="00BB3887" w:rsidRPr="00D62D04" w:rsidRDefault="00984282" w:rsidP="00BB3887">
            <w:pPr>
              <w:spacing w:after="0"/>
              <w:rPr>
                <w:sz w:val="20"/>
                <w:szCs w:val="20"/>
                <w:lang w:val="en-GB"/>
              </w:rPr>
            </w:pPr>
            <w:r w:rsidRPr="00D62D04">
              <w:rPr>
                <w:sz w:val="20"/>
                <w:szCs w:val="20"/>
                <w:lang w:val="en-GB"/>
              </w:rPr>
              <w:t xml:space="preserve">Bulgarians </w:t>
            </w:r>
          </w:p>
        </w:tc>
        <w:tc>
          <w:tcPr>
            <w:tcW w:w="1445" w:type="dxa"/>
          </w:tcPr>
          <w:p w14:paraId="29EB3543" w14:textId="77777777" w:rsidR="00BB3887" w:rsidRPr="00D62D04" w:rsidRDefault="00BB3887" w:rsidP="00984282">
            <w:pPr>
              <w:spacing w:after="0"/>
              <w:rPr>
                <w:sz w:val="20"/>
                <w:szCs w:val="20"/>
                <w:lang w:val="en-GB"/>
              </w:rPr>
            </w:pPr>
            <w:r w:rsidRPr="00D62D04">
              <w:rPr>
                <w:sz w:val="20"/>
                <w:szCs w:val="20"/>
                <w:lang w:val="en-GB"/>
              </w:rPr>
              <w:t>230</w:t>
            </w:r>
            <w:r w:rsidR="00984282" w:rsidRPr="00D62D04">
              <w:rPr>
                <w:sz w:val="20"/>
                <w:szCs w:val="20"/>
                <w:lang w:val="en-GB"/>
              </w:rPr>
              <w:t>,</w:t>
            </w:r>
            <w:r w:rsidRPr="00D62D04">
              <w:rPr>
                <w:sz w:val="20"/>
                <w:szCs w:val="20"/>
                <w:lang w:val="en-GB"/>
              </w:rPr>
              <w:t>000</w:t>
            </w:r>
            <w:r w:rsidR="00984282" w:rsidRPr="00D62D04">
              <w:rPr>
                <w:sz w:val="20"/>
                <w:szCs w:val="20"/>
                <w:lang w:val="en-GB"/>
              </w:rPr>
              <w:t>.</w:t>
            </w:r>
            <w:r w:rsidRPr="00D62D04">
              <w:rPr>
                <w:sz w:val="20"/>
                <w:szCs w:val="20"/>
                <w:lang w:val="en-GB"/>
              </w:rPr>
              <w:t>00</w:t>
            </w:r>
          </w:p>
        </w:tc>
        <w:tc>
          <w:tcPr>
            <w:tcW w:w="1446" w:type="dxa"/>
          </w:tcPr>
          <w:p w14:paraId="3F670795" w14:textId="77777777" w:rsidR="00BB3887" w:rsidRPr="00D62D04" w:rsidRDefault="00BB3887" w:rsidP="00984282">
            <w:pPr>
              <w:spacing w:after="0"/>
              <w:rPr>
                <w:sz w:val="20"/>
                <w:szCs w:val="20"/>
                <w:lang w:val="en-GB"/>
              </w:rPr>
            </w:pPr>
            <w:r w:rsidRPr="00D62D04">
              <w:rPr>
                <w:sz w:val="20"/>
                <w:szCs w:val="20"/>
                <w:lang w:val="en-GB"/>
              </w:rPr>
              <w:t>220</w:t>
            </w:r>
            <w:r w:rsidR="00984282" w:rsidRPr="00D62D04">
              <w:rPr>
                <w:sz w:val="20"/>
                <w:szCs w:val="20"/>
                <w:lang w:val="en-GB"/>
              </w:rPr>
              <w:t>,</w:t>
            </w:r>
            <w:r w:rsidRPr="00D62D04">
              <w:rPr>
                <w:sz w:val="20"/>
                <w:szCs w:val="20"/>
                <w:lang w:val="en-GB"/>
              </w:rPr>
              <w:t>000</w:t>
            </w:r>
            <w:r w:rsidR="00984282" w:rsidRPr="00D62D04">
              <w:rPr>
                <w:sz w:val="20"/>
                <w:szCs w:val="20"/>
                <w:lang w:val="en-GB"/>
              </w:rPr>
              <w:t>.</w:t>
            </w:r>
            <w:r w:rsidRPr="00D62D04">
              <w:rPr>
                <w:sz w:val="20"/>
                <w:szCs w:val="20"/>
                <w:lang w:val="en-GB"/>
              </w:rPr>
              <w:t>00</w:t>
            </w:r>
          </w:p>
        </w:tc>
        <w:tc>
          <w:tcPr>
            <w:tcW w:w="1446" w:type="dxa"/>
          </w:tcPr>
          <w:p w14:paraId="6E9ABA77" w14:textId="77777777" w:rsidR="00BB3887" w:rsidRPr="00D62D04" w:rsidRDefault="00BB3887" w:rsidP="00984282">
            <w:pPr>
              <w:spacing w:after="0"/>
              <w:rPr>
                <w:sz w:val="20"/>
                <w:szCs w:val="20"/>
                <w:lang w:val="en-GB"/>
              </w:rPr>
            </w:pPr>
            <w:r w:rsidRPr="00D62D04">
              <w:rPr>
                <w:sz w:val="20"/>
                <w:szCs w:val="20"/>
                <w:lang w:val="en-GB"/>
              </w:rPr>
              <w:t>120</w:t>
            </w:r>
            <w:r w:rsidR="00984282" w:rsidRPr="00D62D04">
              <w:rPr>
                <w:sz w:val="20"/>
                <w:szCs w:val="20"/>
                <w:lang w:val="en-GB"/>
              </w:rPr>
              <w:t>,</w:t>
            </w:r>
            <w:r w:rsidRPr="00D62D04">
              <w:rPr>
                <w:sz w:val="20"/>
                <w:szCs w:val="20"/>
                <w:lang w:val="en-GB"/>
              </w:rPr>
              <w:t>000</w:t>
            </w:r>
            <w:r w:rsidR="00984282" w:rsidRPr="00D62D04">
              <w:rPr>
                <w:sz w:val="20"/>
                <w:szCs w:val="20"/>
                <w:lang w:val="en-GB"/>
              </w:rPr>
              <w:t>.</w:t>
            </w:r>
            <w:r w:rsidRPr="00D62D04">
              <w:rPr>
                <w:sz w:val="20"/>
                <w:szCs w:val="20"/>
                <w:lang w:val="en-GB"/>
              </w:rPr>
              <w:t>00</w:t>
            </w:r>
          </w:p>
        </w:tc>
        <w:tc>
          <w:tcPr>
            <w:tcW w:w="1446" w:type="dxa"/>
          </w:tcPr>
          <w:p w14:paraId="40F0512E" w14:textId="77777777" w:rsidR="00BB3887" w:rsidRPr="00D62D04" w:rsidRDefault="00BB3887" w:rsidP="00984282">
            <w:pPr>
              <w:spacing w:after="0"/>
              <w:rPr>
                <w:sz w:val="20"/>
                <w:szCs w:val="20"/>
                <w:lang w:val="en-GB"/>
              </w:rPr>
            </w:pPr>
            <w:r w:rsidRPr="00D62D04">
              <w:rPr>
                <w:sz w:val="20"/>
                <w:szCs w:val="20"/>
                <w:lang w:val="en-GB"/>
              </w:rPr>
              <w:t>160</w:t>
            </w:r>
            <w:r w:rsidR="00984282" w:rsidRPr="00D62D04">
              <w:rPr>
                <w:sz w:val="20"/>
                <w:szCs w:val="20"/>
                <w:lang w:val="en-GB"/>
              </w:rPr>
              <w:t>,</w:t>
            </w:r>
            <w:r w:rsidRPr="00D62D04">
              <w:rPr>
                <w:sz w:val="20"/>
                <w:szCs w:val="20"/>
                <w:lang w:val="en-GB"/>
              </w:rPr>
              <w:t>000</w:t>
            </w:r>
            <w:r w:rsidR="00984282" w:rsidRPr="00D62D04">
              <w:rPr>
                <w:sz w:val="20"/>
                <w:szCs w:val="20"/>
                <w:lang w:val="en-GB"/>
              </w:rPr>
              <w:t>.</w:t>
            </w:r>
            <w:r w:rsidRPr="00D62D04">
              <w:rPr>
                <w:sz w:val="20"/>
                <w:szCs w:val="20"/>
                <w:lang w:val="en-GB"/>
              </w:rPr>
              <w:t>00</w:t>
            </w:r>
          </w:p>
        </w:tc>
        <w:tc>
          <w:tcPr>
            <w:tcW w:w="1446" w:type="dxa"/>
          </w:tcPr>
          <w:p w14:paraId="5E67258E" w14:textId="77777777" w:rsidR="00BB3887" w:rsidRPr="00D62D04" w:rsidRDefault="00BB3887" w:rsidP="00984282">
            <w:pPr>
              <w:spacing w:after="0"/>
              <w:rPr>
                <w:sz w:val="20"/>
                <w:szCs w:val="20"/>
                <w:lang w:val="en-GB"/>
              </w:rPr>
            </w:pPr>
            <w:r w:rsidRPr="00D62D04">
              <w:rPr>
                <w:sz w:val="20"/>
                <w:szCs w:val="20"/>
                <w:lang w:val="en-GB"/>
              </w:rPr>
              <w:t>138</w:t>
            </w:r>
            <w:r w:rsidR="00984282" w:rsidRPr="00D62D04">
              <w:rPr>
                <w:sz w:val="20"/>
                <w:szCs w:val="20"/>
                <w:lang w:val="en-GB"/>
              </w:rPr>
              <w:t>,</w:t>
            </w:r>
            <w:r w:rsidRPr="00D62D04">
              <w:rPr>
                <w:sz w:val="20"/>
                <w:szCs w:val="20"/>
                <w:lang w:val="en-GB"/>
              </w:rPr>
              <w:t>000</w:t>
            </w:r>
            <w:r w:rsidR="00984282" w:rsidRPr="00D62D04">
              <w:rPr>
                <w:sz w:val="20"/>
                <w:szCs w:val="20"/>
                <w:lang w:val="en-GB"/>
              </w:rPr>
              <w:t>.</w:t>
            </w:r>
            <w:r w:rsidRPr="00D62D04">
              <w:rPr>
                <w:sz w:val="20"/>
                <w:szCs w:val="20"/>
                <w:lang w:val="en-GB"/>
              </w:rPr>
              <w:t>00</w:t>
            </w:r>
          </w:p>
        </w:tc>
      </w:tr>
      <w:tr w:rsidR="00BB3887" w:rsidRPr="00D62D04" w14:paraId="73A95045" w14:textId="77777777" w:rsidTr="008906E9">
        <w:tc>
          <w:tcPr>
            <w:tcW w:w="1787" w:type="dxa"/>
          </w:tcPr>
          <w:p w14:paraId="692EC053" w14:textId="77777777" w:rsidR="00BB3887" w:rsidRPr="00D62D04" w:rsidRDefault="00984282" w:rsidP="00BB3887">
            <w:pPr>
              <w:spacing w:after="0"/>
              <w:rPr>
                <w:sz w:val="20"/>
                <w:szCs w:val="20"/>
                <w:lang w:val="en-GB"/>
              </w:rPr>
            </w:pPr>
            <w:proofErr w:type="spellStart"/>
            <w:r w:rsidRPr="00D62D04">
              <w:rPr>
                <w:sz w:val="20"/>
                <w:szCs w:val="20"/>
                <w:lang w:val="en-GB"/>
              </w:rPr>
              <w:t>Bunjevci</w:t>
            </w:r>
            <w:proofErr w:type="spellEnd"/>
            <w:r w:rsidRPr="00D62D04">
              <w:rPr>
                <w:sz w:val="20"/>
                <w:szCs w:val="20"/>
                <w:lang w:val="en-GB"/>
              </w:rPr>
              <w:t xml:space="preserve"> </w:t>
            </w:r>
          </w:p>
        </w:tc>
        <w:tc>
          <w:tcPr>
            <w:tcW w:w="1445" w:type="dxa"/>
          </w:tcPr>
          <w:p w14:paraId="41952D22" w14:textId="77777777" w:rsidR="00BB3887" w:rsidRPr="00D62D04" w:rsidRDefault="00BB3887" w:rsidP="00984282">
            <w:pPr>
              <w:spacing w:after="0"/>
              <w:rPr>
                <w:sz w:val="20"/>
                <w:szCs w:val="20"/>
                <w:lang w:val="en-GB"/>
              </w:rPr>
            </w:pPr>
            <w:r w:rsidRPr="00D62D04">
              <w:rPr>
                <w:sz w:val="20"/>
                <w:szCs w:val="20"/>
                <w:lang w:val="en-GB"/>
              </w:rPr>
              <w:t>1</w:t>
            </w:r>
            <w:r w:rsidR="00984282" w:rsidRPr="00D62D04">
              <w:rPr>
                <w:sz w:val="20"/>
                <w:szCs w:val="20"/>
                <w:lang w:val="en-GB"/>
              </w:rPr>
              <w:t>,</w:t>
            </w:r>
            <w:r w:rsidRPr="00D62D04">
              <w:rPr>
                <w:sz w:val="20"/>
                <w:szCs w:val="20"/>
                <w:lang w:val="en-GB"/>
              </w:rPr>
              <w:t>000</w:t>
            </w:r>
            <w:r w:rsidR="00984282" w:rsidRPr="00D62D04">
              <w:rPr>
                <w:sz w:val="20"/>
                <w:szCs w:val="20"/>
                <w:lang w:val="en-GB"/>
              </w:rPr>
              <w:t>,</w:t>
            </w:r>
            <w:r w:rsidRPr="00D62D04">
              <w:rPr>
                <w:sz w:val="20"/>
                <w:szCs w:val="20"/>
                <w:lang w:val="en-GB"/>
              </w:rPr>
              <w:t>000</w:t>
            </w:r>
            <w:r w:rsidR="00984282" w:rsidRPr="00D62D04">
              <w:rPr>
                <w:sz w:val="20"/>
                <w:szCs w:val="20"/>
                <w:lang w:val="en-GB"/>
              </w:rPr>
              <w:t>.</w:t>
            </w:r>
            <w:r w:rsidRPr="00D62D04">
              <w:rPr>
                <w:sz w:val="20"/>
                <w:szCs w:val="20"/>
                <w:lang w:val="en-GB"/>
              </w:rPr>
              <w:t>00</w:t>
            </w:r>
          </w:p>
        </w:tc>
        <w:tc>
          <w:tcPr>
            <w:tcW w:w="1446" w:type="dxa"/>
          </w:tcPr>
          <w:p w14:paraId="12F14A4B" w14:textId="77777777" w:rsidR="00BB3887" w:rsidRPr="00D62D04" w:rsidRDefault="00BB3887" w:rsidP="00984282">
            <w:pPr>
              <w:spacing w:after="0"/>
              <w:rPr>
                <w:sz w:val="20"/>
                <w:szCs w:val="20"/>
                <w:lang w:val="en-GB"/>
              </w:rPr>
            </w:pPr>
            <w:r w:rsidRPr="00D62D04">
              <w:rPr>
                <w:sz w:val="20"/>
                <w:szCs w:val="20"/>
                <w:lang w:val="en-GB"/>
              </w:rPr>
              <w:t>1</w:t>
            </w:r>
            <w:r w:rsidR="00984282" w:rsidRPr="00D62D04">
              <w:rPr>
                <w:sz w:val="20"/>
                <w:szCs w:val="20"/>
                <w:lang w:val="en-GB"/>
              </w:rPr>
              <w:t>,</w:t>
            </w:r>
            <w:r w:rsidRPr="00D62D04">
              <w:rPr>
                <w:sz w:val="20"/>
                <w:szCs w:val="20"/>
                <w:lang w:val="en-GB"/>
              </w:rPr>
              <w:t>000</w:t>
            </w:r>
            <w:r w:rsidR="00984282" w:rsidRPr="00D62D04">
              <w:rPr>
                <w:sz w:val="20"/>
                <w:szCs w:val="20"/>
                <w:lang w:val="en-GB"/>
              </w:rPr>
              <w:t>,</w:t>
            </w:r>
            <w:r w:rsidRPr="00D62D04">
              <w:rPr>
                <w:sz w:val="20"/>
                <w:szCs w:val="20"/>
                <w:lang w:val="en-GB"/>
              </w:rPr>
              <w:t>000</w:t>
            </w:r>
            <w:r w:rsidR="00984282" w:rsidRPr="00D62D04">
              <w:rPr>
                <w:sz w:val="20"/>
                <w:szCs w:val="20"/>
                <w:lang w:val="en-GB"/>
              </w:rPr>
              <w:t>.</w:t>
            </w:r>
            <w:r w:rsidRPr="00D62D04">
              <w:rPr>
                <w:sz w:val="20"/>
                <w:szCs w:val="20"/>
                <w:lang w:val="en-GB"/>
              </w:rPr>
              <w:t>00</w:t>
            </w:r>
          </w:p>
        </w:tc>
        <w:tc>
          <w:tcPr>
            <w:tcW w:w="1446" w:type="dxa"/>
          </w:tcPr>
          <w:p w14:paraId="4DBBEA06" w14:textId="77777777" w:rsidR="00BB3887" w:rsidRPr="00D62D04" w:rsidRDefault="00BB3887" w:rsidP="00984282">
            <w:pPr>
              <w:spacing w:after="0"/>
              <w:rPr>
                <w:sz w:val="20"/>
                <w:szCs w:val="20"/>
                <w:lang w:val="en-GB"/>
              </w:rPr>
            </w:pPr>
            <w:r w:rsidRPr="00D62D04">
              <w:rPr>
                <w:sz w:val="20"/>
                <w:szCs w:val="20"/>
                <w:lang w:val="en-GB"/>
              </w:rPr>
              <w:t>1</w:t>
            </w:r>
            <w:r w:rsidR="00984282" w:rsidRPr="00D62D04">
              <w:rPr>
                <w:sz w:val="20"/>
                <w:szCs w:val="20"/>
                <w:lang w:val="en-GB"/>
              </w:rPr>
              <w:t>,</w:t>
            </w:r>
            <w:r w:rsidRPr="00D62D04">
              <w:rPr>
                <w:sz w:val="20"/>
                <w:szCs w:val="20"/>
                <w:lang w:val="en-GB"/>
              </w:rPr>
              <w:t>045</w:t>
            </w:r>
            <w:r w:rsidR="00984282" w:rsidRPr="00D62D04">
              <w:rPr>
                <w:sz w:val="20"/>
                <w:szCs w:val="20"/>
                <w:lang w:val="en-GB"/>
              </w:rPr>
              <w:t>,</w:t>
            </w:r>
            <w:r w:rsidRPr="00D62D04">
              <w:rPr>
                <w:sz w:val="20"/>
                <w:szCs w:val="20"/>
                <w:lang w:val="en-GB"/>
              </w:rPr>
              <w:t>000</w:t>
            </w:r>
            <w:r w:rsidR="00984282" w:rsidRPr="00D62D04">
              <w:rPr>
                <w:sz w:val="20"/>
                <w:szCs w:val="20"/>
                <w:lang w:val="en-GB"/>
              </w:rPr>
              <w:t>.</w:t>
            </w:r>
            <w:r w:rsidRPr="00D62D04">
              <w:rPr>
                <w:sz w:val="20"/>
                <w:szCs w:val="20"/>
                <w:lang w:val="en-GB"/>
              </w:rPr>
              <w:t>00</w:t>
            </w:r>
          </w:p>
        </w:tc>
        <w:tc>
          <w:tcPr>
            <w:tcW w:w="1446" w:type="dxa"/>
          </w:tcPr>
          <w:p w14:paraId="3D0DCCA9" w14:textId="77777777" w:rsidR="00BB3887" w:rsidRPr="00D62D04" w:rsidRDefault="00BB3887" w:rsidP="00984282">
            <w:pPr>
              <w:spacing w:after="0"/>
              <w:rPr>
                <w:sz w:val="20"/>
                <w:szCs w:val="20"/>
                <w:lang w:val="en-GB"/>
              </w:rPr>
            </w:pPr>
            <w:r w:rsidRPr="00D62D04">
              <w:rPr>
                <w:sz w:val="20"/>
                <w:szCs w:val="20"/>
                <w:lang w:val="en-GB"/>
              </w:rPr>
              <w:t>1</w:t>
            </w:r>
            <w:r w:rsidR="00984282" w:rsidRPr="00D62D04">
              <w:rPr>
                <w:sz w:val="20"/>
                <w:szCs w:val="20"/>
                <w:lang w:val="en-GB"/>
              </w:rPr>
              <w:t>,</w:t>
            </w:r>
            <w:r w:rsidRPr="00D62D04">
              <w:rPr>
                <w:sz w:val="20"/>
                <w:szCs w:val="20"/>
                <w:lang w:val="en-GB"/>
              </w:rPr>
              <w:t>050</w:t>
            </w:r>
            <w:r w:rsidR="00984282" w:rsidRPr="00D62D04">
              <w:rPr>
                <w:sz w:val="20"/>
                <w:szCs w:val="20"/>
                <w:lang w:val="en-GB"/>
              </w:rPr>
              <w:t>,</w:t>
            </w:r>
            <w:r w:rsidRPr="00D62D04">
              <w:rPr>
                <w:sz w:val="20"/>
                <w:szCs w:val="20"/>
                <w:lang w:val="en-GB"/>
              </w:rPr>
              <w:t>000</w:t>
            </w:r>
            <w:r w:rsidR="00984282" w:rsidRPr="00D62D04">
              <w:rPr>
                <w:sz w:val="20"/>
                <w:szCs w:val="20"/>
                <w:lang w:val="en-GB"/>
              </w:rPr>
              <w:t>.</w:t>
            </w:r>
            <w:r w:rsidRPr="00D62D04">
              <w:rPr>
                <w:sz w:val="20"/>
                <w:szCs w:val="20"/>
                <w:lang w:val="en-GB"/>
              </w:rPr>
              <w:t>00</w:t>
            </w:r>
          </w:p>
        </w:tc>
        <w:tc>
          <w:tcPr>
            <w:tcW w:w="1446" w:type="dxa"/>
          </w:tcPr>
          <w:p w14:paraId="5571391F" w14:textId="77777777" w:rsidR="00BB3887" w:rsidRPr="00D62D04" w:rsidRDefault="00BB3887" w:rsidP="00984282">
            <w:pPr>
              <w:spacing w:after="0"/>
              <w:rPr>
                <w:sz w:val="20"/>
                <w:szCs w:val="20"/>
                <w:lang w:val="en-GB"/>
              </w:rPr>
            </w:pPr>
            <w:r w:rsidRPr="00D62D04">
              <w:rPr>
                <w:sz w:val="20"/>
                <w:szCs w:val="20"/>
                <w:lang w:val="en-GB"/>
              </w:rPr>
              <w:t>1</w:t>
            </w:r>
            <w:r w:rsidR="00984282" w:rsidRPr="00D62D04">
              <w:rPr>
                <w:sz w:val="20"/>
                <w:szCs w:val="20"/>
                <w:lang w:val="en-GB"/>
              </w:rPr>
              <w:t>,</w:t>
            </w:r>
            <w:r w:rsidRPr="00D62D04">
              <w:rPr>
                <w:sz w:val="20"/>
                <w:szCs w:val="20"/>
                <w:lang w:val="en-GB"/>
              </w:rPr>
              <w:t>050</w:t>
            </w:r>
            <w:r w:rsidR="00984282" w:rsidRPr="00D62D04">
              <w:rPr>
                <w:sz w:val="20"/>
                <w:szCs w:val="20"/>
                <w:lang w:val="en-GB"/>
              </w:rPr>
              <w:t>,</w:t>
            </w:r>
            <w:r w:rsidRPr="00D62D04">
              <w:rPr>
                <w:sz w:val="20"/>
                <w:szCs w:val="20"/>
                <w:lang w:val="en-GB"/>
              </w:rPr>
              <w:t>000</w:t>
            </w:r>
            <w:r w:rsidR="00984282" w:rsidRPr="00D62D04">
              <w:rPr>
                <w:sz w:val="20"/>
                <w:szCs w:val="20"/>
                <w:lang w:val="en-GB"/>
              </w:rPr>
              <w:t>.</w:t>
            </w:r>
            <w:r w:rsidRPr="00D62D04">
              <w:rPr>
                <w:sz w:val="20"/>
                <w:szCs w:val="20"/>
                <w:lang w:val="en-GB"/>
              </w:rPr>
              <w:t>00</w:t>
            </w:r>
          </w:p>
        </w:tc>
      </w:tr>
      <w:tr w:rsidR="00BB3887" w:rsidRPr="00D62D04" w14:paraId="14B7FA71" w14:textId="77777777" w:rsidTr="008906E9">
        <w:tc>
          <w:tcPr>
            <w:tcW w:w="1787" w:type="dxa"/>
          </w:tcPr>
          <w:p w14:paraId="41796A7E" w14:textId="77777777" w:rsidR="00BB3887" w:rsidRPr="00D62D04" w:rsidRDefault="00984282" w:rsidP="00BB3887">
            <w:pPr>
              <w:spacing w:after="0"/>
              <w:rPr>
                <w:sz w:val="20"/>
                <w:szCs w:val="20"/>
                <w:lang w:val="en-GB"/>
              </w:rPr>
            </w:pPr>
            <w:proofErr w:type="spellStart"/>
            <w:r w:rsidRPr="00D62D04">
              <w:rPr>
                <w:sz w:val="20"/>
                <w:szCs w:val="20"/>
                <w:lang w:val="en-GB"/>
              </w:rPr>
              <w:t>Gorani</w:t>
            </w:r>
            <w:proofErr w:type="spellEnd"/>
            <w:r w:rsidRPr="00D62D04">
              <w:rPr>
                <w:sz w:val="20"/>
                <w:szCs w:val="20"/>
                <w:lang w:val="en-GB"/>
              </w:rPr>
              <w:t xml:space="preserve"> people</w:t>
            </w:r>
          </w:p>
        </w:tc>
        <w:tc>
          <w:tcPr>
            <w:tcW w:w="1445" w:type="dxa"/>
          </w:tcPr>
          <w:p w14:paraId="69F72E53" w14:textId="77777777" w:rsidR="00BB3887" w:rsidRPr="00D62D04" w:rsidRDefault="00BB3887" w:rsidP="00BB3887">
            <w:pPr>
              <w:spacing w:after="0"/>
              <w:rPr>
                <w:sz w:val="20"/>
                <w:szCs w:val="20"/>
                <w:lang w:val="en-GB"/>
              </w:rPr>
            </w:pPr>
          </w:p>
        </w:tc>
        <w:tc>
          <w:tcPr>
            <w:tcW w:w="1446" w:type="dxa"/>
          </w:tcPr>
          <w:p w14:paraId="4AB91C17" w14:textId="77777777" w:rsidR="00BB3887" w:rsidRPr="00D62D04" w:rsidRDefault="00BB3887" w:rsidP="00BB3887">
            <w:pPr>
              <w:spacing w:after="0"/>
              <w:rPr>
                <w:sz w:val="20"/>
                <w:szCs w:val="20"/>
                <w:lang w:val="en-GB"/>
              </w:rPr>
            </w:pPr>
          </w:p>
        </w:tc>
        <w:tc>
          <w:tcPr>
            <w:tcW w:w="1446" w:type="dxa"/>
          </w:tcPr>
          <w:p w14:paraId="3A777473" w14:textId="77777777" w:rsidR="00BB3887" w:rsidRPr="00D62D04" w:rsidRDefault="00BB3887" w:rsidP="00BB3887">
            <w:pPr>
              <w:spacing w:after="0"/>
              <w:rPr>
                <w:sz w:val="20"/>
                <w:szCs w:val="20"/>
                <w:lang w:val="en-GB"/>
              </w:rPr>
            </w:pPr>
          </w:p>
        </w:tc>
        <w:tc>
          <w:tcPr>
            <w:tcW w:w="1446" w:type="dxa"/>
          </w:tcPr>
          <w:p w14:paraId="13BB2E4E" w14:textId="77777777" w:rsidR="00BB3887" w:rsidRPr="00D62D04" w:rsidRDefault="00BB3887" w:rsidP="00BB3887">
            <w:pPr>
              <w:spacing w:after="0"/>
              <w:rPr>
                <w:sz w:val="20"/>
                <w:szCs w:val="20"/>
                <w:lang w:val="en-GB"/>
              </w:rPr>
            </w:pPr>
          </w:p>
        </w:tc>
        <w:tc>
          <w:tcPr>
            <w:tcW w:w="1446" w:type="dxa"/>
          </w:tcPr>
          <w:p w14:paraId="0EEC279A" w14:textId="77777777" w:rsidR="00BB3887" w:rsidRPr="00D62D04" w:rsidRDefault="00BB3887" w:rsidP="00984282">
            <w:pPr>
              <w:spacing w:after="0"/>
              <w:rPr>
                <w:sz w:val="20"/>
                <w:szCs w:val="20"/>
                <w:lang w:val="en-GB"/>
              </w:rPr>
            </w:pPr>
            <w:r w:rsidRPr="00D62D04">
              <w:rPr>
                <w:sz w:val="20"/>
                <w:szCs w:val="20"/>
                <w:lang w:val="en-GB"/>
              </w:rPr>
              <w:t>70</w:t>
            </w:r>
            <w:r w:rsidR="00984282" w:rsidRPr="00D62D04">
              <w:rPr>
                <w:sz w:val="20"/>
                <w:szCs w:val="20"/>
                <w:lang w:val="en-GB"/>
              </w:rPr>
              <w:t>,</w:t>
            </w:r>
            <w:r w:rsidRPr="00D62D04">
              <w:rPr>
                <w:sz w:val="20"/>
                <w:szCs w:val="20"/>
                <w:lang w:val="en-GB"/>
              </w:rPr>
              <w:t>000</w:t>
            </w:r>
            <w:r w:rsidR="00984282" w:rsidRPr="00D62D04">
              <w:rPr>
                <w:sz w:val="20"/>
                <w:szCs w:val="20"/>
                <w:lang w:val="en-GB"/>
              </w:rPr>
              <w:t>.</w:t>
            </w:r>
            <w:r w:rsidRPr="00D62D04">
              <w:rPr>
                <w:sz w:val="20"/>
                <w:szCs w:val="20"/>
                <w:lang w:val="en-GB"/>
              </w:rPr>
              <w:t>00</w:t>
            </w:r>
          </w:p>
        </w:tc>
      </w:tr>
      <w:tr w:rsidR="00BB3887" w:rsidRPr="00D62D04" w14:paraId="35B5BAFB" w14:textId="77777777" w:rsidTr="008906E9">
        <w:tc>
          <w:tcPr>
            <w:tcW w:w="1787" w:type="dxa"/>
          </w:tcPr>
          <w:p w14:paraId="710F7D11" w14:textId="77777777" w:rsidR="00BB3887" w:rsidRPr="00D62D04" w:rsidRDefault="00AC3F14" w:rsidP="00BB3887">
            <w:pPr>
              <w:spacing w:after="0"/>
              <w:rPr>
                <w:sz w:val="20"/>
                <w:szCs w:val="20"/>
                <w:lang w:val="en-GB"/>
              </w:rPr>
            </w:pPr>
            <w:r w:rsidRPr="00D62D04">
              <w:rPr>
                <w:sz w:val="20"/>
                <w:szCs w:val="20"/>
                <w:lang w:val="en-GB"/>
              </w:rPr>
              <w:t xml:space="preserve">Greeks </w:t>
            </w:r>
          </w:p>
        </w:tc>
        <w:tc>
          <w:tcPr>
            <w:tcW w:w="1445" w:type="dxa"/>
          </w:tcPr>
          <w:p w14:paraId="7A3DE1F8" w14:textId="77777777" w:rsidR="00BB3887" w:rsidRPr="00D62D04" w:rsidRDefault="00BB3887" w:rsidP="00AC3F14">
            <w:pPr>
              <w:spacing w:after="0"/>
              <w:rPr>
                <w:sz w:val="20"/>
                <w:szCs w:val="20"/>
                <w:lang w:val="en-GB"/>
              </w:rPr>
            </w:pPr>
            <w:r w:rsidRPr="00D62D04">
              <w:rPr>
                <w:sz w:val="20"/>
                <w:szCs w:val="20"/>
                <w:lang w:val="en-GB"/>
              </w:rPr>
              <w:t>95</w:t>
            </w:r>
            <w:r w:rsidR="00AC3F14" w:rsidRPr="00D62D04">
              <w:rPr>
                <w:sz w:val="20"/>
                <w:szCs w:val="20"/>
                <w:lang w:val="en-GB"/>
              </w:rPr>
              <w:t>,</w:t>
            </w:r>
            <w:r w:rsidRPr="00D62D04">
              <w:rPr>
                <w:sz w:val="20"/>
                <w:szCs w:val="20"/>
                <w:lang w:val="en-GB"/>
              </w:rPr>
              <w:t>000</w:t>
            </w:r>
            <w:r w:rsidR="00AC3F14" w:rsidRPr="00D62D04">
              <w:rPr>
                <w:sz w:val="20"/>
                <w:szCs w:val="20"/>
                <w:lang w:val="en-GB"/>
              </w:rPr>
              <w:t>.</w:t>
            </w:r>
            <w:r w:rsidRPr="00D62D04">
              <w:rPr>
                <w:sz w:val="20"/>
                <w:szCs w:val="20"/>
                <w:lang w:val="en-GB"/>
              </w:rPr>
              <w:t>00</w:t>
            </w:r>
          </w:p>
        </w:tc>
        <w:tc>
          <w:tcPr>
            <w:tcW w:w="1446" w:type="dxa"/>
          </w:tcPr>
          <w:p w14:paraId="3312DD68" w14:textId="77777777" w:rsidR="00BB3887" w:rsidRPr="00D62D04" w:rsidRDefault="00BB3887" w:rsidP="00AC3F14">
            <w:pPr>
              <w:spacing w:after="0"/>
              <w:rPr>
                <w:sz w:val="20"/>
                <w:szCs w:val="20"/>
                <w:lang w:val="en-GB"/>
              </w:rPr>
            </w:pPr>
            <w:r w:rsidRPr="00D62D04">
              <w:rPr>
                <w:sz w:val="20"/>
                <w:szCs w:val="20"/>
                <w:lang w:val="en-GB"/>
              </w:rPr>
              <w:t>95</w:t>
            </w:r>
            <w:r w:rsidR="00AC3F14" w:rsidRPr="00D62D04">
              <w:rPr>
                <w:sz w:val="20"/>
                <w:szCs w:val="20"/>
                <w:lang w:val="en-GB"/>
              </w:rPr>
              <w:t>,</w:t>
            </w:r>
            <w:r w:rsidRPr="00D62D04">
              <w:rPr>
                <w:sz w:val="20"/>
                <w:szCs w:val="20"/>
                <w:lang w:val="en-GB"/>
              </w:rPr>
              <w:t>000</w:t>
            </w:r>
            <w:r w:rsidR="00AC3F14" w:rsidRPr="00D62D04">
              <w:rPr>
                <w:sz w:val="20"/>
                <w:szCs w:val="20"/>
                <w:lang w:val="en-GB"/>
              </w:rPr>
              <w:t>.</w:t>
            </w:r>
            <w:r w:rsidRPr="00D62D04">
              <w:rPr>
                <w:sz w:val="20"/>
                <w:szCs w:val="20"/>
                <w:lang w:val="en-GB"/>
              </w:rPr>
              <w:t>00</w:t>
            </w:r>
          </w:p>
        </w:tc>
        <w:tc>
          <w:tcPr>
            <w:tcW w:w="1446" w:type="dxa"/>
          </w:tcPr>
          <w:p w14:paraId="75C4B16D" w14:textId="77777777" w:rsidR="00BB3887" w:rsidRPr="00D62D04" w:rsidRDefault="00BB3887" w:rsidP="00AC3F14">
            <w:pPr>
              <w:spacing w:after="0"/>
              <w:rPr>
                <w:sz w:val="20"/>
                <w:szCs w:val="20"/>
                <w:lang w:val="en-GB"/>
              </w:rPr>
            </w:pPr>
            <w:r w:rsidRPr="00D62D04">
              <w:rPr>
                <w:sz w:val="20"/>
                <w:szCs w:val="20"/>
                <w:lang w:val="en-GB"/>
              </w:rPr>
              <w:t>155</w:t>
            </w:r>
            <w:r w:rsidR="00AC3F14" w:rsidRPr="00D62D04">
              <w:rPr>
                <w:sz w:val="20"/>
                <w:szCs w:val="20"/>
                <w:lang w:val="en-GB"/>
              </w:rPr>
              <w:t>,</w:t>
            </w:r>
            <w:r w:rsidRPr="00D62D04">
              <w:rPr>
                <w:sz w:val="20"/>
                <w:szCs w:val="20"/>
                <w:lang w:val="en-GB"/>
              </w:rPr>
              <w:t>000</w:t>
            </w:r>
            <w:r w:rsidR="00AC3F14" w:rsidRPr="00D62D04">
              <w:rPr>
                <w:sz w:val="20"/>
                <w:szCs w:val="20"/>
                <w:lang w:val="en-GB"/>
              </w:rPr>
              <w:t>.</w:t>
            </w:r>
            <w:r w:rsidRPr="00D62D04">
              <w:rPr>
                <w:sz w:val="20"/>
                <w:szCs w:val="20"/>
                <w:lang w:val="en-GB"/>
              </w:rPr>
              <w:t>00</w:t>
            </w:r>
          </w:p>
        </w:tc>
        <w:tc>
          <w:tcPr>
            <w:tcW w:w="1446" w:type="dxa"/>
          </w:tcPr>
          <w:p w14:paraId="15D789DA" w14:textId="77777777" w:rsidR="00BB3887" w:rsidRPr="00D62D04" w:rsidRDefault="00BB3887" w:rsidP="00AC3F14">
            <w:pPr>
              <w:spacing w:after="0"/>
              <w:rPr>
                <w:sz w:val="20"/>
                <w:szCs w:val="20"/>
                <w:lang w:val="en-GB"/>
              </w:rPr>
            </w:pPr>
            <w:r w:rsidRPr="00D62D04">
              <w:rPr>
                <w:sz w:val="20"/>
                <w:szCs w:val="20"/>
                <w:lang w:val="en-GB"/>
              </w:rPr>
              <w:t>150</w:t>
            </w:r>
            <w:r w:rsidR="00AC3F14" w:rsidRPr="00D62D04">
              <w:rPr>
                <w:sz w:val="20"/>
                <w:szCs w:val="20"/>
                <w:lang w:val="en-GB"/>
              </w:rPr>
              <w:t>,</w:t>
            </w:r>
            <w:r w:rsidRPr="00D62D04">
              <w:rPr>
                <w:sz w:val="20"/>
                <w:szCs w:val="20"/>
                <w:lang w:val="en-GB"/>
              </w:rPr>
              <w:t>000</w:t>
            </w:r>
            <w:r w:rsidR="00AC3F14" w:rsidRPr="00D62D04">
              <w:rPr>
                <w:sz w:val="20"/>
                <w:szCs w:val="20"/>
                <w:lang w:val="en-GB"/>
              </w:rPr>
              <w:t>.</w:t>
            </w:r>
            <w:r w:rsidRPr="00D62D04">
              <w:rPr>
                <w:sz w:val="20"/>
                <w:szCs w:val="20"/>
                <w:lang w:val="en-GB"/>
              </w:rPr>
              <w:t>00</w:t>
            </w:r>
          </w:p>
        </w:tc>
        <w:tc>
          <w:tcPr>
            <w:tcW w:w="1446" w:type="dxa"/>
          </w:tcPr>
          <w:p w14:paraId="08D02F5D" w14:textId="77777777" w:rsidR="00BB3887" w:rsidRPr="00D62D04" w:rsidRDefault="00BB3887" w:rsidP="00AC3F14">
            <w:pPr>
              <w:spacing w:after="0"/>
              <w:rPr>
                <w:sz w:val="20"/>
                <w:szCs w:val="20"/>
                <w:lang w:val="en-GB"/>
              </w:rPr>
            </w:pPr>
            <w:r w:rsidRPr="00D62D04">
              <w:rPr>
                <w:sz w:val="20"/>
                <w:szCs w:val="20"/>
                <w:lang w:val="en-GB"/>
              </w:rPr>
              <w:t>138</w:t>
            </w:r>
            <w:r w:rsidR="00AC3F14" w:rsidRPr="00D62D04">
              <w:rPr>
                <w:sz w:val="20"/>
                <w:szCs w:val="20"/>
                <w:lang w:val="en-GB"/>
              </w:rPr>
              <w:t>,</w:t>
            </w:r>
            <w:r w:rsidRPr="00D62D04">
              <w:rPr>
                <w:sz w:val="20"/>
                <w:szCs w:val="20"/>
                <w:lang w:val="en-GB"/>
              </w:rPr>
              <w:t>000</w:t>
            </w:r>
            <w:r w:rsidR="00AC3F14" w:rsidRPr="00D62D04">
              <w:rPr>
                <w:sz w:val="20"/>
                <w:szCs w:val="20"/>
                <w:lang w:val="en-GB"/>
              </w:rPr>
              <w:t>.</w:t>
            </w:r>
            <w:r w:rsidRPr="00D62D04">
              <w:rPr>
                <w:sz w:val="20"/>
                <w:szCs w:val="20"/>
                <w:lang w:val="en-GB"/>
              </w:rPr>
              <w:t>00</w:t>
            </w:r>
          </w:p>
        </w:tc>
      </w:tr>
      <w:tr w:rsidR="00BB3887" w:rsidRPr="00D62D04" w14:paraId="2A725C0F" w14:textId="77777777" w:rsidTr="008906E9">
        <w:tc>
          <w:tcPr>
            <w:tcW w:w="1787" w:type="dxa"/>
          </w:tcPr>
          <w:p w14:paraId="17D311DE" w14:textId="77777777" w:rsidR="00BB3887" w:rsidRPr="00D62D04" w:rsidRDefault="00AC3F14" w:rsidP="00BB3887">
            <w:pPr>
              <w:spacing w:after="0"/>
              <w:rPr>
                <w:sz w:val="20"/>
                <w:szCs w:val="20"/>
                <w:lang w:val="en-GB"/>
              </w:rPr>
            </w:pPr>
            <w:r w:rsidRPr="00D62D04">
              <w:rPr>
                <w:sz w:val="20"/>
                <w:szCs w:val="20"/>
                <w:lang w:val="en-GB"/>
              </w:rPr>
              <w:t xml:space="preserve">Egyptians </w:t>
            </w:r>
          </w:p>
        </w:tc>
        <w:tc>
          <w:tcPr>
            <w:tcW w:w="1445" w:type="dxa"/>
          </w:tcPr>
          <w:p w14:paraId="17612D98" w14:textId="77777777" w:rsidR="00BB3887" w:rsidRPr="00D62D04" w:rsidRDefault="00BB3887" w:rsidP="00AC3F14">
            <w:pPr>
              <w:spacing w:after="0"/>
              <w:rPr>
                <w:sz w:val="20"/>
                <w:szCs w:val="20"/>
                <w:lang w:val="en-GB"/>
              </w:rPr>
            </w:pPr>
            <w:r w:rsidRPr="00D62D04">
              <w:rPr>
                <w:sz w:val="20"/>
                <w:szCs w:val="20"/>
                <w:lang w:val="en-GB"/>
              </w:rPr>
              <w:t>95</w:t>
            </w:r>
            <w:r w:rsidR="00AC3F14" w:rsidRPr="00D62D04">
              <w:rPr>
                <w:sz w:val="20"/>
                <w:szCs w:val="20"/>
                <w:lang w:val="en-GB"/>
              </w:rPr>
              <w:t>,</w:t>
            </w:r>
            <w:r w:rsidRPr="00D62D04">
              <w:rPr>
                <w:sz w:val="20"/>
                <w:szCs w:val="20"/>
                <w:lang w:val="en-GB"/>
              </w:rPr>
              <w:t>000</w:t>
            </w:r>
            <w:r w:rsidR="00AC3F14" w:rsidRPr="00D62D04">
              <w:rPr>
                <w:sz w:val="20"/>
                <w:szCs w:val="20"/>
                <w:lang w:val="en-GB"/>
              </w:rPr>
              <w:t>.</w:t>
            </w:r>
            <w:r w:rsidRPr="00D62D04">
              <w:rPr>
                <w:sz w:val="20"/>
                <w:szCs w:val="20"/>
                <w:lang w:val="en-GB"/>
              </w:rPr>
              <w:t>00</w:t>
            </w:r>
          </w:p>
        </w:tc>
        <w:tc>
          <w:tcPr>
            <w:tcW w:w="1446" w:type="dxa"/>
          </w:tcPr>
          <w:p w14:paraId="061EDFB0" w14:textId="77777777" w:rsidR="00BB3887" w:rsidRPr="00D62D04" w:rsidRDefault="00BB3887" w:rsidP="00AC3F14">
            <w:pPr>
              <w:spacing w:after="0"/>
              <w:rPr>
                <w:sz w:val="20"/>
                <w:szCs w:val="20"/>
                <w:lang w:val="en-GB"/>
              </w:rPr>
            </w:pPr>
            <w:r w:rsidRPr="00D62D04">
              <w:rPr>
                <w:sz w:val="20"/>
                <w:szCs w:val="20"/>
                <w:lang w:val="en-GB"/>
              </w:rPr>
              <w:t>95</w:t>
            </w:r>
            <w:r w:rsidR="00AC3F14" w:rsidRPr="00D62D04">
              <w:rPr>
                <w:sz w:val="20"/>
                <w:szCs w:val="20"/>
                <w:lang w:val="en-GB"/>
              </w:rPr>
              <w:t>,</w:t>
            </w:r>
            <w:r w:rsidRPr="00D62D04">
              <w:rPr>
                <w:sz w:val="20"/>
                <w:szCs w:val="20"/>
                <w:lang w:val="en-GB"/>
              </w:rPr>
              <w:t>000</w:t>
            </w:r>
            <w:r w:rsidR="00AC3F14" w:rsidRPr="00D62D04">
              <w:rPr>
                <w:sz w:val="20"/>
                <w:szCs w:val="20"/>
                <w:lang w:val="en-GB"/>
              </w:rPr>
              <w:t>.</w:t>
            </w:r>
            <w:r w:rsidRPr="00D62D04">
              <w:rPr>
                <w:sz w:val="20"/>
                <w:szCs w:val="20"/>
                <w:lang w:val="en-GB"/>
              </w:rPr>
              <w:t>00</w:t>
            </w:r>
          </w:p>
        </w:tc>
        <w:tc>
          <w:tcPr>
            <w:tcW w:w="1446" w:type="dxa"/>
          </w:tcPr>
          <w:p w14:paraId="697810A4" w14:textId="77777777" w:rsidR="00BB3887" w:rsidRPr="00D62D04" w:rsidRDefault="00BB3887" w:rsidP="00BB3887">
            <w:pPr>
              <w:spacing w:after="0"/>
              <w:rPr>
                <w:sz w:val="20"/>
                <w:szCs w:val="20"/>
                <w:lang w:val="en-GB"/>
              </w:rPr>
            </w:pPr>
          </w:p>
        </w:tc>
        <w:tc>
          <w:tcPr>
            <w:tcW w:w="1446" w:type="dxa"/>
          </w:tcPr>
          <w:p w14:paraId="3E235C23" w14:textId="77777777" w:rsidR="00BB3887" w:rsidRPr="00D62D04" w:rsidRDefault="00BB3887" w:rsidP="00BB3887">
            <w:pPr>
              <w:spacing w:after="0"/>
              <w:rPr>
                <w:sz w:val="20"/>
                <w:szCs w:val="20"/>
                <w:lang w:val="en-GB"/>
              </w:rPr>
            </w:pPr>
          </w:p>
        </w:tc>
        <w:tc>
          <w:tcPr>
            <w:tcW w:w="1446" w:type="dxa"/>
          </w:tcPr>
          <w:p w14:paraId="6D928E84" w14:textId="77777777" w:rsidR="00BB3887" w:rsidRPr="00D62D04" w:rsidRDefault="00BB3887" w:rsidP="00AC3F14">
            <w:pPr>
              <w:spacing w:after="0"/>
              <w:rPr>
                <w:sz w:val="20"/>
                <w:szCs w:val="20"/>
                <w:lang w:val="en-GB"/>
              </w:rPr>
            </w:pPr>
            <w:r w:rsidRPr="00D62D04">
              <w:rPr>
                <w:sz w:val="20"/>
                <w:szCs w:val="20"/>
                <w:lang w:val="en-GB"/>
              </w:rPr>
              <w:t>130</w:t>
            </w:r>
            <w:r w:rsidR="00AC3F14" w:rsidRPr="00D62D04">
              <w:rPr>
                <w:sz w:val="20"/>
                <w:szCs w:val="20"/>
                <w:lang w:val="en-GB"/>
              </w:rPr>
              <w:t>,</w:t>
            </w:r>
            <w:r w:rsidRPr="00D62D04">
              <w:rPr>
                <w:sz w:val="20"/>
                <w:szCs w:val="20"/>
                <w:lang w:val="en-GB"/>
              </w:rPr>
              <w:t>000</w:t>
            </w:r>
            <w:r w:rsidR="00AC3F14" w:rsidRPr="00D62D04">
              <w:rPr>
                <w:sz w:val="20"/>
                <w:szCs w:val="20"/>
                <w:lang w:val="en-GB"/>
              </w:rPr>
              <w:t>.</w:t>
            </w:r>
            <w:r w:rsidRPr="00D62D04">
              <w:rPr>
                <w:sz w:val="20"/>
                <w:szCs w:val="20"/>
                <w:lang w:val="en-GB"/>
              </w:rPr>
              <w:t>00</w:t>
            </w:r>
          </w:p>
        </w:tc>
      </w:tr>
      <w:tr w:rsidR="00BB3887" w:rsidRPr="00D62D04" w14:paraId="3A27DFD8" w14:textId="77777777" w:rsidTr="008906E9">
        <w:tc>
          <w:tcPr>
            <w:tcW w:w="1787" w:type="dxa"/>
          </w:tcPr>
          <w:p w14:paraId="004279E7" w14:textId="77777777" w:rsidR="00BB3887" w:rsidRPr="00D62D04" w:rsidRDefault="00AC3F14" w:rsidP="00BB3887">
            <w:pPr>
              <w:spacing w:after="0"/>
              <w:rPr>
                <w:sz w:val="20"/>
                <w:szCs w:val="20"/>
                <w:lang w:val="en-GB"/>
              </w:rPr>
            </w:pPr>
            <w:r w:rsidRPr="00D62D04">
              <w:rPr>
                <w:sz w:val="20"/>
                <w:szCs w:val="20"/>
                <w:lang w:val="en-GB"/>
              </w:rPr>
              <w:t xml:space="preserve">Jews </w:t>
            </w:r>
          </w:p>
        </w:tc>
        <w:tc>
          <w:tcPr>
            <w:tcW w:w="1445" w:type="dxa"/>
          </w:tcPr>
          <w:p w14:paraId="114B4D37" w14:textId="77777777" w:rsidR="00BB3887" w:rsidRPr="00D62D04" w:rsidRDefault="00BB3887" w:rsidP="00AC3F14">
            <w:pPr>
              <w:spacing w:after="0"/>
              <w:rPr>
                <w:sz w:val="20"/>
                <w:szCs w:val="20"/>
                <w:lang w:val="en-GB"/>
              </w:rPr>
            </w:pPr>
            <w:r w:rsidRPr="00D62D04">
              <w:rPr>
                <w:sz w:val="20"/>
                <w:szCs w:val="20"/>
                <w:lang w:val="en-GB"/>
              </w:rPr>
              <w:t>50</w:t>
            </w:r>
            <w:r w:rsidR="00AC3F14" w:rsidRPr="00D62D04">
              <w:rPr>
                <w:sz w:val="20"/>
                <w:szCs w:val="20"/>
                <w:lang w:val="en-GB"/>
              </w:rPr>
              <w:t>,</w:t>
            </w:r>
            <w:r w:rsidRPr="00D62D04">
              <w:rPr>
                <w:sz w:val="20"/>
                <w:szCs w:val="20"/>
                <w:lang w:val="en-GB"/>
              </w:rPr>
              <w:t>000</w:t>
            </w:r>
            <w:r w:rsidR="00AC3F14" w:rsidRPr="00D62D04">
              <w:rPr>
                <w:sz w:val="20"/>
                <w:szCs w:val="20"/>
                <w:lang w:val="en-GB"/>
              </w:rPr>
              <w:t>.</w:t>
            </w:r>
            <w:r w:rsidRPr="00D62D04">
              <w:rPr>
                <w:sz w:val="20"/>
                <w:szCs w:val="20"/>
                <w:lang w:val="en-GB"/>
              </w:rPr>
              <w:t>00</w:t>
            </w:r>
          </w:p>
        </w:tc>
        <w:tc>
          <w:tcPr>
            <w:tcW w:w="1446" w:type="dxa"/>
          </w:tcPr>
          <w:p w14:paraId="10DDF699" w14:textId="77777777" w:rsidR="00BB3887" w:rsidRPr="00D62D04" w:rsidRDefault="00BB3887" w:rsidP="00BB3887">
            <w:pPr>
              <w:spacing w:after="0"/>
              <w:rPr>
                <w:sz w:val="20"/>
                <w:szCs w:val="20"/>
                <w:lang w:val="en-GB"/>
              </w:rPr>
            </w:pPr>
          </w:p>
        </w:tc>
        <w:tc>
          <w:tcPr>
            <w:tcW w:w="1446" w:type="dxa"/>
          </w:tcPr>
          <w:p w14:paraId="2E4A1598" w14:textId="77777777" w:rsidR="00BB3887" w:rsidRPr="00D62D04" w:rsidRDefault="00BB3887" w:rsidP="00BB3887">
            <w:pPr>
              <w:spacing w:after="0"/>
              <w:rPr>
                <w:sz w:val="20"/>
                <w:szCs w:val="20"/>
                <w:lang w:val="en-GB"/>
              </w:rPr>
            </w:pPr>
          </w:p>
        </w:tc>
        <w:tc>
          <w:tcPr>
            <w:tcW w:w="1446" w:type="dxa"/>
          </w:tcPr>
          <w:p w14:paraId="6B2B3539" w14:textId="77777777" w:rsidR="00BB3887" w:rsidRPr="00D62D04" w:rsidRDefault="00BB3887" w:rsidP="00AC3F14">
            <w:pPr>
              <w:spacing w:after="0"/>
              <w:rPr>
                <w:sz w:val="20"/>
                <w:szCs w:val="20"/>
                <w:lang w:val="en-GB"/>
              </w:rPr>
            </w:pPr>
            <w:r w:rsidRPr="00D62D04">
              <w:rPr>
                <w:sz w:val="20"/>
                <w:szCs w:val="20"/>
                <w:lang w:val="en-GB"/>
              </w:rPr>
              <w:t>100</w:t>
            </w:r>
            <w:r w:rsidR="00AC3F14" w:rsidRPr="00D62D04">
              <w:rPr>
                <w:sz w:val="20"/>
                <w:szCs w:val="20"/>
                <w:lang w:val="en-GB"/>
              </w:rPr>
              <w:t>,</w:t>
            </w:r>
            <w:r w:rsidRPr="00D62D04">
              <w:rPr>
                <w:sz w:val="20"/>
                <w:szCs w:val="20"/>
                <w:lang w:val="en-GB"/>
              </w:rPr>
              <w:t>000</w:t>
            </w:r>
            <w:r w:rsidR="00AC3F14" w:rsidRPr="00D62D04">
              <w:rPr>
                <w:sz w:val="20"/>
                <w:szCs w:val="20"/>
                <w:lang w:val="en-GB"/>
              </w:rPr>
              <w:t>.</w:t>
            </w:r>
            <w:r w:rsidRPr="00D62D04">
              <w:rPr>
                <w:sz w:val="20"/>
                <w:szCs w:val="20"/>
                <w:lang w:val="en-GB"/>
              </w:rPr>
              <w:t>00</w:t>
            </w:r>
          </w:p>
        </w:tc>
        <w:tc>
          <w:tcPr>
            <w:tcW w:w="1446" w:type="dxa"/>
          </w:tcPr>
          <w:p w14:paraId="73A5C949" w14:textId="77777777" w:rsidR="00BB3887" w:rsidRPr="00D62D04" w:rsidRDefault="00BB3887" w:rsidP="00AC3F14">
            <w:pPr>
              <w:spacing w:after="0"/>
              <w:rPr>
                <w:sz w:val="20"/>
                <w:szCs w:val="20"/>
                <w:lang w:val="en-GB"/>
              </w:rPr>
            </w:pPr>
            <w:r w:rsidRPr="00D62D04">
              <w:rPr>
                <w:sz w:val="20"/>
                <w:szCs w:val="20"/>
                <w:lang w:val="en-GB"/>
              </w:rPr>
              <w:t>100</w:t>
            </w:r>
            <w:r w:rsidR="00AC3F14" w:rsidRPr="00D62D04">
              <w:rPr>
                <w:sz w:val="20"/>
                <w:szCs w:val="20"/>
                <w:lang w:val="en-GB"/>
              </w:rPr>
              <w:t>,</w:t>
            </w:r>
            <w:r w:rsidRPr="00D62D04">
              <w:rPr>
                <w:sz w:val="20"/>
                <w:szCs w:val="20"/>
                <w:lang w:val="en-GB"/>
              </w:rPr>
              <w:t>000</w:t>
            </w:r>
            <w:r w:rsidR="00AC3F14" w:rsidRPr="00D62D04">
              <w:rPr>
                <w:sz w:val="20"/>
                <w:szCs w:val="20"/>
                <w:lang w:val="en-GB"/>
              </w:rPr>
              <w:t>.</w:t>
            </w:r>
            <w:r w:rsidRPr="00D62D04">
              <w:rPr>
                <w:sz w:val="20"/>
                <w:szCs w:val="20"/>
                <w:lang w:val="en-GB"/>
              </w:rPr>
              <w:t>00</w:t>
            </w:r>
          </w:p>
        </w:tc>
      </w:tr>
      <w:tr w:rsidR="00BB3887" w:rsidRPr="00D62D04" w14:paraId="4EBEEF57" w14:textId="77777777" w:rsidTr="008906E9">
        <w:tc>
          <w:tcPr>
            <w:tcW w:w="1787" w:type="dxa"/>
          </w:tcPr>
          <w:p w14:paraId="26C331B8" w14:textId="77777777" w:rsidR="00BB3887" w:rsidRPr="00D62D04" w:rsidRDefault="00AC3F14" w:rsidP="00BB3887">
            <w:pPr>
              <w:spacing w:after="0"/>
              <w:rPr>
                <w:sz w:val="20"/>
                <w:szCs w:val="20"/>
                <w:lang w:val="en-GB"/>
              </w:rPr>
            </w:pPr>
            <w:r w:rsidRPr="00D62D04">
              <w:rPr>
                <w:sz w:val="20"/>
                <w:szCs w:val="20"/>
                <w:lang w:val="en-GB"/>
              </w:rPr>
              <w:t xml:space="preserve">Macedonians </w:t>
            </w:r>
          </w:p>
        </w:tc>
        <w:tc>
          <w:tcPr>
            <w:tcW w:w="1445" w:type="dxa"/>
          </w:tcPr>
          <w:p w14:paraId="295727ED" w14:textId="77777777" w:rsidR="00BB3887" w:rsidRPr="00D62D04" w:rsidRDefault="00BB3887" w:rsidP="00AC3F14">
            <w:pPr>
              <w:spacing w:after="0"/>
              <w:rPr>
                <w:sz w:val="20"/>
                <w:szCs w:val="20"/>
                <w:lang w:val="en-GB"/>
              </w:rPr>
            </w:pPr>
            <w:r w:rsidRPr="00D62D04">
              <w:rPr>
                <w:sz w:val="20"/>
                <w:szCs w:val="20"/>
                <w:lang w:val="en-GB"/>
              </w:rPr>
              <w:t>630</w:t>
            </w:r>
            <w:r w:rsidR="00AC3F14" w:rsidRPr="00D62D04">
              <w:rPr>
                <w:sz w:val="20"/>
                <w:szCs w:val="20"/>
                <w:lang w:val="en-GB"/>
              </w:rPr>
              <w:t>,</w:t>
            </w:r>
            <w:r w:rsidRPr="00D62D04">
              <w:rPr>
                <w:sz w:val="20"/>
                <w:szCs w:val="20"/>
                <w:lang w:val="en-GB"/>
              </w:rPr>
              <w:t>000</w:t>
            </w:r>
            <w:r w:rsidR="00AC3F14" w:rsidRPr="00D62D04">
              <w:rPr>
                <w:sz w:val="20"/>
                <w:szCs w:val="20"/>
                <w:lang w:val="en-GB"/>
              </w:rPr>
              <w:t>.</w:t>
            </w:r>
            <w:r w:rsidRPr="00D62D04">
              <w:rPr>
                <w:sz w:val="20"/>
                <w:szCs w:val="20"/>
                <w:lang w:val="en-GB"/>
              </w:rPr>
              <w:t>00</w:t>
            </w:r>
          </w:p>
        </w:tc>
        <w:tc>
          <w:tcPr>
            <w:tcW w:w="1446" w:type="dxa"/>
          </w:tcPr>
          <w:p w14:paraId="0FA37EE6" w14:textId="77777777" w:rsidR="00BB3887" w:rsidRPr="00D62D04" w:rsidRDefault="00BB3887" w:rsidP="00AC3F14">
            <w:pPr>
              <w:spacing w:after="0"/>
              <w:rPr>
                <w:sz w:val="20"/>
                <w:szCs w:val="20"/>
                <w:lang w:val="en-GB"/>
              </w:rPr>
            </w:pPr>
            <w:r w:rsidRPr="00D62D04">
              <w:rPr>
                <w:sz w:val="20"/>
                <w:szCs w:val="20"/>
                <w:lang w:val="en-GB"/>
              </w:rPr>
              <w:t>630</w:t>
            </w:r>
            <w:r w:rsidR="00AC3F14" w:rsidRPr="00D62D04">
              <w:rPr>
                <w:sz w:val="20"/>
                <w:szCs w:val="20"/>
                <w:lang w:val="en-GB"/>
              </w:rPr>
              <w:t>,</w:t>
            </w:r>
            <w:r w:rsidRPr="00D62D04">
              <w:rPr>
                <w:sz w:val="20"/>
                <w:szCs w:val="20"/>
                <w:lang w:val="en-GB"/>
              </w:rPr>
              <w:t>000</w:t>
            </w:r>
            <w:r w:rsidR="00AC3F14" w:rsidRPr="00D62D04">
              <w:rPr>
                <w:sz w:val="20"/>
                <w:szCs w:val="20"/>
                <w:lang w:val="en-GB"/>
              </w:rPr>
              <w:t>.</w:t>
            </w:r>
            <w:r w:rsidRPr="00D62D04">
              <w:rPr>
                <w:sz w:val="20"/>
                <w:szCs w:val="20"/>
                <w:lang w:val="en-GB"/>
              </w:rPr>
              <w:t>00</w:t>
            </w:r>
          </w:p>
        </w:tc>
        <w:tc>
          <w:tcPr>
            <w:tcW w:w="1446" w:type="dxa"/>
          </w:tcPr>
          <w:p w14:paraId="0E480231" w14:textId="77777777" w:rsidR="00BB3887" w:rsidRPr="00D62D04" w:rsidRDefault="00BB3887" w:rsidP="00AC3F14">
            <w:pPr>
              <w:spacing w:after="0"/>
              <w:rPr>
                <w:sz w:val="20"/>
                <w:szCs w:val="20"/>
                <w:lang w:val="en-GB"/>
              </w:rPr>
            </w:pPr>
            <w:r w:rsidRPr="00D62D04">
              <w:rPr>
                <w:sz w:val="20"/>
                <w:szCs w:val="20"/>
                <w:lang w:val="en-GB"/>
              </w:rPr>
              <w:t>660</w:t>
            </w:r>
            <w:r w:rsidR="00AC3F14" w:rsidRPr="00D62D04">
              <w:rPr>
                <w:sz w:val="20"/>
                <w:szCs w:val="20"/>
                <w:lang w:val="en-GB"/>
              </w:rPr>
              <w:t>,</w:t>
            </w:r>
            <w:r w:rsidRPr="00D62D04">
              <w:rPr>
                <w:sz w:val="20"/>
                <w:szCs w:val="20"/>
                <w:lang w:val="en-GB"/>
              </w:rPr>
              <w:t>000</w:t>
            </w:r>
            <w:r w:rsidR="00AC3F14" w:rsidRPr="00D62D04">
              <w:rPr>
                <w:sz w:val="20"/>
                <w:szCs w:val="20"/>
                <w:lang w:val="en-GB"/>
              </w:rPr>
              <w:t>.</w:t>
            </w:r>
            <w:r w:rsidRPr="00D62D04">
              <w:rPr>
                <w:sz w:val="20"/>
                <w:szCs w:val="20"/>
                <w:lang w:val="en-GB"/>
              </w:rPr>
              <w:t>00</w:t>
            </w:r>
          </w:p>
        </w:tc>
        <w:tc>
          <w:tcPr>
            <w:tcW w:w="1446" w:type="dxa"/>
          </w:tcPr>
          <w:p w14:paraId="7B88D3F6" w14:textId="77777777" w:rsidR="00BB3887" w:rsidRPr="00D62D04" w:rsidRDefault="00BB3887" w:rsidP="00AC3F14">
            <w:pPr>
              <w:spacing w:after="0"/>
              <w:rPr>
                <w:sz w:val="20"/>
                <w:szCs w:val="20"/>
                <w:lang w:val="en-GB"/>
              </w:rPr>
            </w:pPr>
            <w:r w:rsidRPr="00D62D04">
              <w:rPr>
                <w:sz w:val="20"/>
                <w:szCs w:val="20"/>
                <w:lang w:val="en-GB"/>
              </w:rPr>
              <w:t>660</w:t>
            </w:r>
            <w:r w:rsidR="00AC3F14" w:rsidRPr="00D62D04">
              <w:rPr>
                <w:sz w:val="20"/>
                <w:szCs w:val="20"/>
                <w:lang w:val="en-GB"/>
              </w:rPr>
              <w:t>,</w:t>
            </w:r>
            <w:r w:rsidRPr="00D62D04">
              <w:rPr>
                <w:sz w:val="20"/>
                <w:szCs w:val="20"/>
                <w:lang w:val="en-GB"/>
              </w:rPr>
              <w:t>000</w:t>
            </w:r>
            <w:r w:rsidR="00AC3F14" w:rsidRPr="00D62D04">
              <w:rPr>
                <w:sz w:val="20"/>
                <w:szCs w:val="20"/>
                <w:lang w:val="en-GB"/>
              </w:rPr>
              <w:t>.</w:t>
            </w:r>
            <w:r w:rsidRPr="00D62D04">
              <w:rPr>
                <w:sz w:val="20"/>
                <w:szCs w:val="20"/>
                <w:lang w:val="en-GB"/>
              </w:rPr>
              <w:t>00</w:t>
            </w:r>
          </w:p>
        </w:tc>
        <w:tc>
          <w:tcPr>
            <w:tcW w:w="1446" w:type="dxa"/>
          </w:tcPr>
          <w:p w14:paraId="4B386D1E" w14:textId="77777777" w:rsidR="00BB3887" w:rsidRPr="00D62D04" w:rsidRDefault="00BB3887" w:rsidP="00AC3F14">
            <w:pPr>
              <w:spacing w:after="0"/>
              <w:rPr>
                <w:sz w:val="20"/>
                <w:szCs w:val="20"/>
                <w:lang w:val="en-GB"/>
              </w:rPr>
            </w:pPr>
            <w:r w:rsidRPr="00D62D04">
              <w:rPr>
                <w:sz w:val="20"/>
                <w:szCs w:val="20"/>
                <w:lang w:val="en-GB"/>
              </w:rPr>
              <w:t>660</w:t>
            </w:r>
            <w:r w:rsidR="00AC3F14" w:rsidRPr="00D62D04">
              <w:rPr>
                <w:sz w:val="20"/>
                <w:szCs w:val="20"/>
                <w:lang w:val="en-GB"/>
              </w:rPr>
              <w:t>,</w:t>
            </w:r>
            <w:r w:rsidRPr="00D62D04">
              <w:rPr>
                <w:sz w:val="20"/>
                <w:szCs w:val="20"/>
                <w:lang w:val="en-GB"/>
              </w:rPr>
              <w:t>000</w:t>
            </w:r>
            <w:r w:rsidR="00AC3F14" w:rsidRPr="00D62D04">
              <w:rPr>
                <w:sz w:val="20"/>
                <w:szCs w:val="20"/>
                <w:lang w:val="en-GB"/>
              </w:rPr>
              <w:t>.</w:t>
            </w:r>
            <w:r w:rsidRPr="00D62D04">
              <w:rPr>
                <w:sz w:val="20"/>
                <w:szCs w:val="20"/>
                <w:lang w:val="en-GB"/>
              </w:rPr>
              <w:t>00</w:t>
            </w:r>
          </w:p>
        </w:tc>
      </w:tr>
      <w:tr w:rsidR="00BB3887" w:rsidRPr="00D62D04" w14:paraId="7DBDB75E" w14:textId="77777777" w:rsidTr="008906E9">
        <w:tc>
          <w:tcPr>
            <w:tcW w:w="1787" w:type="dxa"/>
          </w:tcPr>
          <w:p w14:paraId="0DF0B579" w14:textId="77777777" w:rsidR="00BB3887" w:rsidRPr="00D62D04" w:rsidRDefault="00AC3F14" w:rsidP="00BB3887">
            <w:pPr>
              <w:spacing w:after="0"/>
              <w:rPr>
                <w:sz w:val="20"/>
                <w:szCs w:val="20"/>
                <w:lang w:val="en-GB"/>
              </w:rPr>
            </w:pPr>
            <w:r w:rsidRPr="00D62D04">
              <w:rPr>
                <w:sz w:val="20"/>
                <w:szCs w:val="20"/>
                <w:lang w:val="en-GB"/>
              </w:rPr>
              <w:t xml:space="preserve">Hungarians </w:t>
            </w:r>
          </w:p>
        </w:tc>
        <w:tc>
          <w:tcPr>
            <w:tcW w:w="1445" w:type="dxa"/>
          </w:tcPr>
          <w:p w14:paraId="666EA6C4" w14:textId="77777777" w:rsidR="00BB3887" w:rsidRPr="00D62D04" w:rsidRDefault="00BB3887" w:rsidP="00AC3F14">
            <w:pPr>
              <w:spacing w:after="0"/>
              <w:rPr>
                <w:sz w:val="20"/>
                <w:szCs w:val="20"/>
                <w:lang w:val="en-GB"/>
              </w:rPr>
            </w:pPr>
            <w:r w:rsidRPr="00D62D04">
              <w:rPr>
                <w:sz w:val="20"/>
                <w:szCs w:val="20"/>
                <w:lang w:val="en-GB"/>
              </w:rPr>
              <w:t>14</w:t>
            </w:r>
            <w:r w:rsidR="00AC3F14" w:rsidRPr="00D62D04">
              <w:rPr>
                <w:sz w:val="20"/>
                <w:szCs w:val="20"/>
                <w:lang w:val="en-GB"/>
              </w:rPr>
              <w:t>,</w:t>
            </w:r>
            <w:r w:rsidRPr="00D62D04">
              <w:rPr>
                <w:sz w:val="20"/>
                <w:szCs w:val="20"/>
                <w:lang w:val="en-GB"/>
              </w:rPr>
              <w:t>600</w:t>
            </w:r>
            <w:r w:rsidR="00AC3F14" w:rsidRPr="00D62D04">
              <w:rPr>
                <w:sz w:val="20"/>
                <w:szCs w:val="20"/>
                <w:lang w:val="en-GB"/>
              </w:rPr>
              <w:t>,</w:t>
            </w:r>
            <w:r w:rsidRPr="00D62D04">
              <w:rPr>
                <w:sz w:val="20"/>
                <w:szCs w:val="20"/>
                <w:lang w:val="en-GB"/>
              </w:rPr>
              <w:t>000</w:t>
            </w:r>
            <w:r w:rsidR="00AC3F14" w:rsidRPr="00D62D04">
              <w:rPr>
                <w:sz w:val="20"/>
                <w:szCs w:val="20"/>
                <w:lang w:val="en-GB"/>
              </w:rPr>
              <w:t>.</w:t>
            </w:r>
            <w:r w:rsidRPr="00D62D04">
              <w:rPr>
                <w:sz w:val="20"/>
                <w:szCs w:val="20"/>
                <w:lang w:val="en-GB"/>
              </w:rPr>
              <w:t>00</w:t>
            </w:r>
          </w:p>
        </w:tc>
        <w:tc>
          <w:tcPr>
            <w:tcW w:w="1446" w:type="dxa"/>
          </w:tcPr>
          <w:p w14:paraId="3E0095CE" w14:textId="77777777" w:rsidR="00BB3887" w:rsidRPr="00D62D04" w:rsidRDefault="00BB3887" w:rsidP="00AC3F14">
            <w:pPr>
              <w:spacing w:after="0"/>
              <w:rPr>
                <w:sz w:val="20"/>
                <w:szCs w:val="20"/>
                <w:lang w:val="en-GB"/>
              </w:rPr>
            </w:pPr>
            <w:r w:rsidRPr="00D62D04">
              <w:rPr>
                <w:sz w:val="20"/>
                <w:szCs w:val="20"/>
                <w:lang w:val="en-GB"/>
              </w:rPr>
              <w:t>14</w:t>
            </w:r>
            <w:r w:rsidR="00AC3F14" w:rsidRPr="00D62D04">
              <w:rPr>
                <w:sz w:val="20"/>
                <w:szCs w:val="20"/>
                <w:lang w:val="en-GB"/>
              </w:rPr>
              <w:t>,</w:t>
            </w:r>
            <w:r w:rsidRPr="00D62D04">
              <w:rPr>
                <w:sz w:val="20"/>
                <w:szCs w:val="20"/>
                <w:lang w:val="en-GB"/>
              </w:rPr>
              <w:t>600</w:t>
            </w:r>
            <w:r w:rsidR="00AC3F14" w:rsidRPr="00D62D04">
              <w:rPr>
                <w:sz w:val="20"/>
                <w:szCs w:val="20"/>
                <w:lang w:val="en-GB"/>
              </w:rPr>
              <w:t>,</w:t>
            </w:r>
            <w:r w:rsidRPr="00D62D04">
              <w:rPr>
                <w:sz w:val="20"/>
                <w:szCs w:val="20"/>
                <w:lang w:val="en-GB"/>
              </w:rPr>
              <w:t>000</w:t>
            </w:r>
            <w:r w:rsidR="00AC3F14" w:rsidRPr="00D62D04">
              <w:rPr>
                <w:sz w:val="20"/>
                <w:szCs w:val="20"/>
                <w:lang w:val="en-GB"/>
              </w:rPr>
              <w:t>.</w:t>
            </w:r>
            <w:r w:rsidRPr="00D62D04">
              <w:rPr>
                <w:sz w:val="20"/>
                <w:szCs w:val="20"/>
                <w:lang w:val="en-GB"/>
              </w:rPr>
              <w:t>00</w:t>
            </w:r>
          </w:p>
        </w:tc>
        <w:tc>
          <w:tcPr>
            <w:tcW w:w="1446" w:type="dxa"/>
          </w:tcPr>
          <w:p w14:paraId="377FC931" w14:textId="77777777" w:rsidR="00BB3887" w:rsidRPr="00D62D04" w:rsidRDefault="00BB3887" w:rsidP="00AC3F14">
            <w:pPr>
              <w:spacing w:after="0"/>
              <w:rPr>
                <w:sz w:val="20"/>
                <w:szCs w:val="20"/>
                <w:lang w:val="en-GB"/>
              </w:rPr>
            </w:pPr>
            <w:r w:rsidRPr="00D62D04">
              <w:rPr>
                <w:sz w:val="20"/>
                <w:szCs w:val="20"/>
                <w:lang w:val="en-GB"/>
              </w:rPr>
              <w:t>15</w:t>
            </w:r>
            <w:r w:rsidR="00AC3F14" w:rsidRPr="00D62D04">
              <w:rPr>
                <w:sz w:val="20"/>
                <w:szCs w:val="20"/>
                <w:lang w:val="en-GB"/>
              </w:rPr>
              <w:t>,</w:t>
            </w:r>
            <w:r w:rsidRPr="00D62D04">
              <w:rPr>
                <w:sz w:val="20"/>
                <w:szCs w:val="20"/>
                <w:lang w:val="en-GB"/>
              </w:rPr>
              <w:t>200</w:t>
            </w:r>
            <w:r w:rsidR="00AC3F14" w:rsidRPr="00D62D04">
              <w:rPr>
                <w:sz w:val="20"/>
                <w:szCs w:val="20"/>
                <w:lang w:val="en-GB"/>
              </w:rPr>
              <w:t>,</w:t>
            </w:r>
            <w:r w:rsidRPr="00D62D04">
              <w:rPr>
                <w:sz w:val="20"/>
                <w:szCs w:val="20"/>
                <w:lang w:val="en-GB"/>
              </w:rPr>
              <w:t>000</w:t>
            </w:r>
            <w:r w:rsidR="00AC3F14" w:rsidRPr="00D62D04">
              <w:rPr>
                <w:sz w:val="20"/>
                <w:szCs w:val="20"/>
                <w:lang w:val="en-GB"/>
              </w:rPr>
              <w:t>.</w:t>
            </w:r>
            <w:r w:rsidRPr="00D62D04">
              <w:rPr>
                <w:sz w:val="20"/>
                <w:szCs w:val="20"/>
                <w:lang w:val="en-GB"/>
              </w:rPr>
              <w:t>00</w:t>
            </w:r>
          </w:p>
        </w:tc>
        <w:tc>
          <w:tcPr>
            <w:tcW w:w="1446" w:type="dxa"/>
          </w:tcPr>
          <w:p w14:paraId="3C562FF9" w14:textId="77777777" w:rsidR="00BB3887" w:rsidRPr="00D62D04" w:rsidRDefault="00BB3887" w:rsidP="00AC3F14">
            <w:pPr>
              <w:spacing w:after="0"/>
              <w:rPr>
                <w:sz w:val="20"/>
                <w:szCs w:val="20"/>
                <w:lang w:val="en-GB"/>
              </w:rPr>
            </w:pPr>
            <w:r w:rsidRPr="00D62D04">
              <w:rPr>
                <w:sz w:val="20"/>
                <w:szCs w:val="20"/>
                <w:lang w:val="en-GB"/>
              </w:rPr>
              <w:t>15</w:t>
            </w:r>
            <w:r w:rsidR="00AC3F14" w:rsidRPr="00D62D04">
              <w:rPr>
                <w:sz w:val="20"/>
                <w:szCs w:val="20"/>
                <w:lang w:val="en-GB"/>
              </w:rPr>
              <w:t>,</w:t>
            </w:r>
            <w:r w:rsidRPr="00D62D04">
              <w:rPr>
                <w:sz w:val="20"/>
                <w:szCs w:val="20"/>
                <w:lang w:val="en-GB"/>
              </w:rPr>
              <w:t>450</w:t>
            </w:r>
            <w:r w:rsidR="00AC3F14" w:rsidRPr="00D62D04">
              <w:rPr>
                <w:sz w:val="20"/>
                <w:szCs w:val="20"/>
                <w:lang w:val="en-GB"/>
              </w:rPr>
              <w:t>,</w:t>
            </w:r>
            <w:r w:rsidRPr="00D62D04">
              <w:rPr>
                <w:sz w:val="20"/>
                <w:szCs w:val="20"/>
                <w:lang w:val="en-GB"/>
              </w:rPr>
              <w:t>000</w:t>
            </w:r>
            <w:r w:rsidR="00AC3F14" w:rsidRPr="00D62D04">
              <w:rPr>
                <w:sz w:val="20"/>
                <w:szCs w:val="20"/>
                <w:lang w:val="en-GB"/>
              </w:rPr>
              <w:t>.</w:t>
            </w:r>
            <w:r w:rsidRPr="00D62D04">
              <w:rPr>
                <w:sz w:val="20"/>
                <w:szCs w:val="20"/>
                <w:lang w:val="en-GB"/>
              </w:rPr>
              <w:t>00</w:t>
            </w:r>
          </w:p>
        </w:tc>
        <w:tc>
          <w:tcPr>
            <w:tcW w:w="1446" w:type="dxa"/>
          </w:tcPr>
          <w:p w14:paraId="517B2EC2" w14:textId="77777777" w:rsidR="00BB3887" w:rsidRPr="00D62D04" w:rsidRDefault="00BB3887" w:rsidP="00AC3F14">
            <w:pPr>
              <w:spacing w:after="0"/>
              <w:rPr>
                <w:sz w:val="20"/>
                <w:szCs w:val="20"/>
                <w:lang w:val="en-GB"/>
              </w:rPr>
            </w:pPr>
            <w:r w:rsidRPr="00D62D04">
              <w:rPr>
                <w:sz w:val="20"/>
                <w:szCs w:val="20"/>
                <w:lang w:val="en-GB"/>
              </w:rPr>
              <w:t>15</w:t>
            </w:r>
            <w:r w:rsidR="00AC3F14" w:rsidRPr="00D62D04">
              <w:rPr>
                <w:sz w:val="20"/>
                <w:szCs w:val="20"/>
                <w:lang w:val="en-GB"/>
              </w:rPr>
              <w:t>,</w:t>
            </w:r>
            <w:r w:rsidRPr="00D62D04">
              <w:rPr>
                <w:sz w:val="20"/>
                <w:szCs w:val="20"/>
                <w:lang w:val="en-GB"/>
              </w:rPr>
              <w:t>450</w:t>
            </w:r>
            <w:r w:rsidR="00AC3F14" w:rsidRPr="00D62D04">
              <w:rPr>
                <w:sz w:val="20"/>
                <w:szCs w:val="20"/>
                <w:lang w:val="en-GB"/>
              </w:rPr>
              <w:t>,</w:t>
            </w:r>
            <w:r w:rsidRPr="00D62D04">
              <w:rPr>
                <w:sz w:val="20"/>
                <w:szCs w:val="20"/>
                <w:lang w:val="en-GB"/>
              </w:rPr>
              <w:t>000</w:t>
            </w:r>
            <w:r w:rsidR="00AC3F14" w:rsidRPr="00D62D04">
              <w:rPr>
                <w:sz w:val="20"/>
                <w:szCs w:val="20"/>
                <w:lang w:val="en-GB"/>
              </w:rPr>
              <w:t>.</w:t>
            </w:r>
            <w:r w:rsidRPr="00D62D04">
              <w:rPr>
                <w:sz w:val="20"/>
                <w:szCs w:val="20"/>
                <w:lang w:val="en-GB"/>
              </w:rPr>
              <w:t>00</w:t>
            </w:r>
          </w:p>
        </w:tc>
      </w:tr>
      <w:tr w:rsidR="00BB3887" w:rsidRPr="00D62D04" w14:paraId="045166B9" w14:textId="77777777" w:rsidTr="008906E9">
        <w:tc>
          <w:tcPr>
            <w:tcW w:w="1787" w:type="dxa"/>
          </w:tcPr>
          <w:p w14:paraId="72308AC1" w14:textId="77777777" w:rsidR="00BB3887" w:rsidRPr="00D62D04" w:rsidRDefault="000824BC" w:rsidP="00BB3887">
            <w:pPr>
              <w:spacing w:after="0"/>
              <w:rPr>
                <w:sz w:val="20"/>
                <w:szCs w:val="20"/>
                <w:lang w:val="en-GB"/>
              </w:rPr>
            </w:pPr>
            <w:r w:rsidRPr="00D62D04">
              <w:rPr>
                <w:sz w:val="20"/>
                <w:szCs w:val="20"/>
                <w:lang w:val="en-GB"/>
              </w:rPr>
              <w:t xml:space="preserve">Germans </w:t>
            </w:r>
          </w:p>
        </w:tc>
        <w:tc>
          <w:tcPr>
            <w:tcW w:w="1445" w:type="dxa"/>
          </w:tcPr>
          <w:p w14:paraId="4B4806D3" w14:textId="77777777" w:rsidR="00BB3887" w:rsidRPr="00D62D04" w:rsidRDefault="00BB3887" w:rsidP="000824BC">
            <w:pPr>
              <w:spacing w:after="0"/>
              <w:rPr>
                <w:sz w:val="20"/>
                <w:szCs w:val="20"/>
                <w:lang w:val="en-GB"/>
              </w:rPr>
            </w:pPr>
            <w:r w:rsidRPr="00D62D04">
              <w:rPr>
                <w:sz w:val="20"/>
                <w:szCs w:val="20"/>
                <w:lang w:val="en-GB"/>
              </w:rPr>
              <w:t>280</w:t>
            </w:r>
            <w:r w:rsidR="000824BC" w:rsidRPr="00D62D04">
              <w:rPr>
                <w:sz w:val="20"/>
                <w:szCs w:val="20"/>
                <w:lang w:val="en-GB"/>
              </w:rPr>
              <w:t>,</w:t>
            </w:r>
            <w:r w:rsidRPr="00D62D04">
              <w:rPr>
                <w:sz w:val="20"/>
                <w:szCs w:val="20"/>
                <w:lang w:val="en-GB"/>
              </w:rPr>
              <w:t>000</w:t>
            </w:r>
            <w:r w:rsidR="000824BC" w:rsidRPr="00D62D04">
              <w:rPr>
                <w:sz w:val="20"/>
                <w:szCs w:val="20"/>
                <w:lang w:val="en-GB"/>
              </w:rPr>
              <w:t>.</w:t>
            </w:r>
            <w:r w:rsidRPr="00D62D04">
              <w:rPr>
                <w:sz w:val="20"/>
                <w:szCs w:val="20"/>
                <w:lang w:val="en-GB"/>
              </w:rPr>
              <w:t>00</w:t>
            </w:r>
          </w:p>
        </w:tc>
        <w:tc>
          <w:tcPr>
            <w:tcW w:w="1446" w:type="dxa"/>
          </w:tcPr>
          <w:p w14:paraId="253A981B" w14:textId="77777777" w:rsidR="00BB3887" w:rsidRPr="00D62D04" w:rsidRDefault="00BB3887" w:rsidP="000824BC">
            <w:pPr>
              <w:spacing w:after="0"/>
              <w:rPr>
                <w:sz w:val="20"/>
                <w:szCs w:val="20"/>
                <w:lang w:val="en-GB"/>
              </w:rPr>
            </w:pPr>
            <w:r w:rsidRPr="00D62D04">
              <w:rPr>
                <w:sz w:val="20"/>
                <w:szCs w:val="20"/>
                <w:lang w:val="en-GB"/>
              </w:rPr>
              <w:t>280</w:t>
            </w:r>
            <w:r w:rsidR="000824BC" w:rsidRPr="00D62D04">
              <w:rPr>
                <w:sz w:val="20"/>
                <w:szCs w:val="20"/>
                <w:lang w:val="en-GB"/>
              </w:rPr>
              <w:t>,</w:t>
            </w:r>
            <w:r w:rsidRPr="00D62D04">
              <w:rPr>
                <w:sz w:val="20"/>
                <w:szCs w:val="20"/>
                <w:lang w:val="en-GB"/>
              </w:rPr>
              <w:t>000</w:t>
            </w:r>
            <w:r w:rsidR="000824BC" w:rsidRPr="00D62D04">
              <w:rPr>
                <w:sz w:val="20"/>
                <w:szCs w:val="20"/>
                <w:lang w:val="en-GB"/>
              </w:rPr>
              <w:t>.</w:t>
            </w:r>
            <w:r w:rsidRPr="00D62D04">
              <w:rPr>
                <w:sz w:val="20"/>
                <w:szCs w:val="20"/>
                <w:lang w:val="en-GB"/>
              </w:rPr>
              <w:t>00</w:t>
            </w:r>
          </w:p>
        </w:tc>
        <w:tc>
          <w:tcPr>
            <w:tcW w:w="1446" w:type="dxa"/>
          </w:tcPr>
          <w:p w14:paraId="53EA1A46" w14:textId="77777777" w:rsidR="00BB3887" w:rsidRPr="00D62D04" w:rsidRDefault="00BB3887" w:rsidP="000824BC">
            <w:pPr>
              <w:spacing w:after="0"/>
              <w:rPr>
                <w:sz w:val="20"/>
                <w:szCs w:val="20"/>
                <w:lang w:val="en-GB"/>
              </w:rPr>
            </w:pPr>
            <w:r w:rsidRPr="00D62D04">
              <w:rPr>
                <w:sz w:val="20"/>
                <w:szCs w:val="20"/>
                <w:lang w:val="en-GB"/>
              </w:rPr>
              <w:t>290</w:t>
            </w:r>
            <w:r w:rsidR="000824BC" w:rsidRPr="00D62D04">
              <w:rPr>
                <w:sz w:val="20"/>
                <w:szCs w:val="20"/>
                <w:lang w:val="en-GB"/>
              </w:rPr>
              <w:t>,</w:t>
            </w:r>
            <w:r w:rsidRPr="00D62D04">
              <w:rPr>
                <w:sz w:val="20"/>
                <w:szCs w:val="20"/>
                <w:lang w:val="en-GB"/>
              </w:rPr>
              <w:t>000</w:t>
            </w:r>
            <w:r w:rsidR="000824BC" w:rsidRPr="00D62D04">
              <w:rPr>
                <w:sz w:val="20"/>
                <w:szCs w:val="20"/>
                <w:lang w:val="en-GB"/>
              </w:rPr>
              <w:t>.</w:t>
            </w:r>
            <w:r w:rsidRPr="00D62D04">
              <w:rPr>
                <w:sz w:val="20"/>
                <w:szCs w:val="20"/>
                <w:lang w:val="en-GB"/>
              </w:rPr>
              <w:t>00</w:t>
            </w:r>
          </w:p>
        </w:tc>
        <w:tc>
          <w:tcPr>
            <w:tcW w:w="1446" w:type="dxa"/>
          </w:tcPr>
          <w:p w14:paraId="56FEE0CC" w14:textId="77777777" w:rsidR="00BB3887" w:rsidRPr="00D62D04" w:rsidRDefault="00BB3887" w:rsidP="000824BC">
            <w:pPr>
              <w:spacing w:after="0"/>
              <w:rPr>
                <w:sz w:val="20"/>
                <w:szCs w:val="20"/>
                <w:lang w:val="en-GB"/>
              </w:rPr>
            </w:pPr>
            <w:r w:rsidRPr="00D62D04">
              <w:rPr>
                <w:sz w:val="20"/>
                <w:szCs w:val="20"/>
                <w:lang w:val="en-GB"/>
              </w:rPr>
              <w:t>300</w:t>
            </w:r>
            <w:r w:rsidR="000824BC" w:rsidRPr="00D62D04">
              <w:rPr>
                <w:sz w:val="20"/>
                <w:szCs w:val="20"/>
                <w:lang w:val="en-GB"/>
              </w:rPr>
              <w:t>,</w:t>
            </w:r>
            <w:r w:rsidRPr="00D62D04">
              <w:rPr>
                <w:sz w:val="20"/>
                <w:szCs w:val="20"/>
                <w:lang w:val="en-GB"/>
              </w:rPr>
              <w:t>000</w:t>
            </w:r>
            <w:r w:rsidR="000824BC" w:rsidRPr="00D62D04">
              <w:rPr>
                <w:sz w:val="20"/>
                <w:szCs w:val="20"/>
                <w:lang w:val="en-GB"/>
              </w:rPr>
              <w:t>.</w:t>
            </w:r>
            <w:r w:rsidRPr="00D62D04">
              <w:rPr>
                <w:sz w:val="20"/>
                <w:szCs w:val="20"/>
                <w:lang w:val="en-GB"/>
              </w:rPr>
              <w:t>00</w:t>
            </w:r>
          </w:p>
        </w:tc>
        <w:tc>
          <w:tcPr>
            <w:tcW w:w="1446" w:type="dxa"/>
          </w:tcPr>
          <w:p w14:paraId="0B02C522" w14:textId="77777777" w:rsidR="00BB3887" w:rsidRPr="00D62D04" w:rsidRDefault="00BB3887" w:rsidP="000824BC">
            <w:pPr>
              <w:spacing w:after="0"/>
              <w:rPr>
                <w:sz w:val="20"/>
                <w:szCs w:val="20"/>
                <w:lang w:val="en-GB"/>
              </w:rPr>
            </w:pPr>
            <w:r w:rsidRPr="00D62D04">
              <w:rPr>
                <w:sz w:val="20"/>
                <w:szCs w:val="20"/>
                <w:lang w:val="en-GB"/>
              </w:rPr>
              <w:t>300</w:t>
            </w:r>
            <w:r w:rsidR="000824BC" w:rsidRPr="00D62D04">
              <w:rPr>
                <w:sz w:val="20"/>
                <w:szCs w:val="20"/>
                <w:lang w:val="en-GB"/>
              </w:rPr>
              <w:t>,</w:t>
            </w:r>
            <w:r w:rsidRPr="00D62D04">
              <w:rPr>
                <w:sz w:val="20"/>
                <w:szCs w:val="20"/>
                <w:lang w:val="en-GB"/>
              </w:rPr>
              <w:t>000</w:t>
            </w:r>
            <w:r w:rsidR="000824BC" w:rsidRPr="00D62D04">
              <w:rPr>
                <w:sz w:val="20"/>
                <w:szCs w:val="20"/>
                <w:lang w:val="en-GB"/>
              </w:rPr>
              <w:t>.</w:t>
            </w:r>
            <w:r w:rsidRPr="00D62D04">
              <w:rPr>
                <w:sz w:val="20"/>
                <w:szCs w:val="20"/>
                <w:lang w:val="en-GB"/>
              </w:rPr>
              <w:t>00</w:t>
            </w:r>
          </w:p>
        </w:tc>
      </w:tr>
      <w:tr w:rsidR="00BB3887" w:rsidRPr="00D62D04" w14:paraId="625760A5" w14:textId="77777777" w:rsidTr="008906E9">
        <w:tc>
          <w:tcPr>
            <w:tcW w:w="1787" w:type="dxa"/>
          </w:tcPr>
          <w:p w14:paraId="41DE719E" w14:textId="77777777" w:rsidR="00BB3887" w:rsidRPr="00D62D04" w:rsidRDefault="000824BC" w:rsidP="00BB3887">
            <w:pPr>
              <w:spacing w:after="0"/>
              <w:rPr>
                <w:sz w:val="20"/>
                <w:szCs w:val="20"/>
                <w:lang w:val="en-GB"/>
              </w:rPr>
            </w:pPr>
            <w:r w:rsidRPr="00D62D04">
              <w:rPr>
                <w:sz w:val="20"/>
                <w:szCs w:val="20"/>
                <w:lang w:val="en-GB"/>
              </w:rPr>
              <w:t xml:space="preserve">Poles </w:t>
            </w:r>
          </w:p>
        </w:tc>
        <w:tc>
          <w:tcPr>
            <w:tcW w:w="1445" w:type="dxa"/>
          </w:tcPr>
          <w:p w14:paraId="0DB98CE6" w14:textId="77777777" w:rsidR="00BB3887" w:rsidRPr="00D62D04" w:rsidRDefault="00BB3887" w:rsidP="00BB3887">
            <w:pPr>
              <w:spacing w:after="0"/>
              <w:rPr>
                <w:sz w:val="20"/>
                <w:szCs w:val="20"/>
                <w:lang w:val="en-GB"/>
              </w:rPr>
            </w:pPr>
          </w:p>
        </w:tc>
        <w:tc>
          <w:tcPr>
            <w:tcW w:w="1446" w:type="dxa"/>
          </w:tcPr>
          <w:p w14:paraId="225F0682" w14:textId="77777777" w:rsidR="00BB3887" w:rsidRPr="00D62D04" w:rsidRDefault="00BB3887" w:rsidP="000824BC">
            <w:pPr>
              <w:spacing w:after="0"/>
              <w:rPr>
                <w:sz w:val="20"/>
                <w:szCs w:val="20"/>
                <w:lang w:val="en-GB"/>
              </w:rPr>
            </w:pPr>
            <w:r w:rsidRPr="00D62D04">
              <w:rPr>
                <w:sz w:val="20"/>
                <w:szCs w:val="20"/>
                <w:lang w:val="en-GB"/>
              </w:rPr>
              <w:t>100</w:t>
            </w:r>
            <w:r w:rsidR="000824BC" w:rsidRPr="00D62D04">
              <w:rPr>
                <w:sz w:val="20"/>
                <w:szCs w:val="20"/>
                <w:lang w:val="en-GB"/>
              </w:rPr>
              <w:t>,</w:t>
            </w:r>
            <w:r w:rsidRPr="00D62D04">
              <w:rPr>
                <w:sz w:val="20"/>
                <w:szCs w:val="20"/>
                <w:lang w:val="en-GB"/>
              </w:rPr>
              <w:t>000</w:t>
            </w:r>
            <w:r w:rsidR="000824BC" w:rsidRPr="00D62D04">
              <w:rPr>
                <w:sz w:val="20"/>
                <w:szCs w:val="20"/>
                <w:lang w:val="en-GB"/>
              </w:rPr>
              <w:t>.</w:t>
            </w:r>
            <w:r w:rsidRPr="00D62D04">
              <w:rPr>
                <w:sz w:val="20"/>
                <w:szCs w:val="20"/>
                <w:lang w:val="en-GB"/>
              </w:rPr>
              <w:t>00</w:t>
            </w:r>
          </w:p>
        </w:tc>
        <w:tc>
          <w:tcPr>
            <w:tcW w:w="1446" w:type="dxa"/>
          </w:tcPr>
          <w:p w14:paraId="3289707C" w14:textId="77777777" w:rsidR="00BB3887" w:rsidRPr="00D62D04" w:rsidRDefault="00BB3887" w:rsidP="000824BC">
            <w:pPr>
              <w:spacing w:after="0"/>
              <w:rPr>
                <w:sz w:val="20"/>
                <w:szCs w:val="20"/>
                <w:lang w:val="en-GB"/>
              </w:rPr>
            </w:pPr>
            <w:r w:rsidRPr="00D62D04">
              <w:rPr>
                <w:sz w:val="20"/>
                <w:szCs w:val="20"/>
                <w:lang w:val="en-GB"/>
              </w:rPr>
              <w:t>30</w:t>
            </w:r>
            <w:r w:rsidR="000824BC" w:rsidRPr="00D62D04">
              <w:rPr>
                <w:sz w:val="20"/>
                <w:szCs w:val="20"/>
                <w:lang w:val="en-GB"/>
              </w:rPr>
              <w:t>,</w:t>
            </w:r>
            <w:r w:rsidRPr="00D62D04">
              <w:rPr>
                <w:sz w:val="20"/>
                <w:szCs w:val="20"/>
                <w:lang w:val="en-GB"/>
              </w:rPr>
              <w:t>000</w:t>
            </w:r>
            <w:r w:rsidR="000824BC" w:rsidRPr="00D62D04">
              <w:rPr>
                <w:sz w:val="20"/>
                <w:szCs w:val="20"/>
                <w:lang w:val="en-GB"/>
              </w:rPr>
              <w:t>.</w:t>
            </w:r>
            <w:r w:rsidRPr="00D62D04">
              <w:rPr>
                <w:sz w:val="20"/>
                <w:szCs w:val="20"/>
                <w:lang w:val="en-GB"/>
              </w:rPr>
              <w:t>00</w:t>
            </w:r>
          </w:p>
        </w:tc>
        <w:tc>
          <w:tcPr>
            <w:tcW w:w="1446" w:type="dxa"/>
          </w:tcPr>
          <w:p w14:paraId="5DAD14EB" w14:textId="77777777" w:rsidR="00BB3887" w:rsidRPr="00D62D04" w:rsidRDefault="00BB3887" w:rsidP="000824BC">
            <w:pPr>
              <w:spacing w:after="0"/>
              <w:rPr>
                <w:sz w:val="20"/>
                <w:szCs w:val="20"/>
                <w:lang w:val="en-GB"/>
              </w:rPr>
            </w:pPr>
            <w:r w:rsidRPr="00D62D04">
              <w:rPr>
                <w:sz w:val="20"/>
                <w:szCs w:val="20"/>
                <w:lang w:val="en-GB"/>
              </w:rPr>
              <w:t>150</w:t>
            </w:r>
            <w:r w:rsidR="000824BC" w:rsidRPr="00D62D04">
              <w:rPr>
                <w:sz w:val="20"/>
                <w:szCs w:val="20"/>
                <w:lang w:val="en-GB"/>
              </w:rPr>
              <w:t>,</w:t>
            </w:r>
            <w:r w:rsidRPr="00D62D04">
              <w:rPr>
                <w:sz w:val="20"/>
                <w:szCs w:val="20"/>
                <w:lang w:val="en-GB"/>
              </w:rPr>
              <w:t>000</w:t>
            </w:r>
            <w:r w:rsidR="000824BC" w:rsidRPr="00D62D04">
              <w:rPr>
                <w:sz w:val="20"/>
                <w:szCs w:val="20"/>
                <w:lang w:val="en-GB"/>
              </w:rPr>
              <w:t>.</w:t>
            </w:r>
            <w:r w:rsidRPr="00D62D04">
              <w:rPr>
                <w:sz w:val="20"/>
                <w:szCs w:val="20"/>
                <w:lang w:val="en-GB"/>
              </w:rPr>
              <w:t>00</w:t>
            </w:r>
          </w:p>
        </w:tc>
        <w:tc>
          <w:tcPr>
            <w:tcW w:w="1446" w:type="dxa"/>
          </w:tcPr>
          <w:p w14:paraId="54086D56" w14:textId="77777777" w:rsidR="00BB3887" w:rsidRPr="00D62D04" w:rsidRDefault="00BB3887" w:rsidP="000824BC">
            <w:pPr>
              <w:spacing w:after="0"/>
              <w:rPr>
                <w:sz w:val="20"/>
                <w:szCs w:val="20"/>
                <w:lang w:val="en-GB"/>
              </w:rPr>
            </w:pPr>
            <w:r w:rsidRPr="00D62D04">
              <w:rPr>
                <w:sz w:val="20"/>
                <w:szCs w:val="20"/>
                <w:lang w:val="en-GB"/>
              </w:rPr>
              <w:t>140</w:t>
            </w:r>
            <w:r w:rsidR="000824BC" w:rsidRPr="00D62D04">
              <w:rPr>
                <w:sz w:val="20"/>
                <w:szCs w:val="20"/>
                <w:lang w:val="en-GB"/>
              </w:rPr>
              <w:t>,</w:t>
            </w:r>
            <w:r w:rsidRPr="00D62D04">
              <w:rPr>
                <w:sz w:val="20"/>
                <w:szCs w:val="20"/>
                <w:lang w:val="en-GB"/>
              </w:rPr>
              <w:t>000</w:t>
            </w:r>
            <w:r w:rsidR="000824BC" w:rsidRPr="00D62D04">
              <w:rPr>
                <w:sz w:val="20"/>
                <w:szCs w:val="20"/>
                <w:lang w:val="en-GB"/>
              </w:rPr>
              <w:t>.</w:t>
            </w:r>
            <w:r w:rsidRPr="00D62D04">
              <w:rPr>
                <w:sz w:val="20"/>
                <w:szCs w:val="20"/>
                <w:lang w:val="en-GB"/>
              </w:rPr>
              <w:t>00</w:t>
            </w:r>
          </w:p>
        </w:tc>
      </w:tr>
      <w:tr w:rsidR="00BB3887" w:rsidRPr="00D62D04" w14:paraId="1DCFD629" w14:textId="77777777" w:rsidTr="008906E9">
        <w:tc>
          <w:tcPr>
            <w:tcW w:w="1787" w:type="dxa"/>
          </w:tcPr>
          <w:p w14:paraId="4D238311" w14:textId="77777777" w:rsidR="00BB3887" w:rsidRPr="00D62D04" w:rsidRDefault="000824BC" w:rsidP="00BB3887">
            <w:pPr>
              <w:spacing w:after="0"/>
              <w:rPr>
                <w:sz w:val="20"/>
                <w:szCs w:val="20"/>
                <w:lang w:val="en-GB"/>
              </w:rPr>
            </w:pPr>
            <w:r w:rsidRPr="00D62D04">
              <w:rPr>
                <w:sz w:val="20"/>
                <w:szCs w:val="20"/>
                <w:lang w:val="en-GB"/>
              </w:rPr>
              <w:t xml:space="preserve">Roma </w:t>
            </w:r>
          </w:p>
        </w:tc>
        <w:tc>
          <w:tcPr>
            <w:tcW w:w="1445" w:type="dxa"/>
          </w:tcPr>
          <w:p w14:paraId="6667F6F2" w14:textId="77777777" w:rsidR="00BB3887" w:rsidRPr="00D62D04" w:rsidRDefault="00BB3887" w:rsidP="000824BC">
            <w:pPr>
              <w:spacing w:after="0"/>
              <w:rPr>
                <w:sz w:val="20"/>
                <w:szCs w:val="20"/>
                <w:lang w:val="en-GB"/>
              </w:rPr>
            </w:pPr>
            <w:r w:rsidRPr="00D62D04">
              <w:rPr>
                <w:sz w:val="20"/>
                <w:szCs w:val="20"/>
                <w:lang w:val="en-GB"/>
              </w:rPr>
              <w:t>1</w:t>
            </w:r>
            <w:r w:rsidR="000824BC" w:rsidRPr="00D62D04">
              <w:rPr>
                <w:sz w:val="20"/>
                <w:szCs w:val="20"/>
                <w:lang w:val="en-GB"/>
              </w:rPr>
              <w:t>,</w:t>
            </w:r>
            <w:r w:rsidRPr="00D62D04">
              <w:rPr>
                <w:sz w:val="20"/>
                <w:szCs w:val="20"/>
                <w:lang w:val="en-GB"/>
              </w:rPr>
              <w:t>730</w:t>
            </w:r>
            <w:r w:rsidR="000824BC" w:rsidRPr="00D62D04">
              <w:rPr>
                <w:sz w:val="20"/>
                <w:szCs w:val="20"/>
                <w:lang w:val="en-GB"/>
              </w:rPr>
              <w:t>,</w:t>
            </w:r>
            <w:r w:rsidRPr="00D62D04">
              <w:rPr>
                <w:sz w:val="20"/>
                <w:szCs w:val="20"/>
                <w:lang w:val="en-GB"/>
              </w:rPr>
              <w:t>000</w:t>
            </w:r>
            <w:r w:rsidR="000824BC" w:rsidRPr="00D62D04">
              <w:rPr>
                <w:sz w:val="20"/>
                <w:szCs w:val="20"/>
                <w:lang w:val="en-GB"/>
              </w:rPr>
              <w:t>.</w:t>
            </w:r>
            <w:r w:rsidRPr="00D62D04">
              <w:rPr>
                <w:sz w:val="20"/>
                <w:szCs w:val="20"/>
                <w:lang w:val="en-GB"/>
              </w:rPr>
              <w:t>00</w:t>
            </w:r>
          </w:p>
        </w:tc>
        <w:tc>
          <w:tcPr>
            <w:tcW w:w="1446" w:type="dxa"/>
          </w:tcPr>
          <w:p w14:paraId="3D797E9A" w14:textId="77777777" w:rsidR="00BB3887" w:rsidRPr="00D62D04" w:rsidRDefault="00BB3887" w:rsidP="000824BC">
            <w:pPr>
              <w:spacing w:after="0"/>
              <w:rPr>
                <w:sz w:val="20"/>
                <w:szCs w:val="20"/>
                <w:lang w:val="en-GB"/>
              </w:rPr>
            </w:pPr>
            <w:r w:rsidRPr="00D62D04">
              <w:rPr>
                <w:sz w:val="20"/>
                <w:szCs w:val="20"/>
                <w:lang w:val="en-GB"/>
              </w:rPr>
              <w:t>1</w:t>
            </w:r>
            <w:r w:rsidR="000824BC" w:rsidRPr="00D62D04">
              <w:rPr>
                <w:sz w:val="20"/>
                <w:szCs w:val="20"/>
                <w:lang w:val="en-GB"/>
              </w:rPr>
              <w:t>,</w:t>
            </w:r>
            <w:r w:rsidRPr="00D62D04">
              <w:rPr>
                <w:sz w:val="20"/>
                <w:szCs w:val="20"/>
                <w:lang w:val="en-GB"/>
              </w:rPr>
              <w:t>730</w:t>
            </w:r>
            <w:r w:rsidR="000824BC" w:rsidRPr="00D62D04">
              <w:rPr>
                <w:sz w:val="20"/>
                <w:szCs w:val="20"/>
                <w:lang w:val="en-GB"/>
              </w:rPr>
              <w:t>,</w:t>
            </w:r>
            <w:r w:rsidRPr="00D62D04">
              <w:rPr>
                <w:sz w:val="20"/>
                <w:szCs w:val="20"/>
                <w:lang w:val="en-GB"/>
              </w:rPr>
              <w:t>000</w:t>
            </w:r>
            <w:r w:rsidR="000824BC" w:rsidRPr="00D62D04">
              <w:rPr>
                <w:sz w:val="20"/>
                <w:szCs w:val="20"/>
                <w:lang w:val="en-GB"/>
              </w:rPr>
              <w:t>.</w:t>
            </w:r>
            <w:r w:rsidRPr="00D62D04">
              <w:rPr>
                <w:sz w:val="20"/>
                <w:szCs w:val="20"/>
                <w:lang w:val="en-GB"/>
              </w:rPr>
              <w:t>00</w:t>
            </w:r>
          </w:p>
        </w:tc>
        <w:tc>
          <w:tcPr>
            <w:tcW w:w="1446" w:type="dxa"/>
          </w:tcPr>
          <w:p w14:paraId="78FAA7DE" w14:textId="77777777" w:rsidR="00BB3887" w:rsidRPr="00D62D04" w:rsidRDefault="00BB3887" w:rsidP="000824BC">
            <w:pPr>
              <w:spacing w:after="0"/>
              <w:rPr>
                <w:sz w:val="20"/>
                <w:szCs w:val="20"/>
                <w:lang w:val="en-GB"/>
              </w:rPr>
            </w:pPr>
            <w:r w:rsidRPr="00D62D04">
              <w:rPr>
                <w:sz w:val="20"/>
                <w:szCs w:val="20"/>
                <w:lang w:val="en-GB"/>
              </w:rPr>
              <w:t>1</w:t>
            </w:r>
            <w:r w:rsidR="000824BC" w:rsidRPr="00D62D04">
              <w:rPr>
                <w:sz w:val="20"/>
                <w:szCs w:val="20"/>
                <w:lang w:val="en-GB"/>
              </w:rPr>
              <w:t>,</w:t>
            </w:r>
            <w:r w:rsidRPr="00D62D04">
              <w:rPr>
                <w:sz w:val="20"/>
                <w:szCs w:val="20"/>
                <w:lang w:val="en-GB"/>
              </w:rPr>
              <w:t>800</w:t>
            </w:r>
            <w:r w:rsidR="000824BC" w:rsidRPr="00D62D04">
              <w:rPr>
                <w:sz w:val="20"/>
                <w:szCs w:val="20"/>
                <w:lang w:val="en-GB"/>
              </w:rPr>
              <w:t>,</w:t>
            </w:r>
            <w:r w:rsidRPr="00D62D04">
              <w:rPr>
                <w:sz w:val="20"/>
                <w:szCs w:val="20"/>
                <w:lang w:val="en-GB"/>
              </w:rPr>
              <w:t>000</w:t>
            </w:r>
            <w:r w:rsidR="000824BC" w:rsidRPr="00D62D04">
              <w:rPr>
                <w:sz w:val="20"/>
                <w:szCs w:val="20"/>
                <w:lang w:val="en-GB"/>
              </w:rPr>
              <w:t>.</w:t>
            </w:r>
            <w:r w:rsidRPr="00D62D04">
              <w:rPr>
                <w:sz w:val="20"/>
                <w:szCs w:val="20"/>
                <w:lang w:val="en-GB"/>
              </w:rPr>
              <w:t>00</w:t>
            </w:r>
          </w:p>
        </w:tc>
        <w:tc>
          <w:tcPr>
            <w:tcW w:w="1446" w:type="dxa"/>
          </w:tcPr>
          <w:p w14:paraId="4306EC41" w14:textId="77777777" w:rsidR="00BB3887" w:rsidRPr="00D62D04" w:rsidRDefault="00BB3887" w:rsidP="000824BC">
            <w:pPr>
              <w:spacing w:after="0"/>
              <w:rPr>
                <w:sz w:val="20"/>
                <w:szCs w:val="20"/>
                <w:lang w:val="en-GB"/>
              </w:rPr>
            </w:pPr>
            <w:r w:rsidRPr="00D62D04">
              <w:rPr>
                <w:sz w:val="20"/>
                <w:szCs w:val="20"/>
                <w:lang w:val="en-GB"/>
              </w:rPr>
              <w:t>3</w:t>
            </w:r>
            <w:r w:rsidR="000824BC" w:rsidRPr="00D62D04">
              <w:rPr>
                <w:sz w:val="20"/>
                <w:szCs w:val="20"/>
                <w:lang w:val="en-GB"/>
              </w:rPr>
              <w:t>,</w:t>
            </w:r>
            <w:r w:rsidRPr="00D62D04">
              <w:rPr>
                <w:sz w:val="20"/>
                <w:szCs w:val="20"/>
                <w:lang w:val="en-GB"/>
              </w:rPr>
              <w:t>350</w:t>
            </w:r>
            <w:r w:rsidR="000824BC" w:rsidRPr="00D62D04">
              <w:rPr>
                <w:sz w:val="20"/>
                <w:szCs w:val="20"/>
                <w:lang w:val="en-GB"/>
              </w:rPr>
              <w:t>,</w:t>
            </w:r>
            <w:r w:rsidRPr="00D62D04">
              <w:rPr>
                <w:sz w:val="20"/>
                <w:szCs w:val="20"/>
                <w:lang w:val="en-GB"/>
              </w:rPr>
              <w:t>000</w:t>
            </w:r>
            <w:r w:rsidR="000824BC" w:rsidRPr="00D62D04">
              <w:rPr>
                <w:sz w:val="20"/>
                <w:szCs w:val="20"/>
                <w:lang w:val="en-GB"/>
              </w:rPr>
              <w:t>.</w:t>
            </w:r>
            <w:r w:rsidRPr="00D62D04">
              <w:rPr>
                <w:sz w:val="20"/>
                <w:szCs w:val="20"/>
                <w:lang w:val="en-GB"/>
              </w:rPr>
              <w:t>00</w:t>
            </w:r>
          </w:p>
        </w:tc>
        <w:tc>
          <w:tcPr>
            <w:tcW w:w="1446" w:type="dxa"/>
          </w:tcPr>
          <w:p w14:paraId="7BA25625" w14:textId="77777777" w:rsidR="00BB3887" w:rsidRPr="00D62D04" w:rsidRDefault="00BB3887" w:rsidP="000824BC">
            <w:pPr>
              <w:spacing w:after="0"/>
              <w:rPr>
                <w:sz w:val="20"/>
                <w:szCs w:val="20"/>
                <w:lang w:val="en-GB"/>
              </w:rPr>
            </w:pPr>
            <w:r w:rsidRPr="00D62D04">
              <w:rPr>
                <w:sz w:val="20"/>
                <w:szCs w:val="20"/>
                <w:lang w:val="en-GB"/>
              </w:rPr>
              <w:t>3</w:t>
            </w:r>
            <w:r w:rsidR="000824BC" w:rsidRPr="00D62D04">
              <w:rPr>
                <w:sz w:val="20"/>
                <w:szCs w:val="20"/>
                <w:lang w:val="en-GB"/>
              </w:rPr>
              <w:t>,</w:t>
            </w:r>
            <w:r w:rsidRPr="00D62D04">
              <w:rPr>
                <w:sz w:val="20"/>
                <w:szCs w:val="20"/>
                <w:lang w:val="en-GB"/>
              </w:rPr>
              <w:t>350</w:t>
            </w:r>
            <w:r w:rsidR="000824BC" w:rsidRPr="00D62D04">
              <w:rPr>
                <w:sz w:val="20"/>
                <w:szCs w:val="20"/>
                <w:lang w:val="en-GB"/>
              </w:rPr>
              <w:t>,</w:t>
            </w:r>
            <w:r w:rsidRPr="00D62D04">
              <w:rPr>
                <w:sz w:val="20"/>
                <w:szCs w:val="20"/>
                <w:lang w:val="en-GB"/>
              </w:rPr>
              <w:t>000</w:t>
            </w:r>
            <w:r w:rsidR="000824BC" w:rsidRPr="00D62D04">
              <w:rPr>
                <w:sz w:val="20"/>
                <w:szCs w:val="20"/>
                <w:lang w:val="en-GB"/>
              </w:rPr>
              <w:t>.</w:t>
            </w:r>
            <w:r w:rsidRPr="00D62D04">
              <w:rPr>
                <w:sz w:val="20"/>
                <w:szCs w:val="20"/>
                <w:lang w:val="en-GB"/>
              </w:rPr>
              <w:t>00</w:t>
            </w:r>
          </w:p>
        </w:tc>
      </w:tr>
      <w:tr w:rsidR="00BB3887" w:rsidRPr="00D62D04" w14:paraId="1818F169" w14:textId="77777777" w:rsidTr="008906E9">
        <w:tc>
          <w:tcPr>
            <w:tcW w:w="1787" w:type="dxa"/>
          </w:tcPr>
          <w:p w14:paraId="49579B2A" w14:textId="77777777" w:rsidR="00BB3887" w:rsidRPr="00D62D04" w:rsidRDefault="000824BC" w:rsidP="00BB3887">
            <w:pPr>
              <w:spacing w:after="0"/>
              <w:rPr>
                <w:sz w:val="20"/>
                <w:szCs w:val="20"/>
                <w:lang w:val="en-GB"/>
              </w:rPr>
            </w:pPr>
            <w:r w:rsidRPr="00D62D04">
              <w:rPr>
                <w:sz w:val="20"/>
                <w:szCs w:val="20"/>
                <w:lang w:val="en-GB"/>
              </w:rPr>
              <w:t xml:space="preserve">Romanians </w:t>
            </w:r>
          </w:p>
        </w:tc>
        <w:tc>
          <w:tcPr>
            <w:tcW w:w="1445" w:type="dxa"/>
          </w:tcPr>
          <w:p w14:paraId="40E883E8" w14:textId="77777777" w:rsidR="00BB3887" w:rsidRPr="00D62D04" w:rsidRDefault="00BB3887" w:rsidP="000824BC">
            <w:pPr>
              <w:spacing w:after="0"/>
              <w:rPr>
                <w:sz w:val="20"/>
                <w:szCs w:val="20"/>
                <w:lang w:val="en-GB"/>
              </w:rPr>
            </w:pPr>
            <w:r w:rsidRPr="00D62D04">
              <w:rPr>
                <w:sz w:val="20"/>
                <w:szCs w:val="20"/>
                <w:lang w:val="en-GB"/>
              </w:rPr>
              <w:t>2</w:t>
            </w:r>
            <w:r w:rsidR="000824BC" w:rsidRPr="00D62D04">
              <w:rPr>
                <w:sz w:val="20"/>
                <w:szCs w:val="20"/>
                <w:lang w:val="en-GB"/>
              </w:rPr>
              <w:t>,</w:t>
            </w:r>
            <w:r w:rsidRPr="00D62D04">
              <w:rPr>
                <w:sz w:val="20"/>
                <w:szCs w:val="20"/>
                <w:lang w:val="en-GB"/>
              </w:rPr>
              <w:t>220</w:t>
            </w:r>
            <w:r w:rsidR="000824BC" w:rsidRPr="00D62D04">
              <w:rPr>
                <w:sz w:val="20"/>
                <w:szCs w:val="20"/>
                <w:lang w:val="en-GB"/>
              </w:rPr>
              <w:t>,</w:t>
            </w:r>
            <w:r w:rsidRPr="00D62D04">
              <w:rPr>
                <w:sz w:val="20"/>
                <w:szCs w:val="20"/>
                <w:lang w:val="en-GB"/>
              </w:rPr>
              <w:t>000</w:t>
            </w:r>
            <w:r w:rsidR="000824BC" w:rsidRPr="00D62D04">
              <w:rPr>
                <w:sz w:val="20"/>
                <w:szCs w:val="20"/>
                <w:lang w:val="en-GB"/>
              </w:rPr>
              <w:t>.</w:t>
            </w:r>
            <w:r w:rsidRPr="00D62D04">
              <w:rPr>
                <w:sz w:val="20"/>
                <w:szCs w:val="20"/>
                <w:lang w:val="en-GB"/>
              </w:rPr>
              <w:t>00</w:t>
            </w:r>
          </w:p>
        </w:tc>
        <w:tc>
          <w:tcPr>
            <w:tcW w:w="1446" w:type="dxa"/>
          </w:tcPr>
          <w:p w14:paraId="33193978" w14:textId="77777777" w:rsidR="00BB3887" w:rsidRPr="00D62D04" w:rsidRDefault="00BB3887" w:rsidP="000824BC">
            <w:pPr>
              <w:spacing w:after="0"/>
              <w:rPr>
                <w:sz w:val="20"/>
                <w:szCs w:val="20"/>
                <w:lang w:val="en-GB"/>
              </w:rPr>
            </w:pPr>
            <w:r w:rsidRPr="00D62D04">
              <w:rPr>
                <w:sz w:val="20"/>
                <w:szCs w:val="20"/>
                <w:lang w:val="en-GB"/>
              </w:rPr>
              <w:t>2</w:t>
            </w:r>
            <w:r w:rsidR="000824BC" w:rsidRPr="00D62D04">
              <w:rPr>
                <w:sz w:val="20"/>
                <w:szCs w:val="20"/>
                <w:lang w:val="en-GB"/>
              </w:rPr>
              <w:t>,</w:t>
            </w:r>
            <w:r w:rsidRPr="00D62D04">
              <w:rPr>
                <w:sz w:val="20"/>
                <w:szCs w:val="20"/>
                <w:lang w:val="en-GB"/>
              </w:rPr>
              <w:t>220</w:t>
            </w:r>
            <w:r w:rsidR="000824BC" w:rsidRPr="00D62D04">
              <w:rPr>
                <w:sz w:val="20"/>
                <w:szCs w:val="20"/>
                <w:lang w:val="en-GB"/>
              </w:rPr>
              <w:t>,</w:t>
            </w:r>
            <w:r w:rsidRPr="00D62D04">
              <w:rPr>
                <w:sz w:val="20"/>
                <w:szCs w:val="20"/>
                <w:lang w:val="en-GB"/>
              </w:rPr>
              <w:t>000</w:t>
            </w:r>
            <w:r w:rsidR="000824BC" w:rsidRPr="00D62D04">
              <w:rPr>
                <w:sz w:val="20"/>
                <w:szCs w:val="20"/>
                <w:lang w:val="en-GB"/>
              </w:rPr>
              <w:t>.</w:t>
            </w:r>
            <w:r w:rsidRPr="00D62D04">
              <w:rPr>
                <w:sz w:val="20"/>
                <w:szCs w:val="20"/>
                <w:lang w:val="en-GB"/>
              </w:rPr>
              <w:t>00</w:t>
            </w:r>
          </w:p>
        </w:tc>
        <w:tc>
          <w:tcPr>
            <w:tcW w:w="1446" w:type="dxa"/>
          </w:tcPr>
          <w:p w14:paraId="69BE706E" w14:textId="77777777" w:rsidR="00BB3887" w:rsidRPr="00D62D04" w:rsidRDefault="00BB3887" w:rsidP="000824BC">
            <w:pPr>
              <w:spacing w:after="0"/>
              <w:rPr>
                <w:sz w:val="20"/>
                <w:szCs w:val="20"/>
                <w:lang w:val="en-GB"/>
              </w:rPr>
            </w:pPr>
            <w:r w:rsidRPr="00D62D04">
              <w:rPr>
                <w:sz w:val="20"/>
                <w:szCs w:val="20"/>
                <w:lang w:val="en-GB"/>
              </w:rPr>
              <w:t>2</w:t>
            </w:r>
            <w:r w:rsidR="000824BC" w:rsidRPr="00D62D04">
              <w:rPr>
                <w:sz w:val="20"/>
                <w:szCs w:val="20"/>
                <w:lang w:val="en-GB"/>
              </w:rPr>
              <w:t>,</w:t>
            </w:r>
            <w:r w:rsidRPr="00D62D04">
              <w:rPr>
                <w:sz w:val="20"/>
                <w:szCs w:val="20"/>
                <w:lang w:val="en-GB"/>
              </w:rPr>
              <w:t>315</w:t>
            </w:r>
            <w:r w:rsidR="000824BC" w:rsidRPr="00D62D04">
              <w:rPr>
                <w:sz w:val="20"/>
                <w:szCs w:val="20"/>
                <w:lang w:val="en-GB"/>
              </w:rPr>
              <w:t>,</w:t>
            </w:r>
            <w:r w:rsidRPr="00D62D04">
              <w:rPr>
                <w:sz w:val="20"/>
                <w:szCs w:val="20"/>
                <w:lang w:val="en-GB"/>
              </w:rPr>
              <w:t>000</w:t>
            </w:r>
            <w:r w:rsidR="000824BC" w:rsidRPr="00D62D04">
              <w:rPr>
                <w:sz w:val="20"/>
                <w:szCs w:val="20"/>
                <w:lang w:val="en-GB"/>
              </w:rPr>
              <w:t>.</w:t>
            </w:r>
            <w:r w:rsidRPr="00D62D04">
              <w:rPr>
                <w:sz w:val="20"/>
                <w:szCs w:val="20"/>
                <w:lang w:val="en-GB"/>
              </w:rPr>
              <w:t>00</w:t>
            </w:r>
          </w:p>
        </w:tc>
        <w:tc>
          <w:tcPr>
            <w:tcW w:w="1446" w:type="dxa"/>
          </w:tcPr>
          <w:p w14:paraId="49EC22DF" w14:textId="77777777" w:rsidR="00BB3887" w:rsidRPr="00D62D04" w:rsidRDefault="00BB3887" w:rsidP="000824BC">
            <w:pPr>
              <w:spacing w:after="0"/>
              <w:rPr>
                <w:sz w:val="20"/>
                <w:szCs w:val="20"/>
                <w:lang w:val="en-GB"/>
              </w:rPr>
            </w:pPr>
            <w:r w:rsidRPr="00D62D04">
              <w:rPr>
                <w:sz w:val="20"/>
                <w:szCs w:val="20"/>
                <w:lang w:val="en-GB"/>
              </w:rPr>
              <w:t>2</w:t>
            </w:r>
            <w:r w:rsidR="000824BC" w:rsidRPr="00D62D04">
              <w:rPr>
                <w:sz w:val="20"/>
                <w:szCs w:val="20"/>
                <w:lang w:val="en-GB"/>
              </w:rPr>
              <w:t>,</w:t>
            </w:r>
            <w:r w:rsidRPr="00D62D04">
              <w:rPr>
                <w:sz w:val="20"/>
                <w:szCs w:val="20"/>
                <w:lang w:val="en-GB"/>
              </w:rPr>
              <w:t>350</w:t>
            </w:r>
            <w:r w:rsidR="000824BC" w:rsidRPr="00D62D04">
              <w:rPr>
                <w:sz w:val="20"/>
                <w:szCs w:val="20"/>
                <w:lang w:val="en-GB"/>
              </w:rPr>
              <w:t>,</w:t>
            </w:r>
            <w:r w:rsidRPr="00D62D04">
              <w:rPr>
                <w:sz w:val="20"/>
                <w:szCs w:val="20"/>
                <w:lang w:val="en-GB"/>
              </w:rPr>
              <w:t>000</w:t>
            </w:r>
            <w:r w:rsidR="000824BC" w:rsidRPr="00D62D04">
              <w:rPr>
                <w:sz w:val="20"/>
                <w:szCs w:val="20"/>
                <w:lang w:val="en-GB"/>
              </w:rPr>
              <w:t>.</w:t>
            </w:r>
            <w:r w:rsidRPr="00D62D04">
              <w:rPr>
                <w:sz w:val="20"/>
                <w:szCs w:val="20"/>
                <w:lang w:val="en-GB"/>
              </w:rPr>
              <w:t>00</w:t>
            </w:r>
          </w:p>
        </w:tc>
        <w:tc>
          <w:tcPr>
            <w:tcW w:w="1446" w:type="dxa"/>
          </w:tcPr>
          <w:p w14:paraId="0302A8F8" w14:textId="77777777" w:rsidR="00BB3887" w:rsidRPr="00D62D04" w:rsidRDefault="00BB3887" w:rsidP="000824BC">
            <w:pPr>
              <w:spacing w:after="0"/>
              <w:rPr>
                <w:sz w:val="20"/>
                <w:szCs w:val="20"/>
                <w:lang w:val="en-GB"/>
              </w:rPr>
            </w:pPr>
            <w:r w:rsidRPr="00D62D04">
              <w:rPr>
                <w:sz w:val="20"/>
                <w:szCs w:val="20"/>
                <w:lang w:val="en-GB"/>
              </w:rPr>
              <w:t>2</w:t>
            </w:r>
            <w:r w:rsidR="000824BC" w:rsidRPr="00D62D04">
              <w:rPr>
                <w:sz w:val="20"/>
                <w:szCs w:val="20"/>
                <w:lang w:val="en-GB"/>
              </w:rPr>
              <w:t>,</w:t>
            </w:r>
            <w:r w:rsidRPr="00D62D04">
              <w:rPr>
                <w:sz w:val="20"/>
                <w:szCs w:val="20"/>
                <w:lang w:val="en-GB"/>
              </w:rPr>
              <w:t>350</w:t>
            </w:r>
            <w:r w:rsidR="000824BC" w:rsidRPr="00D62D04">
              <w:rPr>
                <w:sz w:val="20"/>
                <w:szCs w:val="20"/>
                <w:lang w:val="en-GB"/>
              </w:rPr>
              <w:t>,</w:t>
            </w:r>
            <w:r w:rsidRPr="00D62D04">
              <w:rPr>
                <w:sz w:val="20"/>
                <w:szCs w:val="20"/>
                <w:lang w:val="en-GB"/>
              </w:rPr>
              <w:t>000</w:t>
            </w:r>
            <w:r w:rsidR="000824BC" w:rsidRPr="00D62D04">
              <w:rPr>
                <w:sz w:val="20"/>
                <w:szCs w:val="20"/>
                <w:lang w:val="en-GB"/>
              </w:rPr>
              <w:t>.</w:t>
            </w:r>
            <w:r w:rsidRPr="00D62D04">
              <w:rPr>
                <w:sz w:val="20"/>
                <w:szCs w:val="20"/>
                <w:lang w:val="en-GB"/>
              </w:rPr>
              <w:t>00</w:t>
            </w:r>
          </w:p>
        </w:tc>
      </w:tr>
      <w:tr w:rsidR="00BB3887" w:rsidRPr="00D62D04" w14:paraId="54220682" w14:textId="77777777" w:rsidTr="008906E9">
        <w:tc>
          <w:tcPr>
            <w:tcW w:w="1787" w:type="dxa"/>
          </w:tcPr>
          <w:p w14:paraId="0FF20F48" w14:textId="77777777" w:rsidR="00BB3887" w:rsidRPr="00D62D04" w:rsidRDefault="000824BC" w:rsidP="00BB3887">
            <w:pPr>
              <w:spacing w:after="0"/>
              <w:rPr>
                <w:sz w:val="20"/>
                <w:szCs w:val="20"/>
                <w:lang w:val="en-GB"/>
              </w:rPr>
            </w:pPr>
            <w:r w:rsidRPr="00D62D04">
              <w:rPr>
                <w:sz w:val="20"/>
                <w:szCs w:val="20"/>
                <w:lang w:val="en-GB"/>
              </w:rPr>
              <w:t xml:space="preserve">Russians </w:t>
            </w:r>
          </w:p>
        </w:tc>
        <w:tc>
          <w:tcPr>
            <w:tcW w:w="1445" w:type="dxa"/>
          </w:tcPr>
          <w:p w14:paraId="5441083C" w14:textId="77777777" w:rsidR="00BB3887" w:rsidRPr="00D62D04" w:rsidRDefault="00BB3887" w:rsidP="00BB3887">
            <w:pPr>
              <w:spacing w:after="0"/>
              <w:rPr>
                <w:sz w:val="20"/>
                <w:szCs w:val="20"/>
                <w:lang w:val="en-GB"/>
              </w:rPr>
            </w:pPr>
          </w:p>
        </w:tc>
        <w:tc>
          <w:tcPr>
            <w:tcW w:w="1446" w:type="dxa"/>
          </w:tcPr>
          <w:p w14:paraId="5DE5BFC9" w14:textId="77777777" w:rsidR="00BB3887" w:rsidRPr="00D62D04" w:rsidRDefault="00BB3887" w:rsidP="00BB3887">
            <w:pPr>
              <w:spacing w:after="0"/>
              <w:rPr>
                <w:sz w:val="20"/>
                <w:szCs w:val="20"/>
                <w:lang w:val="en-GB"/>
              </w:rPr>
            </w:pPr>
          </w:p>
        </w:tc>
        <w:tc>
          <w:tcPr>
            <w:tcW w:w="1446" w:type="dxa"/>
          </w:tcPr>
          <w:p w14:paraId="51FB61A1" w14:textId="77777777" w:rsidR="00BB3887" w:rsidRPr="00D62D04" w:rsidRDefault="00BB3887" w:rsidP="00BB3887">
            <w:pPr>
              <w:spacing w:after="0"/>
              <w:rPr>
                <w:sz w:val="20"/>
                <w:szCs w:val="20"/>
                <w:lang w:val="en-GB"/>
              </w:rPr>
            </w:pPr>
          </w:p>
        </w:tc>
        <w:tc>
          <w:tcPr>
            <w:tcW w:w="1446" w:type="dxa"/>
          </w:tcPr>
          <w:p w14:paraId="33DD2EA3" w14:textId="77777777" w:rsidR="00BB3887" w:rsidRPr="00D62D04" w:rsidRDefault="00BB3887" w:rsidP="000824BC">
            <w:pPr>
              <w:spacing w:after="0"/>
              <w:rPr>
                <w:sz w:val="20"/>
                <w:szCs w:val="20"/>
                <w:lang w:val="en-GB"/>
              </w:rPr>
            </w:pPr>
            <w:r w:rsidRPr="00D62D04">
              <w:rPr>
                <w:sz w:val="20"/>
                <w:szCs w:val="20"/>
                <w:lang w:val="en-GB"/>
              </w:rPr>
              <w:t>100</w:t>
            </w:r>
            <w:r w:rsidR="000824BC" w:rsidRPr="00D62D04">
              <w:rPr>
                <w:sz w:val="20"/>
                <w:szCs w:val="20"/>
                <w:lang w:val="en-GB"/>
              </w:rPr>
              <w:t>,</w:t>
            </w:r>
            <w:r w:rsidRPr="00D62D04">
              <w:rPr>
                <w:sz w:val="20"/>
                <w:szCs w:val="20"/>
                <w:lang w:val="en-GB"/>
              </w:rPr>
              <w:t>000</w:t>
            </w:r>
            <w:r w:rsidR="000824BC" w:rsidRPr="00D62D04">
              <w:rPr>
                <w:sz w:val="20"/>
                <w:szCs w:val="20"/>
                <w:lang w:val="en-GB"/>
              </w:rPr>
              <w:t>.</w:t>
            </w:r>
            <w:r w:rsidRPr="00D62D04">
              <w:rPr>
                <w:sz w:val="20"/>
                <w:szCs w:val="20"/>
                <w:lang w:val="en-GB"/>
              </w:rPr>
              <w:t>00</w:t>
            </w:r>
          </w:p>
        </w:tc>
        <w:tc>
          <w:tcPr>
            <w:tcW w:w="1446" w:type="dxa"/>
          </w:tcPr>
          <w:p w14:paraId="4752F230" w14:textId="77777777" w:rsidR="00BB3887" w:rsidRPr="00D62D04" w:rsidRDefault="00BB3887" w:rsidP="000824BC">
            <w:pPr>
              <w:spacing w:after="0"/>
              <w:rPr>
                <w:sz w:val="20"/>
                <w:szCs w:val="20"/>
                <w:lang w:val="en-GB"/>
              </w:rPr>
            </w:pPr>
            <w:r w:rsidRPr="00D62D04">
              <w:rPr>
                <w:sz w:val="20"/>
                <w:szCs w:val="20"/>
                <w:lang w:val="en-GB"/>
              </w:rPr>
              <w:t>104</w:t>
            </w:r>
            <w:r w:rsidR="000824BC" w:rsidRPr="00D62D04">
              <w:rPr>
                <w:sz w:val="20"/>
                <w:szCs w:val="20"/>
                <w:lang w:val="en-GB"/>
              </w:rPr>
              <w:t>,</w:t>
            </w:r>
            <w:r w:rsidRPr="00D62D04">
              <w:rPr>
                <w:sz w:val="20"/>
                <w:szCs w:val="20"/>
                <w:lang w:val="en-GB"/>
              </w:rPr>
              <w:t>000</w:t>
            </w:r>
            <w:r w:rsidR="000824BC" w:rsidRPr="00D62D04">
              <w:rPr>
                <w:sz w:val="20"/>
                <w:szCs w:val="20"/>
                <w:lang w:val="en-GB"/>
              </w:rPr>
              <w:t>.</w:t>
            </w:r>
            <w:r w:rsidRPr="00D62D04">
              <w:rPr>
                <w:sz w:val="20"/>
                <w:szCs w:val="20"/>
                <w:lang w:val="en-GB"/>
              </w:rPr>
              <w:t>00</w:t>
            </w:r>
          </w:p>
        </w:tc>
      </w:tr>
      <w:tr w:rsidR="00BB3887" w:rsidRPr="00D62D04" w14:paraId="22DE9BFE" w14:textId="77777777" w:rsidTr="008906E9">
        <w:tc>
          <w:tcPr>
            <w:tcW w:w="1787" w:type="dxa"/>
          </w:tcPr>
          <w:p w14:paraId="386098B8" w14:textId="77777777" w:rsidR="00BB3887" w:rsidRPr="00D62D04" w:rsidRDefault="00D77B86" w:rsidP="00BB3887">
            <w:pPr>
              <w:spacing w:after="0"/>
              <w:rPr>
                <w:sz w:val="20"/>
                <w:szCs w:val="20"/>
                <w:lang w:val="en-GB"/>
              </w:rPr>
            </w:pPr>
            <w:proofErr w:type="spellStart"/>
            <w:r w:rsidRPr="00D62D04">
              <w:rPr>
                <w:sz w:val="20"/>
                <w:szCs w:val="20"/>
                <w:lang w:val="en-GB"/>
              </w:rPr>
              <w:t>Ruthenians</w:t>
            </w:r>
            <w:proofErr w:type="spellEnd"/>
            <w:r w:rsidRPr="00D62D04">
              <w:rPr>
                <w:sz w:val="20"/>
                <w:szCs w:val="20"/>
                <w:lang w:val="en-GB"/>
              </w:rPr>
              <w:t xml:space="preserve"> </w:t>
            </w:r>
          </w:p>
        </w:tc>
        <w:tc>
          <w:tcPr>
            <w:tcW w:w="1445" w:type="dxa"/>
          </w:tcPr>
          <w:p w14:paraId="6CCFAF78" w14:textId="77777777" w:rsidR="00BB3887" w:rsidRPr="00D62D04" w:rsidRDefault="00BB3887" w:rsidP="00D77B86">
            <w:pPr>
              <w:spacing w:after="0"/>
              <w:rPr>
                <w:sz w:val="20"/>
                <w:szCs w:val="20"/>
                <w:lang w:val="en-GB"/>
              </w:rPr>
            </w:pPr>
            <w:r w:rsidRPr="00D62D04">
              <w:rPr>
                <w:sz w:val="20"/>
                <w:szCs w:val="20"/>
                <w:lang w:val="en-GB"/>
              </w:rPr>
              <w:t>1</w:t>
            </w:r>
            <w:r w:rsidR="00D77B86" w:rsidRPr="00D62D04">
              <w:rPr>
                <w:sz w:val="20"/>
                <w:szCs w:val="20"/>
                <w:lang w:val="en-GB"/>
              </w:rPr>
              <w:t>,</w:t>
            </w:r>
            <w:r w:rsidRPr="00D62D04">
              <w:rPr>
                <w:sz w:val="20"/>
                <w:szCs w:val="20"/>
                <w:lang w:val="en-GB"/>
              </w:rPr>
              <w:t>110</w:t>
            </w:r>
            <w:r w:rsidR="00D77B86" w:rsidRPr="00D62D04">
              <w:rPr>
                <w:sz w:val="20"/>
                <w:szCs w:val="20"/>
                <w:lang w:val="en-GB"/>
              </w:rPr>
              <w:t>,</w:t>
            </w:r>
            <w:r w:rsidRPr="00D62D04">
              <w:rPr>
                <w:sz w:val="20"/>
                <w:szCs w:val="20"/>
                <w:lang w:val="en-GB"/>
              </w:rPr>
              <w:t>000</w:t>
            </w:r>
            <w:r w:rsidR="00D77B86" w:rsidRPr="00D62D04">
              <w:rPr>
                <w:sz w:val="20"/>
                <w:szCs w:val="20"/>
                <w:lang w:val="en-GB"/>
              </w:rPr>
              <w:t>.</w:t>
            </w:r>
            <w:r w:rsidRPr="00D62D04">
              <w:rPr>
                <w:sz w:val="20"/>
                <w:szCs w:val="20"/>
                <w:lang w:val="en-GB"/>
              </w:rPr>
              <w:t>00</w:t>
            </w:r>
          </w:p>
        </w:tc>
        <w:tc>
          <w:tcPr>
            <w:tcW w:w="1446" w:type="dxa"/>
          </w:tcPr>
          <w:p w14:paraId="768B8C9F" w14:textId="77777777" w:rsidR="00BB3887" w:rsidRPr="00D62D04" w:rsidRDefault="00BB3887" w:rsidP="00D77B86">
            <w:pPr>
              <w:spacing w:after="0"/>
              <w:rPr>
                <w:sz w:val="20"/>
                <w:szCs w:val="20"/>
                <w:lang w:val="en-GB"/>
              </w:rPr>
            </w:pPr>
            <w:r w:rsidRPr="00D62D04">
              <w:rPr>
                <w:sz w:val="20"/>
                <w:szCs w:val="20"/>
                <w:lang w:val="en-GB"/>
              </w:rPr>
              <w:t>1</w:t>
            </w:r>
            <w:r w:rsidR="00D77B86" w:rsidRPr="00D62D04">
              <w:rPr>
                <w:sz w:val="20"/>
                <w:szCs w:val="20"/>
                <w:lang w:val="en-GB"/>
              </w:rPr>
              <w:t>,</w:t>
            </w:r>
            <w:r w:rsidRPr="00D62D04">
              <w:rPr>
                <w:sz w:val="20"/>
                <w:szCs w:val="20"/>
                <w:lang w:val="en-GB"/>
              </w:rPr>
              <w:t>110</w:t>
            </w:r>
            <w:r w:rsidR="00D77B86" w:rsidRPr="00D62D04">
              <w:rPr>
                <w:sz w:val="20"/>
                <w:szCs w:val="20"/>
                <w:lang w:val="en-GB"/>
              </w:rPr>
              <w:t>,</w:t>
            </w:r>
            <w:r w:rsidRPr="00D62D04">
              <w:rPr>
                <w:sz w:val="20"/>
                <w:szCs w:val="20"/>
                <w:lang w:val="en-GB"/>
              </w:rPr>
              <w:t>000</w:t>
            </w:r>
            <w:r w:rsidR="00D77B86" w:rsidRPr="00D62D04">
              <w:rPr>
                <w:sz w:val="20"/>
                <w:szCs w:val="20"/>
                <w:lang w:val="en-GB"/>
              </w:rPr>
              <w:t>.</w:t>
            </w:r>
            <w:r w:rsidRPr="00D62D04">
              <w:rPr>
                <w:sz w:val="20"/>
                <w:szCs w:val="20"/>
                <w:lang w:val="en-GB"/>
              </w:rPr>
              <w:t>00</w:t>
            </w:r>
          </w:p>
        </w:tc>
        <w:tc>
          <w:tcPr>
            <w:tcW w:w="1446" w:type="dxa"/>
          </w:tcPr>
          <w:p w14:paraId="629E9DAE" w14:textId="77777777" w:rsidR="00BB3887" w:rsidRPr="00D62D04" w:rsidRDefault="00BB3887" w:rsidP="00D77B86">
            <w:pPr>
              <w:spacing w:after="0"/>
              <w:rPr>
                <w:sz w:val="20"/>
                <w:szCs w:val="20"/>
                <w:lang w:val="en-GB"/>
              </w:rPr>
            </w:pPr>
            <w:r w:rsidRPr="00D62D04">
              <w:rPr>
                <w:sz w:val="20"/>
                <w:szCs w:val="20"/>
                <w:lang w:val="en-GB"/>
              </w:rPr>
              <w:t>1</w:t>
            </w:r>
            <w:r w:rsidR="00D77B86" w:rsidRPr="00D62D04">
              <w:rPr>
                <w:sz w:val="20"/>
                <w:szCs w:val="20"/>
                <w:lang w:val="en-GB"/>
              </w:rPr>
              <w:t>,</w:t>
            </w:r>
            <w:r w:rsidRPr="00D62D04">
              <w:rPr>
                <w:sz w:val="20"/>
                <w:szCs w:val="20"/>
                <w:lang w:val="en-GB"/>
              </w:rPr>
              <w:t>160</w:t>
            </w:r>
            <w:r w:rsidR="00D77B86" w:rsidRPr="00D62D04">
              <w:rPr>
                <w:sz w:val="20"/>
                <w:szCs w:val="20"/>
                <w:lang w:val="en-GB"/>
              </w:rPr>
              <w:t>,</w:t>
            </w:r>
            <w:r w:rsidRPr="00D62D04">
              <w:rPr>
                <w:sz w:val="20"/>
                <w:szCs w:val="20"/>
                <w:lang w:val="en-GB"/>
              </w:rPr>
              <w:t>000</w:t>
            </w:r>
            <w:r w:rsidR="00D77B86" w:rsidRPr="00D62D04">
              <w:rPr>
                <w:sz w:val="20"/>
                <w:szCs w:val="20"/>
                <w:lang w:val="en-GB"/>
              </w:rPr>
              <w:t>.</w:t>
            </w:r>
            <w:r w:rsidRPr="00D62D04">
              <w:rPr>
                <w:sz w:val="20"/>
                <w:szCs w:val="20"/>
                <w:lang w:val="en-GB"/>
              </w:rPr>
              <w:t>00</w:t>
            </w:r>
          </w:p>
        </w:tc>
        <w:tc>
          <w:tcPr>
            <w:tcW w:w="1446" w:type="dxa"/>
          </w:tcPr>
          <w:p w14:paraId="7A140808" w14:textId="77777777" w:rsidR="00BB3887" w:rsidRPr="00D62D04" w:rsidRDefault="00BB3887" w:rsidP="00D77B86">
            <w:pPr>
              <w:spacing w:after="0"/>
              <w:rPr>
                <w:sz w:val="20"/>
                <w:szCs w:val="20"/>
                <w:lang w:val="en-GB"/>
              </w:rPr>
            </w:pPr>
            <w:r w:rsidRPr="00D62D04">
              <w:rPr>
                <w:sz w:val="20"/>
                <w:szCs w:val="20"/>
                <w:lang w:val="en-GB"/>
              </w:rPr>
              <w:t>1</w:t>
            </w:r>
            <w:r w:rsidR="00D77B86" w:rsidRPr="00D62D04">
              <w:rPr>
                <w:sz w:val="20"/>
                <w:szCs w:val="20"/>
                <w:lang w:val="en-GB"/>
              </w:rPr>
              <w:t>,</w:t>
            </w:r>
            <w:r w:rsidRPr="00D62D04">
              <w:rPr>
                <w:sz w:val="20"/>
                <w:szCs w:val="20"/>
                <w:lang w:val="en-GB"/>
              </w:rPr>
              <w:t>200</w:t>
            </w:r>
            <w:r w:rsidR="00D77B86" w:rsidRPr="00D62D04">
              <w:rPr>
                <w:sz w:val="20"/>
                <w:szCs w:val="20"/>
                <w:lang w:val="en-GB"/>
              </w:rPr>
              <w:t>,</w:t>
            </w:r>
            <w:r w:rsidRPr="00D62D04">
              <w:rPr>
                <w:sz w:val="20"/>
                <w:szCs w:val="20"/>
                <w:lang w:val="en-GB"/>
              </w:rPr>
              <w:t>000</w:t>
            </w:r>
            <w:r w:rsidR="00D77B86" w:rsidRPr="00D62D04">
              <w:rPr>
                <w:sz w:val="20"/>
                <w:szCs w:val="20"/>
                <w:lang w:val="en-GB"/>
              </w:rPr>
              <w:t>.</w:t>
            </w:r>
            <w:r w:rsidRPr="00D62D04">
              <w:rPr>
                <w:sz w:val="20"/>
                <w:szCs w:val="20"/>
                <w:lang w:val="en-GB"/>
              </w:rPr>
              <w:t>00</w:t>
            </w:r>
          </w:p>
        </w:tc>
        <w:tc>
          <w:tcPr>
            <w:tcW w:w="1446" w:type="dxa"/>
          </w:tcPr>
          <w:p w14:paraId="6D85035B" w14:textId="77777777" w:rsidR="00BB3887" w:rsidRPr="00D62D04" w:rsidRDefault="00BB3887" w:rsidP="00D77B86">
            <w:pPr>
              <w:spacing w:after="0"/>
              <w:rPr>
                <w:sz w:val="20"/>
                <w:szCs w:val="20"/>
                <w:lang w:val="en-GB"/>
              </w:rPr>
            </w:pPr>
            <w:r w:rsidRPr="00D62D04">
              <w:rPr>
                <w:sz w:val="20"/>
                <w:szCs w:val="20"/>
                <w:lang w:val="en-GB"/>
              </w:rPr>
              <w:t>1</w:t>
            </w:r>
            <w:r w:rsidR="00D77B86" w:rsidRPr="00D62D04">
              <w:rPr>
                <w:sz w:val="20"/>
                <w:szCs w:val="20"/>
                <w:lang w:val="en-GB"/>
              </w:rPr>
              <w:t>,</w:t>
            </w:r>
            <w:r w:rsidRPr="00D62D04">
              <w:rPr>
                <w:sz w:val="20"/>
                <w:szCs w:val="20"/>
                <w:lang w:val="en-GB"/>
              </w:rPr>
              <w:t>200</w:t>
            </w:r>
            <w:r w:rsidR="00D77B86" w:rsidRPr="00D62D04">
              <w:rPr>
                <w:sz w:val="20"/>
                <w:szCs w:val="20"/>
                <w:lang w:val="en-GB"/>
              </w:rPr>
              <w:t>,</w:t>
            </w:r>
            <w:r w:rsidRPr="00D62D04">
              <w:rPr>
                <w:sz w:val="20"/>
                <w:szCs w:val="20"/>
                <w:lang w:val="en-GB"/>
              </w:rPr>
              <w:t>000</w:t>
            </w:r>
            <w:r w:rsidR="00D77B86" w:rsidRPr="00D62D04">
              <w:rPr>
                <w:sz w:val="20"/>
                <w:szCs w:val="20"/>
                <w:lang w:val="en-GB"/>
              </w:rPr>
              <w:t>.</w:t>
            </w:r>
            <w:r w:rsidRPr="00D62D04">
              <w:rPr>
                <w:sz w:val="20"/>
                <w:szCs w:val="20"/>
                <w:lang w:val="en-GB"/>
              </w:rPr>
              <w:t>00</w:t>
            </w:r>
          </w:p>
        </w:tc>
      </w:tr>
      <w:tr w:rsidR="00BB3887" w:rsidRPr="00D62D04" w14:paraId="548ADCFE" w14:textId="77777777" w:rsidTr="008906E9">
        <w:tc>
          <w:tcPr>
            <w:tcW w:w="1787" w:type="dxa"/>
          </w:tcPr>
          <w:p w14:paraId="51132255" w14:textId="77777777" w:rsidR="00BB3887" w:rsidRPr="00D62D04" w:rsidRDefault="00D77B86" w:rsidP="00BB3887">
            <w:pPr>
              <w:spacing w:after="0"/>
              <w:rPr>
                <w:sz w:val="20"/>
                <w:szCs w:val="20"/>
                <w:lang w:val="en-GB"/>
              </w:rPr>
            </w:pPr>
            <w:r w:rsidRPr="00D62D04">
              <w:rPr>
                <w:sz w:val="20"/>
                <w:szCs w:val="20"/>
                <w:lang w:val="en-GB"/>
              </w:rPr>
              <w:t xml:space="preserve">Slovaks </w:t>
            </w:r>
          </w:p>
        </w:tc>
        <w:tc>
          <w:tcPr>
            <w:tcW w:w="1445" w:type="dxa"/>
          </w:tcPr>
          <w:p w14:paraId="66190685" w14:textId="77777777" w:rsidR="00BB3887" w:rsidRPr="00D62D04" w:rsidRDefault="00BB3887" w:rsidP="00D77B86">
            <w:pPr>
              <w:spacing w:after="0"/>
              <w:rPr>
                <w:sz w:val="20"/>
                <w:szCs w:val="20"/>
                <w:lang w:val="en-GB"/>
              </w:rPr>
            </w:pPr>
            <w:r w:rsidRPr="00D62D04">
              <w:rPr>
                <w:sz w:val="20"/>
                <w:szCs w:val="20"/>
                <w:lang w:val="en-GB"/>
              </w:rPr>
              <w:t>3</w:t>
            </w:r>
            <w:r w:rsidR="00D77B86" w:rsidRPr="00D62D04">
              <w:rPr>
                <w:sz w:val="20"/>
                <w:szCs w:val="20"/>
                <w:lang w:val="en-GB"/>
              </w:rPr>
              <w:t>,</w:t>
            </w:r>
            <w:r w:rsidRPr="00D62D04">
              <w:rPr>
                <w:sz w:val="20"/>
                <w:szCs w:val="20"/>
                <w:lang w:val="en-GB"/>
              </w:rPr>
              <w:t>000</w:t>
            </w:r>
            <w:r w:rsidR="00D77B86" w:rsidRPr="00D62D04">
              <w:rPr>
                <w:sz w:val="20"/>
                <w:szCs w:val="20"/>
                <w:lang w:val="en-GB"/>
              </w:rPr>
              <w:t>,</w:t>
            </w:r>
            <w:r w:rsidRPr="00D62D04">
              <w:rPr>
                <w:sz w:val="20"/>
                <w:szCs w:val="20"/>
                <w:lang w:val="en-GB"/>
              </w:rPr>
              <w:t>000</w:t>
            </w:r>
            <w:r w:rsidR="00D77B86" w:rsidRPr="00D62D04">
              <w:rPr>
                <w:sz w:val="20"/>
                <w:szCs w:val="20"/>
                <w:lang w:val="en-GB"/>
              </w:rPr>
              <w:t>.</w:t>
            </w:r>
            <w:r w:rsidRPr="00D62D04">
              <w:rPr>
                <w:sz w:val="20"/>
                <w:szCs w:val="20"/>
                <w:lang w:val="en-GB"/>
              </w:rPr>
              <w:t>00</w:t>
            </w:r>
          </w:p>
        </w:tc>
        <w:tc>
          <w:tcPr>
            <w:tcW w:w="1446" w:type="dxa"/>
          </w:tcPr>
          <w:p w14:paraId="691C0EE1" w14:textId="77777777" w:rsidR="00BB3887" w:rsidRPr="00D62D04" w:rsidRDefault="00BB3887" w:rsidP="00D77B86">
            <w:pPr>
              <w:spacing w:after="0"/>
              <w:rPr>
                <w:sz w:val="20"/>
                <w:szCs w:val="20"/>
                <w:lang w:val="en-GB"/>
              </w:rPr>
            </w:pPr>
            <w:r w:rsidRPr="00D62D04">
              <w:rPr>
                <w:sz w:val="20"/>
                <w:szCs w:val="20"/>
                <w:lang w:val="en-GB"/>
              </w:rPr>
              <w:t>2</w:t>
            </w:r>
            <w:r w:rsidR="00D77B86" w:rsidRPr="00D62D04">
              <w:rPr>
                <w:sz w:val="20"/>
                <w:szCs w:val="20"/>
                <w:lang w:val="en-GB"/>
              </w:rPr>
              <w:t>,</w:t>
            </w:r>
            <w:r w:rsidRPr="00D62D04">
              <w:rPr>
                <w:sz w:val="20"/>
                <w:szCs w:val="20"/>
                <w:lang w:val="en-GB"/>
              </w:rPr>
              <w:t>950</w:t>
            </w:r>
            <w:r w:rsidR="00D77B86" w:rsidRPr="00D62D04">
              <w:rPr>
                <w:sz w:val="20"/>
                <w:szCs w:val="20"/>
                <w:lang w:val="en-GB"/>
              </w:rPr>
              <w:t>,</w:t>
            </w:r>
            <w:r w:rsidRPr="00D62D04">
              <w:rPr>
                <w:sz w:val="20"/>
                <w:szCs w:val="20"/>
                <w:lang w:val="en-GB"/>
              </w:rPr>
              <w:t>000</w:t>
            </w:r>
            <w:r w:rsidR="00D77B86" w:rsidRPr="00D62D04">
              <w:rPr>
                <w:sz w:val="20"/>
                <w:szCs w:val="20"/>
                <w:lang w:val="en-GB"/>
              </w:rPr>
              <w:t>.</w:t>
            </w:r>
            <w:r w:rsidRPr="00D62D04">
              <w:rPr>
                <w:sz w:val="20"/>
                <w:szCs w:val="20"/>
                <w:lang w:val="en-GB"/>
              </w:rPr>
              <w:t>00</w:t>
            </w:r>
          </w:p>
        </w:tc>
        <w:tc>
          <w:tcPr>
            <w:tcW w:w="1446" w:type="dxa"/>
          </w:tcPr>
          <w:p w14:paraId="7473C386" w14:textId="77777777" w:rsidR="00BB3887" w:rsidRPr="00D62D04" w:rsidRDefault="00BB3887" w:rsidP="00D77B86">
            <w:pPr>
              <w:spacing w:after="0"/>
              <w:rPr>
                <w:sz w:val="20"/>
                <w:szCs w:val="20"/>
                <w:lang w:val="en-GB"/>
              </w:rPr>
            </w:pPr>
            <w:r w:rsidRPr="00D62D04">
              <w:rPr>
                <w:sz w:val="20"/>
                <w:szCs w:val="20"/>
                <w:lang w:val="en-GB"/>
              </w:rPr>
              <w:t>3</w:t>
            </w:r>
            <w:r w:rsidR="00D77B86" w:rsidRPr="00D62D04">
              <w:rPr>
                <w:sz w:val="20"/>
                <w:szCs w:val="20"/>
                <w:lang w:val="en-GB"/>
              </w:rPr>
              <w:t>,</w:t>
            </w:r>
            <w:r w:rsidRPr="00D62D04">
              <w:rPr>
                <w:sz w:val="20"/>
                <w:szCs w:val="20"/>
                <w:lang w:val="en-GB"/>
              </w:rPr>
              <w:t>130</w:t>
            </w:r>
            <w:r w:rsidR="00D77B86" w:rsidRPr="00D62D04">
              <w:rPr>
                <w:sz w:val="20"/>
                <w:szCs w:val="20"/>
                <w:lang w:val="en-GB"/>
              </w:rPr>
              <w:t>,</w:t>
            </w:r>
            <w:r w:rsidRPr="00D62D04">
              <w:rPr>
                <w:sz w:val="20"/>
                <w:szCs w:val="20"/>
                <w:lang w:val="en-GB"/>
              </w:rPr>
              <w:t>000</w:t>
            </w:r>
            <w:r w:rsidR="00D77B86" w:rsidRPr="00D62D04">
              <w:rPr>
                <w:sz w:val="20"/>
                <w:szCs w:val="20"/>
                <w:lang w:val="en-GB"/>
              </w:rPr>
              <w:t>.</w:t>
            </w:r>
            <w:r w:rsidRPr="00D62D04">
              <w:rPr>
                <w:sz w:val="20"/>
                <w:szCs w:val="20"/>
                <w:lang w:val="en-GB"/>
              </w:rPr>
              <w:t>00</w:t>
            </w:r>
          </w:p>
        </w:tc>
        <w:tc>
          <w:tcPr>
            <w:tcW w:w="1446" w:type="dxa"/>
          </w:tcPr>
          <w:p w14:paraId="1820DA34" w14:textId="77777777" w:rsidR="00BB3887" w:rsidRPr="00D62D04" w:rsidRDefault="00BB3887" w:rsidP="00D77B86">
            <w:pPr>
              <w:spacing w:after="0"/>
              <w:rPr>
                <w:sz w:val="20"/>
                <w:szCs w:val="20"/>
                <w:lang w:val="en-GB"/>
              </w:rPr>
            </w:pPr>
            <w:r w:rsidRPr="00D62D04">
              <w:rPr>
                <w:sz w:val="20"/>
                <w:szCs w:val="20"/>
                <w:lang w:val="en-GB"/>
              </w:rPr>
              <w:t>3</w:t>
            </w:r>
            <w:r w:rsidR="00D77B86" w:rsidRPr="00D62D04">
              <w:rPr>
                <w:sz w:val="20"/>
                <w:szCs w:val="20"/>
                <w:lang w:val="en-GB"/>
              </w:rPr>
              <w:t>,</w:t>
            </w:r>
            <w:r w:rsidRPr="00D62D04">
              <w:rPr>
                <w:sz w:val="20"/>
                <w:szCs w:val="20"/>
                <w:lang w:val="en-GB"/>
              </w:rPr>
              <w:t>200</w:t>
            </w:r>
            <w:r w:rsidR="00D77B86" w:rsidRPr="00D62D04">
              <w:rPr>
                <w:sz w:val="20"/>
                <w:szCs w:val="20"/>
                <w:lang w:val="en-GB"/>
              </w:rPr>
              <w:t>,</w:t>
            </w:r>
            <w:r w:rsidRPr="00D62D04">
              <w:rPr>
                <w:sz w:val="20"/>
                <w:szCs w:val="20"/>
                <w:lang w:val="en-GB"/>
              </w:rPr>
              <w:t>000</w:t>
            </w:r>
            <w:r w:rsidR="00D77B86" w:rsidRPr="00D62D04">
              <w:rPr>
                <w:sz w:val="20"/>
                <w:szCs w:val="20"/>
                <w:lang w:val="en-GB"/>
              </w:rPr>
              <w:t>.</w:t>
            </w:r>
            <w:r w:rsidRPr="00D62D04">
              <w:rPr>
                <w:sz w:val="20"/>
                <w:szCs w:val="20"/>
                <w:lang w:val="en-GB"/>
              </w:rPr>
              <w:t>00</w:t>
            </w:r>
          </w:p>
        </w:tc>
        <w:tc>
          <w:tcPr>
            <w:tcW w:w="1446" w:type="dxa"/>
          </w:tcPr>
          <w:p w14:paraId="3F5FAD5F" w14:textId="77777777" w:rsidR="00BB3887" w:rsidRPr="00D62D04" w:rsidRDefault="00BB3887" w:rsidP="00D77B86">
            <w:pPr>
              <w:spacing w:after="0"/>
              <w:rPr>
                <w:sz w:val="20"/>
                <w:szCs w:val="20"/>
                <w:lang w:val="en-GB"/>
              </w:rPr>
            </w:pPr>
            <w:r w:rsidRPr="00D62D04">
              <w:rPr>
                <w:sz w:val="20"/>
                <w:szCs w:val="20"/>
                <w:lang w:val="en-GB"/>
              </w:rPr>
              <w:t>3</w:t>
            </w:r>
            <w:r w:rsidR="00D77B86" w:rsidRPr="00D62D04">
              <w:rPr>
                <w:sz w:val="20"/>
                <w:szCs w:val="20"/>
                <w:lang w:val="en-GB"/>
              </w:rPr>
              <w:t>,</w:t>
            </w:r>
            <w:r w:rsidRPr="00D62D04">
              <w:rPr>
                <w:sz w:val="20"/>
                <w:szCs w:val="20"/>
                <w:lang w:val="en-GB"/>
              </w:rPr>
              <w:t>200</w:t>
            </w:r>
            <w:r w:rsidR="00D77B86" w:rsidRPr="00D62D04">
              <w:rPr>
                <w:sz w:val="20"/>
                <w:szCs w:val="20"/>
                <w:lang w:val="en-GB"/>
              </w:rPr>
              <w:t>,</w:t>
            </w:r>
            <w:r w:rsidRPr="00D62D04">
              <w:rPr>
                <w:sz w:val="20"/>
                <w:szCs w:val="20"/>
                <w:lang w:val="en-GB"/>
              </w:rPr>
              <w:t>000</w:t>
            </w:r>
            <w:r w:rsidR="00D77B86" w:rsidRPr="00D62D04">
              <w:rPr>
                <w:sz w:val="20"/>
                <w:szCs w:val="20"/>
                <w:lang w:val="en-GB"/>
              </w:rPr>
              <w:t>.</w:t>
            </w:r>
            <w:r w:rsidRPr="00D62D04">
              <w:rPr>
                <w:sz w:val="20"/>
                <w:szCs w:val="20"/>
                <w:lang w:val="en-GB"/>
              </w:rPr>
              <w:t>00</w:t>
            </w:r>
          </w:p>
        </w:tc>
      </w:tr>
      <w:tr w:rsidR="00BB3887" w:rsidRPr="00D62D04" w14:paraId="6A3217A0" w14:textId="77777777" w:rsidTr="008906E9">
        <w:tc>
          <w:tcPr>
            <w:tcW w:w="1787" w:type="dxa"/>
          </w:tcPr>
          <w:p w14:paraId="6E4CE10D" w14:textId="77777777" w:rsidR="00BB3887" w:rsidRPr="00D62D04" w:rsidRDefault="00D77B86" w:rsidP="00BB3887">
            <w:pPr>
              <w:spacing w:after="0"/>
              <w:rPr>
                <w:sz w:val="20"/>
                <w:szCs w:val="20"/>
                <w:lang w:val="en-GB"/>
              </w:rPr>
            </w:pPr>
            <w:r w:rsidRPr="00D62D04">
              <w:rPr>
                <w:sz w:val="20"/>
                <w:szCs w:val="20"/>
                <w:lang w:val="en-GB"/>
              </w:rPr>
              <w:t xml:space="preserve">Slovenians </w:t>
            </w:r>
          </w:p>
        </w:tc>
        <w:tc>
          <w:tcPr>
            <w:tcW w:w="1445" w:type="dxa"/>
          </w:tcPr>
          <w:p w14:paraId="16629554" w14:textId="77777777" w:rsidR="00BB3887" w:rsidRPr="00D62D04" w:rsidRDefault="00BB3887" w:rsidP="00D77B86">
            <w:pPr>
              <w:spacing w:after="0"/>
              <w:rPr>
                <w:sz w:val="20"/>
                <w:szCs w:val="20"/>
                <w:lang w:val="en-GB"/>
              </w:rPr>
            </w:pPr>
            <w:r w:rsidRPr="00D62D04">
              <w:rPr>
                <w:sz w:val="20"/>
                <w:szCs w:val="20"/>
                <w:lang w:val="en-GB"/>
              </w:rPr>
              <w:t>210</w:t>
            </w:r>
            <w:r w:rsidR="00D77B86" w:rsidRPr="00D62D04">
              <w:rPr>
                <w:sz w:val="20"/>
                <w:szCs w:val="20"/>
                <w:lang w:val="en-GB"/>
              </w:rPr>
              <w:t>,</w:t>
            </w:r>
            <w:r w:rsidRPr="00D62D04">
              <w:rPr>
                <w:sz w:val="20"/>
                <w:szCs w:val="20"/>
                <w:lang w:val="en-GB"/>
              </w:rPr>
              <w:t>000</w:t>
            </w:r>
            <w:r w:rsidR="00D77B86" w:rsidRPr="00D62D04">
              <w:rPr>
                <w:sz w:val="20"/>
                <w:szCs w:val="20"/>
                <w:lang w:val="en-GB"/>
              </w:rPr>
              <w:t>.</w:t>
            </w:r>
            <w:r w:rsidRPr="00D62D04">
              <w:rPr>
                <w:sz w:val="20"/>
                <w:szCs w:val="20"/>
                <w:lang w:val="en-GB"/>
              </w:rPr>
              <w:t>00</w:t>
            </w:r>
          </w:p>
        </w:tc>
        <w:tc>
          <w:tcPr>
            <w:tcW w:w="1446" w:type="dxa"/>
          </w:tcPr>
          <w:p w14:paraId="5F0776AE" w14:textId="77777777" w:rsidR="00BB3887" w:rsidRPr="00D62D04" w:rsidRDefault="00BB3887" w:rsidP="00D77B86">
            <w:pPr>
              <w:spacing w:after="0"/>
              <w:rPr>
                <w:sz w:val="20"/>
                <w:szCs w:val="20"/>
                <w:lang w:val="en-GB"/>
              </w:rPr>
            </w:pPr>
            <w:r w:rsidRPr="00D62D04">
              <w:rPr>
                <w:sz w:val="20"/>
                <w:szCs w:val="20"/>
                <w:lang w:val="en-GB"/>
              </w:rPr>
              <w:t>360</w:t>
            </w:r>
            <w:r w:rsidR="00D77B86" w:rsidRPr="00D62D04">
              <w:rPr>
                <w:sz w:val="20"/>
                <w:szCs w:val="20"/>
                <w:lang w:val="en-GB"/>
              </w:rPr>
              <w:t>,</w:t>
            </w:r>
            <w:r w:rsidRPr="00D62D04">
              <w:rPr>
                <w:sz w:val="20"/>
                <w:szCs w:val="20"/>
                <w:lang w:val="en-GB"/>
              </w:rPr>
              <w:t>000</w:t>
            </w:r>
            <w:r w:rsidR="00D77B86" w:rsidRPr="00D62D04">
              <w:rPr>
                <w:sz w:val="20"/>
                <w:szCs w:val="20"/>
                <w:lang w:val="en-GB"/>
              </w:rPr>
              <w:t>.</w:t>
            </w:r>
            <w:r w:rsidRPr="00D62D04">
              <w:rPr>
                <w:sz w:val="20"/>
                <w:szCs w:val="20"/>
                <w:lang w:val="en-GB"/>
              </w:rPr>
              <w:t>00</w:t>
            </w:r>
          </w:p>
        </w:tc>
        <w:tc>
          <w:tcPr>
            <w:tcW w:w="1446" w:type="dxa"/>
          </w:tcPr>
          <w:p w14:paraId="3C60CFC5" w14:textId="77777777" w:rsidR="00BB3887" w:rsidRPr="00D62D04" w:rsidRDefault="00BB3887" w:rsidP="00D77B86">
            <w:pPr>
              <w:spacing w:after="0"/>
              <w:rPr>
                <w:sz w:val="20"/>
                <w:szCs w:val="20"/>
                <w:lang w:val="en-GB"/>
              </w:rPr>
            </w:pPr>
            <w:r w:rsidRPr="00D62D04">
              <w:rPr>
                <w:sz w:val="20"/>
                <w:szCs w:val="20"/>
                <w:lang w:val="en-GB"/>
              </w:rPr>
              <w:t>320</w:t>
            </w:r>
            <w:r w:rsidR="00D77B86" w:rsidRPr="00D62D04">
              <w:rPr>
                <w:sz w:val="20"/>
                <w:szCs w:val="20"/>
                <w:lang w:val="en-GB"/>
              </w:rPr>
              <w:t>,</w:t>
            </w:r>
            <w:r w:rsidRPr="00D62D04">
              <w:rPr>
                <w:sz w:val="20"/>
                <w:szCs w:val="20"/>
                <w:lang w:val="en-GB"/>
              </w:rPr>
              <w:t>000</w:t>
            </w:r>
            <w:r w:rsidR="00D77B86" w:rsidRPr="00D62D04">
              <w:rPr>
                <w:sz w:val="20"/>
                <w:szCs w:val="20"/>
                <w:lang w:val="en-GB"/>
              </w:rPr>
              <w:t>.</w:t>
            </w:r>
            <w:r w:rsidRPr="00D62D04">
              <w:rPr>
                <w:sz w:val="20"/>
                <w:szCs w:val="20"/>
                <w:lang w:val="en-GB"/>
              </w:rPr>
              <w:t>00</w:t>
            </w:r>
          </w:p>
        </w:tc>
        <w:tc>
          <w:tcPr>
            <w:tcW w:w="1446" w:type="dxa"/>
          </w:tcPr>
          <w:p w14:paraId="690F9B3F" w14:textId="77777777" w:rsidR="00BB3887" w:rsidRPr="00D62D04" w:rsidRDefault="00BB3887" w:rsidP="00D77B86">
            <w:pPr>
              <w:spacing w:after="0"/>
              <w:rPr>
                <w:sz w:val="20"/>
                <w:szCs w:val="20"/>
                <w:lang w:val="en-GB"/>
              </w:rPr>
            </w:pPr>
            <w:r w:rsidRPr="00D62D04">
              <w:rPr>
                <w:sz w:val="20"/>
                <w:szCs w:val="20"/>
                <w:lang w:val="en-GB"/>
              </w:rPr>
              <w:t>200</w:t>
            </w:r>
            <w:r w:rsidR="00D77B86" w:rsidRPr="00D62D04">
              <w:rPr>
                <w:sz w:val="20"/>
                <w:szCs w:val="20"/>
                <w:lang w:val="en-GB"/>
              </w:rPr>
              <w:t>,</w:t>
            </w:r>
            <w:r w:rsidRPr="00D62D04">
              <w:rPr>
                <w:sz w:val="20"/>
                <w:szCs w:val="20"/>
                <w:lang w:val="en-GB"/>
              </w:rPr>
              <w:t>000</w:t>
            </w:r>
            <w:r w:rsidR="00D77B86" w:rsidRPr="00D62D04">
              <w:rPr>
                <w:sz w:val="20"/>
                <w:szCs w:val="20"/>
                <w:lang w:val="en-GB"/>
              </w:rPr>
              <w:t>.</w:t>
            </w:r>
            <w:r w:rsidRPr="00D62D04">
              <w:rPr>
                <w:sz w:val="20"/>
                <w:szCs w:val="20"/>
                <w:lang w:val="en-GB"/>
              </w:rPr>
              <w:t>00</w:t>
            </w:r>
          </w:p>
        </w:tc>
        <w:tc>
          <w:tcPr>
            <w:tcW w:w="1446" w:type="dxa"/>
          </w:tcPr>
          <w:p w14:paraId="16C3A232" w14:textId="77777777" w:rsidR="00BB3887" w:rsidRPr="00D62D04" w:rsidRDefault="00BB3887" w:rsidP="00D77B86">
            <w:pPr>
              <w:spacing w:after="0"/>
              <w:rPr>
                <w:sz w:val="20"/>
                <w:szCs w:val="20"/>
                <w:lang w:val="en-GB"/>
              </w:rPr>
            </w:pPr>
            <w:r w:rsidRPr="00D62D04">
              <w:rPr>
                <w:sz w:val="20"/>
                <w:szCs w:val="20"/>
                <w:lang w:val="en-GB"/>
              </w:rPr>
              <w:t>140</w:t>
            </w:r>
            <w:r w:rsidR="00D77B86" w:rsidRPr="00D62D04">
              <w:rPr>
                <w:sz w:val="20"/>
                <w:szCs w:val="20"/>
                <w:lang w:val="en-GB"/>
              </w:rPr>
              <w:t>,</w:t>
            </w:r>
            <w:r w:rsidRPr="00D62D04">
              <w:rPr>
                <w:sz w:val="20"/>
                <w:szCs w:val="20"/>
                <w:lang w:val="en-GB"/>
              </w:rPr>
              <w:t>000</w:t>
            </w:r>
            <w:r w:rsidR="00D77B86" w:rsidRPr="00D62D04">
              <w:rPr>
                <w:sz w:val="20"/>
                <w:szCs w:val="20"/>
                <w:lang w:val="en-GB"/>
              </w:rPr>
              <w:t>.</w:t>
            </w:r>
            <w:r w:rsidRPr="00D62D04">
              <w:rPr>
                <w:sz w:val="20"/>
                <w:szCs w:val="20"/>
                <w:lang w:val="en-GB"/>
              </w:rPr>
              <w:t>00</w:t>
            </w:r>
          </w:p>
        </w:tc>
      </w:tr>
      <w:tr w:rsidR="00BB3887" w:rsidRPr="00D62D04" w14:paraId="016ED18F" w14:textId="77777777" w:rsidTr="008906E9">
        <w:tc>
          <w:tcPr>
            <w:tcW w:w="1787" w:type="dxa"/>
          </w:tcPr>
          <w:p w14:paraId="1EC14F8F" w14:textId="77777777" w:rsidR="00BB3887" w:rsidRPr="00D62D04" w:rsidRDefault="00D77B86" w:rsidP="00BB3887">
            <w:pPr>
              <w:spacing w:after="0"/>
              <w:rPr>
                <w:sz w:val="20"/>
                <w:szCs w:val="20"/>
                <w:lang w:val="en-GB"/>
              </w:rPr>
            </w:pPr>
            <w:r w:rsidRPr="00D62D04">
              <w:rPr>
                <w:sz w:val="20"/>
                <w:szCs w:val="20"/>
                <w:lang w:val="en-GB"/>
              </w:rPr>
              <w:lastRenderedPageBreak/>
              <w:t xml:space="preserve">Ukrainians </w:t>
            </w:r>
          </w:p>
        </w:tc>
        <w:tc>
          <w:tcPr>
            <w:tcW w:w="1445" w:type="dxa"/>
          </w:tcPr>
          <w:p w14:paraId="7915F324" w14:textId="77777777" w:rsidR="00BB3887" w:rsidRPr="00D62D04" w:rsidRDefault="00BB3887" w:rsidP="00D77B86">
            <w:pPr>
              <w:spacing w:after="0"/>
              <w:rPr>
                <w:sz w:val="20"/>
                <w:szCs w:val="20"/>
                <w:lang w:val="en-GB"/>
              </w:rPr>
            </w:pPr>
            <w:r w:rsidRPr="00D62D04">
              <w:rPr>
                <w:sz w:val="20"/>
                <w:szCs w:val="20"/>
                <w:lang w:val="en-GB"/>
              </w:rPr>
              <w:t>390</w:t>
            </w:r>
            <w:r w:rsidR="00D77B86" w:rsidRPr="00D62D04">
              <w:rPr>
                <w:sz w:val="20"/>
                <w:szCs w:val="20"/>
                <w:lang w:val="en-GB"/>
              </w:rPr>
              <w:t>,</w:t>
            </w:r>
            <w:r w:rsidRPr="00D62D04">
              <w:rPr>
                <w:sz w:val="20"/>
                <w:szCs w:val="20"/>
                <w:lang w:val="en-GB"/>
              </w:rPr>
              <w:t>000</w:t>
            </w:r>
            <w:r w:rsidR="00D77B86" w:rsidRPr="00D62D04">
              <w:rPr>
                <w:sz w:val="20"/>
                <w:szCs w:val="20"/>
                <w:lang w:val="en-GB"/>
              </w:rPr>
              <w:t>.</w:t>
            </w:r>
            <w:r w:rsidRPr="00D62D04">
              <w:rPr>
                <w:sz w:val="20"/>
                <w:szCs w:val="20"/>
                <w:lang w:val="en-GB"/>
              </w:rPr>
              <w:t>00</w:t>
            </w:r>
          </w:p>
        </w:tc>
        <w:tc>
          <w:tcPr>
            <w:tcW w:w="1446" w:type="dxa"/>
          </w:tcPr>
          <w:p w14:paraId="5A1DB63F" w14:textId="77777777" w:rsidR="00BB3887" w:rsidRPr="00D62D04" w:rsidRDefault="00BB3887" w:rsidP="00D77B86">
            <w:pPr>
              <w:spacing w:after="0"/>
              <w:rPr>
                <w:sz w:val="20"/>
                <w:szCs w:val="20"/>
                <w:lang w:val="en-GB"/>
              </w:rPr>
            </w:pPr>
            <w:r w:rsidRPr="00D62D04">
              <w:rPr>
                <w:sz w:val="20"/>
                <w:szCs w:val="20"/>
                <w:lang w:val="en-GB"/>
              </w:rPr>
              <w:t>390</w:t>
            </w:r>
            <w:r w:rsidR="00D77B86" w:rsidRPr="00D62D04">
              <w:rPr>
                <w:sz w:val="20"/>
                <w:szCs w:val="20"/>
                <w:lang w:val="en-GB"/>
              </w:rPr>
              <w:t>,</w:t>
            </w:r>
            <w:r w:rsidRPr="00D62D04">
              <w:rPr>
                <w:sz w:val="20"/>
                <w:szCs w:val="20"/>
                <w:lang w:val="en-GB"/>
              </w:rPr>
              <w:t>000</w:t>
            </w:r>
            <w:r w:rsidR="00D77B86" w:rsidRPr="00D62D04">
              <w:rPr>
                <w:sz w:val="20"/>
                <w:szCs w:val="20"/>
                <w:lang w:val="en-GB"/>
              </w:rPr>
              <w:t>.</w:t>
            </w:r>
            <w:r w:rsidRPr="00D62D04">
              <w:rPr>
                <w:sz w:val="20"/>
                <w:szCs w:val="20"/>
                <w:lang w:val="en-GB"/>
              </w:rPr>
              <w:t>00</w:t>
            </w:r>
          </w:p>
        </w:tc>
        <w:tc>
          <w:tcPr>
            <w:tcW w:w="1446" w:type="dxa"/>
          </w:tcPr>
          <w:p w14:paraId="40E566A1" w14:textId="77777777" w:rsidR="00BB3887" w:rsidRPr="00D62D04" w:rsidRDefault="00BB3887" w:rsidP="00D77B86">
            <w:pPr>
              <w:spacing w:after="0"/>
              <w:rPr>
                <w:sz w:val="20"/>
                <w:szCs w:val="20"/>
                <w:lang w:val="en-GB"/>
              </w:rPr>
            </w:pPr>
            <w:r w:rsidRPr="00D62D04">
              <w:rPr>
                <w:sz w:val="20"/>
                <w:szCs w:val="20"/>
                <w:lang w:val="en-GB"/>
              </w:rPr>
              <w:t>410</w:t>
            </w:r>
            <w:r w:rsidR="00D77B86" w:rsidRPr="00D62D04">
              <w:rPr>
                <w:sz w:val="20"/>
                <w:szCs w:val="20"/>
                <w:lang w:val="en-GB"/>
              </w:rPr>
              <w:t>,</w:t>
            </w:r>
            <w:r w:rsidRPr="00D62D04">
              <w:rPr>
                <w:sz w:val="20"/>
                <w:szCs w:val="20"/>
                <w:lang w:val="en-GB"/>
              </w:rPr>
              <w:t>000</w:t>
            </w:r>
            <w:r w:rsidR="00D77B86" w:rsidRPr="00D62D04">
              <w:rPr>
                <w:sz w:val="20"/>
                <w:szCs w:val="20"/>
                <w:lang w:val="en-GB"/>
              </w:rPr>
              <w:t>.</w:t>
            </w:r>
            <w:r w:rsidRPr="00D62D04">
              <w:rPr>
                <w:sz w:val="20"/>
                <w:szCs w:val="20"/>
                <w:lang w:val="en-GB"/>
              </w:rPr>
              <w:t>00</w:t>
            </w:r>
          </w:p>
        </w:tc>
        <w:tc>
          <w:tcPr>
            <w:tcW w:w="1446" w:type="dxa"/>
          </w:tcPr>
          <w:p w14:paraId="3B9EFCDD" w14:textId="77777777" w:rsidR="00BB3887" w:rsidRPr="00D62D04" w:rsidRDefault="00BB3887" w:rsidP="00D77B86">
            <w:pPr>
              <w:spacing w:after="0"/>
              <w:rPr>
                <w:sz w:val="20"/>
                <w:szCs w:val="20"/>
                <w:lang w:val="en-GB"/>
              </w:rPr>
            </w:pPr>
            <w:r w:rsidRPr="00D62D04">
              <w:rPr>
                <w:sz w:val="20"/>
                <w:szCs w:val="20"/>
                <w:lang w:val="en-GB"/>
              </w:rPr>
              <w:t>410</w:t>
            </w:r>
            <w:r w:rsidR="00D77B86" w:rsidRPr="00D62D04">
              <w:rPr>
                <w:sz w:val="20"/>
                <w:szCs w:val="20"/>
                <w:lang w:val="en-GB"/>
              </w:rPr>
              <w:t>,</w:t>
            </w:r>
            <w:r w:rsidRPr="00D62D04">
              <w:rPr>
                <w:sz w:val="20"/>
                <w:szCs w:val="20"/>
                <w:lang w:val="en-GB"/>
              </w:rPr>
              <w:t>000</w:t>
            </w:r>
            <w:r w:rsidR="00D77B86" w:rsidRPr="00D62D04">
              <w:rPr>
                <w:sz w:val="20"/>
                <w:szCs w:val="20"/>
                <w:lang w:val="en-GB"/>
              </w:rPr>
              <w:t>.</w:t>
            </w:r>
            <w:r w:rsidRPr="00D62D04">
              <w:rPr>
                <w:sz w:val="20"/>
                <w:szCs w:val="20"/>
                <w:lang w:val="en-GB"/>
              </w:rPr>
              <w:t>00</w:t>
            </w:r>
          </w:p>
        </w:tc>
        <w:tc>
          <w:tcPr>
            <w:tcW w:w="1446" w:type="dxa"/>
          </w:tcPr>
          <w:p w14:paraId="5D5783F9" w14:textId="77777777" w:rsidR="00BB3887" w:rsidRPr="00D62D04" w:rsidRDefault="00BB3887" w:rsidP="00D77B86">
            <w:pPr>
              <w:spacing w:after="0"/>
              <w:rPr>
                <w:sz w:val="20"/>
                <w:szCs w:val="20"/>
                <w:lang w:val="en-GB"/>
              </w:rPr>
            </w:pPr>
            <w:r w:rsidRPr="00D62D04">
              <w:rPr>
                <w:sz w:val="20"/>
                <w:szCs w:val="20"/>
                <w:lang w:val="en-GB"/>
              </w:rPr>
              <w:t>410</w:t>
            </w:r>
            <w:r w:rsidR="00D77B86" w:rsidRPr="00D62D04">
              <w:rPr>
                <w:sz w:val="20"/>
                <w:szCs w:val="20"/>
                <w:lang w:val="en-GB"/>
              </w:rPr>
              <w:t>,</w:t>
            </w:r>
            <w:r w:rsidRPr="00D62D04">
              <w:rPr>
                <w:sz w:val="20"/>
                <w:szCs w:val="20"/>
                <w:lang w:val="en-GB"/>
              </w:rPr>
              <w:t>000</w:t>
            </w:r>
            <w:r w:rsidR="00D77B86" w:rsidRPr="00D62D04">
              <w:rPr>
                <w:sz w:val="20"/>
                <w:szCs w:val="20"/>
                <w:lang w:val="en-GB"/>
              </w:rPr>
              <w:t>.</w:t>
            </w:r>
            <w:r w:rsidRPr="00D62D04">
              <w:rPr>
                <w:sz w:val="20"/>
                <w:szCs w:val="20"/>
                <w:lang w:val="en-GB"/>
              </w:rPr>
              <w:t>00</w:t>
            </w:r>
          </w:p>
        </w:tc>
      </w:tr>
      <w:tr w:rsidR="00BB3887" w:rsidRPr="00D62D04" w14:paraId="53103C11" w14:textId="77777777" w:rsidTr="008906E9">
        <w:tc>
          <w:tcPr>
            <w:tcW w:w="1787" w:type="dxa"/>
          </w:tcPr>
          <w:p w14:paraId="136A1638" w14:textId="77777777" w:rsidR="00BB3887" w:rsidRPr="00D62D04" w:rsidRDefault="00D77B86" w:rsidP="00BB3887">
            <w:pPr>
              <w:spacing w:after="0"/>
              <w:rPr>
                <w:sz w:val="20"/>
                <w:szCs w:val="20"/>
                <w:lang w:val="en-GB"/>
              </w:rPr>
            </w:pPr>
            <w:r w:rsidRPr="00D62D04">
              <w:rPr>
                <w:sz w:val="20"/>
                <w:szCs w:val="20"/>
                <w:lang w:val="en-GB"/>
              </w:rPr>
              <w:t xml:space="preserve">Croats </w:t>
            </w:r>
          </w:p>
        </w:tc>
        <w:tc>
          <w:tcPr>
            <w:tcW w:w="1445" w:type="dxa"/>
          </w:tcPr>
          <w:p w14:paraId="67E32FD2" w14:textId="77777777" w:rsidR="00BB3887" w:rsidRPr="00D62D04" w:rsidRDefault="00BB3887" w:rsidP="008906E9">
            <w:pPr>
              <w:spacing w:after="0"/>
              <w:rPr>
                <w:sz w:val="20"/>
                <w:szCs w:val="20"/>
                <w:lang w:val="en-GB"/>
              </w:rPr>
            </w:pPr>
            <w:r w:rsidRPr="00D62D04">
              <w:rPr>
                <w:sz w:val="20"/>
                <w:szCs w:val="20"/>
                <w:lang w:val="en-GB"/>
              </w:rPr>
              <w:t>3</w:t>
            </w:r>
            <w:r w:rsidR="008906E9" w:rsidRPr="00D62D04">
              <w:rPr>
                <w:sz w:val="20"/>
                <w:szCs w:val="20"/>
                <w:lang w:val="en-GB"/>
              </w:rPr>
              <w:t>,</w:t>
            </w:r>
            <w:r w:rsidRPr="00D62D04">
              <w:rPr>
                <w:sz w:val="20"/>
                <w:szCs w:val="20"/>
                <w:lang w:val="en-GB"/>
              </w:rPr>
              <w:t>000</w:t>
            </w:r>
            <w:r w:rsidR="008906E9" w:rsidRPr="00D62D04">
              <w:rPr>
                <w:sz w:val="20"/>
                <w:szCs w:val="20"/>
                <w:lang w:val="en-GB"/>
              </w:rPr>
              <w:t>,</w:t>
            </w:r>
            <w:r w:rsidRPr="00D62D04">
              <w:rPr>
                <w:sz w:val="20"/>
                <w:szCs w:val="20"/>
                <w:lang w:val="en-GB"/>
              </w:rPr>
              <w:t>000</w:t>
            </w:r>
            <w:r w:rsidR="008906E9" w:rsidRPr="00D62D04">
              <w:rPr>
                <w:sz w:val="20"/>
                <w:szCs w:val="20"/>
                <w:lang w:val="en-GB"/>
              </w:rPr>
              <w:t>.</w:t>
            </w:r>
            <w:r w:rsidRPr="00D62D04">
              <w:rPr>
                <w:sz w:val="20"/>
                <w:szCs w:val="20"/>
                <w:lang w:val="en-GB"/>
              </w:rPr>
              <w:t>00</w:t>
            </w:r>
          </w:p>
        </w:tc>
        <w:tc>
          <w:tcPr>
            <w:tcW w:w="1446" w:type="dxa"/>
          </w:tcPr>
          <w:p w14:paraId="11AE6997" w14:textId="77777777" w:rsidR="00BB3887" w:rsidRPr="00D62D04" w:rsidRDefault="00BB3887" w:rsidP="008906E9">
            <w:pPr>
              <w:spacing w:after="0"/>
              <w:rPr>
                <w:sz w:val="20"/>
                <w:szCs w:val="20"/>
                <w:lang w:val="en-GB"/>
              </w:rPr>
            </w:pPr>
            <w:r w:rsidRPr="00D62D04">
              <w:rPr>
                <w:sz w:val="20"/>
                <w:szCs w:val="20"/>
                <w:lang w:val="en-GB"/>
              </w:rPr>
              <w:t>2</w:t>
            </w:r>
            <w:r w:rsidR="008906E9" w:rsidRPr="00D62D04">
              <w:rPr>
                <w:sz w:val="20"/>
                <w:szCs w:val="20"/>
                <w:lang w:val="en-GB"/>
              </w:rPr>
              <w:t>,</w:t>
            </w:r>
            <w:r w:rsidRPr="00D62D04">
              <w:rPr>
                <w:sz w:val="20"/>
                <w:szCs w:val="20"/>
                <w:lang w:val="en-GB"/>
              </w:rPr>
              <w:t>940</w:t>
            </w:r>
            <w:r w:rsidR="008906E9" w:rsidRPr="00D62D04">
              <w:rPr>
                <w:sz w:val="20"/>
                <w:szCs w:val="20"/>
                <w:lang w:val="en-GB"/>
              </w:rPr>
              <w:t>,</w:t>
            </w:r>
            <w:r w:rsidRPr="00D62D04">
              <w:rPr>
                <w:sz w:val="20"/>
                <w:szCs w:val="20"/>
                <w:lang w:val="en-GB"/>
              </w:rPr>
              <w:t>000</w:t>
            </w:r>
            <w:r w:rsidR="008906E9" w:rsidRPr="00D62D04">
              <w:rPr>
                <w:sz w:val="20"/>
                <w:szCs w:val="20"/>
                <w:lang w:val="en-GB"/>
              </w:rPr>
              <w:t>.</w:t>
            </w:r>
            <w:r w:rsidRPr="00D62D04">
              <w:rPr>
                <w:sz w:val="20"/>
                <w:szCs w:val="20"/>
                <w:lang w:val="en-GB"/>
              </w:rPr>
              <w:t>00</w:t>
            </w:r>
          </w:p>
        </w:tc>
        <w:tc>
          <w:tcPr>
            <w:tcW w:w="1446" w:type="dxa"/>
          </w:tcPr>
          <w:p w14:paraId="6B157D00" w14:textId="77777777" w:rsidR="00BB3887" w:rsidRPr="00D62D04" w:rsidRDefault="00BB3887" w:rsidP="008906E9">
            <w:pPr>
              <w:spacing w:after="0"/>
              <w:rPr>
                <w:sz w:val="20"/>
                <w:szCs w:val="20"/>
                <w:lang w:val="en-GB"/>
              </w:rPr>
            </w:pPr>
            <w:r w:rsidRPr="00D62D04">
              <w:rPr>
                <w:sz w:val="20"/>
                <w:szCs w:val="20"/>
                <w:lang w:val="en-GB"/>
              </w:rPr>
              <w:t>3</w:t>
            </w:r>
            <w:r w:rsidR="008906E9" w:rsidRPr="00D62D04">
              <w:rPr>
                <w:sz w:val="20"/>
                <w:szCs w:val="20"/>
                <w:lang w:val="en-GB"/>
              </w:rPr>
              <w:t>,</w:t>
            </w:r>
            <w:r w:rsidRPr="00D62D04">
              <w:rPr>
                <w:sz w:val="20"/>
                <w:szCs w:val="20"/>
                <w:lang w:val="en-GB"/>
              </w:rPr>
              <w:t>130</w:t>
            </w:r>
            <w:r w:rsidR="008906E9" w:rsidRPr="00D62D04">
              <w:rPr>
                <w:sz w:val="20"/>
                <w:szCs w:val="20"/>
                <w:lang w:val="en-GB"/>
              </w:rPr>
              <w:t>,</w:t>
            </w:r>
            <w:r w:rsidRPr="00D62D04">
              <w:rPr>
                <w:sz w:val="20"/>
                <w:szCs w:val="20"/>
                <w:lang w:val="en-GB"/>
              </w:rPr>
              <w:t>000</w:t>
            </w:r>
            <w:r w:rsidR="008906E9" w:rsidRPr="00D62D04">
              <w:rPr>
                <w:sz w:val="20"/>
                <w:szCs w:val="20"/>
                <w:lang w:val="en-GB"/>
              </w:rPr>
              <w:t>.</w:t>
            </w:r>
            <w:r w:rsidRPr="00D62D04">
              <w:rPr>
                <w:sz w:val="20"/>
                <w:szCs w:val="20"/>
                <w:lang w:val="en-GB"/>
              </w:rPr>
              <w:t>00</w:t>
            </w:r>
          </w:p>
        </w:tc>
        <w:tc>
          <w:tcPr>
            <w:tcW w:w="1446" w:type="dxa"/>
          </w:tcPr>
          <w:p w14:paraId="32695D37" w14:textId="77777777" w:rsidR="00BB3887" w:rsidRPr="00D62D04" w:rsidRDefault="00BB3887" w:rsidP="008906E9">
            <w:pPr>
              <w:spacing w:after="0"/>
              <w:rPr>
                <w:sz w:val="20"/>
                <w:szCs w:val="20"/>
                <w:lang w:val="en-GB"/>
              </w:rPr>
            </w:pPr>
            <w:r w:rsidRPr="00D62D04">
              <w:rPr>
                <w:sz w:val="20"/>
                <w:szCs w:val="20"/>
                <w:lang w:val="en-GB"/>
              </w:rPr>
              <w:t>3</w:t>
            </w:r>
            <w:r w:rsidR="008906E9" w:rsidRPr="00D62D04">
              <w:rPr>
                <w:sz w:val="20"/>
                <w:szCs w:val="20"/>
                <w:lang w:val="en-GB"/>
              </w:rPr>
              <w:t>,</w:t>
            </w:r>
            <w:r w:rsidRPr="00D62D04">
              <w:rPr>
                <w:sz w:val="20"/>
                <w:szCs w:val="20"/>
                <w:lang w:val="en-GB"/>
              </w:rPr>
              <w:t>200</w:t>
            </w:r>
            <w:r w:rsidR="008906E9" w:rsidRPr="00D62D04">
              <w:rPr>
                <w:sz w:val="20"/>
                <w:szCs w:val="20"/>
                <w:lang w:val="en-GB"/>
              </w:rPr>
              <w:t>,</w:t>
            </w:r>
            <w:r w:rsidRPr="00D62D04">
              <w:rPr>
                <w:sz w:val="20"/>
                <w:szCs w:val="20"/>
                <w:lang w:val="en-GB"/>
              </w:rPr>
              <w:t>000</w:t>
            </w:r>
            <w:r w:rsidR="008906E9" w:rsidRPr="00D62D04">
              <w:rPr>
                <w:sz w:val="20"/>
                <w:szCs w:val="20"/>
                <w:lang w:val="en-GB"/>
              </w:rPr>
              <w:t>.</w:t>
            </w:r>
            <w:r w:rsidRPr="00D62D04">
              <w:rPr>
                <w:sz w:val="20"/>
                <w:szCs w:val="20"/>
                <w:lang w:val="en-GB"/>
              </w:rPr>
              <w:t>00</w:t>
            </w:r>
          </w:p>
        </w:tc>
        <w:tc>
          <w:tcPr>
            <w:tcW w:w="1446" w:type="dxa"/>
          </w:tcPr>
          <w:p w14:paraId="0F29D655" w14:textId="77777777" w:rsidR="00BB3887" w:rsidRPr="00D62D04" w:rsidRDefault="00BB3887" w:rsidP="008906E9">
            <w:pPr>
              <w:spacing w:after="0"/>
              <w:rPr>
                <w:sz w:val="20"/>
                <w:szCs w:val="20"/>
                <w:lang w:val="en-GB"/>
              </w:rPr>
            </w:pPr>
            <w:r w:rsidRPr="00D62D04">
              <w:rPr>
                <w:sz w:val="20"/>
                <w:szCs w:val="20"/>
                <w:lang w:val="en-GB"/>
              </w:rPr>
              <w:t>3</w:t>
            </w:r>
            <w:r w:rsidR="008906E9" w:rsidRPr="00D62D04">
              <w:rPr>
                <w:sz w:val="20"/>
                <w:szCs w:val="20"/>
                <w:lang w:val="en-GB"/>
              </w:rPr>
              <w:t>,</w:t>
            </w:r>
            <w:r w:rsidRPr="00D62D04">
              <w:rPr>
                <w:sz w:val="20"/>
                <w:szCs w:val="20"/>
                <w:lang w:val="en-GB"/>
              </w:rPr>
              <w:t>200</w:t>
            </w:r>
            <w:r w:rsidR="008906E9" w:rsidRPr="00D62D04">
              <w:rPr>
                <w:sz w:val="20"/>
                <w:szCs w:val="20"/>
                <w:lang w:val="en-GB"/>
              </w:rPr>
              <w:t>,</w:t>
            </w:r>
            <w:r w:rsidRPr="00D62D04">
              <w:rPr>
                <w:sz w:val="20"/>
                <w:szCs w:val="20"/>
                <w:lang w:val="en-GB"/>
              </w:rPr>
              <w:t>000</w:t>
            </w:r>
            <w:r w:rsidR="008906E9" w:rsidRPr="00D62D04">
              <w:rPr>
                <w:sz w:val="20"/>
                <w:szCs w:val="20"/>
                <w:lang w:val="en-GB"/>
              </w:rPr>
              <w:t>.</w:t>
            </w:r>
            <w:r w:rsidRPr="00D62D04">
              <w:rPr>
                <w:sz w:val="20"/>
                <w:szCs w:val="20"/>
                <w:lang w:val="en-GB"/>
              </w:rPr>
              <w:t>00</w:t>
            </w:r>
          </w:p>
        </w:tc>
      </w:tr>
      <w:tr w:rsidR="00BB3887" w:rsidRPr="00D62D04" w14:paraId="6DD38094" w14:textId="77777777" w:rsidTr="008906E9">
        <w:tc>
          <w:tcPr>
            <w:tcW w:w="1787" w:type="dxa"/>
          </w:tcPr>
          <w:p w14:paraId="30DD3311" w14:textId="77777777" w:rsidR="00BB3887" w:rsidRPr="00D62D04" w:rsidRDefault="008906E9" w:rsidP="00BB3887">
            <w:pPr>
              <w:spacing w:after="0"/>
              <w:rPr>
                <w:sz w:val="20"/>
                <w:szCs w:val="20"/>
                <w:lang w:val="en-GB"/>
              </w:rPr>
            </w:pPr>
            <w:r w:rsidRPr="00D62D04">
              <w:rPr>
                <w:sz w:val="20"/>
                <w:szCs w:val="20"/>
                <w:lang w:val="en-GB"/>
              </w:rPr>
              <w:t xml:space="preserve">Montenegrins </w:t>
            </w:r>
          </w:p>
        </w:tc>
        <w:tc>
          <w:tcPr>
            <w:tcW w:w="1445" w:type="dxa"/>
          </w:tcPr>
          <w:p w14:paraId="30FCD351" w14:textId="77777777" w:rsidR="00BB3887" w:rsidRPr="00D62D04" w:rsidRDefault="00BB3887" w:rsidP="008906E9">
            <w:pPr>
              <w:spacing w:after="0"/>
              <w:rPr>
                <w:sz w:val="20"/>
                <w:szCs w:val="20"/>
                <w:lang w:val="en-GB"/>
              </w:rPr>
            </w:pPr>
            <w:r w:rsidRPr="00D62D04">
              <w:rPr>
                <w:sz w:val="20"/>
                <w:szCs w:val="20"/>
                <w:lang w:val="en-GB"/>
              </w:rPr>
              <w:t>580</w:t>
            </w:r>
            <w:r w:rsidR="008906E9" w:rsidRPr="00D62D04">
              <w:rPr>
                <w:sz w:val="20"/>
                <w:szCs w:val="20"/>
                <w:lang w:val="en-GB"/>
              </w:rPr>
              <w:t>,</w:t>
            </w:r>
            <w:r w:rsidRPr="00D62D04">
              <w:rPr>
                <w:sz w:val="20"/>
                <w:szCs w:val="20"/>
                <w:lang w:val="en-GB"/>
              </w:rPr>
              <w:t>000</w:t>
            </w:r>
            <w:r w:rsidR="008906E9" w:rsidRPr="00D62D04">
              <w:rPr>
                <w:sz w:val="20"/>
                <w:szCs w:val="20"/>
                <w:lang w:val="en-GB"/>
              </w:rPr>
              <w:t>.</w:t>
            </w:r>
            <w:r w:rsidRPr="00D62D04">
              <w:rPr>
                <w:sz w:val="20"/>
                <w:szCs w:val="20"/>
                <w:lang w:val="en-GB"/>
              </w:rPr>
              <w:t>00</w:t>
            </w:r>
          </w:p>
        </w:tc>
        <w:tc>
          <w:tcPr>
            <w:tcW w:w="1446" w:type="dxa"/>
          </w:tcPr>
          <w:p w14:paraId="6E43907B" w14:textId="77777777" w:rsidR="00BB3887" w:rsidRPr="00D62D04" w:rsidRDefault="00BB3887" w:rsidP="008906E9">
            <w:pPr>
              <w:spacing w:after="0"/>
              <w:rPr>
                <w:sz w:val="20"/>
                <w:szCs w:val="20"/>
                <w:lang w:val="en-GB"/>
              </w:rPr>
            </w:pPr>
            <w:r w:rsidRPr="00D62D04">
              <w:rPr>
                <w:sz w:val="20"/>
                <w:szCs w:val="20"/>
                <w:lang w:val="en-GB"/>
              </w:rPr>
              <w:t>580</w:t>
            </w:r>
            <w:r w:rsidR="008906E9" w:rsidRPr="00D62D04">
              <w:rPr>
                <w:sz w:val="20"/>
                <w:szCs w:val="20"/>
                <w:lang w:val="en-GB"/>
              </w:rPr>
              <w:t>,</w:t>
            </w:r>
            <w:r w:rsidRPr="00D62D04">
              <w:rPr>
                <w:sz w:val="20"/>
                <w:szCs w:val="20"/>
                <w:lang w:val="en-GB"/>
              </w:rPr>
              <w:t>000</w:t>
            </w:r>
            <w:r w:rsidR="008906E9" w:rsidRPr="00D62D04">
              <w:rPr>
                <w:sz w:val="20"/>
                <w:szCs w:val="20"/>
                <w:lang w:val="en-GB"/>
              </w:rPr>
              <w:t>.</w:t>
            </w:r>
            <w:r w:rsidRPr="00D62D04">
              <w:rPr>
                <w:sz w:val="20"/>
                <w:szCs w:val="20"/>
                <w:lang w:val="en-GB"/>
              </w:rPr>
              <w:t>00</w:t>
            </w:r>
          </w:p>
        </w:tc>
        <w:tc>
          <w:tcPr>
            <w:tcW w:w="1446" w:type="dxa"/>
          </w:tcPr>
          <w:p w14:paraId="310AB885" w14:textId="77777777" w:rsidR="00BB3887" w:rsidRPr="00D62D04" w:rsidRDefault="00BB3887" w:rsidP="008906E9">
            <w:pPr>
              <w:spacing w:after="0"/>
              <w:rPr>
                <w:sz w:val="20"/>
                <w:szCs w:val="20"/>
                <w:lang w:val="en-GB"/>
              </w:rPr>
            </w:pPr>
            <w:r w:rsidRPr="00D62D04">
              <w:rPr>
                <w:sz w:val="20"/>
                <w:szCs w:val="20"/>
                <w:lang w:val="en-GB"/>
              </w:rPr>
              <w:t>600</w:t>
            </w:r>
            <w:r w:rsidR="008906E9" w:rsidRPr="00D62D04">
              <w:rPr>
                <w:sz w:val="20"/>
                <w:szCs w:val="20"/>
                <w:lang w:val="en-GB"/>
              </w:rPr>
              <w:t>,</w:t>
            </w:r>
            <w:r w:rsidRPr="00D62D04">
              <w:rPr>
                <w:sz w:val="20"/>
                <w:szCs w:val="20"/>
                <w:lang w:val="en-GB"/>
              </w:rPr>
              <w:t>000</w:t>
            </w:r>
            <w:r w:rsidR="008906E9" w:rsidRPr="00D62D04">
              <w:rPr>
                <w:sz w:val="20"/>
                <w:szCs w:val="20"/>
                <w:lang w:val="en-GB"/>
              </w:rPr>
              <w:t>.</w:t>
            </w:r>
            <w:r w:rsidRPr="00D62D04">
              <w:rPr>
                <w:sz w:val="20"/>
                <w:szCs w:val="20"/>
                <w:lang w:val="en-GB"/>
              </w:rPr>
              <w:t>00</w:t>
            </w:r>
          </w:p>
        </w:tc>
        <w:tc>
          <w:tcPr>
            <w:tcW w:w="1446" w:type="dxa"/>
          </w:tcPr>
          <w:p w14:paraId="03558749" w14:textId="77777777" w:rsidR="00BB3887" w:rsidRPr="00D62D04" w:rsidRDefault="00BB3887" w:rsidP="008906E9">
            <w:pPr>
              <w:spacing w:after="0"/>
              <w:rPr>
                <w:sz w:val="20"/>
                <w:szCs w:val="20"/>
                <w:lang w:val="en-GB"/>
              </w:rPr>
            </w:pPr>
            <w:r w:rsidRPr="00D62D04">
              <w:rPr>
                <w:sz w:val="20"/>
                <w:szCs w:val="20"/>
                <w:lang w:val="en-GB"/>
              </w:rPr>
              <w:t>600</w:t>
            </w:r>
            <w:r w:rsidR="008906E9" w:rsidRPr="00D62D04">
              <w:rPr>
                <w:sz w:val="20"/>
                <w:szCs w:val="20"/>
                <w:lang w:val="en-GB"/>
              </w:rPr>
              <w:t>,</w:t>
            </w:r>
            <w:r w:rsidRPr="00D62D04">
              <w:rPr>
                <w:sz w:val="20"/>
                <w:szCs w:val="20"/>
                <w:lang w:val="en-GB"/>
              </w:rPr>
              <w:t>000</w:t>
            </w:r>
            <w:r w:rsidR="008906E9" w:rsidRPr="00D62D04">
              <w:rPr>
                <w:sz w:val="20"/>
                <w:szCs w:val="20"/>
                <w:lang w:val="en-GB"/>
              </w:rPr>
              <w:t>.</w:t>
            </w:r>
            <w:r w:rsidRPr="00D62D04">
              <w:rPr>
                <w:sz w:val="20"/>
                <w:szCs w:val="20"/>
                <w:lang w:val="en-GB"/>
              </w:rPr>
              <w:t>00</w:t>
            </w:r>
          </w:p>
        </w:tc>
        <w:tc>
          <w:tcPr>
            <w:tcW w:w="1446" w:type="dxa"/>
          </w:tcPr>
          <w:p w14:paraId="03339B25" w14:textId="77777777" w:rsidR="00BB3887" w:rsidRPr="00D62D04" w:rsidRDefault="00BB3887" w:rsidP="008906E9">
            <w:pPr>
              <w:spacing w:after="0"/>
              <w:rPr>
                <w:sz w:val="20"/>
                <w:szCs w:val="20"/>
                <w:lang w:val="en-GB"/>
              </w:rPr>
            </w:pPr>
            <w:r w:rsidRPr="00D62D04">
              <w:rPr>
                <w:sz w:val="20"/>
                <w:szCs w:val="20"/>
                <w:lang w:val="en-GB"/>
              </w:rPr>
              <w:t>600</w:t>
            </w:r>
            <w:r w:rsidR="008906E9" w:rsidRPr="00D62D04">
              <w:rPr>
                <w:sz w:val="20"/>
                <w:szCs w:val="20"/>
                <w:lang w:val="en-GB"/>
              </w:rPr>
              <w:t>,</w:t>
            </w:r>
            <w:r w:rsidRPr="00D62D04">
              <w:rPr>
                <w:sz w:val="20"/>
                <w:szCs w:val="20"/>
                <w:lang w:val="en-GB"/>
              </w:rPr>
              <w:t>000</w:t>
            </w:r>
            <w:r w:rsidR="008906E9" w:rsidRPr="00D62D04">
              <w:rPr>
                <w:sz w:val="20"/>
                <w:szCs w:val="20"/>
                <w:lang w:val="en-GB"/>
              </w:rPr>
              <w:t>.</w:t>
            </w:r>
            <w:r w:rsidRPr="00D62D04">
              <w:rPr>
                <w:sz w:val="20"/>
                <w:szCs w:val="20"/>
                <w:lang w:val="en-GB"/>
              </w:rPr>
              <w:t>00</w:t>
            </w:r>
          </w:p>
        </w:tc>
      </w:tr>
      <w:tr w:rsidR="008906E9" w:rsidRPr="00D62D04" w14:paraId="15FF0373" w14:textId="77777777" w:rsidTr="008906E9">
        <w:tc>
          <w:tcPr>
            <w:tcW w:w="1787" w:type="dxa"/>
            <w:vAlign w:val="bottom"/>
          </w:tcPr>
          <w:p w14:paraId="65F89910" w14:textId="77777777" w:rsidR="008906E9" w:rsidRPr="00D62D04" w:rsidRDefault="008906E9" w:rsidP="008906E9">
            <w:pPr>
              <w:spacing w:after="0"/>
              <w:rPr>
                <w:rFonts w:eastAsia="Times New Roman"/>
                <w:bCs/>
                <w:sz w:val="20"/>
                <w:szCs w:val="20"/>
                <w:lang w:val="en-GB"/>
              </w:rPr>
            </w:pPr>
            <w:r w:rsidRPr="00D62D04">
              <w:rPr>
                <w:rFonts w:eastAsia="Times New Roman"/>
                <w:bCs/>
                <w:sz w:val="20"/>
                <w:szCs w:val="20"/>
                <w:lang w:val="en-GB"/>
              </w:rPr>
              <w:t>Czechs</w:t>
            </w:r>
          </w:p>
        </w:tc>
        <w:tc>
          <w:tcPr>
            <w:tcW w:w="1445" w:type="dxa"/>
          </w:tcPr>
          <w:p w14:paraId="0D14EFEE" w14:textId="77777777" w:rsidR="008906E9" w:rsidRPr="00D62D04" w:rsidRDefault="008906E9" w:rsidP="008906E9">
            <w:pPr>
              <w:spacing w:after="0"/>
              <w:rPr>
                <w:sz w:val="20"/>
                <w:szCs w:val="20"/>
                <w:lang w:val="en-GB"/>
              </w:rPr>
            </w:pPr>
            <w:r w:rsidRPr="00D62D04">
              <w:rPr>
                <w:sz w:val="20"/>
                <w:szCs w:val="20"/>
                <w:lang w:val="en-GB"/>
              </w:rPr>
              <w:t>125,000.00</w:t>
            </w:r>
          </w:p>
        </w:tc>
        <w:tc>
          <w:tcPr>
            <w:tcW w:w="1446" w:type="dxa"/>
          </w:tcPr>
          <w:p w14:paraId="77452D43" w14:textId="77777777" w:rsidR="008906E9" w:rsidRPr="00D62D04" w:rsidRDefault="008906E9" w:rsidP="008906E9">
            <w:pPr>
              <w:spacing w:after="0"/>
              <w:rPr>
                <w:sz w:val="20"/>
                <w:szCs w:val="20"/>
                <w:lang w:val="en-GB"/>
              </w:rPr>
            </w:pPr>
            <w:r w:rsidRPr="00D62D04">
              <w:rPr>
                <w:sz w:val="20"/>
                <w:szCs w:val="20"/>
                <w:lang w:val="en-GB"/>
              </w:rPr>
              <w:t>125,000.00</w:t>
            </w:r>
          </w:p>
        </w:tc>
        <w:tc>
          <w:tcPr>
            <w:tcW w:w="1446" w:type="dxa"/>
          </w:tcPr>
          <w:p w14:paraId="33E65F33" w14:textId="77777777" w:rsidR="008906E9" w:rsidRPr="00D62D04" w:rsidRDefault="008906E9" w:rsidP="008906E9">
            <w:pPr>
              <w:spacing w:after="0"/>
              <w:rPr>
                <w:sz w:val="20"/>
                <w:szCs w:val="20"/>
                <w:lang w:val="en-GB"/>
              </w:rPr>
            </w:pPr>
            <w:r w:rsidRPr="00D62D04">
              <w:rPr>
                <w:sz w:val="20"/>
                <w:szCs w:val="20"/>
                <w:lang w:val="en-GB"/>
              </w:rPr>
              <w:t>130,000.00</w:t>
            </w:r>
          </w:p>
        </w:tc>
        <w:tc>
          <w:tcPr>
            <w:tcW w:w="1446" w:type="dxa"/>
          </w:tcPr>
          <w:p w14:paraId="27DEE4BF" w14:textId="77777777" w:rsidR="008906E9" w:rsidRPr="00D62D04" w:rsidRDefault="008906E9" w:rsidP="008906E9">
            <w:pPr>
              <w:spacing w:after="0"/>
              <w:rPr>
                <w:sz w:val="20"/>
                <w:szCs w:val="20"/>
                <w:lang w:val="en-GB"/>
              </w:rPr>
            </w:pPr>
            <w:r w:rsidRPr="00D62D04">
              <w:rPr>
                <w:sz w:val="20"/>
                <w:szCs w:val="20"/>
                <w:lang w:val="en-GB"/>
              </w:rPr>
              <w:t>130,000.00</w:t>
            </w:r>
          </w:p>
        </w:tc>
        <w:tc>
          <w:tcPr>
            <w:tcW w:w="1446" w:type="dxa"/>
          </w:tcPr>
          <w:p w14:paraId="2CFA3639" w14:textId="77777777" w:rsidR="008906E9" w:rsidRPr="00D62D04" w:rsidRDefault="008906E9" w:rsidP="008906E9">
            <w:pPr>
              <w:spacing w:after="0"/>
              <w:rPr>
                <w:sz w:val="20"/>
                <w:szCs w:val="20"/>
                <w:lang w:val="en-GB"/>
              </w:rPr>
            </w:pPr>
            <w:r w:rsidRPr="00D62D04">
              <w:rPr>
                <w:sz w:val="20"/>
                <w:szCs w:val="20"/>
                <w:lang w:val="en-GB"/>
              </w:rPr>
              <w:t>130,000.00</w:t>
            </w:r>
          </w:p>
        </w:tc>
      </w:tr>
      <w:tr w:rsidR="00BB3887" w:rsidRPr="00D62D04" w14:paraId="17018957" w14:textId="77777777" w:rsidTr="008906E9">
        <w:tc>
          <w:tcPr>
            <w:tcW w:w="1787" w:type="dxa"/>
          </w:tcPr>
          <w:p w14:paraId="733404FA" w14:textId="77777777" w:rsidR="00BB3887" w:rsidRPr="00D62D04" w:rsidRDefault="008906E9" w:rsidP="00BB3887">
            <w:pPr>
              <w:spacing w:after="0"/>
              <w:rPr>
                <w:sz w:val="20"/>
                <w:szCs w:val="20"/>
                <w:lang w:val="en-GB"/>
              </w:rPr>
            </w:pPr>
            <w:r w:rsidRPr="00D62D04">
              <w:rPr>
                <w:sz w:val="20"/>
                <w:szCs w:val="20"/>
                <w:lang w:val="en-GB"/>
              </w:rPr>
              <w:t xml:space="preserve">Multicultural </w:t>
            </w:r>
          </w:p>
        </w:tc>
        <w:tc>
          <w:tcPr>
            <w:tcW w:w="1445" w:type="dxa"/>
          </w:tcPr>
          <w:p w14:paraId="2DAFDF7C" w14:textId="77777777" w:rsidR="00BB3887" w:rsidRPr="00D62D04" w:rsidRDefault="00BB3887" w:rsidP="008906E9">
            <w:pPr>
              <w:spacing w:after="0"/>
              <w:rPr>
                <w:sz w:val="20"/>
                <w:szCs w:val="20"/>
                <w:lang w:val="en-GB"/>
              </w:rPr>
            </w:pPr>
            <w:r w:rsidRPr="00D62D04">
              <w:rPr>
                <w:sz w:val="20"/>
                <w:szCs w:val="20"/>
                <w:lang w:val="en-GB"/>
              </w:rPr>
              <w:t>380</w:t>
            </w:r>
            <w:r w:rsidR="008906E9" w:rsidRPr="00D62D04">
              <w:rPr>
                <w:sz w:val="20"/>
                <w:szCs w:val="20"/>
                <w:lang w:val="en-GB"/>
              </w:rPr>
              <w:t>,</w:t>
            </w:r>
            <w:r w:rsidRPr="00D62D04">
              <w:rPr>
                <w:sz w:val="20"/>
                <w:szCs w:val="20"/>
                <w:lang w:val="en-GB"/>
              </w:rPr>
              <w:t>000</w:t>
            </w:r>
            <w:r w:rsidR="008906E9" w:rsidRPr="00D62D04">
              <w:rPr>
                <w:sz w:val="20"/>
                <w:szCs w:val="20"/>
                <w:lang w:val="en-GB"/>
              </w:rPr>
              <w:t>.</w:t>
            </w:r>
            <w:r w:rsidRPr="00D62D04">
              <w:rPr>
                <w:sz w:val="20"/>
                <w:szCs w:val="20"/>
                <w:lang w:val="en-GB"/>
              </w:rPr>
              <w:t>00</w:t>
            </w:r>
          </w:p>
        </w:tc>
        <w:tc>
          <w:tcPr>
            <w:tcW w:w="1446" w:type="dxa"/>
          </w:tcPr>
          <w:p w14:paraId="4F1D6AD8" w14:textId="77777777" w:rsidR="00BB3887" w:rsidRPr="00D62D04" w:rsidRDefault="00BB3887" w:rsidP="008906E9">
            <w:pPr>
              <w:spacing w:after="0"/>
              <w:rPr>
                <w:sz w:val="20"/>
                <w:szCs w:val="20"/>
                <w:lang w:val="en-GB"/>
              </w:rPr>
            </w:pPr>
            <w:r w:rsidRPr="00D62D04">
              <w:rPr>
                <w:sz w:val="20"/>
                <w:szCs w:val="20"/>
                <w:lang w:val="en-GB"/>
              </w:rPr>
              <w:t>270</w:t>
            </w:r>
            <w:r w:rsidR="008906E9" w:rsidRPr="00D62D04">
              <w:rPr>
                <w:sz w:val="20"/>
                <w:szCs w:val="20"/>
                <w:lang w:val="en-GB"/>
              </w:rPr>
              <w:t>,</w:t>
            </w:r>
            <w:r w:rsidRPr="00D62D04">
              <w:rPr>
                <w:sz w:val="20"/>
                <w:szCs w:val="20"/>
                <w:lang w:val="en-GB"/>
              </w:rPr>
              <w:t>000</w:t>
            </w:r>
            <w:r w:rsidR="008906E9" w:rsidRPr="00D62D04">
              <w:rPr>
                <w:sz w:val="20"/>
                <w:szCs w:val="20"/>
                <w:lang w:val="en-GB"/>
              </w:rPr>
              <w:t>.</w:t>
            </w:r>
            <w:r w:rsidRPr="00D62D04">
              <w:rPr>
                <w:sz w:val="20"/>
                <w:szCs w:val="20"/>
                <w:lang w:val="en-GB"/>
              </w:rPr>
              <w:t>00</w:t>
            </w:r>
          </w:p>
        </w:tc>
        <w:tc>
          <w:tcPr>
            <w:tcW w:w="1446" w:type="dxa"/>
          </w:tcPr>
          <w:p w14:paraId="3698AF4B" w14:textId="77777777" w:rsidR="00BB3887" w:rsidRPr="00D62D04" w:rsidRDefault="00BB3887" w:rsidP="008906E9">
            <w:pPr>
              <w:spacing w:after="0"/>
              <w:rPr>
                <w:sz w:val="20"/>
                <w:szCs w:val="20"/>
                <w:lang w:val="en-GB"/>
              </w:rPr>
            </w:pPr>
            <w:r w:rsidRPr="00D62D04">
              <w:rPr>
                <w:sz w:val="20"/>
                <w:szCs w:val="20"/>
                <w:lang w:val="en-GB"/>
              </w:rPr>
              <w:t>210</w:t>
            </w:r>
            <w:r w:rsidR="008906E9" w:rsidRPr="00D62D04">
              <w:rPr>
                <w:sz w:val="20"/>
                <w:szCs w:val="20"/>
                <w:lang w:val="en-GB"/>
              </w:rPr>
              <w:t>,</w:t>
            </w:r>
            <w:r w:rsidRPr="00D62D04">
              <w:rPr>
                <w:sz w:val="20"/>
                <w:szCs w:val="20"/>
                <w:lang w:val="en-GB"/>
              </w:rPr>
              <w:t>000</w:t>
            </w:r>
            <w:r w:rsidR="008906E9" w:rsidRPr="00D62D04">
              <w:rPr>
                <w:sz w:val="20"/>
                <w:szCs w:val="20"/>
                <w:lang w:val="en-GB"/>
              </w:rPr>
              <w:t>.</w:t>
            </w:r>
            <w:r w:rsidRPr="00D62D04">
              <w:rPr>
                <w:sz w:val="20"/>
                <w:szCs w:val="20"/>
                <w:lang w:val="en-GB"/>
              </w:rPr>
              <w:t>00</w:t>
            </w:r>
          </w:p>
        </w:tc>
        <w:tc>
          <w:tcPr>
            <w:tcW w:w="1446" w:type="dxa"/>
          </w:tcPr>
          <w:p w14:paraId="1A89AD62" w14:textId="77777777" w:rsidR="00BB3887" w:rsidRPr="00D62D04" w:rsidRDefault="00BB3887" w:rsidP="008906E9">
            <w:pPr>
              <w:spacing w:after="0"/>
              <w:rPr>
                <w:sz w:val="20"/>
                <w:szCs w:val="20"/>
                <w:lang w:val="en-GB"/>
              </w:rPr>
            </w:pPr>
            <w:r w:rsidRPr="00D62D04">
              <w:rPr>
                <w:sz w:val="20"/>
                <w:szCs w:val="20"/>
                <w:lang w:val="en-GB"/>
              </w:rPr>
              <w:t>240</w:t>
            </w:r>
            <w:r w:rsidR="008906E9" w:rsidRPr="00D62D04">
              <w:rPr>
                <w:sz w:val="20"/>
                <w:szCs w:val="20"/>
                <w:lang w:val="en-GB"/>
              </w:rPr>
              <w:t>,</w:t>
            </w:r>
            <w:r w:rsidRPr="00D62D04">
              <w:rPr>
                <w:sz w:val="20"/>
                <w:szCs w:val="20"/>
                <w:lang w:val="en-GB"/>
              </w:rPr>
              <w:t>000</w:t>
            </w:r>
            <w:r w:rsidR="008906E9" w:rsidRPr="00D62D04">
              <w:rPr>
                <w:sz w:val="20"/>
                <w:szCs w:val="20"/>
                <w:lang w:val="en-GB"/>
              </w:rPr>
              <w:t>.</w:t>
            </w:r>
            <w:r w:rsidRPr="00D62D04">
              <w:rPr>
                <w:sz w:val="20"/>
                <w:szCs w:val="20"/>
                <w:lang w:val="en-GB"/>
              </w:rPr>
              <w:t>00</w:t>
            </w:r>
          </w:p>
        </w:tc>
        <w:tc>
          <w:tcPr>
            <w:tcW w:w="1446" w:type="dxa"/>
          </w:tcPr>
          <w:p w14:paraId="2ECD59FA" w14:textId="77777777" w:rsidR="00BB3887" w:rsidRPr="00D62D04" w:rsidRDefault="00BB3887" w:rsidP="00BB3887">
            <w:pPr>
              <w:spacing w:after="0"/>
              <w:rPr>
                <w:sz w:val="20"/>
                <w:szCs w:val="20"/>
                <w:lang w:val="en-GB"/>
              </w:rPr>
            </w:pPr>
          </w:p>
        </w:tc>
      </w:tr>
      <w:tr w:rsidR="00BB3887" w:rsidRPr="00D62D04" w14:paraId="4F8C9669" w14:textId="77777777" w:rsidTr="008906E9">
        <w:tc>
          <w:tcPr>
            <w:tcW w:w="1787" w:type="dxa"/>
          </w:tcPr>
          <w:p w14:paraId="30FE86F4" w14:textId="77777777" w:rsidR="00BB3887" w:rsidRPr="00D62D04" w:rsidRDefault="008906E9" w:rsidP="00BB3887">
            <w:pPr>
              <w:spacing w:after="0"/>
              <w:rPr>
                <w:sz w:val="20"/>
                <w:szCs w:val="20"/>
                <w:lang w:val="en-GB"/>
              </w:rPr>
            </w:pPr>
            <w:r w:rsidRPr="00D62D04">
              <w:rPr>
                <w:sz w:val="20"/>
                <w:szCs w:val="20"/>
                <w:lang w:val="en-GB"/>
              </w:rPr>
              <w:t xml:space="preserve">Total </w:t>
            </w:r>
          </w:p>
        </w:tc>
        <w:tc>
          <w:tcPr>
            <w:tcW w:w="1445" w:type="dxa"/>
          </w:tcPr>
          <w:p w14:paraId="2F8C08E5" w14:textId="77777777" w:rsidR="00BB3887" w:rsidRPr="00D62D04" w:rsidRDefault="00BB3887" w:rsidP="008906E9">
            <w:pPr>
              <w:spacing w:after="0"/>
              <w:rPr>
                <w:sz w:val="20"/>
                <w:szCs w:val="20"/>
                <w:lang w:val="en-GB"/>
              </w:rPr>
            </w:pPr>
            <w:r w:rsidRPr="00D62D04">
              <w:rPr>
                <w:sz w:val="20"/>
                <w:szCs w:val="20"/>
                <w:lang w:val="en-GB"/>
              </w:rPr>
              <w:t>29</w:t>
            </w:r>
            <w:r w:rsidR="008906E9" w:rsidRPr="00D62D04">
              <w:rPr>
                <w:sz w:val="20"/>
                <w:szCs w:val="20"/>
                <w:lang w:val="en-GB"/>
              </w:rPr>
              <w:t>,</w:t>
            </w:r>
            <w:r w:rsidRPr="00D62D04">
              <w:rPr>
                <w:sz w:val="20"/>
                <w:szCs w:val="20"/>
                <w:lang w:val="en-GB"/>
              </w:rPr>
              <w:t>950</w:t>
            </w:r>
            <w:r w:rsidR="008906E9" w:rsidRPr="00D62D04">
              <w:rPr>
                <w:sz w:val="20"/>
                <w:szCs w:val="20"/>
                <w:lang w:val="en-GB"/>
              </w:rPr>
              <w:t>,</w:t>
            </w:r>
            <w:r w:rsidRPr="00D62D04">
              <w:rPr>
                <w:sz w:val="20"/>
                <w:szCs w:val="20"/>
                <w:lang w:val="en-GB"/>
              </w:rPr>
              <w:t>000</w:t>
            </w:r>
            <w:r w:rsidR="008906E9" w:rsidRPr="00D62D04">
              <w:rPr>
                <w:sz w:val="20"/>
                <w:szCs w:val="20"/>
                <w:lang w:val="en-GB"/>
              </w:rPr>
              <w:t>.</w:t>
            </w:r>
            <w:r w:rsidRPr="00D62D04">
              <w:rPr>
                <w:sz w:val="20"/>
                <w:szCs w:val="20"/>
                <w:lang w:val="en-GB"/>
              </w:rPr>
              <w:t>00</w:t>
            </w:r>
          </w:p>
        </w:tc>
        <w:tc>
          <w:tcPr>
            <w:tcW w:w="1446" w:type="dxa"/>
          </w:tcPr>
          <w:p w14:paraId="2A3E1342" w14:textId="77777777" w:rsidR="00BB3887" w:rsidRPr="00D62D04" w:rsidRDefault="00BB3887" w:rsidP="008906E9">
            <w:pPr>
              <w:spacing w:after="0"/>
              <w:rPr>
                <w:sz w:val="20"/>
                <w:szCs w:val="20"/>
                <w:lang w:val="en-GB"/>
              </w:rPr>
            </w:pPr>
            <w:r w:rsidRPr="00D62D04">
              <w:rPr>
                <w:sz w:val="20"/>
                <w:szCs w:val="20"/>
                <w:lang w:val="en-GB"/>
              </w:rPr>
              <w:t>29</w:t>
            </w:r>
            <w:r w:rsidR="008906E9" w:rsidRPr="00D62D04">
              <w:rPr>
                <w:sz w:val="20"/>
                <w:szCs w:val="20"/>
                <w:lang w:val="en-GB"/>
              </w:rPr>
              <w:t>,</w:t>
            </w:r>
            <w:r w:rsidRPr="00D62D04">
              <w:rPr>
                <w:sz w:val="20"/>
                <w:szCs w:val="20"/>
                <w:lang w:val="en-GB"/>
              </w:rPr>
              <w:t>890</w:t>
            </w:r>
            <w:r w:rsidR="008906E9" w:rsidRPr="00D62D04">
              <w:rPr>
                <w:sz w:val="20"/>
                <w:szCs w:val="20"/>
                <w:lang w:val="en-GB"/>
              </w:rPr>
              <w:t>,</w:t>
            </w:r>
            <w:r w:rsidRPr="00D62D04">
              <w:rPr>
                <w:sz w:val="20"/>
                <w:szCs w:val="20"/>
                <w:lang w:val="en-GB"/>
              </w:rPr>
              <w:t>000</w:t>
            </w:r>
            <w:r w:rsidR="008906E9" w:rsidRPr="00D62D04">
              <w:rPr>
                <w:sz w:val="20"/>
                <w:szCs w:val="20"/>
                <w:lang w:val="en-GB"/>
              </w:rPr>
              <w:t>.</w:t>
            </w:r>
            <w:r w:rsidRPr="00D62D04">
              <w:rPr>
                <w:sz w:val="20"/>
                <w:szCs w:val="20"/>
                <w:lang w:val="en-GB"/>
              </w:rPr>
              <w:t>00</w:t>
            </w:r>
          </w:p>
        </w:tc>
        <w:tc>
          <w:tcPr>
            <w:tcW w:w="1446" w:type="dxa"/>
          </w:tcPr>
          <w:p w14:paraId="2A758B31" w14:textId="77777777" w:rsidR="00BB3887" w:rsidRPr="00D62D04" w:rsidRDefault="00BB3887" w:rsidP="008906E9">
            <w:pPr>
              <w:spacing w:after="0"/>
              <w:rPr>
                <w:sz w:val="20"/>
                <w:szCs w:val="20"/>
                <w:lang w:val="en-GB"/>
              </w:rPr>
            </w:pPr>
            <w:r w:rsidRPr="00D62D04">
              <w:rPr>
                <w:sz w:val="20"/>
                <w:szCs w:val="20"/>
                <w:lang w:val="en-GB"/>
              </w:rPr>
              <w:t>31</w:t>
            </w:r>
            <w:r w:rsidR="008906E9" w:rsidRPr="00D62D04">
              <w:rPr>
                <w:sz w:val="20"/>
                <w:szCs w:val="20"/>
                <w:lang w:val="en-GB"/>
              </w:rPr>
              <w:t>,</w:t>
            </w:r>
            <w:r w:rsidRPr="00D62D04">
              <w:rPr>
                <w:sz w:val="20"/>
                <w:szCs w:val="20"/>
                <w:lang w:val="en-GB"/>
              </w:rPr>
              <w:t>000</w:t>
            </w:r>
            <w:r w:rsidR="008906E9" w:rsidRPr="00D62D04">
              <w:rPr>
                <w:sz w:val="20"/>
                <w:szCs w:val="20"/>
                <w:lang w:val="en-GB"/>
              </w:rPr>
              <w:t>,</w:t>
            </w:r>
            <w:r w:rsidRPr="00D62D04">
              <w:rPr>
                <w:sz w:val="20"/>
                <w:szCs w:val="20"/>
                <w:lang w:val="en-GB"/>
              </w:rPr>
              <w:t>000</w:t>
            </w:r>
            <w:r w:rsidR="008906E9" w:rsidRPr="00D62D04">
              <w:rPr>
                <w:sz w:val="20"/>
                <w:szCs w:val="20"/>
                <w:lang w:val="en-GB"/>
              </w:rPr>
              <w:t>.</w:t>
            </w:r>
            <w:r w:rsidRPr="00D62D04">
              <w:rPr>
                <w:sz w:val="20"/>
                <w:szCs w:val="20"/>
                <w:lang w:val="en-GB"/>
              </w:rPr>
              <w:t>00</w:t>
            </w:r>
          </w:p>
        </w:tc>
        <w:tc>
          <w:tcPr>
            <w:tcW w:w="1446" w:type="dxa"/>
          </w:tcPr>
          <w:p w14:paraId="7A69A3D3" w14:textId="77777777" w:rsidR="00BB3887" w:rsidRPr="00D62D04" w:rsidRDefault="00BB3887" w:rsidP="008906E9">
            <w:pPr>
              <w:spacing w:after="0"/>
              <w:rPr>
                <w:sz w:val="20"/>
                <w:szCs w:val="20"/>
                <w:lang w:val="en-GB"/>
              </w:rPr>
            </w:pPr>
            <w:r w:rsidRPr="00D62D04">
              <w:rPr>
                <w:sz w:val="20"/>
                <w:szCs w:val="20"/>
                <w:lang w:val="en-GB"/>
              </w:rPr>
              <w:t>33</w:t>
            </w:r>
            <w:r w:rsidR="008906E9" w:rsidRPr="00D62D04">
              <w:rPr>
                <w:sz w:val="20"/>
                <w:szCs w:val="20"/>
                <w:lang w:val="en-GB"/>
              </w:rPr>
              <w:t>,</w:t>
            </w:r>
            <w:r w:rsidRPr="00D62D04">
              <w:rPr>
                <w:sz w:val="20"/>
                <w:szCs w:val="20"/>
                <w:lang w:val="en-GB"/>
              </w:rPr>
              <w:t>000</w:t>
            </w:r>
            <w:r w:rsidR="008906E9" w:rsidRPr="00D62D04">
              <w:rPr>
                <w:sz w:val="20"/>
                <w:szCs w:val="20"/>
                <w:lang w:val="en-GB"/>
              </w:rPr>
              <w:t>,</w:t>
            </w:r>
            <w:r w:rsidRPr="00D62D04">
              <w:rPr>
                <w:sz w:val="20"/>
                <w:szCs w:val="20"/>
                <w:lang w:val="en-GB"/>
              </w:rPr>
              <w:t>000</w:t>
            </w:r>
            <w:r w:rsidR="008906E9" w:rsidRPr="00D62D04">
              <w:rPr>
                <w:sz w:val="20"/>
                <w:szCs w:val="20"/>
                <w:lang w:val="en-GB"/>
              </w:rPr>
              <w:t>.</w:t>
            </w:r>
            <w:r w:rsidRPr="00D62D04">
              <w:rPr>
                <w:sz w:val="20"/>
                <w:szCs w:val="20"/>
                <w:lang w:val="en-GB"/>
              </w:rPr>
              <w:t>00</w:t>
            </w:r>
          </w:p>
        </w:tc>
        <w:tc>
          <w:tcPr>
            <w:tcW w:w="1446" w:type="dxa"/>
          </w:tcPr>
          <w:p w14:paraId="41BECB5D" w14:textId="77777777" w:rsidR="00BB3887" w:rsidRPr="00D62D04" w:rsidRDefault="00BB3887" w:rsidP="008906E9">
            <w:pPr>
              <w:spacing w:after="0"/>
              <w:rPr>
                <w:sz w:val="20"/>
                <w:szCs w:val="20"/>
                <w:lang w:val="en-GB"/>
              </w:rPr>
            </w:pPr>
            <w:r w:rsidRPr="00D62D04">
              <w:rPr>
                <w:sz w:val="20"/>
                <w:szCs w:val="20"/>
                <w:lang w:val="en-GB"/>
              </w:rPr>
              <w:t>33</w:t>
            </w:r>
            <w:r w:rsidR="008906E9" w:rsidRPr="00D62D04">
              <w:rPr>
                <w:sz w:val="20"/>
                <w:szCs w:val="20"/>
                <w:lang w:val="en-GB"/>
              </w:rPr>
              <w:t>,</w:t>
            </w:r>
            <w:r w:rsidRPr="00D62D04">
              <w:rPr>
                <w:sz w:val="20"/>
                <w:szCs w:val="20"/>
                <w:lang w:val="en-GB"/>
              </w:rPr>
              <w:t>000</w:t>
            </w:r>
            <w:r w:rsidR="008906E9" w:rsidRPr="00D62D04">
              <w:rPr>
                <w:sz w:val="20"/>
                <w:szCs w:val="20"/>
                <w:lang w:val="en-GB"/>
              </w:rPr>
              <w:t>,</w:t>
            </w:r>
            <w:r w:rsidRPr="00D62D04">
              <w:rPr>
                <w:sz w:val="20"/>
                <w:szCs w:val="20"/>
                <w:lang w:val="en-GB"/>
              </w:rPr>
              <w:t>000</w:t>
            </w:r>
            <w:r w:rsidR="008906E9" w:rsidRPr="00D62D04">
              <w:rPr>
                <w:sz w:val="20"/>
                <w:szCs w:val="20"/>
                <w:lang w:val="en-GB"/>
              </w:rPr>
              <w:t>.</w:t>
            </w:r>
            <w:r w:rsidRPr="00D62D04">
              <w:rPr>
                <w:sz w:val="20"/>
                <w:szCs w:val="20"/>
                <w:lang w:val="en-GB"/>
              </w:rPr>
              <w:t>00</w:t>
            </w:r>
          </w:p>
        </w:tc>
      </w:tr>
    </w:tbl>
    <w:p w14:paraId="5F731C00" w14:textId="77777777" w:rsidR="00BB3887" w:rsidRPr="00D62D04" w:rsidRDefault="00BB3887" w:rsidP="00BB3887">
      <w:pPr>
        <w:spacing w:after="0"/>
        <w:ind w:firstLine="720"/>
        <w:jc w:val="both"/>
        <w:rPr>
          <w:sz w:val="24"/>
          <w:szCs w:val="24"/>
          <w:highlight w:val="cyan"/>
          <w:lang w:val="en-GB"/>
        </w:rPr>
      </w:pPr>
    </w:p>
    <w:p w14:paraId="5E060E61" w14:textId="77777777" w:rsidR="00D62D04" w:rsidRDefault="00D62D04" w:rsidP="00F31B10">
      <w:pPr>
        <w:spacing w:after="0"/>
        <w:ind w:firstLine="720"/>
        <w:jc w:val="both"/>
        <w:rPr>
          <w:sz w:val="24"/>
          <w:szCs w:val="24"/>
          <w:lang w:val="en-GB"/>
        </w:rPr>
      </w:pPr>
      <w:r w:rsidRPr="00D62D04">
        <w:rPr>
          <w:sz w:val="24"/>
          <w:szCs w:val="24"/>
          <w:lang w:val="en-GB"/>
        </w:rPr>
        <w:t>Also, local self-government units regularly announce annual tenders for the allocation of funds from the budget for program</w:t>
      </w:r>
      <w:r>
        <w:rPr>
          <w:sz w:val="24"/>
          <w:szCs w:val="24"/>
          <w:lang w:val="en-GB"/>
        </w:rPr>
        <w:t>me</w:t>
      </w:r>
      <w:r w:rsidRPr="00D62D04">
        <w:rPr>
          <w:sz w:val="24"/>
          <w:szCs w:val="24"/>
          <w:lang w:val="en-GB"/>
        </w:rPr>
        <w:t>s and projects in the field of culture that are important for a specific local self-government unit. Through such tenders, in those local self-government units in which members of national minorities are also represented, funds are allocated for financing program</w:t>
      </w:r>
      <w:r>
        <w:rPr>
          <w:sz w:val="24"/>
          <w:szCs w:val="24"/>
          <w:lang w:val="en-GB"/>
        </w:rPr>
        <w:t>me</w:t>
      </w:r>
      <w:r w:rsidRPr="00D62D04">
        <w:rPr>
          <w:sz w:val="24"/>
          <w:szCs w:val="24"/>
          <w:lang w:val="en-GB"/>
        </w:rPr>
        <w:t xml:space="preserve">s and projects in the field of culture of national minorities. The table below provides, according to the available data, an overview of the number of local self-government units that supported the work of cultural associations or projects in the field of culture of importance for a certain national minority and the amount of allocated funds in 2020. It should be noted that in 2020, when these data were collected, some local self-government units, due to the COVID-19 pandemic, did not announce competitions in the field of culture. Also, it is important to note that data on a large number of financed projects that are important for the entire local self-government unit and all its residents, including members of national minorities, are not </w:t>
      </w:r>
      <w:r>
        <w:rPr>
          <w:sz w:val="24"/>
          <w:szCs w:val="24"/>
          <w:lang w:val="en-GB"/>
        </w:rPr>
        <w:t>given</w:t>
      </w:r>
      <w:r w:rsidRPr="00D62D04">
        <w:rPr>
          <w:sz w:val="24"/>
          <w:szCs w:val="24"/>
          <w:lang w:val="en-GB"/>
        </w:rPr>
        <w:t xml:space="preserve"> in the table below.</w:t>
      </w:r>
    </w:p>
    <w:p w14:paraId="29628C09" w14:textId="77777777" w:rsidR="009E5A17" w:rsidRDefault="009E5A17" w:rsidP="00F31B10">
      <w:pPr>
        <w:spacing w:after="0"/>
        <w:ind w:firstLine="720"/>
        <w:jc w:val="both"/>
        <w:rPr>
          <w:sz w:val="24"/>
          <w:szCs w:val="24"/>
          <w:lang w:val="en-GB"/>
        </w:rPr>
      </w:pPr>
      <w:r w:rsidRPr="009E5A17">
        <w:rPr>
          <w:sz w:val="24"/>
          <w:szCs w:val="24"/>
          <w:lang w:val="en-GB"/>
        </w:rPr>
        <w:t xml:space="preserve">Also, it is important to note that data on a large number of financed projects that are important for the entire local self-government unit and all its residents, including members of national minorities, are not </w:t>
      </w:r>
      <w:r>
        <w:rPr>
          <w:sz w:val="24"/>
          <w:szCs w:val="24"/>
          <w:lang w:val="en-GB"/>
        </w:rPr>
        <w:t>given</w:t>
      </w:r>
      <w:r w:rsidRPr="009E5A17">
        <w:rPr>
          <w:sz w:val="24"/>
          <w:szCs w:val="24"/>
          <w:lang w:val="en-GB"/>
        </w:rPr>
        <w:t xml:space="preserve"> in the table below.</w:t>
      </w:r>
    </w:p>
    <w:p w14:paraId="44A30538" w14:textId="77777777" w:rsidR="00F31B10" w:rsidRPr="00D62D04" w:rsidRDefault="00F31B10" w:rsidP="00F31B10">
      <w:pPr>
        <w:spacing w:after="0"/>
        <w:jc w:val="both"/>
        <w:rPr>
          <w:sz w:val="24"/>
          <w:szCs w:val="24"/>
          <w:highlight w:val="cyan"/>
          <w:lang w:val="en-GB"/>
        </w:rPr>
      </w:pPr>
    </w:p>
    <w:tbl>
      <w:tblPr>
        <w:tblStyle w:val="TableGrid"/>
        <w:tblW w:w="0" w:type="auto"/>
        <w:tblLook w:val="04A0" w:firstRow="1" w:lastRow="0" w:firstColumn="1" w:lastColumn="0" w:noHBand="0" w:noVBand="1"/>
      </w:tblPr>
      <w:tblGrid>
        <w:gridCol w:w="3005"/>
        <w:gridCol w:w="3005"/>
        <w:gridCol w:w="3006"/>
      </w:tblGrid>
      <w:tr w:rsidR="00F31B10" w:rsidRPr="00D62D04" w14:paraId="6B18DBD9" w14:textId="77777777" w:rsidTr="0056662A">
        <w:tc>
          <w:tcPr>
            <w:tcW w:w="3005" w:type="dxa"/>
          </w:tcPr>
          <w:p w14:paraId="3D0C07EA" w14:textId="77777777" w:rsidR="00F31B10" w:rsidRPr="009E5A17" w:rsidRDefault="009E5A17" w:rsidP="0056662A">
            <w:pPr>
              <w:spacing w:after="0"/>
              <w:jc w:val="center"/>
              <w:rPr>
                <w:sz w:val="20"/>
                <w:szCs w:val="20"/>
                <w:lang w:val="en-GB"/>
              </w:rPr>
            </w:pPr>
            <w:r w:rsidRPr="009E5A17">
              <w:rPr>
                <w:sz w:val="20"/>
                <w:szCs w:val="20"/>
                <w:lang w:val="en-GB"/>
              </w:rPr>
              <w:t xml:space="preserve">National minority </w:t>
            </w:r>
          </w:p>
        </w:tc>
        <w:tc>
          <w:tcPr>
            <w:tcW w:w="3005" w:type="dxa"/>
          </w:tcPr>
          <w:p w14:paraId="11987C4B" w14:textId="77777777" w:rsidR="00F31B10" w:rsidRPr="009E5A17" w:rsidRDefault="009E5A17" w:rsidP="0056662A">
            <w:pPr>
              <w:spacing w:after="0"/>
              <w:jc w:val="center"/>
              <w:rPr>
                <w:sz w:val="20"/>
                <w:szCs w:val="20"/>
                <w:lang w:val="en-GB"/>
              </w:rPr>
            </w:pPr>
            <w:r w:rsidRPr="009E5A17">
              <w:rPr>
                <w:sz w:val="20"/>
                <w:szCs w:val="20"/>
                <w:lang w:val="en-GB"/>
              </w:rPr>
              <w:t>Number of LSGUs that allocated funds</w:t>
            </w:r>
          </w:p>
        </w:tc>
        <w:tc>
          <w:tcPr>
            <w:tcW w:w="3006" w:type="dxa"/>
          </w:tcPr>
          <w:p w14:paraId="21E50C62" w14:textId="77777777" w:rsidR="00F31B10" w:rsidRPr="009E5A17" w:rsidRDefault="009E5A17" w:rsidP="0056662A">
            <w:pPr>
              <w:spacing w:after="0"/>
              <w:jc w:val="center"/>
              <w:rPr>
                <w:sz w:val="20"/>
                <w:szCs w:val="20"/>
                <w:lang w:val="en-GB"/>
              </w:rPr>
            </w:pPr>
            <w:r w:rsidRPr="009E5A17">
              <w:rPr>
                <w:sz w:val="20"/>
                <w:szCs w:val="20"/>
                <w:lang w:val="en-GB"/>
              </w:rPr>
              <w:t xml:space="preserve">Amount </w:t>
            </w:r>
            <w:proofErr w:type="spellStart"/>
            <w:r w:rsidRPr="009E5A17">
              <w:rPr>
                <w:sz w:val="20"/>
                <w:szCs w:val="20"/>
                <w:lang w:val="en-GB"/>
              </w:rPr>
              <w:t>o</w:t>
            </w:r>
            <w:proofErr w:type="spellEnd"/>
            <w:r w:rsidRPr="009E5A17">
              <w:rPr>
                <w:sz w:val="20"/>
                <w:szCs w:val="20"/>
                <w:lang w:val="en-GB"/>
              </w:rPr>
              <w:t xml:space="preserve"> funds</w:t>
            </w:r>
          </w:p>
        </w:tc>
      </w:tr>
      <w:tr w:rsidR="00F31B10" w:rsidRPr="005010CF" w14:paraId="1EB93B81" w14:textId="77777777" w:rsidTr="0056662A">
        <w:tc>
          <w:tcPr>
            <w:tcW w:w="3005" w:type="dxa"/>
          </w:tcPr>
          <w:p w14:paraId="33B70247" w14:textId="77777777" w:rsidR="00F31B10" w:rsidRPr="005010CF" w:rsidRDefault="005010CF" w:rsidP="0056662A">
            <w:pPr>
              <w:spacing w:after="0"/>
              <w:jc w:val="both"/>
              <w:rPr>
                <w:sz w:val="20"/>
                <w:szCs w:val="20"/>
                <w:lang w:val="en-GB"/>
              </w:rPr>
            </w:pPr>
            <w:r w:rsidRPr="005010CF">
              <w:rPr>
                <w:sz w:val="20"/>
                <w:szCs w:val="20"/>
                <w:lang w:val="en-GB"/>
              </w:rPr>
              <w:t xml:space="preserve">Albanians </w:t>
            </w:r>
          </w:p>
        </w:tc>
        <w:tc>
          <w:tcPr>
            <w:tcW w:w="3005" w:type="dxa"/>
          </w:tcPr>
          <w:p w14:paraId="0EDF2DBF" w14:textId="77777777" w:rsidR="00F31B10" w:rsidRPr="005010CF" w:rsidRDefault="00F31B10" w:rsidP="0056662A">
            <w:pPr>
              <w:spacing w:after="0"/>
              <w:jc w:val="right"/>
              <w:rPr>
                <w:sz w:val="20"/>
                <w:szCs w:val="20"/>
                <w:lang w:val="en-GB"/>
              </w:rPr>
            </w:pPr>
            <w:r w:rsidRPr="005010CF">
              <w:rPr>
                <w:sz w:val="20"/>
                <w:szCs w:val="20"/>
                <w:lang w:val="en-GB"/>
              </w:rPr>
              <w:t>2</w:t>
            </w:r>
          </w:p>
        </w:tc>
        <w:tc>
          <w:tcPr>
            <w:tcW w:w="3006" w:type="dxa"/>
          </w:tcPr>
          <w:p w14:paraId="22EAA499" w14:textId="77777777" w:rsidR="00F31B10" w:rsidRPr="005010CF" w:rsidRDefault="00F31B10" w:rsidP="005010CF">
            <w:pPr>
              <w:spacing w:after="0"/>
              <w:jc w:val="right"/>
              <w:rPr>
                <w:sz w:val="20"/>
                <w:szCs w:val="20"/>
                <w:lang w:val="en-GB"/>
              </w:rPr>
            </w:pPr>
            <w:r w:rsidRPr="005010CF">
              <w:rPr>
                <w:sz w:val="20"/>
                <w:szCs w:val="20"/>
                <w:lang w:val="en-GB"/>
              </w:rPr>
              <w:t>5</w:t>
            </w:r>
            <w:r w:rsidR="005010CF" w:rsidRPr="005010CF">
              <w:rPr>
                <w:sz w:val="20"/>
                <w:szCs w:val="20"/>
                <w:lang w:val="en-GB"/>
              </w:rPr>
              <w:t>,</w:t>
            </w:r>
            <w:r w:rsidRPr="005010CF">
              <w:rPr>
                <w:sz w:val="20"/>
                <w:szCs w:val="20"/>
                <w:lang w:val="en-GB"/>
              </w:rPr>
              <w:t>615</w:t>
            </w:r>
            <w:r w:rsidR="005010CF" w:rsidRPr="005010CF">
              <w:rPr>
                <w:sz w:val="20"/>
                <w:szCs w:val="20"/>
                <w:lang w:val="en-GB"/>
              </w:rPr>
              <w:t>,</w:t>
            </w:r>
            <w:r w:rsidRPr="005010CF">
              <w:rPr>
                <w:sz w:val="20"/>
                <w:szCs w:val="20"/>
                <w:lang w:val="en-GB"/>
              </w:rPr>
              <w:t>000</w:t>
            </w:r>
            <w:r w:rsidR="005010CF" w:rsidRPr="005010CF">
              <w:rPr>
                <w:sz w:val="20"/>
                <w:szCs w:val="20"/>
                <w:lang w:val="en-GB"/>
              </w:rPr>
              <w:t>.</w:t>
            </w:r>
            <w:r w:rsidRPr="005010CF">
              <w:rPr>
                <w:sz w:val="20"/>
                <w:szCs w:val="20"/>
                <w:lang w:val="en-GB"/>
              </w:rPr>
              <w:t>00</w:t>
            </w:r>
          </w:p>
        </w:tc>
      </w:tr>
      <w:tr w:rsidR="00F31B10" w:rsidRPr="005010CF" w14:paraId="054A02AE" w14:textId="77777777" w:rsidTr="0056662A">
        <w:tc>
          <w:tcPr>
            <w:tcW w:w="3005" w:type="dxa"/>
          </w:tcPr>
          <w:p w14:paraId="432C8700" w14:textId="77777777" w:rsidR="00F31B10" w:rsidRPr="005010CF" w:rsidRDefault="005010CF" w:rsidP="0056662A">
            <w:pPr>
              <w:spacing w:after="0"/>
              <w:jc w:val="both"/>
              <w:rPr>
                <w:sz w:val="20"/>
                <w:szCs w:val="20"/>
                <w:lang w:val="en-GB"/>
              </w:rPr>
            </w:pPr>
            <w:proofErr w:type="spellStart"/>
            <w:r w:rsidRPr="005010CF">
              <w:rPr>
                <w:sz w:val="20"/>
                <w:szCs w:val="20"/>
                <w:lang w:val="en-GB"/>
              </w:rPr>
              <w:t>Bosniaks</w:t>
            </w:r>
            <w:proofErr w:type="spellEnd"/>
            <w:r w:rsidRPr="005010CF">
              <w:rPr>
                <w:sz w:val="20"/>
                <w:szCs w:val="20"/>
                <w:lang w:val="en-GB"/>
              </w:rPr>
              <w:t xml:space="preserve"> </w:t>
            </w:r>
          </w:p>
        </w:tc>
        <w:tc>
          <w:tcPr>
            <w:tcW w:w="3005" w:type="dxa"/>
          </w:tcPr>
          <w:p w14:paraId="1E43DB40" w14:textId="77777777" w:rsidR="00F31B10" w:rsidRPr="005010CF" w:rsidRDefault="00F31B10" w:rsidP="0056662A">
            <w:pPr>
              <w:spacing w:after="0"/>
              <w:jc w:val="right"/>
              <w:rPr>
                <w:sz w:val="20"/>
                <w:szCs w:val="20"/>
                <w:lang w:val="en-GB"/>
              </w:rPr>
            </w:pPr>
            <w:r w:rsidRPr="005010CF">
              <w:rPr>
                <w:sz w:val="20"/>
                <w:szCs w:val="20"/>
                <w:lang w:val="en-GB"/>
              </w:rPr>
              <w:t>1</w:t>
            </w:r>
          </w:p>
        </w:tc>
        <w:tc>
          <w:tcPr>
            <w:tcW w:w="3006" w:type="dxa"/>
          </w:tcPr>
          <w:p w14:paraId="2C3EEE55" w14:textId="77777777" w:rsidR="00F31B10" w:rsidRPr="005010CF" w:rsidRDefault="00F31B10" w:rsidP="005010CF">
            <w:pPr>
              <w:spacing w:after="0"/>
              <w:jc w:val="right"/>
              <w:rPr>
                <w:sz w:val="20"/>
                <w:szCs w:val="20"/>
                <w:lang w:val="en-GB"/>
              </w:rPr>
            </w:pPr>
            <w:r w:rsidRPr="005010CF">
              <w:rPr>
                <w:rStyle w:val="Strong"/>
                <w:b w:val="0"/>
                <w:color w:val="282828"/>
                <w:sz w:val="20"/>
                <w:szCs w:val="20"/>
                <w:shd w:val="clear" w:color="auto" w:fill="FFFFFF"/>
                <w:lang w:val="en-GB"/>
              </w:rPr>
              <w:t>70</w:t>
            </w:r>
            <w:r w:rsidR="005010CF" w:rsidRPr="005010CF">
              <w:rPr>
                <w:rStyle w:val="Strong"/>
                <w:b w:val="0"/>
                <w:color w:val="282828"/>
                <w:sz w:val="20"/>
                <w:szCs w:val="20"/>
                <w:shd w:val="clear" w:color="auto" w:fill="FFFFFF"/>
                <w:lang w:val="en-GB"/>
              </w:rPr>
              <w:t>,</w:t>
            </w:r>
            <w:r w:rsidRPr="005010CF">
              <w:rPr>
                <w:rStyle w:val="Strong"/>
                <w:b w:val="0"/>
                <w:color w:val="282828"/>
                <w:sz w:val="20"/>
                <w:szCs w:val="20"/>
                <w:shd w:val="clear" w:color="auto" w:fill="FFFFFF"/>
                <w:lang w:val="en-GB"/>
              </w:rPr>
              <w:t>000</w:t>
            </w:r>
            <w:r w:rsidR="005010CF" w:rsidRPr="005010CF">
              <w:rPr>
                <w:rStyle w:val="Strong"/>
                <w:b w:val="0"/>
                <w:color w:val="282828"/>
                <w:sz w:val="20"/>
                <w:szCs w:val="20"/>
                <w:shd w:val="clear" w:color="auto" w:fill="FFFFFF"/>
                <w:lang w:val="en-GB"/>
              </w:rPr>
              <w:t>.</w:t>
            </w:r>
            <w:r w:rsidRPr="005010CF">
              <w:rPr>
                <w:rStyle w:val="Strong"/>
                <w:b w:val="0"/>
                <w:color w:val="282828"/>
                <w:sz w:val="20"/>
                <w:szCs w:val="20"/>
                <w:shd w:val="clear" w:color="auto" w:fill="FFFFFF"/>
                <w:lang w:val="en-GB"/>
              </w:rPr>
              <w:t>00</w:t>
            </w:r>
          </w:p>
        </w:tc>
      </w:tr>
      <w:tr w:rsidR="00F31B10" w:rsidRPr="005010CF" w14:paraId="77B5FD78" w14:textId="77777777" w:rsidTr="0056662A">
        <w:tc>
          <w:tcPr>
            <w:tcW w:w="3005" w:type="dxa"/>
          </w:tcPr>
          <w:p w14:paraId="035591D9" w14:textId="77777777" w:rsidR="00F31B10" w:rsidRPr="005010CF" w:rsidRDefault="005010CF" w:rsidP="0056662A">
            <w:pPr>
              <w:spacing w:after="0"/>
              <w:jc w:val="both"/>
              <w:rPr>
                <w:sz w:val="20"/>
                <w:szCs w:val="20"/>
                <w:lang w:val="en-GB"/>
              </w:rPr>
            </w:pPr>
            <w:r w:rsidRPr="005010CF">
              <w:rPr>
                <w:sz w:val="20"/>
                <w:szCs w:val="20"/>
                <w:lang w:val="en-GB"/>
              </w:rPr>
              <w:t xml:space="preserve">Bulgarians </w:t>
            </w:r>
          </w:p>
        </w:tc>
        <w:tc>
          <w:tcPr>
            <w:tcW w:w="3005" w:type="dxa"/>
          </w:tcPr>
          <w:p w14:paraId="04C8F3FF" w14:textId="77777777" w:rsidR="00F31B10" w:rsidRPr="005010CF" w:rsidRDefault="00F31B10" w:rsidP="0056662A">
            <w:pPr>
              <w:spacing w:after="0"/>
              <w:jc w:val="right"/>
              <w:rPr>
                <w:sz w:val="20"/>
                <w:szCs w:val="20"/>
                <w:lang w:val="en-GB"/>
              </w:rPr>
            </w:pPr>
            <w:r w:rsidRPr="005010CF">
              <w:rPr>
                <w:sz w:val="20"/>
                <w:szCs w:val="20"/>
                <w:lang w:val="en-GB"/>
              </w:rPr>
              <w:t>3</w:t>
            </w:r>
          </w:p>
        </w:tc>
        <w:tc>
          <w:tcPr>
            <w:tcW w:w="3006" w:type="dxa"/>
          </w:tcPr>
          <w:p w14:paraId="2C454006" w14:textId="77777777" w:rsidR="00F31B10" w:rsidRPr="005010CF" w:rsidRDefault="00F31B10" w:rsidP="005010CF">
            <w:pPr>
              <w:spacing w:after="0"/>
              <w:jc w:val="right"/>
              <w:rPr>
                <w:sz w:val="20"/>
                <w:szCs w:val="20"/>
                <w:lang w:val="en-GB"/>
              </w:rPr>
            </w:pPr>
            <w:r w:rsidRPr="005010CF">
              <w:rPr>
                <w:sz w:val="20"/>
                <w:szCs w:val="20"/>
                <w:lang w:val="en-GB"/>
              </w:rPr>
              <w:t>844</w:t>
            </w:r>
            <w:r w:rsidR="005010CF" w:rsidRPr="005010CF">
              <w:rPr>
                <w:sz w:val="20"/>
                <w:szCs w:val="20"/>
                <w:lang w:val="en-GB"/>
              </w:rPr>
              <w:t>,</w:t>
            </w:r>
            <w:r w:rsidRPr="005010CF">
              <w:rPr>
                <w:sz w:val="20"/>
                <w:szCs w:val="20"/>
                <w:lang w:val="en-GB"/>
              </w:rPr>
              <w:t>000</w:t>
            </w:r>
            <w:r w:rsidR="005010CF" w:rsidRPr="005010CF">
              <w:rPr>
                <w:sz w:val="20"/>
                <w:szCs w:val="20"/>
                <w:lang w:val="en-GB"/>
              </w:rPr>
              <w:t>.</w:t>
            </w:r>
            <w:r w:rsidRPr="005010CF">
              <w:rPr>
                <w:sz w:val="20"/>
                <w:szCs w:val="20"/>
                <w:lang w:val="en-GB"/>
              </w:rPr>
              <w:t>00</w:t>
            </w:r>
          </w:p>
        </w:tc>
      </w:tr>
      <w:tr w:rsidR="00F31B10" w:rsidRPr="005010CF" w14:paraId="2FAFBB3C" w14:textId="77777777" w:rsidTr="0056662A">
        <w:tc>
          <w:tcPr>
            <w:tcW w:w="3005" w:type="dxa"/>
          </w:tcPr>
          <w:p w14:paraId="1BC9D5E3" w14:textId="77777777" w:rsidR="00F31B10" w:rsidRPr="005010CF" w:rsidRDefault="005010CF" w:rsidP="0056662A">
            <w:pPr>
              <w:spacing w:after="0"/>
              <w:jc w:val="both"/>
              <w:rPr>
                <w:sz w:val="20"/>
                <w:szCs w:val="20"/>
                <w:lang w:val="en-GB"/>
              </w:rPr>
            </w:pPr>
            <w:proofErr w:type="spellStart"/>
            <w:r w:rsidRPr="005010CF">
              <w:rPr>
                <w:sz w:val="20"/>
                <w:szCs w:val="20"/>
                <w:lang w:val="en-GB"/>
              </w:rPr>
              <w:t>Bunjevci</w:t>
            </w:r>
            <w:proofErr w:type="spellEnd"/>
            <w:r w:rsidRPr="005010CF">
              <w:rPr>
                <w:sz w:val="20"/>
                <w:szCs w:val="20"/>
                <w:lang w:val="en-GB"/>
              </w:rPr>
              <w:t xml:space="preserve"> </w:t>
            </w:r>
          </w:p>
        </w:tc>
        <w:tc>
          <w:tcPr>
            <w:tcW w:w="3005" w:type="dxa"/>
          </w:tcPr>
          <w:p w14:paraId="291F3185" w14:textId="77777777" w:rsidR="00F31B10" w:rsidRPr="005010CF" w:rsidRDefault="00F31B10" w:rsidP="0056662A">
            <w:pPr>
              <w:spacing w:after="0"/>
              <w:jc w:val="right"/>
              <w:rPr>
                <w:sz w:val="20"/>
                <w:szCs w:val="20"/>
                <w:lang w:val="en-GB"/>
              </w:rPr>
            </w:pPr>
            <w:r w:rsidRPr="005010CF">
              <w:rPr>
                <w:sz w:val="20"/>
                <w:szCs w:val="20"/>
                <w:lang w:val="en-GB"/>
              </w:rPr>
              <w:t>2</w:t>
            </w:r>
          </w:p>
        </w:tc>
        <w:tc>
          <w:tcPr>
            <w:tcW w:w="3006" w:type="dxa"/>
          </w:tcPr>
          <w:p w14:paraId="2CBB7CCE" w14:textId="77777777" w:rsidR="00F31B10" w:rsidRPr="005010CF" w:rsidRDefault="00F31B10" w:rsidP="005010CF">
            <w:pPr>
              <w:spacing w:after="0"/>
              <w:jc w:val="right"/>
              <w:rPr>
                <w:sz w:val="20"/>
                <w:szCs w:val="20"/>
                <w:lang w:val="en-GB"/>
              </w:rPr>
            </w:pPr>
            <w:r w:rsidRPr="005010CF">
              <w:rPr>
                <w:sz w:val="20"/>
                <w:szCs w:val="20"/>
                <w:lang w:val="en-GB"/>
              </w:rPr>
              <w:t>2</w:t>
            </w:r>
            <w:r w:rsidR="005010CF" w:rsidRPr="005010CF">
              <w:rPr>
                <w:sz w:val="20"/>
                <w:szCs w:val="20"/>
                <w:lang w:val="en-GB"/>
              </w:rPr>
              <w:t>,</w:t>
            </w:r>
            <w:r w:rsidRPr="005010CF">
              <w:rPr>
                <w:sz w:val="20"/>
                <w:szCs w:val="20"/>
                <w:lang w:val="en-GB"/>
              </w:rPr>
              <w:t>700</w:t>
            </w:r>
            <w:r w:rsidR="005010CF" w:rsidRPr="005010CF">
              <w:rPr>
                <w:sz w:val="20"/>
                <w:szCs w:val="20"/>
                <w:lang w:val="en-GB"/>
              </w:rPr>
              <w:t>,</w:t>
            </w:r>
            <w:r w:rsidRPr="005010CF">
              <w:rPr>
                <w:sz w:val="20"/>
                <w:szCs w:val="20"/>
                <w:lang w:val="en-GB"/>
              </w:rPr>
              <w:t>000</w:t>
            </w:r>
            <w:r w:rsidR="005010CF" w:rsidRPr="005010CF">
              <w:rPr>
                <w:sz w:val="20"/>
                <w:szCs w:val="20"/>
                <w:lang w:val="en-GB"/>
              </w:rPr>
              <w:t>.</w:t>
            </w:r>
            <w:r w:rsidRPr="005010CF">
              <w:rPr>
                <w:sz w:val="20"/>
                <w:szCs w:val="20"/>
                <w:lang w:val="en-GB"/>
              </w:rPr>
              <w:t>00</w:t>
            </w:r>
          </w:p>
        </w:tc>
      </w:tr>
      <w:tr w:rsidR="00F31B10" w:rsidRPr="00D62D04" w14:paraId="27EB7A72" w14:textId="77777777" w:rsidTr="0056662A">
        <w:tc>
          <w:tcPr>
            <w:tcW w:w="3005" w:type="dxa"/>
          </w:tcPr>
          <w:p w14:paraId="03AEC2D2" w14:textId="77777777" w:rsidR="00F31B10" w:rsidRPr="005010CF" w:rsidRDefault="005010CF" w:rsidP="0056662A">
            <w:pPr>
              <w:spacing w:after="0"/>
              <w:jc w:val="both"/>
              <w:rPr>
                <w:sz w:val="20"/>
                <w:szCs w:val="20"/>
                <w:lang w:val="en-GB"/>
              </w:rPr>
            </w:pPr>
            <w:proofErr w:type="spellStart"/>
            <w:r w:rsidRPr="005010CF">
              <w:rPr>
                <w:sz w:val="20"/>
                <w:szCs w:val="20"/>
                <w:lang w:val="en-GB"/>
              </w:rPr>
              <w:t>Vlachs</w:t>
            </w:r>
            <w:proofErr w:type="spellEnd"/>
            <w:r w:rsidRPr="005010CF">
              <w:rPr>
                <w:sz w:val="20"/>
                <w:szCs w:val="20"/>
                <w:lang w:val="en-GB"/>
              </w:rPr>
              <w:t xml:space="preserve"> </w:t>
            </w:r>
          </w:p>
        </w:tc>
        <w:tc>
          <w:tcPr>
            <w:tcW w:w="3005" w:type="dxa"/>
          </w:tcPr>
          <w:p w14:paraId="6274937B" w14:textId="77777777" w:rsidR="00F31B10" w:rsidRPr="005010CF" w:rsidRDefault="00F31B10" w:rsidP="0056662A">
            <w:pPr>
              <w:spacing w:after="0"/>
              <w:jc w:val="right"/>
              <w:rPr>
                <w:sz w:val="20"/>
                <w:szCs w:val="20"/>
                <w:lang w:val="en-GB"/>
              </w:rPr>
            </w:pPr>
            <w:r w:rsidRPr="005010CF">
              <w:rPr>
                <w:sz w:val="20"/>
                <w:szCs w:val="20"/>
                <w:lang w:val="en-GB"/>
              </w:rPr>
              <w:t>4</w:t>
            </w:r>
          </w:p>
        </w:tc>
        <w:tc>
          <w:tcPr>
            <w:tcW w:w="3006" w:type="dxa"/>
          </w:tcPr>
          <w:p w14:paraId="2D4AC16F" w14:textId="77777777" w:rsidR="00F31B10" w:rsidRPr="005010CF" w:rsidRDefault="00F31B10" w:rsidP="005010CF">
            <w:pPr>
              <w:spacing w:after="0"/>
              <w:jc w:val="right"/>
              <w:rPr>
                <w:sz w:val="20"/>
                <w:szCs w:val="20"/>
                <w:lang w:val="en-GB"/>
              </w:rPr>
            </w:pPr>
            <w:r w:rsidRPr="005010CF">
              <w:rPr>
                <w:sz w:val="20"/>
                <w:szCs w:val="20"/>
                <w:lang w:val="en-GB"/>
              </w:rPr>
              <w:t>890</w:t>
            </w:r>
            <w:r w:rsidR="005010CF" w:rsidRPr="005010CF">
              <w:rPr>
                <w:sz w:val="20"/>
                <w:szCs w:val="20"/>
                <w:lang w:val="en-GB"/>
              </w:rPr>
              <w:t>,</w:t>
            </w:r>
            <w:r w:rsidRPr="005010CF">
              <w:rPr>
                <w:sz w:val="20"/>
                <w:szCs w:val="20"/>
                <w:lang w:val="en-GB"/>
              </w:rPr>
              <w:t>000</w:t>
            </w:r>
            <w:r w:rsidR="005010CF" w:rsidRPr="005010CF">
              <w:rPr>
                <w:sz w:val="20"/>
                <w:szCs w:val="20"/>
                <w:lang w:val="en-GB"/>
              </w:rPr>
              <w:t>.</w:t>
            </w:r>
            <w:r w:rsidRPr="005010CF">
              <w:rPr>
                <w:sz w:val="20"/>
                <w:szCs w:val="20"/>
                <w:lang w:val="en-GB"/>
              </w:rPr>
              <w:t>00</w:t>
            </w:r>
          </w:p>
        </w:tc>
      </w:tr>
      <w:tr w:rsidR="00F31B10" w:rsidRPr="00D62D04" w14:paraId="0EF352B4" w14:textId="77777777" w:rsidTr="0056662A">
        <w:tc>
          <w:tcPr>
            <w:tcW w:w="3005" w:type="dxa"/>
          </w:tcPr>
          <w:p w14:paraId="0FC526F5" w14:textId="77777777" w:rsidR="00F31B10" w:rsidRPr="00114B7A" w:rsidRDefault="00114B7A" w:rsidP="0056662A">
            <w:pPr>
              <w:spacing w:after="0"/>
              <w:jc w:val="both"/>
              <w:rPr>
                <w:sz w:val="20"/>
                <w:szCs w:val="20"/>
                <w:lang w:val="en-GB"/>
              </w:rPr>
            </w:pPr>
            <w:r w:rsidRPr="00114B7A">
              <w:rPr>
                <w:sz w:val="20"/>
                <w:szCs w:val="20"/>
                <w:lang w:val="en-GB"/>
              </w:rPr>
              <w:t xml:space="preserve">Greeks </w:t>
            </w:r>
          </w:p>
        </w:tc>
        <w:tc>
          <w:tcPr>
            <w:tcW w:w="3005" w:type="dxa"/>
          </w:tcPr>
          <w:p w14:paraId="197439AE" w14:textId="77777777" w:rsidR="00F31B10" w:rsidRPr="00114B7A" w:rsidRDefault="00F31B10" w:rsidP="0056662A">
            <w:pPr>
              <w:spacing w:after="0"/>
              <w:jc w:val="right"/>
              <w:rPr>
                <w:sz w:val="20"/>
                <w:szCs w:val="20"/>
                <w:lang w:val="en-GB"/>
              </w:rPr>
            </w:pPr>
            <w:r w:rsidRPr="00114B7A">
              <w:rPr>
                <w:sz w:val="20"/>
                <w:szCs w:val="20"/>
                <w:lang w:val="en-GB"/>
              </w:rPr>
              <w:t>3</w:t>
            </w:r>
          </w:p>
        </w:tc>
        <w:tc>
          <w:tcPr>
            <w:tcW w:w="3006" w:type="dxa"/>
          </w:tcPr>
          <w:p w14:paraId="1AD5964A" w14:textId="77777777" w:rsidR="00F31B10" w:rsidRPr="00114B7A" w:rsidRDefault="00F31B10" w:rsidP="00114B7A">
            <w:pPr>
              <w:spacing w:after="0"/>
              <w:jc w:val="right"/>
              <w:rPr>
                <w:sz w:val="20"/>
                <w:szCs w:val="20"/>
                <w:lang w:val="en-GB"/>
              </w:rPr>
            </w:pPr>
            <w:r w:rsidRPr="00114B7A">
              <w:rPr>
                <w:sz w:val="20"/>
                <w:szCs w:val="20"/>
                <w:lang w:val="en-GB"/>
              </w:rPr>
              <w:t>755</w:t>
            </w:r>
            <w:r w:rsidR="00114B7A" w:rsidRPr="00114B7A">
              <w:rPr>
                <w:sz w:val="20"/>
                <w:szCs w:val="20"/>
                <w:lang w:val="en-GB"/>
              </w:rPr>
              <w:t>,</w:t>
            </w:r>
            <w:r w:rsidRPr="00114B7A">
              <w:rPr>
                <w:sz w:val="20"/>
                <w:szCs w:val="20"/>
                <w:lang w:val="en-GB"/>
              </w:rPr>
              <w:t>000</w:t>
            </w:r>
            <w:r w:rsidR="00114B7A" w:rsidRPr="00114B7A">
              <w:rPr>
                <w:sz w:val="20"/>
                <w:szCs w:val="20"/>
                <w:lang w:val="en-GB"/>
              </w:rPr>
              <w:t>.</w:t>
            </w:r>
            <w:r w:rsidRPr="00114B7A">
              <w:rPr>
                <w:sz w:val="20"/>
                <w:szCs w:val="20"/>
                <w:lang w:val="en-GB"/>
              </w:rPr>
              <w:t>00</w:t>
            </w:r>
          </w:p>
        </w:tc>
      </w:tr>
      <w:tr w:rsidR="00F31B10" w:rsidRPr="00D62D04" w14:paraId="23437EBB" w14:textId="77777777" w:rsidTr="0056662A">
        <w:tc>
          <w:tcPr>
            <w:tcW w:w="3005" w:type="dxa"/>
          </w:tcPr>
          <w:p w14:paraId="27B87140" w14:textId="77777777" w:rsidR="00F31B10" w:rsidRPr="00114B7A" w:rsidRDefault="00114B7A" w:rsidP="0056662A">
            <w:pPr>
              <w:spacing w:after="0"/>
              <w:jc w:val="both"/>
              <w:rPr>
                <w:sz w:val="20"/>
                <w:szCs w:val="20"/>
                <w:lang w:val="en-GB"/>
              </w:rPr>
            </w:pPr>
            <w:r w:rsidRPr="00114B7A">
              <w:rPr>
                <w:sz w:val="20"/>
                <w:szCs w:val="20"/>
                <w:lang w:val="en-GB"/>
              </w:rPr>
              <w:t xml:space="preserve">Jews </w:t>
            </w:r>
          </w:p>
        </w:tc>
        <w:tc>
          <w:tcPr>
            <w:tcW w:w="3005" w:type="dxa"/>
          </w:tcPr>
          <w:p w14:paraId="69DD5E04" w14:textId="77777777" w:rsidR="00F31B10" w:rsidRPr="00114B7A" w:rsidRDefault="00F31B10" w:rsidP="0056662A">
            <w:pPr>
              <w:spacing w:after="0"/>
              <w:jc w:val="right"/>
              <w:rPr>
                <w:sz w:val="20"/>
                <w:szCs w:val="20"/>
                <w:lang w:val="en-GB"/>
              </w:rPr>
            </w:pPr>
            <w:r w:rsidRPr="00114B7A">
              <w:rPr>
                <w:sz w:val="20"/>
                <w:szCs w:val="20"/>
                <w:lang w:val="en-GB"/>
              </w:rPr>
              <w:t>2</w:t>
            </w:r>
          </w:p>
        </w:tc>
        <w:tc>
          <w:tcPr>
            <w:tcW w:w="3006" w:type="dxa"/>
          </w:tcPr>
          <w:p w14:paraId="6C6CC160" w14:textId="77777777" w:rsidR="00F31B10" w:rsidRPr="00114B7A" w:rsidRDefault="00F31B10" w:rsidP="00114B7A">
            <w:pPr>
              <w:spacing w:after="0"/>
              <w:jc w:val="right"/>
              <w:rPr>
                <w:sz w:val="20"/>
                <w:szCs w:val="20"/>
                <w:lang w:val="en-GB"/>
              </w:rPr>
            </w:pPr>
            <w:r w:rsidRPr="00114B7A">
              <w:rPr>
                <w:sz w:val="20"/>
                <w:szCs w:val="20"/>
                <w:lang w:val="en-GB"/>
              </w:rPr>
              <w:t>1</w:t>
            </w:r>
            <w:r w:rsidR="00114B7A" w:rsidRPr="00114B7A">
              <w:rPr>
                <w:sz w:val="20"/>
                <w:szCs w:val="20"/>
                <w:lang w:val="en-GB"/>
              </w:rPr>
              <w:t>,</w:t>
            </w:r>
            <w:r w:rsidRPr="00114B7A">
              <w:rPr>
                <w:sz w:val="20"/>
                <w:szCs w:val="20"/>
                <w:lang w:val="en-GB"/>
              </w:rPr>
              <w:t>150</w:t>
            </w:r>
            <w:r w:rsidR="00114B7A" w:rsidRPr="00114B7A">
              <w:rPr>
                <w:sz w:val="20"/>
                <w:szCs w:val="20"/>
                <w:lang w:val="en-GB"/>
              </w:rPr>
              <w:t>,</w:t>
            </w:r>
            <w:r w:rsidRPr="00114B7A">
              <w:rPr>
                <w:sz w:val="20"/>
                <w:szCs w:val="20"/>
                <w:lang w:val="en-GB"/>
              </w:rPr>
              <w:t>000</w:t>
            </w:r>
            <w:r w:rsidR="00114B7A" w:rsidRPr="00114B7A">
              <w:rPr>
                <w:sz w:val="20"/>
                <w:szCs w:val="20"/>
                <w:lang w:val="en-GB"/>
              </w:rPr>
              <w:t>.</w:t>
            </w:r>
            <w:r w:rsidRPr="00114B7A">
              <w:rPr>
                <w:sz w:val="20"/>
                <w:szCs w:val="20"/>
                <w:lang w:val="en-GB"/>
              </w:rPr>
              <w:t>00</w:t>
            </w:r>
          </w:p>
        </w:tc>
      </w:tr>
      <w:tr w:rsidR="00F31B10" w:rsidRPr="00D62D04" w14:paraId="0B751697" w14:textId="77777777" w:rsidTr="0056662A">
        <w:tc>
          <w:tcPr>
            <w:tcW w:w="3005" w:type="dxa"/>
          </w:tcPr>
          <w:p w14:paraId="6F619356" w14:textId="77777777" w:rsidR="00F31B10" w:rsidRPr="00114B7A" w:rsidRDefault="00114B7A" w:rsidP="0056662A">
            <w:pPr>
              <w:spacing w:after="0"/>
              <w:jc w:val="both"/>
              <w:rPr>
                <w:sz w:val="20"/>
                <w:szCs w:val="20"/>
                <w:lang w:val="en-GB"/>
              </w:rPr>
            </w:pPr>
            <w:r w:rsidRPr="00114B7A">
              <w:rPr>
                <w:sz w:val="20"/>
                <w:szCs w:val="20"/>
                <w:lang w:val="en-GB"/>
              </w:rPr>
              <w:t xml:space="preserve">Hungarians </w:t>
            </w:r>
          </w:p>
        </w:tc>
        <w:tc>
          <w:tcPr>
            <w:tcW w:w="3005" w:type="dxa"/>
          </w:tcPr>
          <w:p w14:paraId="0D5E4E6B" w14:textId="77777777" w:rsidR="00F31B10" w:rsidRPr="00114B7A" w:rsidRDefault="00F31B10" w:rsidP="0056662A">
            <w:pPr>
              <w:spacing w:after="0"/>
              <w:jc w:val="right"/>
              <w:rPr>
                <w:sz w:val="20"/>
                <w:szCs w:val="20"/>
                <w:lang w:val="en-GB"/>
              </w:rPr>
            </w:pPr>
            <w:r w:rsidRPr="00114B7A">
              <w:rPr>
                <w:sz w:val="20"/>
                <w:szCs w:val="20"/>
                <w:lang w:val="en-GB"/>
              </w:rPr>
              <w:t>15</w:t>
            </w:r>
          </w:p>
        </w:tc>
        <w:tc>
          <w:tcPr>
            <w:tcW w:w="3006" w:type="dxa"/>
          </w:tcPr>
          <w:p w14:paraId="75F3223B" w14:textId="77777777" w:rsidR="00F31B10" w:rsidRPr="00114B7A" w:rsidRDefault="00F31B10" w:rsidP="00114B7A">
            <w:pPr>
              <w:spacing w:after="0"/>
              <w:jc w:val="right"/>
              <w:rPr>
                <w:sz w:val="20"/>
                <w:szCs w:val="20"/>
                <w:lang w:val="en-GB"/>
              </w:rPr>
            </w:pPr>
            <w:r w:rsidRPr="00114B7A">
              <w:rPr>
                <w:sz w:val="20"/>
                <w:szCs w:val="20"/>
                <w:lang w:val="en-GB"/>
              </w:rPr>
              <w:t>22</w:t>
            </w:r>
            <w:r w:rsidR="00114B7A" w:rsidRPr="00114B7A">
              <w:rPr>
                <w:sz w:val="20"/>
                <w:szCs w:val="20"/>
                <w:lang w:val="en-GB"/>
              </w:rPr>
              <w:t>,</w:t>
            </w:r>
            <w:r w:rsidRPr="00114B7A">
              <w:rPr>
                <w:sz w:val="20"/>
                <w:szCs w:val="20"/>
                <w:lang w:val="en-GB"/>
              </w:rPr>
              <w:t>028</w:t>
            </w:r>
            <w:r w:rsidR="00114B7A" w:rsidRPr="00114B7A">
              <w:rPr>
                <w:sz w:val="20"/>
                <w:szCs w:val="20"/>
                <w:lang w:val="en-GB"/>
              </w:rPr>
              <w:t>,</w:t>
            </w:r>
            <w:r w:rsidRPr="00114B7A">
              <w:rPr>
                <w:sz w:val="20"/>
                <w:szCs w:val="20"/>
                <w:lang w:val="en-GB"/>
              </w:rPr>
              <w:t>500</w:t>
            </w:r>
            <w:r w:rsidR="00114B7A" w:rsidRPr="00114B7A">
              <w:rPr>
                <w:sz w:val="20"/>
                <w:szCs w:val="20"/>
                <w:lang w:val="en-GB"/>
              </w:rPr>
              <w:t>.</w:t>
            </w:r>
            <w:r w:rsidRPr="00114B7A">
              <w:rPr>
                <w:sz w:val="20"/>
                <w:szCs w:val="20"/>
                <w:lang w:val="en-GB"/>
              </w:rPr>
              <w:t>00</w:t>
            </w:r>
          </w:p>
        </w:tc>
      </w:tr>
      <w:tr w:rsidR="00F31B10" w:rsidRPr="00D62D04" w14:paraId="1DA355F9" w14:textId="77777777" w:rsidTr="0056662A">
        <w:tc>
          <w:tcPr>
            <w:tcW w:w="3005" w:type="dxa"/>
          </w:tcPr>
          <w:p w14:paraId="25F05ABA" w14:textId="77777777" w:rsidR="00F31B10" w:rsidRPr="00114B7A" w:rsidRDefault="00114B7A" w:rsidP="0056662A">
            <w:pPr>
              <w:spacing w:after="0"/>
              <w:jc w:val="both"/>
              <w:rPr>
                <w:sz w:val="20"/>
                <w:szCs w:val="20"/>
                <w:lang w:val="en-GB"/>
              </w:rPr>
            </w:pPr>
            <w:r w:rsidRPr="00114B7A">
              <w:rPr>
                <w:sz w:val="20"/>
                <w:szCs w:val="20"/>
                <w:lang w:val="en-GB"/>
              </w:rPr>
              <w:t xml:space="preserve">Macedonians </w:t>
            </w:r>
          </w:p>
        </w:tc>
        <w:tc>
          <w:tcPr>
            <w:tcW w:w="3005" w:type="dxa"/>
          </w:tcPr>
          <w:p w14:paraId="10D54A12" w14:textId="77777777" w:rsidR="00F31B10" w:rsidRPr="00114B7A" w:rsidRDefault="00F31B10" w:rsidP="0056662A">
            <w:pPr>
              <w:spacing w:after="0"/>
              <w:jc w:val="right"/>
              <w:rPr>
                <w:sz w:val="20"/>
                <w:szCs w:val="20"/>
                <w:lang w:val="en-GB"/>
              </w:rPr>
            </w:pPr>
            <w:r w:rsidRPr="00114B7A">
              <w:rPr>
                <w:sz w:val="20"/>
                <w:szCs w:val="20"/>
                <w:lang w:val="en-GB"/>
              </w:rPr>
              <w:t>5</w:t>
            </w:r>
          </w:p>
        </w:tc>
        <w:tc>
          <w:tcPr>
            <w:tcW w:w="3006" w:type="dxa"/>
          </w:tcPr>
          <w:p w14:paraId="6187465D" w14:textId="77777777" w:rsidR="00F31B10" w:rsidRPr="00114B7A" w:rsidRDefault="00F31B10" w:rsidP="00114B7A">
            <w:pPr>
              <w:spacing w:after="0"/>
              <w:jc w:val="right"/>
              <w:rPr>
                <w:sz w:val="20"/>
                <w:szCs w:val="20"/>
                <w:lang w:val="en-GB"/>
              </w:rPr>
            </w:pPr>
            <w:r w:rsidRPr="00114B7A">
              <w:rPr>
                <w:sz w:val="20"/>
                <w:szCs w:val="20"/>
                <w:lang w:val="en-GB"/>
              </w:rPr>
              <w:t>320</w:t>
            </w:r>
            <w:r w:rsidR="00114B7A" w:rsidRPr="00114B7A">
              <w:rPr>
                <w:sz w:val="20"/>
                <w:szCs w:val="20"/>
                <w:lang w:val="en-GB"/>
              </w:rPr>
              <w:t>,</w:t>
            </w:r>
            <w:r w:rsidRPr="00114B7A">
              <w:rPr>
                <w:sz w:val="20"/>
                <w:szCs w:val="20"/>
                <w:lang w:val="en-GB"/>
              </w:rPr>
              <w:t>000</w:t>
            </w:r>
            <w:r w:rsidR="00114B7A" w:rsidRPr="00114B7A">
              <w:rPr>
                <w:sz w:val="20"/>
                <w:szCs w:val="20"/>
                <w:lang w:val="en-GB"/>
              </w:rPr>
              <w:t>.</w:t>
            </w:r>
            <w:r w:rsidRPr="00114B7A">
              <w:rPr>
                <w:sz w:val="20"/>
                <w:szCs w:val="20"/>
                <w:lang w:val="en-GB"/>
              </w:rPr>
              <w:t>00</w:t>
            </w:r>
          </w:p>
        </w:tc>
      </w:tr>
      <w:tr w:rsidR="00F31B10" w:rsidRPr="00D62D04" w14:paraId="3E6AD0C4" w14:textId="77777777" w:rsidTr="0056662A">
        <w:tc>
          <w:tcPr>
            <w:tcW w:w="3005" w:type="dxa"/>
          </w:tcPr>
          <w:p w14:paraId="1E25F26C" w14:textId="77777777" w:rsidR="00F31B10" w:rsidRPr="00114B7A" w:rsidRDefault="00114B7A" w:rsidP="0056662A">
            <w:pPr>
              <w:spacing w:after="0"/>
              <w:jc w:val="both"/>
              <w:rPr>
                <w:sz w:val="20"/>
                <w:szCs w:val="20"/>
                <w:lang w:val="en-GB"/>
              </w:rPr>
            </w:pPr>
            <w:r w:rsidRPr="00114B7A">
              <w:rPr>
                <w:sz w:val="20"/>
                <w:szCs w:val="20"/>
                <w:lang w:val="en-GB"/>
              </w:rPr>
              <w:t xml:space="preserve">Germans </w:t>
            </w:r>
          </w:p>
        </w:tc>
        <w:tc>
          <w:tcPr>
            <w:tcW w:w="3005" w:type="dxa"/>
          </w:tcPr>
          <w:p w14:paraId="30D1DF38" w14:textId="77777777" w:rsidR="00F31B10" w:rsidRPr="00114B7A" w:rsidRDefault="00F31B10" w:rsidP="0056662A">
            <w:pPr>
              <w:spacing w:after="0"/>
              <w:jc w:val="right"/>
              <w:rPr>
                <w:sz w:val="20"/>
                <w:szCs w:val="20"/>
                <w:lang w:val="en-GB"/>
              </w:rPr>
            </w:pPr>
            <w:r w:rsidRPr="00114B7A">
              <w:rPr>
                <w:sz w:val="20"/>
                <w:szCs w:val="20"/>
                <w:lang w:val="en-GB"/>
              </w:rPr>
              <w:t>5</w:t>
            </w:r>
          </w:p>
        </w:tc>
        <w:tc>
          <w:tcPr>
            <w:tcW w:w="3006" w:type="dxa"/>
          </w:tcPr>
          <w:p w14:paraId="7E6D33D8" w14:textId="77777777" w:rsidR="00F31B10" w:rsidRPr="00114B7A" w:rsidRDefault="00F31B10" w:rsidP="00114B7A">
            <w:pPr>
              <w:spacing w:after="0"/>
              <w:jc w:val="right"/>
              <w:rPr>
                <w:sz w:val="20"/>
                <w:szCs w:val="20"/>
                <w:lang w:val="en-GB"/>
              </w:rPr>
            </w:pPr>
            <w:r w:rsidRPr="00114B7A">
              <w:rPr>
                <w:sz w:val="20"/>
                <w:szCs w:val="20"/>
                <w:lang w:val="en-GB"/>
              </w:rPr>
              <w:t>685</w:t>
            </w:r>
            <w:r w:rsidR="00114B7A" w:rsidRPr="00114B7A">
              <w:rPr>
                <w:sz w:val="20"/>
                <w:szCs w:val="20"/>
                <w:lang w:val="en-GB"/>
              </w:rPr>
              <w:t>,</w:t>
            </w:r>
            <w:r w:rsidRPr="00114B7A">
              <w:rPr>
                <w:sz w:val="20"/>
                <w:szCs w:val="20"/>
                <w:lang w:val="en-GB"/>
              </w:rPr>
              <w:t>000</w:t>
            </w:r>
            <w:r w:rsidR="00114B7A" w:rsidRPr="00114B7A">
              <w:rPr>
                <w:sz w:val="20"/>
                <w:szCs w:val="20"/>
                <w:lang w:val="en-GB"/>
              </w:rPr>
              <w:t>.</w:t>
            </w:r>
            <w:r w:rsidRPr="00114B7A">
              <w:rPr>
                <w:sz w:val="20"/>
                <w:szCs w:val="20"/>
                <w:lang w:val="en-GB"/>
              </w:rPr>
              <w:t>00</w:t>
            </w:r>
          </w:p>
        </w:tc>
      </w:tr>
      <w:tr w:rsidR="00F31B10" w:rsidRPr="00C33CA7" w14:paraId="0A374C2C" w14:textId="77777777" w:rsidTr="0056662A">
        <w:tc>
          <w:tcPr>
            <w:tcW w:w="3005" w:type="dxa"/>
          </w:tcPr>
          <w:p w14:paraId="22D7CD3E" w14:textId="77777777" w:rsidR="00F31B10" w:rsidRPr="00C33CA7" w:rsidRDefault="00C33CA7" w:rsidP="0056662A">
            <w:pPr>
              <w:spacing w:after="0"/>
              <w:jc w:val="both"/>
              <w:rPr>
                <w:sz w:val="20"/>
                <w:szCs w:val="20"/>
                <w:lang w:val="en-GB"/>
              </w:rPr>
            </w:pPr>
            <w:r w:rsidRPr="00C33CA7">
              <w:rPr>
                <w:sz w:val="20"/>
                <w:szCs w:val="20"/>
                <w:lang w:val="en-GB"/>
              </w:rPr>
              <w:t xml:space="preserve">Poles </w:t>
            </w:r>
          </w:p>
        </w:tc>
        <w:tc>
          <w:tcPr>
            <w:tcW w:w="3005" w:type="dxa"/>
          </w:tcPr>
          <w:p w14:paraId="4BE9756D" w14:textId="77777777" w:rsidR="00F31B10" w:rsidRPr="00C33CA7" w:rsidRDefault="00F31B10" w:rsidP="0056662A">
            <w:pPr>
              <w:spacing w:after="0"/>
              <w:jc w:val="right"/>
              <w:rPr>
                <w:sz w:val="20"/>
                <w:szCs w:val="20"/>
                <w:lang w:val="en-GB"/>
              </w:rPr>
            </w:pPr>
            <w:r w:rsidRPr="00C33CA7">
              <w:rPr>
                <w:sz w:val="20"/>
                <w:szCs w:val="20"/>
                <w:lang w:val="en-GB"/>
              </w:rPr>
              <w:t>1</w:t>
            </w:r>
          </w:p>
        </w:tc>
        <w:tc>
          <w:tcPr>
            <w:tcW w:w="3006" w:type="dxa"/>
          </w:tcPr>
          <w:p w14:paraId="564AAF63" w14:textId="77777777" w:rsidR="00F31B10" w:rsidRPr="00C33CA7" w:rsidRDefault="00F31B10" w:rsidP="00C33CA7">
            <w:pPr>
              <w:spacing w:after="0"/>
              <w:jc w:val="right"/>
              <w:rPr>
                <w:sz w:val="20"/>
                <w:szCs w:val="20"/>
                <w:lang w:val="en-GB"/>
              </w:rPr>
            </w:pPr>
            <w:r w:rsidRPr="00C33CA7">
              <w:rPr>
                <w:sz w:val="20"/>
                <w:szCs w:val="20"/>
                <w:lang w:val="en-GB"/>
              </w:rPr>
              <w:t>175</w:t>
            </w:r>
            <w:r w:rsidR="00C33CA7" w:rsidRPr="00C33CA7">
              <w:rPr>
                <w:sz w:val="20"/>
                <w:szCs w:val="20"/>
                <w:lang w:val="en-GB"/>
              </w:rPr>
              <w:t>,</w:t>
            </w:r>
            <w:r w:rsidRPr="00C33CA7">
              <w:rPr>
                <w:sz w:val="20"/>
                <w:szCs w:val="20"/>
                <w:lang w:val="en-GB"/>
              </w:rPr>
              <w:t>000</w:t>
            </w:r>
            <w:r w:rsidR="00C33CA7" w:rsidRPr="00C33CA7">
              <w:rPr>
                <w:sz w:val="20"/>
                <w:szCs w:val="20"/>
                <w:lang w:val="en-GB"/>
              </w:rPr>
              <w:t>.</w:t>
            </w:r>
            <w:r w:rsidRPr="00C33CA7">
              <w:rPr>
                <w:sz w:val="20"/>
                <w:szCs w:val="20"/>
                <w:lang w:val="en-GB"/>
              </w:rPr>
              <w:t>00</w:t>
            </w:r>
          </w:p>
        </w:tc>
      </w:tr>
      <w:tr w:rsidR="00F31B10" w:rsidRPr="00C33CA7" w14:paraId="009BE402" w14:textId="77777777" w:rsidTr="0056662A">
        <w:tc>
          <w:tcPr>
            <w:tcW w:w="3005" w:type="dxa"/>
          </w:tcPr>
          <w:p w14:paraId="0671FA59" w14:textId="77777777" w:rsidR="00F31B10" w:rsidRPr="00C33CA7" w:rsidRDefault="00C33CA7" w:rsidP="0056662A">
            <w:pPr>
              <w:spacing w:after="0"/>
              <w:jc w:val="both"/>
              <w:rPr>
                <w:sz w:val="20"/>
                <w:szCs w:val="20"/>
                <w:lang w:val="en-GB"/>
              </w:rPr>
            </w:pPr>
            <w:r w:rsidRPr="00C33CA7">
              <w:rPr>
                <w:sz w:val="20"/>
                <w:szCs w:val="20"/>
                <w:lang w:val="en-GB"/>
              </w:rPr>
              <w:t xml:space="preserve">Roma </w:t>
            </w:r>
          </w:p>
        </w:tc>
        <w:tc>
          <w:tcPr>
            <w:tcW w:w="3005" w:type="dxa"/>
          </w:tcPr>
          <w:p w14:paraId="5D9DCAF3" w14:textId="77777777" w:rsidR="00F31B10" w:rsidRPr="00C33CA7" w:rsidRDefault="00F31B10" w:rsidP="0056662A">
            <w:pPr>
              <w:spacing w:after="0"/>
              <w:jc w:val="right"/>
              <w:rPr>
                <w:sz w:val="20"/>
                <w:szCs w:val="20"/>
                <w:lang w:val="en-GB"/>
              </w:rPr>
            </w:pPr>
            <w:r w:rsidRPr="00C33CA7">
              <w:rPr>
                <w:sz w:val="20"/>
                <w:szCs w:val="20"/>
                <w:lang w:val="en-GB"/>
              </w:rPr>
              <w:t>37</w:t>
            </w:r>
          </w:p>
        </w:tc>
        <w:tc>
          <w:tcPr>
            <w:tcW w:w="3006" w:type="dxa"/>
          </w:tcPr>
          <w:p w14:paraId="097FA2F9" w14:textId="77777777" w:rsidR="00F31B10" w:rsidRPr="00C33CA7" w:rsidRDefault="00F31B10" w:rsidP="00C33CA7">
            <w:pPr>
              <w:spacing w:after="0"/>
              <w:jc w:val="right"/>
              <w:rPr>
                <w:sz w:val="20"/>
                <w:szCs w:val="20"/>
                <w:lang w:val="en-GB"/>
              </w:rPr>
            </w:pPr>
            <w:r w:rsidRPr="00C33CA7">
              <w:rPr>
                <w:sz w:val="20"/>
                <w:szCs w:val="20"/>
                <w:lang w:val="en-GB"/>
              </w:rPr>
              <w:t>15</w:t>
            </w:r>
            <w:r w:rsidR="00C33CA7" w:rsidRPr="00C33CA7">
              <w:rPr>
                <w:sz w:val="20"/>
                <w:szCs w:val="20"/>
                <w:lang w:val="en-GB"/>
              </w:rPr>
              <w:t>,</w:t>
            </w:r>
            <w:r w:rsidRPr="00C33CA7">
              <w:rPr>
                <w:sz w:val="20"/>
                <w:szCs w:val="20"/>
                <w:lang w:val="en-GB"/>
              </w:rPr>
              <w:t>615</w:t>
            </w:r>
            <w:r w:rsidR="00C33CA7" w:rsidRPr="00C33CA7">
              <w:rPr>
                <w:sz w:val="20"/>
                <w:szCs w:val="20"/>
                <w:lang w:val="en-GB"/>
              </w:rPr>
              <w:t>,</w:t>
            </w:r>
            <w:r w:rsidRPr="00C33CA7">
              <w:rPr>
                <w:sz w:val="20"/>
                <w:szCs w:val="20"/>
                <w:lang w:val="en-GB"/>
              </w:rPr>
              <w:t>050</w:t>
            </w:r>
            <w:r w:rsidR="00C33CA7" w:rsidRPr="00C33CA7">
              <w:rPr>
                <w:sz w:val="20"/>
                <w:szCs w:val="20"/>
                <w:lang w:val="en-GB"/>
              </w:rPr>
              <w:t>.</w:t>
            </w:r>
            <w:r w:rsidRPr="00C33CA7">
              <w:rPr>
                <w:sz w:val="20"/>
                <w:szCs w:val="20"/>
                <w:lang w:val="en-GB"/>
              </w:rPr>
              <w:t>00</w:t>
            </w:r>
          </w:p>
        </w:tc>
      </w:tr>
      <w:tr w:rsidR="00F31B10" w:rsidRPr="00C33CA7" w14:paraId="0DDE78CB" w14:textId="77777777" w:rsidTr="0056662A">
        <w:tc>
          <w:tcPr>
            <w:tcW w:w="3005" w:type="dxa"/>
          </w:tcPr>
          <w:p w14:paraId="7786C105" w14:textId="77777777" w:rsidR="00F31B10" w:rsidRPr="00C33CA7" w:rsidRDefault="00C33CA7" w:rsidP="0056662A">
            <w:pPr>
              <w:spacing w:after="0"/>
              <w:jc w:val="both"/>
              <w:rPr>
                <w:sz w:val="20"/>
                <w:szCs w:val="20"/>
                <w:lang w:val="en-GB"/>
              </w:rPr>
            </w:pPr>
            <w:r w:rsidRPr="00C33CA7">
              <w:rPr>
                <w:sz w:val="20"/>
                <w:szCs w:val="20"/>
                <w:lang w:val="en-GB"/>
              </w:rPr>
              <w:t xml:space="preserve">Romanians </w:t>
            </w:r>
          </w:p>
        </w:tc>
        <w:tc>
          <w:tcPr>
            <w:tcW w:w="3005" w:type="dxa"/>
          </w:tcPr>
          <w:p w14:paraId="07A7C1AD" w14:textId="77777777" w:rsidR="00F31B10" w:rsidRPr="00C33CA7" w:rsidRDefault="00F31B10" w:rsidP="0056662A">
            <w:pPr>
              <w:spacing w:after="0"/>
              <w:jc w:val="right"/>
              <w:rPr>
                <w:sz w:val="20"/>
                <w:szCs w:val="20"/>
                <w:lang w:val="en-GB"/>
              </w:rPr>
            </w:pPr>
            <w:r w:rsidRPr="00C33CA7">
              <w:rPr>
                <w:sz w:val="20"/>
                <w:szCs w:val="20"/>
                <w:lang w:val="en-GB"/>
              </w:rPr>
              <w:t>4</w:t>
            </w:r>
          </w:p>
        </w:tc>
        <w:tc>
          <w:tcPr>
            <w:tcW w:w="3006" w:type="dxa"/>
          </w:tcPr>
          <w:p w14:paraId="49BDB53B" w14:textId="77777777" w:rsidR="00F31B10" w:rsidRPr="00C33CA7" w:rsidRDefault="00F31B10" w:rsidP="00C33CA7">
            <w:pPr>
              <w:spacing w:after="0"/>
              <w:jc w:val="right"/>
              <w:rPr>
                <w:sz w:val="20"/>
                <w:szCs w:val="20"/>
                <w:lang w:val="en-GB"/>
              </w:rPr>
            </w:pPr>
            <w:r w:rsidRPr="00C33CA7">
              <w:rPr>
                <w:sz w:val="20"/>
                <w:szCs w:val="20"/>
                <w:lang w:val="en-GB"/>
              </w:rPr>
              <w:t>810</w:t>
            </w:r>
            <w:r w:rsidR="00C33CA7" w:rsidRPr="00C33CA7">
              <w:rPr>
                <w:sz w:val="20"/>
                <w:szCs w:val="20"/>
                <w:lang w:val="en-GB"/>
              </w:rPr>
              <w:t>,</w:t>
            </w:r>
            <w:r w:rsidRPr="00C33CA7">
              <w:rPr>
                <w:sz w:val="20"/>
                <w:szCs w:val="20"/>
                <w:lang w:val="en-GB"/>
              </w:rPr>
              <w:t>000</w:t>
            </w:r>
            <w:r w:rsidR="00C33CA7" w:rsidRPr="00C33CA7">
              <w:rPr>
                <w:sz w:val="20"/>
                <w:szCs w:val="20"/>
                <w:lang w:val="en-GB"/>
              </w:rPr>
              <w:t>.</w:t>
            </w:r>
            <w:r w:rsidRPr="00C33CA7">
              <w:rPr>
                <w:sz w:val="20"/>
                <w:szCs w:val="20"/>
                <w:lang w:val="en-GB"/>
              </w:rPr>
              <w:t>00</w:t>
            </w:r>
          </w:p>
        </w:tc>
      </w:tr>
      <w:tr w:rsidR="00F31B10" w:rsidRPr="00C33CA7" w14:paraId="2F52F4F3" w14:textId="77777777" w:rsidTr="0056662A">
        <w:tc>
          <w:tcPr>
            <w:tcW w:w="3005" w:type="dxa"/>
          </w:tcPr>
          <w:p w14:paraId="2ACCCDDA" w14:textId="77777777" w:rsidR="00F31B10" w:rsidRPr="00C33CA7" w:rsidRDefault="00C33CA7" w:rsidP="0056662A">
            <w:pPr>
              <w:spacing w:after="0"/>
              <w:jc w:val="both"/>
              <w:rPr>
                <w:sz w:val="20"/>
                <w:szCs w:val="20"/>
                <w:lang w:val="en-GB"/>
              </w:rPr>
            </w:pPr>
            <w:r w:rsidRPr="00C33CA7">
              <w:rPr>
                <w:sz w:val="20"/>
                <w:szCs w:val="20"/>
                <w:lang w:val="en-GB"/>
              </w:rPr>
              <w:t xml:space="preserve">Russians </w:t>
            </w:r>
          </w:p>
        </w:tc>
        <w:tc>
          <w:tcPr>
            <w:tcW w:w="3005" w:type="dxa"/>
          </w:tcPr>
          <w:p w14:paraId="0E01F053" w14:textId="77777777" w:rsidR="00F31B10" w:rsidRPr="00C33CA7" w:rsidRDefault="00F31B10" w:rsidP="0056662A">
            <w:pPr>
              <w:spacing w:after="0"/>
              <w:jc w:val="right"/>
              <w:rPr>
                <w:sz w:val="20"/>
                <w:szCs w:val="20"/>
                <w:lang w:val="en-GB"/>
              </w:rPr>
            </w:pPr>
            <w:r w:rsidRPr="00C33CA7">
              <w:rPr>
                <w:sz w:val="20"/>
                <w:szCs w:val="20"/>
                <w:lang w:val="en-GB"/>
              </w:rPr>
              <w:t>10</w:t>
            </w:r>
          </w:p>
        </w:tc>
        <w:tc>
          <w:tcPr>
            <w:tcW w:w="3006" w:type="dxa"/>
          </w:tcPr>
          <w:p w14:paraId="7B6D689B" w14:textId="77777777" w:rsidR="00F31B10" w:rsidRPr="00C33CA7" w:rsidRDefault="00F31B10" w:rsidP="00C33CA7">
            <w:pPr>
              <w:spacing w:after="0"/>
              <w:jc w:val="right"/>
              <w:rPr>
                <w:sz w:val="20"/>
                <w:szCs w:val="20"/>
                <w:lang w:val="en-GB"/>
              </w:rPr>
            </w:pPr>
            <w:r w:rsidRPr="00C33CA7">
              <w:rPr>
                <w:sz w:val="20"/>
                <w:szCs w:val="20"/>
                <w:lang w:val="en-GB"/>
              </w:rPr>
              <w:t>792</w:t>
            </w:r>
            <w:r w:rsidR="00C33CA7" w:rsidRPr="00C33CA7">
              <w:rPr>
                <w:sz w:val="20"/>
                <w:szCs w:val="20"/>
                <w:lang w:val="en-GB"/>
              </w:rPr>
              <w:t>,</w:t>
            </w:r>
            <w:r w:rsidRPr="00C33CA7">
              <w:rPr>
                <w:sz w:val="20"/>
                <w:szCs w:val="20"/>
                <w:lang w:val="en-GB"/>
              </w:rPr>
              <w:t>000</w:t>
            </w:r>
            <w:r w:rsidR="00C33CA7" w:rsidRPr="00C33CA7">
              <w:rPr>
                <w:sz w:val="20"/>
                <w:szCs w:val="20"/>
                <w:lang w:val="en-GB"/>
              </w:rPr>
              <w:t>.</w:t>
            </w:r>
            <w:r w:rsidRPr="00C33CA7">
              <w:rPr>
                <w:sz w:val="20"/>
                <w:szCs w:val="20"/>
                <w:lang w:val="en-GB"/>
              </w:rPr>
              <w:t>00</w:t>
            </w:r>
          </w:p>
        </w:tc>
      </w:tr>
      <w:tr w:rsidR="00F31B10" w:rsidRPr="00D62D04" w14:paraId="59DC6B43" w14:textId="77777777" w:rsidTr="0056662A">
        <w:tc>
          <w:tcPr>
            <w:tcW w:w="3005" w:type="dxa"/>
          </w:tcPr>
          <w:p w14:paraId="1C8BE4D2" w14:textId="77777777" w:rsidR="00F31B10" w:rsidRPr="00C33CA7" w:rsidRDefault="00C33CA7" w:rsidP="0056662A">
            <w:pPr>
              <w:spacing w:after="0"/>
              <w:jc w:val="both"/>
              <w:rPr>
                <w:sz w:val="20"/>
                <w:szCs w:val="20"/>
                <w:lang w:val="en-GB"/>
              </w:rPr>
            </w:pPr>
            <w:proofErr w:type="spellStart"/>
            <w:r w:rsidRPr="00C33CA7">
              <w:rPr>
                <w:sz w:val="20"/>
                <w:szCs w:val="20"/>
                <w:lang w:val="en-GB"/>
              </w:rPr>
              <w:t>Ruthenians</w:t>
            </w:r>
            <w:proofErr w:type="spellEnd"/>
            <w:r w:rsidRPr="00C33CA7">
              <w:rPr>
                <w:sz w:val="20"/>
                <w:szCs w:val="20"/>
                <w:lang w:val="en-GB"/>
              </w:rPr>
              <w:t xml:space="preserve"> </w:t>
            </w:r>
          </w:p>
        </w:tc>
        <w:tc>
          <w:tcPr>
            <w:tcW w:w="3005" w:type="dxa"/>
          </w:tcPr>
          <w:p w14:paraId="3DD61E43" w14:textId="77777777" w:rsidR="00F31B10" w:rsidRPr="00C33CA7" w:rsidRDefault="00F31B10" w:rsidP="0056662A">
            <w:pPr>
              <w:spacing w:after="0"/>
              <w:jc w:val="right"/>
              <w:rPr>
                <w:sz w:val="20"/>
                <w:szCs w:val="20"/>
                <w:lang w:val="en-GB"/>
              </w:rPr>
            </w:pPr>
            <w:r w:rsidRPr="00C33CA7">
              <w:rPr>
                <w:sz w:val="20"/>
                <w:szCs w:val="20"/>
                <w:lang w:val="en-GB"/>
              </w:rPr>
              <w:t>3</w:t>
            </w:r>
          </w:p>
        </w:tc>
        <w:tc>
          <w:tcPr>
            <w:tcW w:w="3006" w:type="dxa"/>
          </w:tcPr>
          <w:p w14:paraId="5A53BF3D" w14:textId="77777777" w:rsidR="00F31B10" w:rsidRPr="00C33CA7" w:rsidRDefault="00F31B10" w:rsidP="00C33CA7">
            <w:pPr>
              <w:spacing w:after="0"/>
              <w:jc w:val="right"/>
              <w:rPr>
                <w:sz w:val="20"/>
                <w:szCs w:val="20"/>
                <w:lang w:val="en-GB"/>
              </w:rPr>
            </w:pPr>
            <w:r w:rsidRPr="00C33CA7">
              <w:rPr>
                <w:sz w:val="20"/>
                <w:szCs w:val="20"/>
                <w:lang w:val="en-GB"/>
              </w:rPr>
              <w:t>1</w:t>
            </w:r>
            <w:r w:rsidR="00C33CA7" w:rsidRPr="00C33CA7">
              <w:rPr>
                <w:sz w:val="20"/>
                <w:szCs w:val="20"/>
                <w:lang w:val="en-GB"/>
              </w:rPr>
              <w:t>,</w:t>
            </w:r>
            <w:r w:rsidRPr="00C33CA7">
              <w:rPr>
                <w:sz w:val="20"/>
                <w:szCs w:val="20"/>
                <w:lang w:val="en-GB"/>
              </w:rPr>
              <w:t>825</w:t>
            </w:r>
            <w:r w:rsidR="00C33CA7" w:rsidRPr="00C33CA7">
              <w:rPr>
                <w:sz w:val="20"/>
                <w:szCs w:val="20"/>
                <w:lang w:val="en-GB"/>
              </w:rPr>
              <w:t>,</w:t>
            </w:r>
            <w:r w:rsidRPr="00C33CA7">
              <w:rPr>
                <w:sz w:val="20"/>
                <w:szCs w:val="20"/>
                <w:lang w:val="en-GB"/>
              </w:rPr>
              <w:t>451</w:t>
            </w:r>
            <w:r w:rsidR="00C33CA7" w:rsidRPr="00C33CA7">
              <w:rPr>
                <w:sz w:val="20"/>
                <w:szCs w:val="20"/>
                <w:lang w:val="en-GB"/>
              </w:rPr>
              <w:t>.</w:t>
            </w:r>
            <w:r w:rsidRPr="00C33CA7">
              <w:rPr>
                <w:sz w:val="20"/>
                <w:szCs w:val="20"/>
                <w:lang w:val="en-GB"/>
              </w:rPr>
              <w:t>00</w:t>
            </w:r>
          </w:p>
        </w:tc>
      </w:tr>
      <w:tr w:rsidR="00F31B10" w:rsidRPr="00132678" w14:paraId="545F8111" w14:textId="77777777" w:rsidTr="0056662A">
        <w:tc>
          <w:tcPr>
            <w:tcW w:w="3005" w:type="dxa"/>
          </w:tcPr>
          <w:p w14:paraId="780BDCF3" w14:textId="77777777" w:rsidR="00F31B10" w:rsidRPr="00132678" w:rsidRDefault="00132678" w:rsidP="0056662A">
            <w:pPr>
              <w:spacing w:after="0"/>
              <w:jc w:val="both"/>
              <w:rPr>
                <w:sz w:val="20"/>
                <w:szCs w:val="20"/>
                <w:lang w:val="en-GB"/>
              </w:rPr>
            </w:pPr>
            <w:r w:rsidRPr="00132678">
              <w:rPr>
                <w:sz w:val="20"/>
                <w:szCs w:val="20"/>
                <w:lang w:val="en-GB"/>
              </w:rPr>
              <w:t xml:space="preserve">Slovaks </w:t>
            </w:r>
          </w:p>
        </w:tc>
        <w:tc>
          <w:tcPr>
            <w:tcW w:w="3005" w:type="dxa"/>
          </w:tcPr>
          <w:p w14:paraId="7A2860E4" w14:textId="77777777" w:rsidR="00F31B10" w:rsidRPr="00132678" w:rsidRDefault="00F31B10" w:rsidP="0056662A">
            <w:pPr>
              <w:spacing w:after="0"/>
              <w:jc w:val="right"/>
              <w:rPr>
                <w:sz w:val="20"/>
                <w:szCs w:val="20"/>
                <w:lang w:val="en-GB"/>
              </w:rPr>
            </w:pPr>
            <w:r w:rsidRPr="00132678">
              <w:rPr>
                <w:sz w:val="20"/>
                <w:szCs w:val="20"/>
                <w:lang w:val="en-GB"/>
              </w:rPr>
              <w:t>7</w:t>
            </w:r>
          </w:p>
        </w:tc>
        <w:tc>
          <w:tcPr>
            <w:tcW w:w="3006" w:type="dxa"/>
          </w:tcPr>
          <w:p w14:paraId="7A1A0C87" w14:textId="77777777" w:rsidR="00F31B10" w:rsidRPr="00132678" w:rsidRDefault="00F31B10" w:rsidP="00C33CA7">
            <w:pPr>
              <w:spacing w:after="0"/>
              <w:jc w:val="right"/>
              <w:rPr>
                <w:sz w:val="20"/>
                <w:szCs w:val="20"/>
                <w:lang w:val="en-GB"/>
              </w:rPr>
            </w:pPr>
            <w:r w:rsidRPr="00132678">
              <w:rPr>
                <w:sz w:val="20"/>
                <w:szCs w:val="20"/>
                <w:lang w:val="en-GB"/>
              </w:rPr>
              <w:t>2</w:t>
            </w:r>
            <w:r w:rsidR="00C33CA7" w:rsidRPr="00132678">
              <w:rPr>
                <w:sz w:val="20"/>
                <w:szCs w:val="20"/>
                <w:lang w:val="en-GB"/>
              </w:rPr>
              <w:t>,</w:t>
            </w:r>
            <w:r w:rsidRPr="00132678">
              <w:rPr>
                <w:sz w:val="20"/>
                <w:szCs w:val="20"/>
                <w:lang w:val="en-GB"/>
              </w:rPr>
              <w:t>296</w:t>
            </w:r>
            <w:r w:rsidR="00C33CA7" w:rsidRPr="00132678">
              <w:rPr>
                <w:sz w:val="20"/>
                <w:szCs w:val="20"/>
                <w:lang w:val="en-GB"/>
              </w:rPr>
              <w:t>,</w:t>
            </w:r>
            <w:r w:rsidRPr="00132678">
              <w:rPr>
                <w:sz w:val="20"/>
                <w:szCs w:val="20"/>
                <w:lang w:val="en-GB"/>
              </w:rPr>
              <w:t>737</w:t>
            </w:r>
            <w:r w:rsidR="00C33CA7" w:rsidRPr="00132678">
              <w:rPr>
                <w:sz w:val="20"/>
                <w:szCs w:val="20"/>
                <w:lang w:val="en-GB"/>
              </w:rPr>
              <w:t>.</w:t>
            </w:r>
            <w:r w:rsidRPr="00132678">
              <w:rPr>
                <w:sz w:val="20"/>
                <w:szCs w:val="20"/>
                <w:lang w:val="en-GB"/>
              </w:rPr>
              <w:t>00</w:t>
            </w:r>
          </w:p>
        </w:tc>
      </w:tr>
      <w:tr w:rsidR="00F31B10" w:rsidRPr="00132678" w14:paraId="40F22CDA" w14:textId="77777777" w:rsidTr="0056662A">
        <w:tc>
          <w:tcPr>
            <w:tcW w:w="3005" w:type="dxa"/>
          </w:tcPr>
          <w:p w14:paraId="6EE743E9" w14:textId="77777777" w:rsidR="00F31B10" w:rsidRPr="00132678" w:rsidRDefault="00132678" w:rsidP="0056662A">
            <w:pPr>
              <w:spacing w:after="0"/>
              <w:jc w:val="both"/>
              <w:rPr>
                <w:sz w:val="20"/>
                <w:szCs w:val="20"/>
                <w:lang w:val="en-GB"/>
              </w:rPr>
            </w:pPr>
            <w:r w:rsidRPr="00132678">
              <w:rPr>
                <w:sz w:val="20"/>
                <w:szCs w:val="20"/>
                <w:lang w:val="en-GB"/>
              </w:rPr>
              <w:t xml:space="preserve">Slovenians </w:t>
            </w:r>
          </w:p>
        </w:tc>
        <w:tc>
          <w:tcPr>
            <w:tcW w:w="3005" w:type="dxa"/>
          </w:tcPr>
          <w:p w14:paraId="39254093" w14:textId="77777777" w:rsidR="00F31B10" w:rsidRPr="00132678" w:rsidRDefault="00F31B10" w:rsidP="0056662A">
            <w:pPr>
              <w:spacing w:after="0"/>
              <w:jc w:val="right"/>
              <w:rPr>
                <w:sz w:val="20"/>
                <w:szCs w:val="20"/>
                <w:lang w:val="en-GB"/>
              </w:rPr>
            </w:pPr>
            <w:r w:rsidRPr="00132678">
              <w:rPr>
                <w:sz w:val="20"/>
                <w:szCs w:val="20"/>
                <w:lang w:val="en-GB"/>
              </w:rPr>
              <w:t>3</w:t>
            </w:r>
          </w:p>
        </w:tc>
        <w:tc>
          <w:tcPr>
            <w:tcW w:w="3006" w:type="dxa"/>
          </w:tcPr>
          <w:p w14:paraId="652B15DA" w14:textId="77777777" w:rsidR="00F31B10" w:rsidRPr="00132678" w:rsidRDefault="00F31B10" w:rsidP="00C33CA7">
            <w:pPr>
              <w:spacing w:after="0"/>
              <w:jc w:val="right"/>
              <w:rPr>
                <w:sz w:val="20"/>
                <w:szCs w:val="20"/>
                <w:lang w:val="en-GB"/>
              </w:rPr>
            </w:pPr>
            <w:r w:rsidRPr="00132678">
              <w:rPr>
                <w:sz w:val="20"/>
                <w:szCs w:val="20"/>
                <w:lang w:val="en-GB"/>
              </w:rPr>
              <w:t>690</w:t>
            </w:r>
            <w:r w:rsidR="00C33CA7" w:rsidRPr="00132678">
              <w:rPr>
                <w:sz w:val="20"/>
                <w:szCs w:val="20"/>
                <w:lang w:val="en-GB"/>
              </w:rPr>
              <w:t>,</w:t>
            </w:r>
            <w:r w:rsidRPr="00132678">
              <w:rPr>
                <w:sz w:val="20"/>
                <w:szCs w:val="20"/>
                <w:lang w:val="en-GB"/>
              </w:rPr>
              <w:t>000</w:t>
            </w:r>
            <w:r w:rsidR="00C33CA7" w:rsidRPr="00132678">
              <w:rPr>
                <w:sz w:val="20"/>
                <w:szCs w:val="20"/>
                <w:lang w:val="en-GB"/>
              </w:rPr>
              <w:t>.</w:t>
            </w:r>
            <w:r w:rsidRPr="00132678">
              <w:rPr>
                <w:sz w:val="20"/>
                <w:szCs w:val="20"/>
                <w:lang w:val="en-GB"/>
              </w:rPr>
              <w:t>00</w:t>
            </w:r>
          </w:p>
        </w:tc>
      </w:tr>
      <w:tr w:rsidR="00F31B10" w:rsidRPr="00132678" w14:paraId="0C1F89A1" w14:textId="77777777" w:rsidTr="0056662A">
        <w:tc>
          <w:tcPr>
            <w:tcW w:w="3005" w:type="dxa"/>
          </w:tcPr>
          <w:p w14:paraId="25AF8D2D" w14:textId="77777777" w:rsidR="00F31B10" w:rsidRPr="00132678" w:rsidRDefault="00132678" w:rsidP="0056662A">
            <w:pPr>
              <w:spacing w:after="0"/>
              <w:jc w:val="both"/>
              <w:rPr>
                <w:sz w:val="20"/>
                <w:szCs w:val="20"/>
                <w:lang w:val="en-GB"/>
              </w:rPr>
            </w:pPr>
            <w:r w:rsidRPr="00132678">
              <w:rPr>
                <w:sz w:val="20"/>
                <w:szCs w:val="20"/>
                <w:lang w:val="en-GB"/>
              </w:rPr>
              <w:t xml:space="preserve">Ukrainians </w:t>
            </w:r>
          </w:p>
        </w:tc>
        <w:tc>
          <w:tcPr>
            <w:tcW w:w="3005" w:type="dxa"/>
          </w:tcPr>
          <w:p w14:paraId="5AC7B2FD" w14:textId="77777777" w:rsidR="00F31B10" w:rsidRPr="00132678" w:rsidRDefault="00F31B10" w:rsidP="0056662A">
            <w:pPr>
              <w:spacing w:after="0"/>
              <w:jc w:val="right"/>
              <w:rPr>
                <w:sz w:val="20"/>
                <w:szCs w:val="20"/>
                <w:lang w:val="en-GB"/>
              </w:rPr>
            </w:pPr>
            <w:r w:rsidRPr="00132678">
              <w:rPr>
                <w:sz w:val="20"/>
                <w:szCs w:val="20"/>
                <w:lang w:val="en-GB"/>
              </w:rPr>
              <w:t>3</w:t>
            </w:r>
          </w:p>
        </w:tc>
        <w:tc>
          <w:tcPr>
            <w:tcW w:w="3006" w:type="dxa"/>
          </w:tcPr>
          <w:p w14:paraId="3A2A843A" w14:textId="77777777" w:rsidR="00F31B10" w:rsidRPr="00132678" w:rsidRDefault="00F31B10" w:rsidP="00C33CA7">
            <w:pPr>
              <w:spacing w:after="0"/>
              <w:jc w:val="right"/>
              <w:rPr>
                <w:sz w:val="20"/>
                <w:szCs w:val="20"/>
                <w:lang w:val="en-GB"/>
              </w:rPr>
            </w:pPr>
            <w:r w:rsidRPr="00132678">
              <w:rPr>
                <w:sz w:val="20"/>
                <w:szCs w:val="20"/>
                <w:lang w:val="en-GB"/>
              </w:rPr>
              <w:t>820</w:t>
            </w:r>
            <w:r w:rsidR="00C33CA7" w:rsidRPr="00132678">
              <w:rPr>
                <w:sz w:val="20"/>
                <w:szCs w:val="20"/>
                <w:lang w:val="en-GB"/>
              </w:rPr>
              <w:t>,</w:t>
            </w:r>
            <w:r w:rsidRPr="00132678">
              <w:rPr>
                <w:sz w:val="20"/>
                <w:szCs w:val="20"/>
                <w:lang w:val="en-GB"/>
              </w:rPr>
              <w:t>000</w:t>
            </w:r>
            <w:r w:rsidR="00C33CA7" w:rsidRPr="00132678">
              <w:rPr>
                <w:sz w:val="20"/>
                <w:szCs w:val="20"/>
                <w:lang w:val="en-GB"/>
              </w:rPr>
              <w:t>.</w:t>
            </w:r>
            <w:r w:rsidRPr="00132678">
              <w:rPr>
                <w:sz w:val="20"/>
                <w:szCs w:val="20"/>
                <w:lang w:val="en-GB"/>
              </w:rPr>
              <w:t>00</w:t>
            </w:r>
          </w:p>
        </w:tc>
      </w:tr>
      <w:tr w:rsidR="00F31B10" w:rsidRPr="00132678" w14:paraId="0F92F7C4" w14:textId="77777777" w:rsidTr="0056662A">
        <w:tc>
          <w:tcPr>
            <w:tcW w:w="3005" w:type="dxa"/>
          </w:tcPr>
          <w:p w14:paraId="30EF8FD3" w14:textId="77777777" w:rsidR="00F31B10" w:rsidRPr="00132678" w:rsidRDefault="00132678" w:rsidP="0056662A">
            <w:pPr>
              <w:spacing w:after="0"/>
              <w:jc w:val="both"/>
              <w:rPr>
                <w:sz w:val="20"/>
                <w:szCs w:val="20"/>
                <w:lang w:val="en-GB"/>
              </w:rPr>
            </w:pPr>
            <w:r w:rsidRPr="00132678">
              <w:rPr>
                <w:sz w:val="20"/>
                <w:szCs w:val="20"/>
                <w:lang w:val="en-GB"/>
              </w:rPr>
              <w:t xml:space="preserve">Croats </w:t>
            </w:r>
          </w:p>
        </w:tc>
        <w:tc>
          <w:tcPr>
            <w:tcW w:w="3005" w:type="dxa"/>
          </w:tcPr>
          <w:p w14:paraId="716D5D2D" w14:textId="77777777" w:rsidR="00F31B10" w:rsidRPr="00132678" w:rsidRDefault="00F31B10" w:rsidP="0056662A">
            <w:pPr>
              <w:spacing w:after="0"/>
              <w:jc w:val="right"/>
              <w:rPr>
                <w:sz w:val="20"/>
                <w:szCs w:val="20"/>
                <w:lang w:val="en-GB"/>
              </w:rPr>
            </w:pPr>
            <w:r w:rsidRPr="00132678">
              <w:rPr>
                <w:sz w:val="20"/>
                <w:szCs w:val="20"/>
                <w:lang w:val="en-GB"/>
              </w:rPr>
              <w:t>6</w:t>
            </w:r>
          </w:p>
        </w:tc>
        <w:tc>
          <w:tcPr>
            <w:tcW w:w="3006" w:type="dxa"/>
          </w:tcPr>
          <w:p w14:paraId="0B9C8B26" w14:textId="77777777" w:rsidR="00F31B10" w:rsidRPr="00132678" w:rsidRDefault="00F31B10" w:rsidP="00C33CA7">
            <w:pPr>
              <w:spacing w:after="0"/>
              <w:jc w:val="right"/>
              <w:rPr>
                <w:sz w:val="20"/>
                <w:szCs w:val="20"/>
                <w:lang w:val="en-GB"/>
              </w:rPr>
            </w:pPr>
            <w:r w:rsidRPr="00132678">
              <w:rPr>
                <w:sz w:val="20"/>
                <w:szCs w:val="20"/>
                <w:lang w:val="en-GB"/>
              </w:rPr>
              <w:t>5</w:t>
            </w:r>
            <w:r w:rsidR="00C33CA7" w:rsidRPr="00132678">
              <w:rPr>
                <w:sz w:val="20"/>
                <w:szCs w:val="20"/>
                <w:lang w:val="en-GB"/>
              </w:rPr>
              <w:t>,</w:t>
            </w:r>
            <w:r w:rsidRPr="00132678">
              <w:rPr>
                <w:sz w:val="20"/>
                <w:szCs w:val="20"/>
                <w:lang w:val="en-GB"/>
              </w:rPr>
              <w:t>785</w:t>
            </w:r>
            <w:r w:rsidR="00C33CA7" w:rsidRPr="00132678">
              <w:rPr>
                <w:sz w:val="20"/>
                <w:szCs w:val="20"/>
                <w:lang w:val="en-GB"/>
              </w:rPr>
              <w:t>,</w:t>
            </w:r>
            <w:r w:rsidRPr="00132678">
              <w:rPr>
                <w:sz w:val="20"/>
                <w:szCs w:val="20"/>
                <w:lang w:val="en-GB"/>
              </w:rPr>
              <w:t>000</w:t>
            </w:r>
            <w:r w:rsidR="00C33CA7" w:rsidRPr="00132678">
              <w:rPr>
                <w:sz w:val="20"/>
                <w:szCs w:val="20"/>
                <w:lang w:val="en-GB"/>
              </w:rPr>
              <w:t>.</w:t>
            </w:r>
            <w:r w:rsidRPr="00132678">
              <w:rPr>
                <w:sz w:val="20"/>
                <w:szCs w:val="20"/>
                <w:lang w:val="en-GB"/>
              </w:rPr>
              <w:t>00</w:t>
            </w:r>
          </w:p>
        </w:tc>
      </w:tr>
      <w:tr w:rsidR="00F31B10" w:rsidRPr="00132678" w14:paraId="1974616C" w14:textId="77777777" w:rsidTr="0056662A">
        <w:tc>
          <w:tcPr>
            <w:tcW w:w="3005" w:type="dxa"/>
          </w:tcPr>
          <w:p w14:paraId="1437CE35" w14:textId="77777777" w:rsidR="00F31B10" w:rsidRPr="00132678" w:rsidRDefault="00132678" w:rsidP="0056662A">
            <w:pPr>
              <w:spacing w:after="0"/>
              <w:jc w:val="both"/>
              <w:rPr>
                <w:sz w:val="20"/>
                <w:szCs w:val="20"/>
                <w:lang w:val="en-GB"/>
              </w:rPr>
            </w:pPr>
            <w:r w:rsidRPr="00132678">
              <w:rPr>
                <w:sz w:val="20"/>
                <w:szCs w:val="20"/>
                <w:lang w:val="en-GB"/>
              </w:rPr>
              <w:t xml:space="preserve">Montenegrins </w:t>
            </w:r>
          </w:p>
        </w:tc>
        <w:tc>
          <w:tcPr>
            <w:tcW w:w="3005" w:type="dxa"/>
          </w:tcPr>
          <w:p w14:paraId="3BEE7CFA" w14:textId="77777777" w:rsidR="00F31B10" w:rsidRPr="00132678" w:rsidRDefault="00F31B10" w:rsidP="0056662A">
            <w:pPr>
              <w:spacing w:after="0"/>
              <w:jc w:val="right"/>
              <w:rPr>
                <w:sz w:val="20"/>
                <w:szCs w:val="20"/>
                <w:lang w:val="en-GB"/>
              </w:rPr>
            </w:pPr>
            <w:r w:rsidRPr="00132678">
              <w:rPr>
                <w:sz w:val="20"/>
                <w:szCs w:val="20"/>
                <w:lang w:val="en-GB"/>
              </w:rPr>
              <w:t>2</w:t>
            </w:r>
          </w:p>
        </w:tc>
        <w:tc>
          <w:tcPr>
            <w:tcW w:w="3006" w:type="dxa"/>
          </w:tcPr>
          <w:p w14:paraId="473D65BA" w14:textId="77777777" w:rsidR="00F31B10" w:rsidRPr="00132678" w:rsidRDefault="00F31B10" w:rsidP="00C33CA7">
            <w:pPr>
              <w:spacing w:after="0"/>
              <w:jc w:val="right"/>
              <w:rPr>
                <w:sz w:val="20"/>
                <w:szCs w:val="20"/>
                <w:lang w:val="en-GB"/>
              </w:rPr>
            </w:pPr>
            <w:r w:rsidRPr="00132678">
              <w:rPr>
                <w:sz w:val="20"/>
                <w:szCs w:val="20"/>
                <w:lang w:val="en-GB"/>
              </w:rPr>
              <w:t>200</w:t>
            </w:r>
            <w:r w:rsidR="00C33CA7" w:rsidRPr="00132678">
              <w:rPr>
                <w:sz w:val="20"/>
                <w:szCs w:val="20"/>
                <w:lang w:val="en-GB"/>
              </w:rPr>
              <w:t>,</w:t>
            </w:r>
            <w:r w:rsidRPr="00132678">
              <w:rPr>
                <w:sz w:val="20"/>
                <w:szCs w:val="20"/>
                <w:lang w:val="en-GB"/>
              </w:rPr>
              <w:t>000</w:t>
            </w:r>
            <w:r w:rsidR="00C33CA7" w:rsidRPr="00132678">
              <w:rPr>
                <w:sz w:val="20"/>
                <w:szCs w:val="20"/>
                <w:lang w:val="en-GB"/>
              </w:rPr>
              <w:t>.</w:t>
            </w:r>
            <w:r w:rsidRPr="00132678">
              <w:rPr>
                <w:sz w:val="20"/>
                <w:szCs w:val="20"/>
                <w:lang w:val="en-GB"/>
              </w:rPr>
              <w:t>00</w:t>
            </w:r>
          </w:p>
        </w:tc>
      </w:tr>
      <w:tr w:rsidR="00F31B10" w:rsidRPr="00D62D04" w14:paraId="7D6A7923" w14:textId="77777777" w:rsidTr="0056662A">
        <w:tc>
          <w:tcPr>
            <w:tcW w:w="3005" w:type="dxa"/>
          </w:tcPr>
          <w:p w14:paraId="20CA1F56" w14:textId="77777777" w:rsidR="00F31B10" w:rsidRPr="00132678" w:rsidRDefault="00132678" w:rsidP="0056662A">
            <w:pPr>
              <w:spacing w:after="0"/>
              <w:jc w:val="both"/>
              <w:rPr>
                <w:sz w:val="20"/>
                <w:szCs w:val="20"/>
                <w:lang w:val="en-GB"/>
              </w:rPr>
            </w:pPr>
            <w:r w:rsidRPr="00132678">
              <w:rPr>
                <w:sz w:val="20"/>
                <w:szCs w:val="20"/>
                <w:lang w:val="en-GB"/>
              </w:rPr>
              <w:t xml:space="preserve">Czechs </w:t>
            </w:r>
          </w:p>
        </w:tc>
        <w:tc>
          <w:tcPr>
            <w:tcW w:w="3005" w:type="dxa"/>
          </w:tcPr>
          <w:p w14:paraId="0520FB71" w14:textId="77777777" w:rsidR="00F31B10" w:rsidRPr="00132678" w:rsidRDefault="00F31B10" w:rsidP="0056662A">
            <w:pPr>
              <w:spacing w:after="0"/>
              <w:jc w:val="right"/>
              <w:rPr>
                <w:sz w:val="20"/>
                <w:szCs w:val="20"/>
                <w:lang w:val="en-GB"/>
              </w:rPr>
            </w:pPr>
            <w:r w:rsidRPr="00132678">
              <w:rPr>
                <w:sz w:val="20"/>
                <w:szCs w:val="20"/>
                <w:lang w:val="en-GB"/>
              </w:rPr>
              <w:t>1</w:t>
            </w:r>
          </w:p>
        </w:tc>
        <w:tc>
          <w:tcPr>
            <w:tcW w:w="3006" w:type="dxa"/>
          </w:tcPr>
          <w:p w14:paraId="5D5ABF51" w14:textId="77777777" w:rsidR="00F31B10" w:rsidRPr="00132678" w:rsidRDefault="00F31B10" w:rsidP="00C33CA7">
            <w:pPr>
              <w:spacing w:after="0"/>
              <w:jc w:val="right"/>
              <w:rPr>
                <w:sz w:val="20"/>
                <w:szCs w:val="20"/>
                <w:lang w:val="en-GB"/>
              </w:rPr>
            </w:pPr>
            <w:r w:rsidRPr="00132678">
              <w:rPr>
                <w:sz w:val="20"/>
                <w:szCs w:val="20"/>
                <w:lang w:val="en-GB"/>
              </w:rPr>
              <w:t>100</w:t>
            </w:r>
            <w:r w:rsidR="00C33CA7" w:rsidRPr="00132678">
              <w:rPr>
                <w:sz w:val="20"/>
                <w:szCs w:val="20"/>
                <w:lang w:val="en-GB"/>
              </w:rPr>
              <w:t>,</w:t>
            </w:r>
            <w:r w:rsidRPr="00132678">
              <w:rPr>
                <w:sz w:val="20"/>
                <w:szCs w:val="20"/>
                <w:lang w:val="en-GB"/>
              </w:rPr>
              <w:t>000</w:t>
            </w:r>
            <w:r w:rsidR="00C33CA7" w:rsidRPr="00132678">
              <w:rPr>
                <w:sz w:val="20"/>
                <w:szCs w:val="20"/>
                <w:lang w:val="en-GB"/>
              </w:rPr>
              <w:t>.</w:t>
            </w:r>
            <w:r w:rsidRPr="00132678">
              <w:rPr>
                <w:sz w:val="20"/>
                <w:szCs w:val="20"/>
                <w:lang w:val="en-GB"/>
              </w:rPr>
              <w:t>00</w:t>
            </w:r>
          </w:p>
        </w:tc>
      </w:tr>
    </w:tbl>
    <w:p w14:paraId="78B63770" w14:textId="77777777" w:rsidR="00F31B10" w:rsidRPr="00D62D04" w:rsidRDefault="00F31B10" w:rsidP="00A475C5">
      <w:pPr>
        <w:spacing w:after="0"/>
        <w:jc w:val="both"/>
        <w:rPr>
          <w:sz w:val="24"/>
          <w:szCs w:val="24"/>
          <w:highlight w:val="cyan"/>
          <w:lang w:val="en-GB"/>
        </w:rPr>
      </w:pPr>
    </w:p>
    <w:p w14:paraId="0179AA1E" w14:textId="77777777" w:rsidR="00821441" w:rsidRDefault="00821441" w:rsidP="00741176">
      <w:pPr>
        <w:spacing w:after="0"/>
        <w:ind w:firstLine="720"/>
        <w:jc w:val="both"/>
        <w:rPr>
          <w:sz w:val="24"/>
          <w:szCs w:val="24"/>
          <w:lang w:val="en-GB"/>
        </w:rPr>
      </w:pPr>
      <w:r w:rsidRPr="00821441">
        <w:rPr>
          <w:sz w:val="24"/>
          <w:szCs w:val="24"/>
          <w:lang w:val="en-GB"/>
        </w:rPr>
        <w:t>In the a</w:t>
      </w:r>
      <w:r>
        <w:rPr>
          <w:sz w:val="24"/>
          <w:szCs w:val="24"/>
          <w:lang w:val="en-GB"/>
        </w:rPr>
        <w:t>ddendum</w:t>
      </w:r>
      <w:r w:rsidRPr="00821441">
        <w:rPr>
          <w:sz w:val="24"/>
          <w:szCs w:val="24"/>
          <w:lang w:val="en-GB"/>
        </w:rPr>
        <w:t xml:space="preserve"> to this </w:t>
      </w:r>
      <w:r>
        <w:rPr>
          <w:sz w:val="24"/>
          <w:szCs w:val="24"/>
          <w:lang w:val="en-GB"/>
        </w:rPr>
        <w:t>R</w:t>
      </w:r>
      <w:r w:rsidRPr="00821441">
        <w:rPr>
          <w:sz w:val="24"/>
          <w:szCs w:val="24"/>
          <w:lang w:val="en-GB"/>
        </w:rPr>
        <w:t>eport, the "</w:t>
      </w:r>
      <w:proofErr w:type="spellStart"/>
      <w:r w:rsidRPr="00821441">
        <w:rPr>
          <w:sz w:val="24"/>
          <w:szCs w:val="24"/>
          <w:lang w:val="en-GB"/>
        </w:rPr>
        <w:t>Gergina</w:t>
      </w:r>
      <w:proofErr w:type="spellEnd"/>
      <w:r w:rsidRPr="00821441">
        <w:rPr>
          <w:sz w:val="24"/>
          <w:szCs w:val="24"/>
          <w:lang w:val="en-GB"/>
        </w:rPr>
        <w:t xml:space="preserve">" Association states that it is necessary to strengthen the promotion of Wallachian culture at all levels, from local communities to the </w:t>
      </w:r>
      <w:r w:rsidR="00FA25BB">
        <w:rPr>
          <w:sz w:val="24"/>
          <w:szCs w:val="24"/>
          <w:lang w:val="en-GB"/>
        </w:rPr>
        <w:t>national</w:t>
      </w:r>
      <w:r w:rsidRPr="00821441">
        <w:rPr>
          <w:sz w:val="24"/>
          <w:szCs w:val="24"/>
          <w:lang w:val="en-GB"/>
        </w:rPr>
        <w:t>, as well as that information in the Wallachian language is insufficient, since it is provided exclusively through project financing in within the framework of certain local media.</w:t>
      </w:r>
    </w:p>
    <w:p w14:paraId="33800010" w14:textId="77777777" w:rsidR="00C82FD1" w:rsidRPr="00D62D04" w:rsidRDefault="00C82FD1" w:rsidP="00C82FD1">
      <w:pPr>
        <w:spacing w:after="0"/>
        <w:jc w:val="both"/>
        <w:rPr>
          <w:sz w:val="24"/>
          <w:szCs w:val="24"/>
          <w:highlight w:val="cyan"/>
          <w:lang w:val="en-GB"/>
        </w:rPr>
      </w:pPr>
    </w:p>
    <w:p w14:paraId="508F445F" w14:textId="77777777" w:rsidR="00C82FD1" w:rsidRDefault="00FA25BB" w:rsidP="00C82FD1">
      <w:pPr>
        <w:spacing w:after="0"/>
        <w:jc w:val="both"/>
        <w:rPr>
          <w:i/>
          <w:sz w:val="24"/>
          <w:szCs w:val="24"/>
          <w:lang w:val="en-GB"/>
        </w:rPr>
      </w:pPr>
      <w:r w:rsidRPr="00FA25BB">
        <w:rPr>
          <w:i/>
          <w:sz w:val="24"/>
          <w:szCs w:val="24"/>
          <w:lang w:val="en-GB"/>
        </w:rPr>
        <w:t>Financing of national councils of national minorities</w:t>
      </w:r>
    </w:p>
    <w:p w14:paraId="233EDEB2" w14:textId="77777777" w:rsidR="00FA25BB" w:rsidRPr="00D62D04" w:rsidRDefault="00FA25BB" w:rsidP="00C82FD1">
      <w:pPr>
        <w:spacing w:after="0"/>
        <w:jc w:val="both"/>
        <w:rPr>
          <w:i/>
          <w:sz w:val="24"/>
          <w:szCs w:val="24"/>
          <w:highlight w:val="cyan"/>
          <w:lang w:val="en-GB"/>
        </w:rPr>
      </w:pPr>
    </w:p>
    <w:p w14:paraId="3DF21D4B" w14:textId="77777777" w:rsidR="00CA1D81" w:rsidRPr="00E35865" w:rsidRDefault="00C82FD1" w:rsidP="00C82FD1">
      <w:pPr>
        <w:spacing w:after="0"/>
        <w:jc w:val="both"/>
        <w:rPr>
          <w:sz w:val="24"/>
          <w:szCs w:val="24"/>
          <w:lang w:val="en-GB"/>
        </w:rPr>
      </w:pPr>
      <w:r w:rsidRPr="00E35865">
        <w:rPr>
          <w:sz w:val="24"/>
          <w:szCs w:val="24"/>
          <w:lang w:val="en-GB"/>
        </w:rPr>
        <w:tab/>
      </w:r>
      <w:r w:rsidR="00E35865" w:rsidRPr="00E35865">
        <w:rPr>
          <w:sz w:val="24"/>
          <w:szCs w:val="24"/>
          <w:lang w:val="en-GB"/>
        </w:rPr>
        <w:t xml:space="preserve">In the reporting period, regular financing of national councils of national minorities continued with funds from the budgets of the Republic of Serbia, AP </w:t>
      </w:r>
      <w:r w:rsidR="00E35865">
        <w:rPr>
          <w:sz w:val="24"/>
          <w:szCs w:val="24"/>
          <w:lang w:val="en-GB"/>
        </w:rPr>
        <w:t xml:space="preserve">of </w:t>
      </w:r>
      <w:proofErr w:type="spellStart"/>
      <w:r w:rsidR="00E35865" w:rsidRPr="00E35865">
        <w:rPr>
          <w:sz w:val="24"/>
          <w:szCs w:val="24"/>
          <w:lang w:val="en-GB"/>
        </w:rPr>
        <w:t>Vojvodina</w:t>
      </w:r>
      <w:proofErr w:type="spellEnd"/>
      <w:r w:rsidR="00E35865" w:rsidRPr="00E35865">
        <w:rPr>
          <w:sz w:val="24"/>
          <w:szCs w:val="24"/>
          <w:lang w:val="en-GB"/>
        </w:rPr>
        <w:t xml:space="preserve"> and local self-government units. National councils can finance various projects, including projects in the field of culture, with the means at their disposal. The tables below contain data on the financing of national councils from the budget of the Republic of Serbia and the budget of AP </w:t>
      </w:r>
      <w:r w:rsidR="00E35865">
        <w:rPr>
          <w:sz w:val="24"/>
          <w:szCs w:val="24"/>
          <w:lang w:val="en-GB"/>
        </w:rPr>
        <w:t xml:space="preserve">of </w:t>
      </w:r>
      <w:proofErr w:type="spellStart"/>
      <w:r w:rsidR="00E35865" w:rsidRPr="00E35865">
        <w:rPr>
          <w:sz w:val="24"/>
          <w:szCs w:val="24"/>
          <w:lang w:val="en-GB"/>
        </w:rPr>
        <w:t>Vojvodina</w:t>
      </w:r>
      <w:proofErr w:type="spellEnd"/>
      <w:r w:rsidR="00E35865" w:rsidRPr="00E35865">
        <w:rPr>
          <w:sz w:val="24"/>
          <w:szCs w:val="24"/>
          <w:lang w:val="en-GB"/>
        </w:rPr>
        <w:t>.</w:t>
      </w:r>
    </w:p>
    <w:p w14:paraId="0C5A9CCB" w14:textId="77777777" w:rsidR="00CA1D81" w:rsidRPr="00D62D04" w:rsidRDefault="00E35865" w:rsidP="00CA1D81">
      <w:pPr>
        <w:spacing w:after="0"/>
        <w:jc w:val="center"/>
        <w:rPr>
          <w:i/>
          <w:sz w:val="20"/>
          <w:szCs w:val="20"/>
          <w:highlight w:val="cyan"/>
          <w:lang w:val="en-GB"/>
        </w:rPr>
      </w:pPr>
      <w:r w:rsidRPr="00E35865">
        <w:rPr>
          <w:i/>
          <w:sz w:val="20"/>
          <w:szCs w:val="20"/>
          <w:lang w:val="en-GB"/>
        </w:rPr>
        <w:t>Funding from the budget of the Republic of Serbia</w:t>
      </w:r>
    </w:p>
    <w:tbl>
      <w:tblPr>
        <w:tblW w:w="9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2"/>
        <w:gridCol w:w="1473"/>
        <w:gridCol w:w="1473"/>
        <w:gridCol w:w="1473"/>
        <w:gridCol w:w="1473"/>
        <w:gridCol w:w="1473"/>
      </w:tblGrid>
      <w:tr w:rsidR="00CA1D81" w:rsidRPr="00D62D04" w14:paraId="7F146097" w14:textId="77777777" w:rsidTr="00AD5BFF">
        <w:trPr>
          <w:trHeight w:val="928"/>
        </w:trPr>
        <w:tc>
          <w:tcPr>
            <w:tcW w:w="1752" w:type="dxa"/>
            <w:tcBorders>
              <w:top w:val="single" w:sz="4" w:space="0" w:color="auto"/>
              <w:left w:val="single" w:sz="4" w:space="0" w:color="auto"/>
              <w:bottom w:val="single" w:sz="4" w:space="0" w:color="auto"/>
              <w:right w:val="single" w:sz="4" w:space="0" w:color="auto"/>
            </w:tcBorders>
          </w:tcPr>
          <w:p w14:paraId="0B3DC35C" w14:textId="77777777" w:rsidR="00CA1D81" w:rsidRPr="00712961" w:rsidRDefault="00712961" w:rsidP="00AD5BFF">
            <w:pPr>
              <w:tabs>
                <w:tab w:val="left" w:pos="1152"/>
              </w:tabs>
              <w:spacing w:after="0" w:line="240" w:lineRule="auto"/>
              <w:jc w:val="center"/>
              <w:rPr>
                <w:rFonts w:eastAsia="Times New Roman"/>
                <w:b/>
                <w:sz w:val="18"/>
                <w:szCs w:val="18"/>
                <w:lang w:val="en-GB"/>
              </w:rPr>
            </w:pPr>
            <w:r w:rsidRPr="00712961">
              <w:rPr>
                <w:rFonts w:eastAsia="Times New Roman"/>
                <w:b/>
                <w:sz w:val="18"/>
                <w:szCs w:val="18"/>
                <w:lang w:val="en-GB"/>
              </w:rPr>
              <w:t>NATIONAL COUNCIL OF NATIONAL MINORITIES</w:t>
            </w:r>
          </w:p>
        </w:tc>
        <w:tc>
          <w:tcPr>
            <w:tcW w:w="1473" w:type="dxa"/>
            <w:tcBorders>
              <w:top w:val="single" w:sz="4" w:space="0" w:color="auto"/>
              <w:left w:val="single" w:sz="4" w:space="0" w:color="auto"/>
              <w:bottom w:val="single" w:sz="4" w:space="0" w:color="auto"/>
              <w:right w:val="single" w:sz="4" w:space="0" w:color="auto"/>
            </w:tcBorders>
          </w:tcPr>
          <w:p w14:paraId="5B7C48F5" w14:textId="77777777" w:rsidR="00CA1D81" w:rsidRPr="00712961" w:rsidRDefault="00712961" w:rsidP="00AD5BFF">
            <w:pPr>
              <w:tabs>
                <w:tab w:val="left" w:pos="1152"/>
              </w:tabs>
              <w:spacing w:after="0" w:line="240" w:lineRule="auto"/>
              <w:jc w:val="center"/>
              <w:rPr>
                <w:rFonts w:eastAsia="Times New Roman"/>
                <w:b/>
                <w:sz w:val="20"/>
                <w:szCs w:val="20"/>
                <w:lang w:val="en-GB"/>
              </w:rPr>
            </w:pPr>
            <w:r w:rsidRPr="00712961">
              <w:rPr>
                <w:rFonts w:eastAsia="Times New Roman"/>
                <w:b/>
                <w:sz w:val="20"/>
                <w:szCs w:val="20"/>
                <w:lang w:val="en-GB"/>
              </w:rPr>
              <w:t>2017</w:t>
            </w:r>
          </w:p>
        </w:tc>
        <w:tc>
          <w:tcPr>
            <w:tcW w:w="1473" w:type="dxa"/>
            <w:tcBorders>
              <w:top w:val="single" w:sz="4" w:space="0" w:color="auto"/>
              <w:left w:val="single" w:sz="4" w:space="0" w:color="auto"/>
              <w:bottom w:val="single" w:sz="4" w:space="0" w:color="auto"/>
              <w:right w:val="single" w:sz="4" w:space="0" w:color="auto"/>
            </w:tcBorders>
          </w:tcPr>
          <w:p w14:paraId="4A07C31C" w14:textId="77777777" w:rsidR="00CA1D81" w:rsidRPr="00712961" w:rsidRDefault="00712961" w:rsidP="00AD5BFF">
            <w:pPr>
              <w:tabs>
                <w:tab w:val="left" w:pos="1152"/>
              </w:tabs>
              <w:spacing w:after="0" w:line="240" w:lineRule="auto"/>
              <w:jc w:val="center"/>
              <w:rPr>
                <w:rFonts w:eastAsia="Times New Roman"/>
                <w:b/>
                <w:sz w:val="20"/>
                <w:szCs w:val="20"/>
                <w:lang w:val="en-GB"/>
              </w:rPr>
            </w:pPr>
            <w:r w:rsidRPr="00712961">
              <w:rPr>
                <w:rFonts w:eastAsia="Times New Roman"/>
                <w:b/>
                <w:sz w:val="20"/>
                <w:szCs w:val="20"/>
                <w:lang w:val="en-GB"/>
              </w:rPr>
              <w:t>2018</w:t>
            </w:r>
          </w:p>
        </w:tc>
        <w:tc>
          <w:tcPr>
            <w:tcW w:w="1473" w:type="dxa"/>
            <w:tcBorders>
              <w:top w:val="single" w:sz="4" w:space="0" w:color="auto"/>
              <w:left w:val="single" w:sz="4" w:space="0" w:color="auto"/>
              <w:bottom w:val="single" w:sz="4" w:space="0" w:color="auto"/>
              <w:right w:val="single" w:sz="4" w:space="0" w:color="auto"/>
            </w:tcBorders>
          </w:tcPr>
          <w:p w14:paraId="26D4D66D" w14:textId="77777777" w:rsidR="00CA1D81" w:rsidRPr="00712961" w:rsidRDefault="00712961" w:rsidP="00AD5BFF">
            <w:pPr>
              <w:tabs>
                <w:tab w:val="left" w:pos="1152"/>
              </w:tabs>
              <w:spacing w:after="0" w:line="240" w:lineRule="auto"/>
              <w:jc w:val="center"/>
              <w:rPr>
                <w:rFonts w:eastAsia="Times New Roman"/>
                <w:b/>
                <w:sz w:val="20"/>
                <w:szCs w:val="20"/>
                <w:lang w:val="en-GB"/>
              </w:rPr>
            </w:pPr>
            <w:r w:rsidRPr="00712961">
              <w:rPr>
                <w:rFonts w:eastAsia="Times New Roman"/>
                <w:b/>
                <w:sz w:val="20"/>
                <w:szCs w:val="20"/>
                <w:lang w:val="en-GB"/>
              </w:rPr>
              <w:t>2019</w:t>
            </w:r>
          </w:p>
        </w:tc>
        <w:tc>
          <w:tcPr>
            <w:tcW w:w="1473" w:type="dxa"/>
            <w:tcBorders>
              <w:top w:val="single" w:sz="4" w:space="0" w:color="auto"/>
              <w:left w:val="single" w:sz="4" w:space="0" w:color="auto"/>
              <w:bottom w:val="single" w:sz="4" w:space="0" w:color="auto"/>
              <w:right w:val="single" w:sz="4" w:space="0" w:color="auto"/>
            </w:tcBorders>
          </w:tcPr>
          <w:p w14:paraId="4E32D17D" w14:textId="77777777" w:rsidR="00CA1D81" w:rsidRPr="00712961" w:rsidRDefault="00712961" w:rsidP="00AD5BFF">
            <w:pPr>
              <w:tabs>
                <w:tab w:val="left" w:pos="1152"/>
              </w:tabs>
              <w:spacing w:after="0" w:line="240" w:lineRule="auto"/>
              <w:jc w:val="center"/>
              <w:rPr>
                <w:rFonts w:eastAsia="Times New Roman"/>
                <w:b/>
                <w:sz w:val="20"/>
                <w:szCs w:val="20"/>
                <w:lang w:val="en-GB"/>
              </w:rPr>
            </w:pPr>
            <w:r w:rsidRPr="00712961">
              <w:rPr>
                <w:rFonts w:eastAsia="Times New Roman"/>
                <w:b/>
                <w:sz w:val="20"/>
                <w:szCs w:val="20"/>
                <w:lang w:val="en-GB"/>
              </w:rPr>
              <w:t>2020</w:t>
            </w:r>
          </w:p>
        </w:tc>
        <w:tc>
          <w:tcPr>
            <w:tcW w:w="1473" w:type="dxa"/>
            <w:tcBorders>
              <w:top w:val="single" w:sz="4" w:space="0" w:color="auto"/>
              <w:left w:val="single" w:sz="4" w:space="0" w:color="auto"/>
              <w:bottom w:val="single" w:sz="4" w:space="0" w:color="auto"/>
              <w:right w:val="single" w:sz="4" w:space="0" w:color="auto"/>
            </w:tcBorders>
          </w:tcPr>
          <w:p w14:paraId="0E9B839A" w14:textId="77777777" w:rsidR="00CA1D81" w:rsidRPr="00712961" w:rsidRDefault="00712961" w:rsidP="00AD5BFF">
            <w:pPr>
              <w:tabs>
                <w:tab w:val="left" w:pos="1152"/>
              </w:tabs>
              <w:spacing w:after="0" w:line="240" w:lineRule="auto"/>
              <w:jc w:val="center"/>
              <w:rPr>
                <w:rFonts w:eastAsia="Times New Roman"/>
                <w:b/>
                <w:sz w:val="20"/>
                <w:szCs w:val="20"/>
                <w:lang w:val="en-GB"/>
              </w:rPr>
            </w:pPr>
            <w:r w:rsidRPr="00712961">
              <w:rPr>
                <w:rFonts w:eastAsia="Times New Roman"/>
                <w:b/>
                <w:sz w:val="20"/>
                <w:szCs w:val="20"/>
                <w:lang w:val="en-GB"/>
              </w:rPr>
              <w:t>2021</w:t>
            </w:r>
          </w:p>
        </w:tc>
      </w:tr>
      <w:tr w:rsidR="00CA1D81" w:rsidRPr="00712961" w14:paraId="493283D5" w14:textId="77777777" w:rsidTr="00AD5BFF">
        <w:trPr>
          <w:trHeight w:val="268"/>
        </w:trPr>
        <w:tc>
          <w:tcPr>
            <w:tcW w:w="1752" w:type="dxa"/>
            <w:tcBorders>
              <w:top w:val="single" w:sz="4" w:space="0" w:color="auto"/>
              <w:left w:val="single" w:sz="4" w:space="0" w:color="auto"/>
              <w:bottom w:val="single" w:sz="4" w:space="0" w:color="auto"/>
              <w:right w:val="single" w:sz="4" w:space="0" w:color="auto"/>
            </w:tcBorders>
            <w:hideMark/>
          </w:tcPr>
          <w:p w14:paraId="4BCA8328" w14:textId="77777777" w:rsidR="00CA1D81" w:rsidRPr="00712961" w:rsidRDefault="00712961" w:rsidP="00AD5BFF">
            <w:pPr>
              <w:tabs>
                <w:tab w:val="left" w:pos="1152"/>
              </w:tabs>
              <w:spacing w:after="0" w:line="240" w:lineRule="auto"/>
              <w:rPr>
                <w:rFonts w:eastAsia="Times New Roman"/>
                <w:sz w:val="20"/>
                <w:szCs w:val="20"/>
                <w:lang w:val="en-GB"/>
              </w:rPr>
            </w:pPr>
            <w:r w:rsidRPr="00712961">
              <w:rPr>
                <w:rFonts w:eastAsia="Times New Roman"/>
                <w:sz w:val="20"/>
                <w:szCs w:val="20"/>
                <w:lang w:val="en-GB"/>
              </w:rPr>
              <w:t xml:space="preserve">Albanian </w:t>
            </w:r>
          </w:p>
        </w:tc>
        <w:tc>
          <w:tcPr>
            <w:tcW w:w="1473" w:type="dxa"/>
            <w:tcBorders>
              <w:top w:val="single" w:sz="4" w:space="0" w:color="auto"/>
              <w:left w:val="single" w:sz="4" w:space="0" w:color="auto"/>
              <w:bottom w:val="single" w:sz="4" w:space="0" w:color="auto"/>
              <w:right w:val="single" w:sz="4" w:space="0" w:color="auto"/>
            </w:tcBorders>
            <w:hideMark/>
          </w:tcPr>
          <w:p w14:paraId="33166A93" w14:textId="77777777" w:rsidR="00CA1D81" w:rsidRPr="00712961" w:rsidRDefault="00CA1D81" w:rsidP="00712961">
            <w:pPr>
              <w:spacing w:after="0" w:line="240" w:lineRule="auto"/>
              <w:jc w:val="right"/>
              <w:rPr>
                <w:sz w:val="20"/>
                <w:szCs w:val="20"/>
                <w:lang w:val="en-GB"/>
              </w:rPr>
            </w:pPr>
            <w:r w:rsidRPr="00712961">
              <w:rPr>
                <w:sz w:val="20"/>
                <w:szCs w:val="20"/>
                <w:lang w:val="en-GB"/>
              </w:rPr>
              <w:t>13</w:t>
            </w:r>
            <w:r w:rsidR="00712961" w:rsidRPr="00712961">
              <w:rPr>
                <w:sz w:val="20"/>
                <w:szCs w:val="20"/>
                <w:lang w:val="en-GB"/>
              </w:rPr>
              <w:t>,</w:t>
            </w:r>
            <w:r w:rsidRPr="00712961">
              <w:rPr>
                <w:sz w:val="20"/>
                <w:szCs w:val="20"/>
                <w:lang w:val="en-GB"/>
              </w:rPr>
              <w:t>226</w:t>
            </w:r>
            <w:r w:rsidR="00712961" w:rsidRPr="00712961">
              <w:rPr>
                <w:sz w:val="20"/>
                <w:szCs w:val="20"/>
                <w:lang w:val="en-GB"/>
              </w:rPr>
              <w:t>,</w:t>
            </w:r>
            <w:r w:rsidRPr="00712961">
              <w:rPr>
                <w:sz w:val="20"/>
                <w:szCs w:val="20"/>
                <w:lang w:val="en-GB"/>
              </w:rPr>
              <w:t>019</w:t>
            </w:r>
            <w:r w:rsidR="00712961" w:rsidRPr="00712961">
              <w:rPr>
                <w:sz w:val="20"/>
                <w:szCs w:val="20"/>
                <w:lang w:val="en-GB"/>
              </w:rPr>
              <w:t>.</w:t>
            </w:r>
            <w:r w:rsidRPr="00712961">
              <w:rPr>
                <w:sz w:val="20"/>
                <w:szCs w:val="20"/>
                <w:lang w:val="en-GB"/>
              </w:rPr>
              <w:t>00</w:t>
            </w:r>
          </w:p>
        </w:tc>
        <w:tc>
          <w:tcPr>
            <w:tcW w:w="1473" w:type="dxa"/>
            <w:tcBorders>
              <w:top w:val="single" w:sz="4" w:space="0" w:color="auto"/>
              <w:left w:val="single" w:sz="4" w:space="0" w:color="auto"/>
              <w:bottom w:val="single" w:sz="4" w:space="0" w:color="auto"/>
              <w:right w:val="single" w:sz="4" w:space="0" w:color="auto"/>
            </w:tcBorders>
          </w:tcPr>
          <w:p w14:paraId="7E036975" w14:textId="77777777" w:rsidR="00CA1D81" w:rsidRPr="00712961" w:rsidRDefault="00CA1D81" w:rsidP="00712961">
            <w:pPr>
              <w:spacing w:after="0" w:line="240" w:lineRule="auto"/>
              <w:jc w:val="right"/>
              <w:rPr>
                <w:sz w:val="20"/>
                <w:szCs w:val="20"/>
                <w:lang w:val="en-GB"/>
              </w:rPr>
            </w:pPr>
            <w:r w:rsidRPr="00712961">
              <w:rPr>
                <w:sz w:val="20"/>
                <w:szCs w:val="20"/>
                <w:lang w:val="en-GB"/>
              </w:rPr>
              <w:t>13</w:t>
            </w:r>
            <w:r w:rsidR="00712961" w:rsidRPr="00712961">
              <w:rPr>
                <w:sz w:val="20"/>
                <w:szCs w:val="20"/>
                <w:lang w:val="en-GB"/>
              </w:rPr>
              <w:t>,</w:t>
            </w:r>
            <w:r w:rsidRPr="00712961">
              <w:rPr>
                <w:sz w:val="20"/>
                <w:szCs w:val="20"/>
                <w:lang w:val="en-GB"/>
              </w:rPr>
              <w:t>226</w:t>
            </w:r>
            <w:r w:rsidR="00712961" w:rsidRPr="00712961">
              <w:rPr>
                <w:sz w:val="20"/>
                <w:szCs w:val="20"/>
                <w:lang w:val="en-GB"/>
              </w:rPr>
              <w:t>,</w:t>
            </w:r>
            <w:r w:rsidRPr="00712961">
              <w:rPr>
                <w:sz w:val="20"/>
                <w:szCs w:val="20"/>
                <w:lang w:val="en-GB"/>
              </w:rPr>
              <w:t>019</w:t>
            </w:r>
            <w:r w:rsidR="00712961" w:rsidRPr="00712961">
              <w:rPr>
                <w:sz w:val="20"/>
                <w:szCs w:val="20"/>
                <w:lang w:val="en-GB"/>
              </w:rPr>
              <w:t>.</w:t>
            </w:r>
            <w:r w:rsidRPr="00712961">
              <w:rPr>
                <w:sz w:val="20"/>
                <w:szCs w:val="20"/>
                <w:lang w:val="en-GB"/>
              </w:rPr>
              <w:t>00</w:t>
            </w:r>
          </w:p>
        </w:tc>
        <w:tc>
          <w:tcPr>
            <w:tcW w:w="1473" w:type="dxa"/>
            <w:tcBorders>
              <w:top w:val="single" w:sz="4" w:space="0" w:color="auto"/>
              <w:left w:val="single" w:sz="4" w:space="0" w:color="auto"/>
              <w:bottom w:val="single" w:sz="4" w:space="0" w:color="auto"/>
              <w:right w:val="single" w:sz="4" w:space="0" w:color="auto"/>
            </w:tcBorders>
          </w:tcPr>
          <w:p w14:paraId="63F1A876" w14:textId="77777777" w:rsidR="00CA1D81" w:rsidRPr="00712961" w:rsidRDefault="00CA1D81" w:rsidP="00712961">
            <w:pPr>
              <w:spacing w:after="0"/>
              <w:jc w:val="right"/>
              <w:rPr>
                <w:sz w:val="20"/>
                <w:szCs w:val="20"/>
                <w:lang w:val="en-GB"/>
              </w:rPr>
            </w:pPr>
            <w:r w:rsidRPr="00712961">
              <w:rPr>
                <w:sz w:val="20"/>
                <w:szCs w:val="20"/>
                <w:lang w:val="en-GB"/>
              </w:rPr>
              <w:t>13</w:t>
            </w:r>
            <w:r w:rsidR="00712961" w:rsidRPr="00712961">
              <w:rPr>
                <w:sz w:val="20"/>
                <w:szCs w:val="20"/>
                <w:lang w:val="en-GB"/>
              </w:rPr>
              <w:t>,</w:t>
            </w:r>
            <w:r w:rsidRPr="00712961">
              <w:rPr>
                <w:sz w:val="20"/>
                <w:szCs w:val="20"/>
                <w:lang w:val="en-GB"/>
              </w:rPr>
              <w:t>226</w:t>
            </w:r>
            <w:r w:rsidR="00712961" w:rsidRPr="00712961">
              <w:rPr>
                <w:sz w:val="20"/>
                <w:szCs w:val="20"/>
                <w:lang w:val="en-GB"/>
              </w:rPr>
              <w:t>,</w:t>
            </w:r>
            <w:r w:rsidRPr="00712961">
              <w:rPr>
                <w:sz w:val="20"/>
                <w:szCs w:val="20"/>
                <w:lang w:val="en-GB"/>
              </w:rPr>
              <w:t>019</w:t>
            </w:r>
            <w:r w:rsidR="00712961" w:rsidRPr="00712961">
              <w:rPr>
                <w:sz w:val="20"/>
                <w:szCs w:val="20"/>
                <w:lang w:val="en-GB"/>
              </w:rPr>
              <w:t>.</w:t>
            </w:r>
            <w:r w:rsidRPr="00712961">
              <w:rPr>
                <w:sz w:val="20"/>
                <w:szCs w:val="20"/>
                <w:lang w:val="en-GB"/>
              </w:rPr>
              <w:t>00</w:t>
            </w:r>
          </w:p>
        </w:tc>
        <w:tc>
          <w:tcPr>
            <w:tcW w:w="1473" w:type="dxa"/>
            <w:tcBorders>
              <w:top w:val="single" w:sz="4" w:space="0" w:color="auto"/>
              <w:left w:val="single" w:sz="4" w:space="0" w:color="auto"/>
              <w:bottom w:val="single" w:sz="4" w:space="0" w:color="auto"/>
              <w:right w:val="single" w:sz="4" w:space="0" w:color="auto"/>
            </w:tcBorders>
          </w:tcPr>
          <w:p w14:paraId="48D8938E" w14:textId="77777777" w:rsidR="00CA1D81" w:rsidRPr="00712961" w:rsidRDefault="00CA1D81" w:rsidP="00712961">
            <w:pPr>
              <w:spacing w:after="0"/>
              <w:jc w:val="right"/>
              <w:rPr>
                <w:sz w:val="20"/>
                <w:szCs w:val="20"/>
                <w:lang w:val="en-GB"/>
              </w:rPr>
            </w:pPr>
            <w:r w:rsidRPr="00712961">
              <w:rPr>
                <w:sz w:val="20"/>
                <w:szCs w:val="20"/>
                <w:lang w:val="en-GB"/>
              </w:rPr>
              <w:t>13</w:t>
            </w:r>
            <w:r w:rsidR="00712961" w:rsidRPr="00712961">
              <w:rPr>
                <w:sz w:val="20"/>
                <w:szCs w:val="20"/>
                <w:lang w:val="en-GB"/>
              </w:rPr>
              <w:t>,</w:t>
            </w:r>
            <w:r w:rsidRPr="00712961">
              <w:rPr>
                <w:sz w:val="20"/>
                <w:szCs w:val="20"/>
                <w:lang w:val="en-GB"/>
              </w:rPr>
              <w:t>226</w:t>
            </w:r>
            <w:r w:rsidR="00712961" w:rsidRPr="00712961">
              <w:rPr>
                <w:sz w:val="20"/>
                <w:szCs w:val="20"/>
                <w:lang w:val="en-GB"/>
              </w:rPr>
              <w:t>,</w:t>
            </w:r>
            <w:r w:rsidRPr="00712961">
              <w:rPr>
                <w:sz w:val="20"/>
                <w:szCs w:val="20"/>
                <w:lang w:val="en-GB"/>
              </w:rPr>
              <w:t>019</w:t>
            </w:r>
            <w:r w:rsidR="00712961" w:rsidRPr="00712961">
              <w:rPr>
                <w:sz w:val="20"/>
                <w:szCs w:val="20"/>
                <w:lang w:val="en-GB"/>
              </w:rPr>
              <w:t>.</w:t>
            </w:r>
            <w:r w:rsidRPr="00712961">
              <w:rPr>
                <w:sz w:val="20"/>
                <w:szCs w:val="20"/>
                <w:lang w:val="en-GB"/>
              </w:rPr>
              <w:t>00</w:t>
            </w:r>
          </w:p>
        </w:tc>
        <w:tc>
          <w:tcPr>
            <w:tcW w:w="1473" w:type="dxa"/>
            <w:tcBorders>
              <w:top w:val="single" w:sz="4" w:space="0" w:color="auto"/>
              <w:left w:val="single" w:sz="4" w:space="0" w:color="auto"/>
              <w:bottom w:val="single" w:sz="4" w:space="0" w:color="auto"/>
              <w:right w:val="single" w:sz="4" w:space="0" w:color="auto"/>
            </w:tcBorders>
          </w:tcPr>
          <w:p w14:paraId="37A17C83" w14:textId="77777777" w:rsidR="00CA1D81" w:rsidRPr="00712961" w:rsidRDefault="00CA1D81" w:rsidP="00712961">
            <w:pPr>
              <w:spacing w:after="0"/>
              <w:jc w:val="right"/>
              <w:rPr>
                <w:sz w:val="20"/>
                <w:szCs w:val="20"/>
                <w:lang w:val="en-GB"/>
              </w:rPr>
            </w:pPr>
            <w:r w:rsidRPr="00712961">
              <w:rPr>
                <w:sz w:val="20"/>
                <w:szCs w:val="20"/>
                <w:lang w:val="en-GB"/>
              </w:rPr>
              <w:t>13</w:t>
            </w:r>
            <w:r w:rsidR="00712961" w:rsidRPr="00712961">
              <w:rPr>
                <w:sz w:val="20"/>
                <w:szCs w:val="20"/>
                <w:lang w:val="en-GB"/>
              </w:rPr>
              <w:t>,</w:t>
            </w:r>
            <w:r w:rsidRPr="00712961">
              <w:rPr>
                <w:sz w:val="20"/>
                <w:szCs w:val="20"/>
                <w:lang w:val="en-GB"/>
              </w:rPr>
              <w:t>226</w:t>
            </w:r>
            <w:r w:rsidR="00712961" w:rsidRPr="00712961">
              <w:rPr>
                <w:sz w:val="20"/>
                <w:szCs w:val="20"/>
                <w:lang w:val="en-GB"/>
              </w:rPr>
              <w:t>,</w:t>
            </w:r>
            <w:r w:rsidRPr="00712961">
              <w:rPr>
                <w:sz w:val="20"/>
                <w:szCs w:val="20"/>
                <w:lang w:val="en-GB"/>
              </w:rPr>
              <w:t>019</w:t>
            </w:r>
            <w:r w:rsidR="00712961" w:rsidRPr="00712961">
              <w:rPr>
                <w:sz w:val="20"/>
                <w:szCs w:val="20"/>
                <w:lang w:val="en-GB"/>
              </w:rPr>
              <w:t>.</w:t>
            </w:r>
            <w:r w:rsidRPr="00712961">
              <w:rPr>
                <w:sz w:val="20"/>
                <w:szCs w:val="20"/>
                <w:lang w:val="en-GB"/>
              </w:rPr>
              <w:t>00</w:t>
            </w:r>
          </w:p>
        </w:tc>
      </w:tr>
      <w:tr w:rsidR="00CA1D81" w:rsidRPr="00D62D04" w14:paraId="34F58EDD" w14:textId="77777777" w:rsidTr="00AD5BFF">
        <w:trPr>
          <w:trHeight w:val="268"/>
        </w:trPr>
        <w:tc>
          <w:tcPr>
            <w:tcW w:w="1752" w:type="dxa"/>
            <w:tcBorders>
              <w:top w:val="single" w:sz="4" w:space="0" w:color="auto"/>
              <w:left w:val="single" w:sz="4" w:space="0" w:color="auto"/>
              <w:bottom w:val="single" w:sz="4" w:space="0" w:color="auto"/>
              <w:right w:val="single" w:sz="4" w:space="0" w:color="auto"/>
            </w:tcBorders>
            <w:hideMark/>
          </w:tcPr>
          <w:p w14:paraId="31F85ED7" w14:textId="77777777" w:rsidR="00CA1D81" w:rsidRPr="00712961" w:rsidRDefault="00712961" w:rsidP="00AD5BFF">
            <w:pPr>
              <w:tabs>
                <w:tab w:val="left" w:pos="1152"/>
              </w:tabs>
              <w:spacing w:after="0" w:line="240" w:lineRule="auto"/>
              <w:rPr>
                <w:rFonts w:eastAsia="Times New Roman"/>
                <w:sz w:val="20"/>
                <w:szCs w:val="20"/>
                <w:lang w:val="en-GB"/>
              </w:rPr>
            </w:pPr>
            <w:proofErr w:type="spellStart"/>
            <w:r w:rsidRPr="00712961">
              <w:rPr>
                <w:rFonts w:eastAsia="Times New Roman"/>
                <w:sz w:val="20"/>
                <w:szCs w:val="20"/>
                <w:lang w:val="en-GB"/>
              </w:rPr>
              <w:t>Ashkali</w:t>
            </w:r>
            <w:proofErr w:type="spellEnd"/>
            <w:r w:rsidRPr="00712961">
              <w:rPr>
                <w:rFonts w:eastAsia="Times New Roman"/>
                <w:sz w:val="20"/>
                <w:szCs w:val="20"/>
                <w:lang w:val="en-GB"/>
              </w:rPr>
              <w:t xml:space="preserve"> </w:t>
            </w:r>
          </w:p>
        </w:tc>
        <w:tc>
          <w:tcPr>
            <w:tcW w:w="1473" w:type="dxa"/>
            <w:tcBorders>
              <w:top w:val="single" w:sz="4" w:space="0" w:color="auto"/>
              <w:left w:val="single" w:sz="4" w:space="0" w:color="auto"/>
              <w:bottom w:val="single" w:sz="4" w:space="0" w:color="auto"/>
              <w:right w:val="single" w:sz="4" w:space="0" w:color="auto"/>
            </w:tcBorders>
            <w:hideMark/>
          </w:tcPr>
          <w:p w14:paraId="205B3D7E" w14:textId="77777777" w:rsidR="00CA1D81" w:rsidRPr="00712961" w:rsidRDefault="00CA1D81" w:rsidP="00712961">
            <w:pPr>
              <w:spacing w:after="0" w:line="240" w:lineRule="auto"/>
              <w:jc w:val="right"/>
              <w:rPr>
                <w:sz w:val="20"/>
                <w:szCs w:val="20"/>
                <w:lang w:val="en-GB"/>
              </w:rPr>
            </w:pPr>
            <w:r w:rsidRPr="00712961">
              <w:rPr>
                <w:sz w:val="20"/>
                <w:szCs w:val="20"/>
                <w:lang w:val="en-GB"/>
              </w:rPr>
              <w:t>3</w:t>
            </w:r>
            <w:r w:rsidR="00712961" w:rsidRPr="00712961">
              <w:rPr>
                <w:sz w:val="20"/>
                <w:szCs w:val="20"/>
                <w:lang w:val="en-GB"/>
              </w:rPr>
              <w:t>,</w:t>
            </w:r>
            <w:r w:rsidRPr="00712961">
              <w:rPr>
                <w:sz w:val="20"/>
                <w:szCs w:val="20"/>
                <w:lang w:val="en-GB"/>
              </w:rPr>
              <w:t>696</w:t>
            </w:r>
            <w:r w:rsidR="00712961" w:rsidRPr="00712961">
              <w:rPr>
                <w:sz w:val="20"/>
                <w:szCs w:val="20"/>
                <w:lang w:val="en-GB"/>
              </w:rPr>
              <w:t>,</w:t>
            </w:r>
            <w:r w:rsidRPr="00712961">
              <w:rPr>
                <w:sz w:val="20"/>
                <w:szCs w:val="20"/>
                <w:lang w:val="en-GB"/>
              </w:rPr>
              <w:t>225</w:t>
            </w:r>
            <w:r w:rsidR="00712961" w:rsidRPr="00712961">
              <w:rPr>
                <w:sz w:val="20"/>
                <w:szCs w:val="20"/>
                <w:lang w:val="en-GB"/>
              </w:rPr>
              <w:t>.</w:t>
            </w:r>
            <w:r w:rsidRPr="00712961">
              <w:rPr>
                <w:sz w:val="20"/>
                <w:szCs w:val="20"/>
                <w:lang w:val="en-GB"/>
              </w:rPr>
              <w:t>00</w:t>
            </w:r>
          </w:p>
        </w:tc>
        <w:tc>
          <w:tcPr>
            <w:tcW w:w="1473" w:type="dxa"/>
            <w:tcBorders>
              <w:top w:val="single" w:sz="4" w:space="0" w:color="auto"/>
              <w:left w:val="single" w:sz="4" w:space="0" w:color="auto"/>
              <w:bottom w:val="single" w:sz="4" w:space="0" w:color="auto"/>
              <w:right w:val="single" w:sz="4" w:space="0" w:color="auto"/>
            </w:tcBorders>
          </w:tcPr>
          <w:p w14:paraId="6752C704" w14:textId="77777777" w:rsidR="00CA1D81" w:rsidRPr="00712961" w:rsidRDefault="00CA1D81" w:rsidP="00712961">
            <w:pPr>
              <w:spacing w:after="0" w:line="240" w:lineRule="auto"/>
              <w:jc w:val="right"/>
              <w:rPr>
                <w:sz w:val="20"/>
                <w:szCs w:val="20"/>
                <w:lang w:val="en-GB"/>
              </w:rPr>
            </w:pPr>
            <w:r w:rsidRPr="00712961">
              <w:rPr>
                <w:sz w:val="20"/>
                <w:szCs w:val="20"/>
                <w:lang w:val="en-GB"/>
              </w:rPr>
              <w:t>3</w:t>
            </w:r>
            <w:r w:rsidR="00712961" w:rsidRPr="00712961">
              <w:rPr>
                <w:sz w:val="20"/>
                <w:szCs w:val="20"/>
                <w:lang w:val="en-GB"/>
              </w:rPr>
              <w:t>,</w:t>
            </w:r>
            <w:r w:rsidRPr="00712961">
              <w:rPr>
                <w:sz w:val="20"/>
                <w:szCs w:val="20"/>
                <w:lang w:val="en-GB"/>
              </w:rPr>
              <w:t>696</w:t>
            </w:r>
            <w:r w:rsidR="00712961" w:rsidRPr="00712961">
              <w:rPr>
                <w:sz w:val="20"/>
                <w:szCs w:val="20"/>
                <w:lang w:val="en-GB"/>
              </w:rPr>
              <w:t>,</w:t>
            </w:r>
            <w:r w:rsidRPr="00712961">
              <w:rPr>
                <w:sz w:val="20"/>
                <w:szCs w:val="20"/>
                <w:lang w:val="en-GB"/>
              </w:rPr>
              <w:t>225</w:t>
            </w:r>
            <w:r w:rsidR="00712961" w:rsidRPr="00712961">
              <w:rPr>
                <w:sz w:val="20"/>
                <w:szCs w:val="20"/>
                <w:lang w:val="en-GB"/>
              </w:rPr>
              <w:t>.</w:t>
            </w:r>
            <w:r w:rsidRPr="00712961">
              <w:rPr>
                <w:sz w:val="20"/>
                <w:szCs w:val="20"/>
                <w:lang w:val="en-GB"/>
              </w:rPr>
              <w:t>00</w:t>
            </w:r>
          </w:p>
        </w:tc>
        <w:tc>
          <w:tcPr>
            <w:tcW w:w="1473" w:type="dxa"/>
            <w:tcBorders>
              <w:top w:val="single" w:sz="4" w:space="0" w:color="auto"/>
              <w:left w:val="single" w:sz="4" w:space="0" w:color="auto"/>
              <w:bottom w:val="single" w:sz="4" w:space="0" w:color="auto"/>
              <w:right w:val="single" w:sz="4" w:space="0" w:color="auto"/>
            </w:tcBorders>
          </w:tcPr>
          <w:p w14:paraId="6DA9BFCA" w14:textId="77777777" w:rsidR="00CA1D81" w:rsidRPr="00712961" w:rsidRDefault="00CA1D81" w:rsidP="00712961">
            <w:pPr>
              <w:spacing w:after="0"/>
              <w:jc w:val="right"/>
              <w:rPr>
                <w:color w:val="000000"/>
                <w:sz w:val="20"/>
                <w:szCs w:val="20"/>
                <w:lang w:val="en-GB"/>
              </w:rPr>
            </w:pPr>
            <w:r w:rsidRPr="00712961">
              <w:rPr>
                <w:color w:val="000000"/>
                <w:sz w:val="20"/>
                <w:szCs w:val="20"/>
                <w:lang w:val="en-GB"/>
              </w:rPr>
              <w:t>1</w:t>
            </w:r>
            <w:r w:rsidR="00712961" w:rsidRPr="00712961">
              <w:rPr>
                <w:color w:val="000000"/>
                <w:sz w:val="20"/>
                <w:szCs w:val="20"/>
                <w:lang w:val="en-GB"/>
              </w:rPr>
              <w:t>,</w:t>
            </w:r>
            <w:r w:rsidRPr="00712961">
              <w:rPr>
                <w:color w:val="000000"/>
                <w:sz w:val="20"/>
                <w:szCs w:val="20"/>
                <w:lang w:val="en-GB"/>
              </w:rPr>
              <w:t>848</w:t>
            </w:r>
            <w:r w:rsidR="00712961" w:rsidRPr="00712961">
              <w:rPr>
                <w:color w:val="000000"/>
                <w:sz w:val="20"/>
                <w:szCs w:val="20"/>
                <w:lang w:val="en-GB"/>
              </w:rPr>
              <w:t>,</w:t>
            </w:r>
            <w:r w:rsidRPr="00712961">
              <w:rPr>
                <w:color w:val="000000"/>
                <w:sz w:val="20"/>
                <w:szCs w:val="20"/>
                <w:lang w:val="en-GB"/>
              </w:rPr>
              <w:t>114</w:t>
            </w:r>
            <w:r w:rsidR="00712961" w:rsidRPr="00712961">
              <w:rPr>
                <w:color w:val="000000"/>
                <w:sz w:val="20"/>
                <w:szCs w:val="20"/>
                <w:lang w:val="en-GB"/>
              </w:rPr>
              <w:t>.</w:t>
            </w:r>
            <w:r w:rsidRPr="00712961">
              <w:rPr>
                <w:color w:val="000000"/>
                <w:sz w:val="20"/>
                <w:szCs w:val="20"/>
                <w:lang w:val="en-GB"/>
              </w:rPr>
              <w:t>00</w:t>
            </w:r>
          </w:p>
        </w:tc>
        <w:tc>
          <w:tcPr>
            <w:tcW w:w="1473" w:type="dxa"/>
            <w:tcBorders>
              <w:top w:val="single" w:sz="4" w:space="0" w:color="auto"/>
              <w:left w:val="single" w:sz="4" w:space="0" w:color="auto"/>
              <w:bottom w:val="single" w:sz="4" w:space="0" w:color="auto"/>
              <w:right w:val="single" w:sz="4" w:space="0" w:color="auto"/>
            </w:tcBorders>
          </w:tcPr>
          <w:p w14:paraId="242F9255" w14:textId="77777777" w:rsidR="00CA1D81" w:rsidRPr="00712961" w:rsidRDefault="00CA1D81" w:rsidP="00CA1D81">
            <w:pPr>
              <w:spacing w:after="0"/>
              <w:jc w:val="right"/>
              <w:rPr>
                <w:color w:val="000000"/>
                <w:sz w:val="20"/>
                <w:szCs w:val="20"/>
                <w:lang w:val="en-GB"/>
              </w:rPr>
            </w:pPr>
          </w:p>
        </w:tc>
        <w:tc>
          <w:tcPr>
            <w:tcW w:w="1473" w:type="dxa"/>
            <w:tcBorders>
              <w:top w:val="single" w:sz="4" w:space="0" w:color="auto"/>
              <w:left w:val="single" w:sz="4" w:space="0" w:color="auto"/>
              <w:bottom w:val="single" w:sz="4" w:space="0" w:color="auto"/>
              <w:right w:val="single" w:sz="4" w:space="0" w:color="auto"/>
            </w:tcBorders>
          </w:tcPr>
          <w:p w14:paraId="500D9AB9" w14:textId="77777777" w:rsidR="00CA1D81" w:rsidRPr="00712961" w:rsidRDefault="00CA1D81" w:rsidP="00712961">
            <w:pPr>
              <w:spacing w:after="0"/>
              <w:jc w:val="right"/>
              <w:rPr>
                <w:color w:val="000000"/>
                <w:sz w:val="20"/>
                <w:szCs w:val="20"/>
                <w:lang w:val="en-GB"/>
              </w:rPr>
            </w:pPr>
            <w:r w:rsidRPr="00712961">
              <w:rPr>
                <w:color w:val="000000"/>
                <w:sz w:val="20"/>
                <w:szCs w:val="20"/>
                <w:lang w:val="en-GB"/>
              </w:rPr>
              <w:t>3</w:t>
            </w:r>
            <w:r w:rsidR="00712961" w:rsidRPr="00712961">
              <w:rPr>
                <w:color w:val="000000"/>
                <w:sz w:val="20"/>
                <w:szCs w:val="20"/>
                <w:lang w:val="en-GB"/>
              </w:rPr>
              <w:t>,</w:t>
            </w:r>
            <w:r w:rsidRPr="00712961">
              <w:rPr>
                <w:color w:val="000000"/>
                <w:sz w:val="20"/>
                <w:szCs w:val="20"/>
                <w:lang w:val="en-GB"/>
              </w:rPr>
              <w:t>388</w:t>
            </w:r>
            <w:r w:rsidR="00712961" w:rsidRPr="00712961">
              <w:rPr>
                <w:color w:val="000000"/>
                <w:sz w:val="20"/>
                <w:szCs w:val="20"/>
                <w:lang w:val="en-GB"/>
              </w:rPr>
              <w:t>,</w:t>
            </w:r>
            <w:r w:rsidRPr="00712961">
              <w:rPr>
                <w:color w:val="000000"/>
                <w:sz w:val="20"/>
                <w:szCs w:val="20"/>
                <w:lang w:val="en-GB"/>
              </w:rPr>
              <w:t>209</w:t>
            </w:r>
            <w:r w:rsidR="00712961" w:rsidRPr="00712961">
              <w:rPr>
                <w:color w:val="000000"/>
                <w:sz w:val="20"/>
                <w:szCs w:val="20"/>
                <w:lang w:val="en-GB"/>
              </w:rPr>
              <w:t>.</w:t>
            </w:r>
            <w:r w:rsidRPr="00712961">
              <w:rPr>
                <w:color w:val="000000"/>
                <w:sz w:val="20"/>
                <w:szCs w:val="20"/>
                <w:lang w:val="en-GB"/>
              </w:rPr>
              <w:t>00</w:t>
            </w:r>
          </w:p>
        </w:tc>
      </w:tr>
      <w:tr w:rsidR="00CA1D81" w:rsidRPr="00BD5924" w14:paraId="51284851" w14:textId="77777777" w:rsidTr="00AD5BFF">
        <w:trPr>
          <w:trHeight w:val="261"/>
        </w:trPr>
        <w:tc>
          <w:tcPr>
            <w:tcW w:w="1752" w:type="dxa"/>
            <w:tcBorders>
              <w:top w:val="single" w:sz="4" w:space="0" w:color="auto"/>
              <w:left w:val="single" w:sz="4" w:space="0" w:color="auto"/>
              <w:bottom w:val="single" w:sz="4" w:space="0" w:color="auto"/>
              <w:right w:val="single" w:sz="4" w:space="0" w:color="auto"/>
            </w:tcBorders>
            <w:hideMark/>
          </w:tcPr>
          <w:p w14:paraId="4B767E17" w14:textId="77777777" w:rsidR="00CA1D81" w:rsidRPr="00BD5924" w:rsidRDefault="00BD5924" w:rsidP="00AD5BFF">
            <w:pPr>
              <w:tabs>
                <w:tab w:val="left" w:pos="1152"/>
              </w:tabs>
              <w:spacing w:after="0" w:line="240" w:lineRule="auto"/>
              <w:rPr>
                <w:rFonts w:eastAsia="Times New Roman"/>
                <w:sz w:val="20"/>
                <w:szCs w:val="20"/>
                <w:lang w:val="en-GB"/>
              </w:rPr>
            </w:pPr>
            <w:proofErr w:type="spellStart"/>
            <w:r w:rsidRPr="00BD5924">
              <w:rPr>
                <w:rFonts w:eastAsia="Times New Roman"/>
                <w:sz w:val="20"/>
                <w:szCs w:val="20"/>
                <w:lang w:val="en-GB"/>
              </w:rPr>
              <w:t>Bosniak</w:t>
            </w:r>
            <w:proofErr w:type="spellEnd"/>
            <w:r w:rsidRPr="00BD5924">
              <w:rPr>
                <w:rFonts w:eastAsia="Times New Roman"/>
                <w:sz w:val="20"/>
                <w:szCs w:val="20"/>
                <w:lang w:val="en-GB"/>
              </w:rPr>
              <w:t xml:space="preserve"> </w:t>
            </w:r>
          </w:p>
        </w:tc>
        <w:tc>
          <w:tcPr>
            <w:tcW w:w="1473" w:type="dxa"/>
            <w:tcBorders>
              <w:top w:val="single" w:sz="4" w:space="0" w:color="auto"/>
              <w:left w:val="single" w:sz="4" w:space="0" w:color="auto"/>
              <w:bottom w:val="single" w:sz="4" w:space="0" w:color="auto"/>
              <w:right w:val="single" w:sz="4" w:space="0" w:color="auto"/>
            </w:tcBorders>
            <w:hideMark/>
          </w:tcPr>
          <w:p w14:paraId="1BD00EFA" w14:textId="77777777" w:rsidR="00CA1D81" w:rsidRPr="00BD5924" w:rsidRDefault="00CA1D81" w:rsidP="00BD5924">
            <w:pPr>
              <w:spacing w:after="0" w:line="240" w:lineRule="auto"/>
              <w:jc w:val="right"/>
              <w:rPr>
                <w:sz w:val="20"/>
                <w:szCs w:val="20"/>
                <w:lang w:val="en-GB"/>
              </w:rPr>
            </w:pPr>
            <w:r w:rsidRPr="00BD5924">
              <w:rPr>
                <w:sz w:val="20"/>
                <w:szCs w:val="20"/>
                <w:lang w:val="en-GB"/>
              </w:rPr>
              <w:t>27</w:t>
            </w:r>
            <w:r w:rsidR="00BD5924" w:rsidRPr="00BD5924">
              <w:rPr>
                <w:sz w:val="20"/>
                <w:szCs w:val="20"/>
                <w:lang w:val="en-GB"/>
              </w:rPr>
              <w:t>,</w:t>
            </w:r>
            <w:r w:rsidRPr="00BD5924">
              <w:rPr>
                <w:sz w:val="20"/>
                <w:szCs w:val="20"/>
                <w:lang w:val="en-GB"/>
              </w:rPr>
              <w:t>828</w:t>
            </w:r>
            <w:r w:rsidR="00BD5924" w:rsidRPr="00BD5924">
              <w:rPr>
                <w:sz w:val="20"/>
                <w:szCs w:val="20"/>
                <w:lang w:val="en-GB"/>
              </w:rPr>
              <w:t>,</w:t>
            </w:r>
            <w:r w:rsidRPr="00BD5924">
              <w:rPr>
                <w:sz w:val="20"/>
                <w:szCs w:val="20"/>
                <w:lang w:val="en-GB"/>
              </w:rPr>
              <w:t>583</w:t>
            </w:r>
            <w:r w:rsidR="00BD5924" w:rsidRPr="00BD5924">
              <w:rPr>
                <w:sz w:val="20"/>
                <w:szCs w:val="20"/>
                <w:lang w:val="en-GB"/>
              </w:rPr>
              <w:t>.</w:t>
            </w:r>
            <w:r w:rsidRPr="00BD5924">
              <w:rPr>
                <w:sz w:val="20"/>
                <w:szCs w:val="20"/>
                <w:lang w:val="en-GB"/>
              </w:rPr>
              <w:t>00</w:t>
            </w:r>
          </w:p>
        </w:tc>
        <w:tc>
          <w:tcPr>
            <w:tcW w:w="1473" w:type="dxa"/>
            <w:tcBorders>
              <w:top w:val="single" w:sz="4" w:space="0" w:color="auto"/>
              <w:left w:val="single" w:sz="4" w:space="0" w:color="auto"/>
              <w:bottom w:val="single" w:sz="4" w:space="0" w:color="auto"/>
              <w:right w:val="single" w:sz="4" w:space="0" w:color="auto"/>
            </w:tcBorders>
          </w:tcPr>
          <w:p w14:paraId="17DB3F66" w14:textId="77777777" w:rsidR="00CA1D81" w:rsidRPr="00BD5924" w:rsidRDefault="00CA1D81" w:rsidP="00BD5924">
            <w:pPr>
              <w:spacing w:after="0" w:line="240" w:lineRule="auto"/>
              <w:jc w:val="right"/>
              <w:rPr>
                <w:sz w:val="20"/>
                <w:szCs w:val="20"/>
                <w:lang w:val="en-GB"/>
              </w:rPr>
            </w:pPr>
            <w:r w:rsidRPr="00BD5924">
              <w:rPr>
                <w:sz w:val="20"/>
                <w:szCs w:val="20"/>
                <w:lang w:val="en-GB"/>
              </w:rPr>
              <w:t>27</w:t>
            </w:r>
            <w:r w:rsidR="00BD5924" w:rsidRPr="00BD5924">
              <w:rPr>
                <w:sz w:val="20"/>
                <w:szCs w:val="20"/>
                <w:lang w:val="en-GB"/>
              </w:rPr>
              <w:t>,</w:t>
            </w:r>
            <w:r w:rsidRPr="00BD5924">
              <w:rPr>
                <w:sz w:val="20"/>
                <w:szCs w:val="20"/>
                <w:lang w:val="en-GB"/>
              </w:rPr>
              <w:t>828</w:t>
            </w:r>
            <w:r w:rsidR="00BD5924" w:rsidRPr="00BD5924">
              <w:rPr>
                <w:sz w:val="20"/>
                <w:szCs w:val="20"/>
                <w:lang w:val="en-GB"/>
              </w:rPr>
              <w:t>,</w:t>
            </w:r>
            <w:r w:rsidRPr="00BD5924">
              <w:rPr>
                <w:sz w:val="20"/>
                <w:szCs w:val="20"/>
                <w:lang w:val="en-GB"/>
              </w:rPr>
              <w:t>583</w:t>
            </w:r>
            <w:r w:rsidR="00BD5924" w:rsidRPr="00BD5924">
              <w:rPr>
                <w:sz w:val="20"/>
                <w:szCs w:val="20"/>
                <w:lang w:val="en-GB"/>
              </w:rPr>
              <w:t>.</w:t>
            </w:r>
            <w:r w:rsidRPr="00BD5924">
              <w:rPr>
                <w:sz w:val="20"/>
                <w:szCs w:val="20"/>
                <w:lang w:val="en-GB"/>
              </w:rPr>
              <w:t>00</w:t>
            </w:r>
          </w:p>
        </w:tc>
        <w:tc>
          <w:tcPr>
            <w:tcW w:w="1473" w:type="dxa"/>
            <w:tcBorders>
              <w:top w:val="single" w:sz="4" w:space="0" w:color="auto"/>
              <w:left w:val="single" w:sz="4" w:space="0" w:color="auto"/>
              <w:bottom w:val="single" w:sz="4" w:space="0" w:color="auto"/>
              <w:right w:val="single" w:sz="4" w:space="0" w:color="auto"/>
            </w:tcBorders>
          </w:tcPr>
          <w:p w14:paraId="511BF6D5" w14:textId="77777777" w:rsidR="00CA1D81" w:rsidRPr="00BD5924" w:rsidRDefault="00CA1D81" w:rsidP="00BD5924">
            <w:pPr>
              <w:spacing w:after="0"/>
              <w:jc w:val="right"/>
              <w:rPr>
                <w:sz w:val="20"/>
                <w:szCs w:val="20"/>
                <w:lang w:val="en-GB"/>
              </w:rPr>
            </w:pPr>
            <w:r w:rsidRPr="00BD5924">
              <w:rPr>
                <w:sz w:val="20"/>
                <w:szCs w:val="20"/>
                <w:lang w:val="en-GB"/>
              </w:rPr>
              <w:t>27</w:t>
            </w:r>
            <w:r w:rsidR="00BD5924" w:rsidRPr="00BD5924">
              <w:rPr>
                <w:sz w:val="20"/>
                <w:szCs w:val="20"/>
                <w:lang w:val="en-GB"/>
              </w:rPr>
              <w:t>,</w:t>
            </w:r>
            <w:r w:rsidRPr="00BD5924">
              <w:rPr>
                <w:sz w:val="20"/>
                <w:szCs w:val="20"/>
                <w:lang w:val="en-GB"/>
              </w:rPr>
              <w:t>828</w:t>
            </w:r>
            <w:r w:rsidR="00BD5924" w:rsidRPr="00BD5924">
              <w:rPr>
                <w:sz w:val="20"/>
                <w:szCs w:val="20"/>
                <w:lang w:val="en-GB"/>
              </w:rPr>
              <w:t>,</w:t>
            </w:r>
            <w:r w:rsidRPr="00BD5924">
              <w:rPr>
                <w:sz w:val="20"/>
                <w:szCs w:val="20"/>
                <w:lang w:val="en-GB"/>
              </w:rPr>
              <w:t>583</w:t>
            </w:r>
            <w:r w:rsidR="00BD5924" w:rsidRPr="00BD5924">
              <w:rPr>
                <w:sz w:val="20"/>
                <w:szCs w:val="20"/>
                <w:lang w:val="en-GB"/>
              </w:rPr>
              <w:t>.</w:t>
            </w:r>
            <w:r w:rsidRPr="00BD5924">
              <w:rPr>
                <w:sz w:val="20"/>
                <w:szCs w:val="20"/>
                <w:lang w:val="en-GB"/>
              </w:rPr>
              <w:t>00</w:t>
            </w:r>
          </w:p>
        </w:tc>
        <w:tc>
          <w:tcPr>
            <w:tcW w:w="1473" w:type="dxa"/>
            <w:tcBorders>
              <w:top w:val="single" w:sz="4" w:space="0" w:color="auto"/>
              <w:left w:val="single" w:sz="4" w:space="0" w:color="auto"/>
              <w:bottom w:val="single" w:sz="4" w:space="0" w:color="auto"/>
              <w:right w:val="single" w:sz="4" w:space="0" w:color="auto"/>
            </w:tcBorders>
          </w:tcPr>
          <w:p w14:paraId="38D92DDC" w14:textId="77777777" w:rsidR="00CA1D81" w:rsidRPr="00BD5924" w:rsidRDefault="00CA1D81" w:rsidP="00BD5924">
            <w:pPr>
              <w:spacing w:after="0"/>
              <w:jc w:val="right"/>
              <w:rPr>
                <w:sz w:val="20"/>
                <w:szCs w:val="20"/>
                <w:lang w:val="en-GB"/>
              </w:rPr>
            </w:pPr>
            <w:r w:rsidRPr="00BD5924">
              <w:rPr>
                <w:sz w:val="20"/>
                <w:szCs w:val="20"/>
                <w:lang w:val="en-GB"/>
              </w:rPr>
              <w:t>27</w:t>
            </w:r>
            <w:r w:rsidR="00BD5924" w:rsidRPr="00BD5924">
              <w:rPr>
                <w:sz w:val="20"/>
                <w:szCs w:val="20"/>
                <w:lang w:val="en-GB"/>
              </w:rPr>
              <w:t>,</w:t>
            </w:r>
            <w:r w:rsidRPr="00BD5924">
              <w:rPr>
                <w:sz w:val="20"/>
                <w:szCs w:val="20"/>
                <w:lang w:val="en-GB"/>
              </w:rPr>
              <w:t>828</w:t>
            </w:r>
            <w:r w:rsidR="00BD5924" w:rsidRPr="00BD5924">
              <w:rPr>
                <w:sz w:val="20"/>
                <w:szCs w:val="20"/>
                <w:lang w:val="en-GB"/>
              </w:rPr>
              <w:t>,</w:t>
            </w:r>
            <w:r w:rsidRPr="00BD5924">
              <w:rPr>
                <w:sz w:val="20"/>
                <w:szCs w:val="20"/>
                <w:lang w:val="en-GB"/>
              </w:rPr>
              <w:t>583</w:t>
            </w:r>
            <w:r w:rsidR="00BD5924" w:rsidRPr="00BD5924">
              <w:rPr>
                <w:sz w:val="20"/>
                <w:szCs w:val="20"/>
                <w:lang w:val="en-GB"/>
              </w:rPr>
              <w:t>.</w:t>
            </w:r>
            <w:r w:rsidRPr="00BD5924">
              <w:rPr>
                <w:sz w:val="20"/>
                <w:szCs w:val="20"/>
                <w:lang w:val="en-GB"/>
              </w:rPr>
              <w:t>00</w:t>
            </w:r>
          </w:p>
        </w:tc>
        <w:tc>
          <w:tcPr>
            <w:tcW w:w="1473" w:type="dxa"/>
            <w:tcBorders>
              <w:top w:val="single" w:sz="4" w:space="0" w:color="auto"/>
              <w:left w:val="single" w:sz="4" w:space="0" w:color="auto"/>
              <w:bottom w:val="single" w:sz="4" w:space="0" w:color="auto"/>
              <w:right w:val="single" w:sz="4" w:space="0" w:color="auto"/>
            </w:tcBorders>
          </w:tcPr>
          <w:p w14:paraId="7EC11AA6" w14:textId="77777777" w:rsidR="00CA1D81" w:rsidRPr="00BD5924" w:rsidRDefault="00CA1D81" w:rsidP="00BD5924">
            <w:pPr>
              <w:spacing w:after="0"/>
              <w:jc w:val="right"/>
              <w:rPr>
                <w:sz w:val="20"/>
                <w:szCs w:val="20"/>
                <w:lang w:val="en-GB"/>
              </w:rPr>
            </w:pPr>
            <w:r w:rsidRPr="00BD5924">
              <w:rPr>
                <w:sz w:val="20"/>
                <w:szCs w:val="20"/>
                <w:lang w:val="en-GB"/>
              </w:rPr>
              <w:t>27</w:t>
            </w:r>
            <w:r w:rsidR="00BD5924" w:rsidRPr="00BD5924">
              <w:rPr>
                <w:sz w:val="20"/>
                <w:szCs w:val="20"/>
                <w:lang w:val="en-GB"/>
              </w:rPr>
              <w:t>,</w:t>
            </w:r>
            <w:r w:rsidRPr="00BD5924">
              <w:rPr>
                <w:sz w:val="20"/>
                <w:szCs w:val="20"/>
                <w:lang w:val="en-GB"/>
              </w:rPr>
              <w:t>828</w:t>
            </w:r>
            <w:r w:rsidR="00BD5924" w:rsidRPr="00BD5924">
              <w:rPr>
                <w:sz w:val="20"/>
                <w:szCs w:val="20"/>
                <w:lang w:val="en-GB"/>
              </w:rPr>
              <w:t>,</w:t>
            </w:r>
            <w:r w:rsidRPr="00BD5924">
              <w:rPr>
                <w:sz w:val="20"/>
                <w:szCs w:val="20"/>
                <w:lang w:val="en-GB"/>
              </w:rPr>
              <w:t>583</w:t>
            </w:r>
            <w:r w:rsidR="00BD5924" w:rsidRPr="00BD5924">
              <w:rPr>
                <w:sz w:val="20"/>
                <w:szCs w:val="20"/>
                <w:lang w:val="en-GB"/>
              </w:rPr>
              <w:t>.</w:t>
            </w:r>
            <w:r w:rsidRPr="00BD5924">
              <w:rPr>
                <w:sz w:val="20"/>
                <w:szCs w:val="20"/>
                <w:lang w:val="en-GB"/>
              </w:rPr>
              <w:t>00</w:t>
            </w:r>
          </w:p>
        </w:tc>
      </w:tr>
      <w:tr w:rsidR="00CA1D81" w:rsidRPr="00BD5924" w14:paraId="2175F2AF" w14:textId="77777777" w:rsidTr="00AD5BFF">
        <w:trPr>
          <w:trHeight w:val="268"/>
        </w:trPr>
        <w:tc>
          <w:tcPr>
            <w:tcW w:w="1752" w:type="dxa"/>
            <w:tcBorders>
              <w:top w:val="single" w:sz="4" w:space="0" w:color="auto"/>
              <w:left w:val="single" w:sz="4" w:space="0" w:color="auto"/>
              <w:bottom w:val="single" w:sz="4" w:space="0" w:color="auto"/>
              <w:right w:val="single" w:sz="4" w:space="0" w:color="auto"/>
            </w:tcBorders>
            <w:hideMark/>
          </w:tcPr>
          <w:p w14:paraId="116B2891" w14:textId="77777777" w:rsidR="00CA1D81" w:rsidRPr="00BD5924" w:rsidRDefault="00BD5924" w:rsidP="00AD5BFF">
            <w:pPr>
              <w:tabs>
                <w:tab w:val="left" w:pos="1152"/>
              </w:tabs>
              <w:spacing w:after="0" w:line="240" w:lineRule="auto"/>
              <w:rPr>
                <w:rFonts w:eastAsia="Times New Roman"/>
                <w:sz w:val="20"/>
                <w:szCs w:val="20"/>
                <w:lang w:val="en-GB"/>
              </w:rPr>
            </w:pPr>
            <w:r w:rsidRPr="00BD5924">
              <w:rPr>
                <w:rFonts w:eastAsia="Times New Roman"/>
                <w:sz w:val="20"/>
                <w:szCs w:val="20"/>
                <w:lang w:val="en-GB"/>
              </w:rPr>
              <w:t xml:space="preserve">Bulgarian </w:t>
            </w:r>
          </w:p>
        </w:tc>
        <w:tc>
          <w:tcPr>
            <w:tcW w:w="1473" w:type="dxa"/>
            <w:tcBorders>
              <w:top w:val="single" w:sz="4" w:space="0" w:color="auto"/>
              <w:left w:val="single" w:sz="4" w:space="0" w:color="auto"/>
              <w:bottom w:val="single" w:sz="4" w:space="0" w:color="auto"/>
              <w:right w:val="single" w:sz="4" w:space="0" w:color="auto"/>
            </w:tcBorders>
            <w:hideMark/>
          </w:tcPr>
          <w:p w14:paraId="56FFEDAF" w14:textId="77777777" w:rsidR="00CA1D81" w:rsidRPr="00BD5924" w:rsidRDefault="00CA1D81" w:rsidP="00BD5924">
            <w:pPr>
              <w:spacing w:after="0" w:line="240" w:lineRule="auto"/>
              <w:jc w:val="right"/>
              <w:rPr>
                <w:sz w:val="20"/>
                <w:szCs w:val="20"/>
                <w:lang w:val="en-GB"/>
              </w:rPr>
            </w:pPr>
            <w:r w:rsidRPr="00BD5924">
              <w:rPr>
                <w:sz w:val="20"/>
                <w:szCs w:val="20"/>
                <w:lang w:val="en-GB"/>
              </w:rPr>
              <w:t>7</w:t>
            </w:r>
            <w:r w:rsidR="00BD5924" w:rsidRPr="00BD5924">
              <w:rPr>
                <w:sz w:val="20"/>
                <w:szCs w:val="20"/>
                <w:lang w:val="en-GB"/>
              </w:rPr>
              <w:t>,</w:t>
            </w:r>
            <w:r w:rsidRPr="00BD5924">
              <w:rPr>
                <w:sz w:val="20"/>
                <w:szCs w:val="20"/>
                <w:lang w:val="en-GB"/>
              </w:rPr>
              <w:t>643</w:t>
            </w:r>
            <w:r w:rsidR="00BD5924" w:rsidRPr="00BD5924">
              <w:rPr>
                <w:sz w:val="20"/>
                <w:szCs w:val="20"/>
                <w:lang w:val="en-GB"/>
              </w:rPr>
              <w:t>,</w:t>
            </w:r>
            <w:r w:rsidRPr="00BD5924">
              <w:rPr>
                <w:sz w:val="20"/>
                <w:szCs w:val="20"/>
                <w:lang w:val="en-GB"/>
              </w:rPr>
              <w:t>683</w:t>
            </w:r>
            <w:r w:rsidR="00BD5924" w:rsidRPr="00BD5924">
              <w:rPr>
                <w:sz w:val="20"/>
                <w:szCs w:val="20"/>
                <w:lang w:val="en-GB"/>
              </w:rPr>
              <w:t>.</w:t>
            </w:r>
            <w:r w:rsidRPr="00BD5924">
              <w:rPr>
                <w:sz w:val="20"/>
                <w:szCs w:val="20"/>
                <w:lang w:val="en-GB"/>
              </w:rPr>
              <w:t>00</w:t>
            </w:r>
          </w:p>
        </w:tc>
        <w:tc>
          <w:tcPr>
            <w:tcW w:w="1473" w:type="dxa"/>
            <w:tcBorders>
              <w:top w:val="single" w:sz="4" w:space="0" w:color="auto"/>
              <w:left w:val="single" w:sz="4" w:space="0" w:color="auto"/>
              <w:bottom w:val="single" w:sz="4" w:space="0" w:color="auto"/>
              <w:right w:val="single" w:sz="4" w:space="0" w:color="auto"/>
            </w:tcBorders>
          </w:tcPr>
          <w:p w14:paraId="334E3674" w14:textId="77777777" w:rsidR="00CA1D81" w:rsidRPr="00BD5924" w:rsidRDefault="00CA1D81" w:rsidP="00BD5924">
            <w:pPr>
              <w:spacing w:after="0" w:line="240" w:lineRule="auto"/>
              <w:jc w:val="right"/>
              <w:rPr>
                <w:sz w:val="20"/>
                <w:szCs w:val="20"/>
                <w:lang w:val="en-GB"/>
              </w:rPr>
            </w:pPr>
            <w:r w:rsidRPr="00BD5924">
              <w:rPr>
                <w:sz w:val="20"/>
                <w:szCs w:val="20"/>
                <w:lang w:val="en-GB"/>
              </w:rPr>
              <w:t>7</w:t>
            </w:r>
            <w:r w:rsidR="00BD5924" w:rsidRPr="00BD5924">
              <w:rPr>
                <w:sz w:val="20"/>
                <w:szCs w:val="20"/>
                <w:lang w:val="en-GB"/>
              </w:rPr>
              <w:t>,</w:t>
            </w:r>
            <w:r w:rsidRPr="00BD5924">
              <w:rPr>
                <w:sz w:val="20"/>
                <w:szCs w:val="20"/>
                <w:lang w:val="en-GB"/>
              </w:rPr>
              <w:t>643</w:t>
            </w:r>
            <w:r w:rsidR="00BD5924" w:rsidRPr="00BD5924">
              <w:rPr>
                <w:sz w:val="20"/>
                <w:szCs w:val="20"/>
                <w:lang w:val="en-GB"/>
              </w:rPr>
              <w:t>,</w:t>
            </w:r>
            <w:r w:rsidRPr="00BD5924">
              <w:rPr>
                <w:sz w:val="20"/>
                <w:szCs w:val="20"/>
                <w:lang w:val="en-GB"/>
              </w:rPr>
              <w:t>683</w:t>
            </w:r>
            <w:r w:rsidR="00BD5924" w:rsidRPr="00BD5924">
              <w:rPr>
                <w:sz w:val="20"/>
                <w:szCs w:val="20"/>
                <w:lang w:val="en-GB"/>
              </w:rPr>
              <w:t>.</w:t>
            </w:r>
            <w:r w:rsidRPr="00BD5924">
              <w:rPr>
                <w:sz w:val="20"/>
                <w:szCs w:val="20"/>
                <w:lang w:val="en-GB"/>
              </w:rPr>
              <w:t>00</w:t>
            </w:r>
          </w:p>
        </w:tc>
        <w:tc>
          <w:tcPr>
            <w:tcW w:w="1473" w:type="dxa"/>
            <w:tcBorders>
              <w:top w:val="single" w:sz="4" w:space="0" w:color="auto"/>
              <w:left w:val="single" w:sz="4" w:space="0" w:color="auto"/>
              <w:bottom w:val="single" w:sz="4" w:space="0" w:color="auto"/>
              <w:right w:val="single" w:sz="4" w:space="0" w:color="auto"/>
            </w:tcBorders>
          </w:tcPr>
          <w:p w14:paraId="5A8BDED9" w14:textId="77777777" w:rsidR="00CA1D81" w:rsidRPr="00BD5924" w:rsidRDefault="00CA1D81" w:rsidP="00BD5924">
            <w:pPr>
              <w:spacing w:after="0"/>
              <w:jc w:val="right"/>
              <w:rPr>
                <w:sz w:val="20"/>
                <w:szCs w:val="20"/>
                <w:lang w:val="en-GB"/>
              </w:rPr>
            </w:pPr>
            <w:r w:rsidRPr="00BD5924">
              <w:rPr>
                <w:sz w:val="20"/>
                <w:szCs w:val="20"/>
                <w:lang w:val="en-GB"/>
              </w:rPr>
              <w:t>7</w:t>
            </w:r>
            <w:r w:rsidR="00BD5924" w:rsidRPr="00BD5924">
              <w:rPr>
                <w:sz w:val="20"/>
                <w:szCs w:val="20"/>
                <w:lang w:val="en-GB"/>
              </w:rPr>
              <w:t>,</w:t>
            </w:r>
            <w:r w:rsidRPr="00BD5924">
              <w:rPr>
                <w:sz w:val="20"/>
                <w:szCs w:val="20"/>
                <w:lang w:val="en-GB"/>
              </w:rPr>
              <w:t>643</w:t>
            </w:r>
            <w:r w:rsidR="00BD5924" w:rsidRPr="00BD5924">
              <w:rPr>
                <w:sz w:val="20"/>
                <w:szCs w:val="20"/>
                <w:lang w:val="en-GB"/>
              </w:rPr>
              <w:t>,</w:t>
            </w:r>
            <w:r w:rsidRPr="00BD5924">
              <w:rPr>
                <w:sz w:val="20"/>
                <w:szCs w:val="20"/>
                <w:lang w:val="en-GB"/>
              </w:rPr>
              <w:t>683</w:t>
            </w:r>
            <w:r w:rsidR="00BD5924" w:rsidRPr="00BD5924">
              <w:rPr>
                <w:sz w:val="20"/>
                <w:szCs w:val="20"/>
                <w:lang w:val="en-GB"/>
              </w:rPr>
              <w:t>.</w:t>
            </w:r>
            <w:r w:rsidRPr="00BD5924">
              <w:rPr>
                <w:sz w:val="20"/>
                <w:szCs w:val="20"/>
                <w:lang w:val="en-GB"/>
              </w:rPr>
              <w:t>00</w:t>
            </w:r>
          </w:p>
        </w:tc>
        <w:tc>
          <w:tcPr>
            <w:tcW w:w="1473" w:type="dxa"/>
            <w:tcBorders>
              <w:top w:val="single" w:sz="4" w:space="0" w:color="auto"/>
              <w:left w:val="single" w:sz="4" w:space="0" w:color="auto"/>
              <w:bottom w:val="single" w:sz="4" w:space="0" w:color="auto"/>
              <w:right w:val="single" w:sz="4" w:space="0" w:color="auto"/>
            </w:tcBorders>
          </w:tcPr>
          <w:p w14:paraId="42F11B73" w14:textId="77777777" w:rsidR="00CA1D81" w:rsidRPr="00BD5924" w:rsidRDefault="00CA1D81" w:rsidP="00BD5924">
            <w:pPr>
              <w:spacing w:after="0"/>
              <w:jc w:val="right"/>
              <w:rPr>
                <w:sz w:val="20"/>
                <w:szCs w:val="20"/>
                <w:lang w:val="en-GB"/>
              </w:rPr>
            </w:pPr>
            <w:r w:rsidRPr="00BD5924">
              <w:rPr>
                <w:sz w:val="20"/>
                <w:szCs w:val="20"/>
                <w:lang w:val="en-GB"/>
              </w:rPr>
              <w:t>7</w:t>
            </w:r>
            <w:r w:rsidR="00BD5924" w:rsidRPr="00BD5924">
              <w:rPr>
                <w:sz w:val="20"/>
                <w:szCs w:val="20"/>
                <w:lang w:val="en-GB"/>
              </w:rPr>
              <w:t>,</w:t>
            </w:r>
            <w:r w:rsidRPr="00BD5924">
              <w:rPr>
                <w:sz w:val="20"/>
                <w:szCs w:val="20"/>
                <w:lang w:val="en-GB"/>
              </w:rPr>
              <w:t>643</w:t>
            </w:r>
            <w:r w:rsidR="00BD5924" w:rsidRPr="00BD5924">
              <w:rPr>
                <w:sz w:val="20"/>
                <w:szCs w:val="20"/>
                <w:lang w:val="en-GB"/>
              </w:rPr>
              <w:t>,</w:t>
            </w:r>
            <w:r w:rsidRPr="00BD5924">
              <w:rPr>
                <w:sz w:val="20"/>
                <w:szCs w:val="20"/>
                <w:lang w:val="en-GB"/>
              </w:rPr>
              <w:t>683</w:t>
            </w:r>
            <w:r w:rsidR="00BD5924" w:rsidRPr="00BD5924">
              <w:rPr>
                <w:sz w:val="20"/>
                <w:szCs w:val="20"/>
                <w:lang w:val="en-GB"/>
              </w:rPr>
              <w:t>.</w:t>
            </w:r>
            <w:r w:rsidRPr="00BD5924">
              <w:rPr>
                <w:sz w:val="20"/>
                <w:szCs w:val="20"/>
                <w:lang w:val="en-GB"/>
              </w:rPr>
              <w:t>00</w:t>
            </w:r>
          </w:p>
        </w:tc>
        <w:tc>
          <w:tcPr>
            <w:tcW w:w="1473" w:type="dxa"/>
            <w:tcBorders>
              <w:top w:val="single" w:sz="4" w:space="0" w:color="auto"/>
              <w:left w:val="single" w:sz="4" w:space="0" w:color="auto"/>
              <w:bottom w:val="single" w:sz="4" w:space="0" w:color="auto"/>
              <w:right w:val="single" w:sz="4" w:space="0" w:color="auto"/>
            </w:tcBorders>
          </w:tcPr>
          <w:p w14:paraId="36B6E4D8" w14:textId="77777777" w:rsidR="00CA1D81" w:rsidRPr="00BD5924" w:rsidRDefault="00CA1D81" w:rsidP="00BD5924">
            <w:pPr>
              <w:spacing w:after="0"/>
              <w:jc w:val="right"/>
              <w:rPr>
                <w:sz w:val="20"/>
                <w:szCs w:val="20"/>
                <w:lang w:val="en-GB"/>
              </w:rPr>
            </w:pPr>
            <w:r w:rsidRPr="00BD5924">
              <w:rPr>
                <w:sz w:val="20"/>
                <w:szCs w:val="20"/>
                <w:lang w:val="en-GB"/>
              </w:rPr>
              <w:t>7</w:t>
            </w:r>
            <w:r w:rsidR="00BD5924" w:rsidRPr="00BD5924">
              <w:rPr>
                <w:sz w:val="20"/>
                <w:szCs w:val="20"/>
                <w:lang w:val="en-GB"/>
              </w:rPr>
              <w:t>,</w:t>
            </w:r>
            <w:r w:rsidRPr="00BD5924">
              <w:rPr>
                <w:sz w:val="20"/>
                <w:szCs w:val="20"/>
                <w:lang w:val="en-GB"/>
              </w:rPr>
              <w:t>643</w:t>
            </w:r>
            <w:r w:rsidR="00BD5924" w:rsidRPr="00BD5924">
              <w:rPr>
                <w:sz w:val="20"/>
                <w:szCs w:val="20"/>
                <w:lang w:val="en-GB"/>
              </w:rPr>
              <w:t>,</w:t>
            </w:r>
            <w:r w:rsidRPr="00BD5924">
              <w:rPr>
                <w:sz w:val="20"/>
                <w:szCs w:val="20"/>
                <w:lang w:val="en-GB"/>
              </w:rPr>
              <w:t>683</w:t>
            </w:r>
            <w:r w:rsidR="00BD5924" w:rsidRPr="00BD5924">
              <w:rPr>
                <w:sz w:val="20"/>
                <w:szCs w:val="20"/>
                <w:lang w:val="en-GB"/>
              </w:rPr>
              <w:t>.</w:t>
            </w:r>
            <w:r w:rsidRPr="00BD5924">
              <w:rPr>
                <w:sz w:val="20"/>
                <w:szCs w:val="20"/>
                <w:lang w:val="en-GB"/>
              </w:rPr>
              <w:t>00</w:t>
            </w:r>
          </w:p>
        </w:tc>
      </w:tr>
      <w:tr w:rsidR="00CA1D81" w:rsidRPr="00BD5924" w14:paraId="0DFA8D30" w14:textId="77777777" w:rsidTr="00AD5BFF">
        <w:trPr>
          <w:trHeight w:val="268"/>
        </w:trPr>
        <w:tc>
          <w:tcPr>
            <w:tcW w:w="1752" w:type="dxa"/>
            <w:tcBorders>
              <w:top w:val="single" w:sz="4" w:space="0" w:color="auto"/>
              <w:left w:val="single" w:sz="4" w:space="0" w:color="auto"/>
              <w:bottom w:val="single" w:sz="4" w:space="0" w:color="auto"/>
              <w:right w:val="single" w:sz="4" w:space="0" w:color="auto"/>
            </w:tcBorders>
            <w:hideMark/>
          </w:tcPr>
          <w:p w14:paraId="44EBF09A" w14:textId="77777777" w:rsidR="00CA1D81" w:rsidRPr="00BD5924" w:rsidRDefault="00BD5924" w:rsidP="00AD5BFF">
            <w:pPr>
              <w:tabs>
                <w:tab w:val="left" w:pos="1152"/>
              </w:tabs>
              <w:spacing w:after="0" w:line="240" w:lineRule="auto"/>
              <w:rPr>
                <w:rFonts w:eastAsia="Times New Roman"/>
                <w:sz w:val="20"/>
                <w:szCs w:val="20"/>
                <w:lang w:val="en-GB"/>
              </w:rPr>
            </w:pPr>
            <w:proofErr w:type="spellStart"/>
            <w:r w:rsidRPr="00BD5924">
              <w:rPr>
                <w:rFonts w:eastAsia="Times New Roman"/>
                <w:sz w:val="20"/>
                <w:szCs w:val="20"/>
                <w:lang w:val="en-GB"/>
              </w:rPr>
              <w:t>Bunjevac</w:t>
            </w:r>
            <w:proofErr w:type="spellEnd"/>
            <w:r w:rsidRPr="00BD5924">
              <w:rPr>
                <w:rFonts w:eastAsia="Times New Roman"/>
                <w:sz w:val="20"/>
                <w:szCs w:val="20"/>
                <w:lang w:val="en-GB"/>
              </w:rPr>
              <w:t xml:space="preserve"> </w:t>
            </w:r>
          </w:p>
        </w:tc>
        <w:tc>
          <w:tcPr>
            <w:tcW w:w="1473" w:type="dxa"/>
            <w:tcBorders>
              <w:top w:val="single" w:sz="4" w:space="0" w:color="auto"/>
              <w:left w:val="single" w:sz="4" w:space="0" w:color="auto"/>
              <w:bottom w:val="single" w:sz="4" w:space="0" w:color="auto"/>
              <w:right w:val="single" w:sz="4" w:space="0" w:color="auto"/>
            </w:tcBorders>
            <w:hideMark/>
          </w:tcPr>
          <w:p w14:paraId="2A7A134C" w14:textId="77777777" w:rsidR="00CA1D81" w:rsidRPr="00BD5924" w:rsidRDefault="00CA1D81" w:rsidP="00BD5924">
            <w:pPr>
              <w:spacing w:after="0" w:line="240" w:lineRule="auto"/>
              <w:jc w:val="right"/>
              <w:rPr>
                <w:sz w:val="20"/>
                <w:szCs w:val="20"/>
                <w:lang w:val="en-GB"/>
              </w:rPr>
            </w:pPr>
            <w:r w:rsidRPr="00BD5924">
              <w:rPr>
                <w:sz w:val="20"/>
                <w:szCs w:val="20"/>
                <w:lang w:val="en-GB"/>
              </w:rPr>
              <w:t>7</w:t>
            </w:r>
            <w:r w:rsidR="00BD5924" w:rsidRPr="00BD5924">
              <w:rPr>
                <w:sz w:val="20"/>
                <w:szCs w:val="20"/>
                <w:lang w:val="en-GB"/>
              </w:rPr>
              <w:t>,</w:t>
            </w:r>
            <w:r w:rsidRPr="00BD5924">
              <w:rPr>
                <w:sz w:val="20"/>
                <w:szCs w:val="20"/>
                <w:lang w:val="en-GB"/>
              </w:rPr>
              <w:t>141</w:t>
            </w:r>
            <w:r w:rsidR="00BD5924" w:rsidRPr="00BD5924">
              <w:rPr>
                <w:sz w:val="20"/>
                <w:szCs w:val="20"/>
                <w:lang w:val="en-GB"/>
              </w:rPr>
              <w:t>,</w:t>
            </w:r>
            <w:r w:rsidRPr="00BD5924">
              <w:rPr>
                <w:sz w:val="20"/>
                <w:szCs w:val="20"/>
                <w:lang w:val="en-GB"/>
              </w:rPr>
              <w:t>540</w:t>
            </w:r>
            <w:r w:rsidR="00BD5924" w:rsidRPr="00BD5924">
              <w:rPr>
                <w:sz w:val="20"/>
                <w:szCs w:val="20"/>
                <w:lang w:val="en-GB"/>
              </w:rPr>
              <w:t>.</w:t>
            </w:r>
            <w:r w:rsidRPr="00BD5924">
              <w:rPr>
                <w:sz w:val="20"/>
                <w:szCs w:val="20"/>
                <w:lang w:val="en-GB"/>
              </w:rPr>
              <w:t>00</w:t>
            </w:r>
          </w:p>
        </w:tc>
        <w:tc>
          <w:tcPr>
            <w:tcW w:w="1473" w:type="dxa"/>
            <w:tcBorders>
              <w:top w:val="single" w:sz="4" w:space="0" w:color="auto"/>
              <w:left w:val="single" w:sz="4" w:space="0" w:color="auto"/>
              <w:bottom w:val="single" w:sz="4" w:space="0" w:color="auto"/>
              <w:right w:val="single" w:sz="4" w:space="0" w:color="auto"/>
            </w:tcBorders>
          </w:tcPr>
          <w:p w14:paraId="28430BCC" w14:textId="77777777" w:rsidR="00CA1D81" w:rsidRPr="00BD5924" w:rsidRDefault="00CA1D81" w:rsidP="00BD5924">
            <w:pPr>
              <w:spacing w:after="0" w:line="240" w:lineRule="auto"/>
              <w:jc w:val="right"/>
              <w:rPr>
                <w:sz w:val="20"/>
                <w:szCs w:val="20"/>
                <w:lang w:val="en-GB"/>
              </w:rPr>
            </w:pPr>
            <w:r w:rsidRPr="00BD5924">
              <w:rPr>
                <w:sz w:val="20"/>
                <w:szCs w:val="20"/>
                <w:lang w:val="en-GB"/>
              </w:rPr>
              <w:t>7</w:t>
            </w:r>
            <w:r w:rsidR="00BD5924" w:rsidRPr="00BD5924">
              <w:rPr>
                <w:sz w:val="20"/>
                <w:szCs w:val="20"/>
                <w:lang w:val="en-GB"/>
              </w:rPr>
              <w:t>,</w:t>
            </w:r>
            <w:r w:rsidRPr="00BD5924">
              <w:rPr>
                <w:sz w:val="20"/>
                <w:szCs w:val="20"/>
                <w:lang w:val="en-GB"/>
              </w:rPr>
              <w:t>141</w:t>
            </w:r>
            <w:r w:rsidR="00BD5924" w:rsidRPr="00BD5924">
              <w:rPr>
                <w:sz w:val="20"/>
                <w:szCs w:val="20"/>
                <w:lang w:val="en-GB"/>
              </w:rPr>
              <w:t>,</w:t>
            </w:r>
            <w:r w:rsidRPr="00BD5924">
              <w:rPr>
                <w:sz w:val="20"/>
                <w:szCs w:val="20"/>
                <w:lang w:val="en-GB"/>
              </w:rPr>
              <w:t>540</w:t>
            </w:r>
            <w:r w:rsidR="00BD5924" w:rsidRPr="00BD5924">
              <w:rPr>
                <w:sz w:val="20"/>
                <w:szCs w:val="20"/>
                <w:lang w:val="en-GB"/>
              </w:rPr>
              <w:t>.</w:t>
            </w:r>
            <w:r w:rsidRPr="00BD5924">
              <w:rPr>
                <w:sz w:val="20"/>
                <w:szCs w:val="20"/>
                <w:lang w:val="en-GB"/>
              </w:rPr>
              <w:t>00</w:t>
            </w:r>
          </w:p>
        </w:tc>
        <w:tc>
          <w:tcPr>
            <w:tcW w:w="1473" w:type="dxa"/>
            <w:tcBorders>
              <w:top w:val="single" w:sz="4" w:space="0" w:color="auto"/>
              <w:left w:val="single" w:sz="4" w:space="0" w:color="auto"/>
              <w:bottom w:val="single" w:sz="4" w:space="0" w:color="auto"/>
              <w:right w:val="single" w:sz="4" w:space="0" w:color="auto"/>
            </w:tcBorders>
          </w:tcPr>
          <w:p w14:paraId="2F286C00" w14:textId="77777777" w:rsidR="00CA1D81" w:rsidRPr="00BD5924" w:rsidRDefault="00CA1D81" w:rsidP="00BD5924">
            <w:pPr>
              <w:spacing w:after="0"/>
              <w:jc w:val="right"/>
              <w:rPr>
                <w:sz w:val="20"/>
                <w:szCs w:val="20"/>
                <w:lang w:val="en-GB"/>
              </w:rPr>
            </w:pPr>
            <w:r w:rsidRPr="00BD5924">
              <w:rPr>
                <w:sz w:val="20"/>
                <w:szCs w:val="20"/>
                <w:lang w:val="en-GB"/>
              </w:rPr>
              <w:t>7</w:t>
            </w:r>
            <w:r w:rsidR="00BD5924" w:rsidRPr="00BD5924">
              <w:rPr>
                <w:sz w:val="20"/>
                <w:szCs w:val="20"/>
                <w:lang w:val="en-GB"/>
              </w:rPr>
              <w:t>,</w:t>
            </w:r>
            <w:r w:rsidRPr="00BD5924">
              <w:rPr>
                <w:sz w:val="20"/>
                <w:szCs w:val="20"/>
                <w:lang w:val="en-GB"/>
              </w:rPr>
              <w:t>141</w:t>
            </w:r>
            <w:r w:rsidR="00BD5924" w:rsidRPr="00BD5924">
              <w:rPr>
                <w:sz w:val="20"/>
                <w:szCs w:val="20"/>
                <w:lang w:val="en-GB"/>
              </w:rPr>
              <w:t>,</w:t>
            </w:r>
            <w:r w:rsidRPr="00BD5924">
              <w:rPr>
                <w:sz w:val="20"/>
                <w:szCs w:val="20"/>
                <w:lang w:val="en-GB"/>
              </w:rPr>
              <w:t>540</w:t>
            </w:r>
            <w:r w:rsidR="00BD5924" w:rsidRPr="00BD5924">
              <w:rPr>
                <w:sz w:val="20"/>
                <w:szCs w:val="20"/>
                <w:lang w:val="en-GB"/>
              </w:rPr>
              <w:t>.</w:t>
            </w:r>
            <w:r w:rsidRPr="00BD5924">
              <w:rPr>
                <w:sz w:val="20"/>
                <w:szCs w:val="20"/>
                <w:lang w:val="en-GB"/>
              </w:rPr>
              <w:t>00</w:t>
            </w:r>
          </w:p>
        </w:tc>
        <w:tc>
          <w:tcPr>
            <w:tcW w:w="1473" w:type="dxa"/>
            <w:tcBorders>
              <w:top w:val="single" w:sz="4" w:space="0" w:color="auto"/>
              <w:left w:val="single" w:sz="4" w:space="0" w:color="auto"/>
              <w:bottom w:val="single" w:sz="4" w:space="0" w:color="auto"/>
              <w:right w:val="single" w:sz="4" w:space="0" w:color="auto"/>
            </w:tcBorders>
          </w:tcPr>
          <w:p w14:paraId="3CC3FC24" w14:textId="77777777" w:rsidR="00CA1D81" w:rsidRPr="00BD5924" w:rsidRDefault="00CA1D81" w:rsidP="00BD5924">
            <w:pPr>
              <w:spacing w:after="0"/>
              <w:jc w:val="right"/>
              <w:rPr>
                <w:sz w:val="20"/>
                <w:szCs w:val="20"/>
                <w:lang w:val="en-GB"/>
              </w:rPr>
            </w:pPr>
            <w:r w:rsidRPr="00BD5924">
              <w:rPr>
                <w:sz w:val="20"/>
                <w:szCs w:val="20"/>
                <w:lang w:val="en-GB"/>
              </w:rPr>
              <w:t>7</w:t>
            </w:r>
            <w:r w:rsidR="00BD5924" w:rsidRPr="00BD5924">
              <w:rPr>
                <w:sz w:val="20"/>
                <w:szCs w:val="20"/>
                <w:lang w:val="en-GB"/>
              </w:rPr>
              <w:t>,</w:t>
            </w:r>
            <w:r w:rsidRPr="00BD5924">
              <w:rPr>
                <w:sz w:val="20"/>
                <w:szCs w:val="20"/>
                <w:lang w:val="en-GB"/>
              </w:rPr>
              <w:t>141</w:t>
            </w:r>
            <w:r w:rsidR="00BD5924" w:rsidRPr="00BD5924">
              <w:rPr>
                <w:sz w:val="20"/>
                <w:szCs w:val="20"/>
                <w:lang w:val="en-GB"/>
              </w:rPr>
              <w:t>,</w:t>
            </w:r>
            <w:r w:rsidRPr="00BD5924">
              <w:rPr>
                <w:sz w:val="20"/>
                <w:szCs w:val="20"/>
                <w:lang w:val="en-GB"/>
              </w:rPr>
              <w:t>540</w:t>
            </w:r>
            <w:r w:rsidR="00BD5924" w:rsidRPr="00BD5924">
              <w:rPr>
                <w:sz w:val="20"/>
                <w:szCs w:val="20"/>
                <w:lang w:val="en-GB"/>
              </w:rPr>
              <w:t>.</w:t>
            </w:r>
            <w:r w:rsidRPr="00BD5924">
              <w:rPr>
                <w:sz w:val="20"/>
                <w:szCs w:val="20"/>
                <w:lang w:val="en-GB"/>
              </w:rPr>
              <w:t>00</w:t>
            </w:r>
          </w:p>
        </w:tc>
        <w:tc>
          <w:tcPr>
            <w:tcW w:w="1473" w:type="dxa"/>
            <w:tcBorders>
              <w:top w:val="single" w:sz="4" w:space="0" w:color="auto"/>
              <w:left w:val="single" w:sz="4" w:space="0" w:color="auto"/>
              <w:bottom w:val="single" w:sz="4" w:space="0" w:color="auto"/>
              <w:right w:val="single" w:sz="4" w:space="0" w:color="auto"/>
            </w:tcBorders>
          </w:tcPr>
          <w:p w14:paraId="45ACB723" w14:textId="77777777" w:rsidR="00CA1D81" w:rsidRPr="00BD5924" w:rsidRDefault="00CA1D81" w:rsidP="00BD5924">
            <w:pPr>
              <w:spacing w:after="0"/>
              <w:jc w:val="right"/>
              <w:rPr>
                <w:sz w:val="20"/>
                <w:szCs w:val="20"/>
                <w:lang w:val="en-GB"/>
              </w:rPr>
            </w:pPr>
            <w:r w:rsidRPr="00BD5924">
              <w:rPr>
                <w:sz w:val="20"/>
                <w:szCs w:val="20"/>
                <w:lang w:val="en-GB"/>
              </w:rPr>
              <w:t>7</w:t>
            </w:r>
            <w:r w:rsidR="00BD5924" w:rsidRPr="00BD5924">
              <w:rPr>
                <w:sz w:val="20"/>
                <w:szCs w:val="20"/>
                <w:lang w:val="en-GB"/>
              </w:rPr>
              <w:t>,</w:t>
            </w:r>
            <w:r w:rsidRPr="00BD5924">
              <w:rPr>
                <w:sz w:val="20"/>
                <w:szCs w:val="20"/>
                <w:lang w:val="en-GB"/>
              </w:rPr>
              <w:t>141</w:t>
            </w:r>
            <w:r w:rsidR="00BD5924" w:rsidRPr="00BD5924">
              <w:rPr>
                <w:sz w:val="20"/>
                <w:szCs w:val="20"/>
                <w:lang w:val="en-GB"/>
              </w:rPr>
              <w:t>,</w:t>
            </w:r>
            <w:r w:rsidRPr="00BD5924">
              <w:rPr>
                <w:sz w:val="20"/>
                <w:szCs w:val="20"/>
                <w:lang w:val="en-GB"/>
              </w:rPr>
              <w:t>540</w:t>
            </w:r>
            <w:r w:rsidR="00BD5924" w:rsidRPr="00BD5924">
              <w:rPr>
                <w:sz w:val="20"/>
                <w:szCs w:val="20"/>
                <w:lang w:val="en-GB"/>
              </w:rPr>
              <w:t>.</w:t>
            </w:r>
            <w:r w:rsidRPr="00BD5924">
              <w:rPr>
                <w:sz w:val="20"/>
                <w:szCs w:val="20"/>
                <w:lang w:val="en-GB"/>
              </w:rPr>
              <w:t>00</w:t>
            </w:r>
          </w:p>
        </w:tc>
      </w:tr>
      <w:tr w:rsidR="00CA1D81" w:rsidRPr="00BD5924" w14:paraId="6BD2AF97" w14:textId="77777777" w:rsidTr="00AD5BFF">
        <w:trPr>
          <w:trHeight w:val="268"/>
        </w:trPr>
        <w:tc>
          <w:tcPr>
            <w:tcW w:w="1752" w:type="dxa"/>
            <w:tcBorders>
              <w:top w:val="single" w:sz="4" w:space="0" w:color="auto"/>
              <w:left w:val="single" w:sz="4" w:space="0" w:color="auto"/>
              <w:bottom w:val="single" w:sz="4" w:space="0" w:color="auto"/>
              <w:right w:val="single" w:sz="4" w:space="0" w:color="auto"/>
            </w:tcBorders>
            <w:hideMark/>
          </w:tcPr>
          <w:p w14:paraId="60072B40" w14:textId="77777777" w:rsidR="00CA1D81" w:rsidRPr="00BD5924" w:rsidRDefault="00BD5924" w:rsidP="00AD5BFF">
            <w:pPr>
              <w:tabs>
                <w:tab w:val="left" w:pos="1152"/>
              </w:tabs>
              <w:spacing w:after="0" w:line="240" w:lineRule="auto"/>
              <w:rPr>
                <w:rFonts w:eastAsia="Times New Roman"/>
                <w:sz w:val="20"/>
                <w:szCs w:val="20"/>
                <w:lang w:val="en-GB"/>
              </w:rPr>
            </w:pPr>
            <w:r w:rsidRPr="00BD5924">
              <w:rPr>
                <w:rFonts w:eastAsia="Times New Roman"/>
                <w:sz w:val="20"/>
                <w:szCs w:val="20"/>
                <w:lang w:val="en-GB"/>
              </w:rPr>
              <w:t>Wallachian</w:t>
            </w:r>
          </w:p>
        </w:tc>
        <w:tc>
          <w:tcPr>
            <w:tcW w:w="1473" w:type="dxa"/>
            <w:tcBorders>
              <w:top w:val="single" w:sz="4" w:space="0" w:color="auto"/>
              <w:left w:val="single" w:sz="4" w:space="0" w:color="auto"/>
              <w:bottom w:val="single" w:sz="4" w:space="0" w:color="auto"/>
              <w:right w:val="single" w:sz="4" w:space="0" w:color="auto"/>
            </w:tcBorders>
            <w:hideMark/>
          </w:tcPr>
          <w:p w14:paraId="0E1314AA" w14:textId="77777777" w:rsidR="00CA1D81" w:rsidRPr="00BD5924" w:rsidRDefault="00CA1D81" w:rsidP="00BD5924">
            <w:pPr>
              <w:spacing w:after="0" w:line="240" w:lineRule="auto"/>
              <w:jc w:val="right"/>
              <w:rPr>
                <w:sz w:val="20"/>
                <w:szCs w:val="20"/>
                <w:lang w:val="en-GB"/>
              </w:rPr>
            </w:pPr>
            <w:r w:rsidRPr="00BD5924">
              <w:rPr>
                <w:sz w:val="20"/>
                <w:szCs w:val="20"/>
                <w:lang w:val="en-GB"/>
              </w:rPr>
              <w:t>7</w:t>
            </w:r>
            <w:r w:rsidR="00BD5924" w:rsidRPr="00BD5924">
              <w:rPr>
                <w:sz w:val="20"/>
                <w:szCs w:val="20"/>
                <w:lang w:val="en-GB"/>
              </w:rPr>
              <w:t>,</w:t>
            </w:r>
            <w:r w:rsidRPr="00BD5924">
              <w:rPr>
                <w:sz w:val="20"/>
                <w:szCs w:val="20"/>
                <w:lang w:val="en-GB"/>
              </w:rPr>
              <w:t>757</w:t>
            </w:r>
            <w:r w:rsidR="00BD5924" w:rsidRPr="00BD5924">
              <w:rPr>
                <w:sz w:val="20"/>
                <w:szCs w:val="20"/>
                <w:lang w:val="en-GB"/>
              </w:rPr>
              <w:t>,</w:t>
            </w:r>
            <w:r w:rsidRPr="00BD5924">
              <w:rPr>
                <w:sz w:val="20"/>
                <w:szCs w:val="20"/>
                <w:lang w:val="en-GB"/>
              </w:rPr>
              <w:t>459</w:t>
            </w:r>
            <w:r w:rsidR="00BD5924" w:rsidRPr="00BD5924">
              <w:rPr>
                <w:sz w:val="20"/>
                <w:szCs w:val="20"/>
                <w:lang w:val="en-GB"/>
              </w:rPr>
              <w:t>.</w:t>
            </w:r>
            <w:r w:rsidRPr="00BD5924">
              <w:rPr>
                <w:sz w:val="20"/>
                <w:szCs w:val="20"/>
                <w:lang w:val="en-GB"/>
              </w:rPr>
              <w:t>00</w:t>
            </w:r>
          </w:p>
        </w:tc>
        <w:tc>
          <w:tcPr>
            <w:tcW w:w="1473" w:type="dxa"/>
            <w:tcBorders>
              <w:top w:val="single" w:sz="4" w:space="0" w:color="auto"/>
              <w:left w:val="single" w:sz="4" w:space="0" w:color="auto"/>
              <w:bottom w:val="single" w:sz="4" w:space="0" w:color="auto"/>
              <w:right w:val="single" w:sz="4" w:space="0" w:color="auto"/>
            </w:tcBorders>
          </w:tcPr>
          <w:p w14:paraId="0D0C6C24" w14:textId="77777777" w:rsidR="00CA1D81" w:rsidRPr="00BD5924" w:rsidRDefault="00CA1D81" w:rsidP="00BD5924">
            <w:pPr>
              <w:spacing w:after="0" w:line="240" w:lineRule="auto"/>
              <w:jc w:val="right"/>
              <w:rPr>
                <w:sz w:val="20"/>
                <w:szCs w:val="20"/>
                <w:lang w:val="en-GB"/>
              </w:rPr>
            </w:pPr>
            <w:r w:rsidRPr="00BD5924">
              <w:rPr>
                <w:sz w:val="20"/>
                <w:szCs w:val="20"/>
                <w:lang w:val="en-GB"/>
              </w:rPr>
              <w:t>7</w:t>
            </w:r>
            <w:r w:rsidR="00BD5924" w:rsidRPr="00BD5924">
              <w:rPr>
                <w:sz w:val="20"/>
                <w:szCs w:val="20"/>
                <w:lang w:val="en-GB"/>
              </w:rPr>
              <w:t>,</w:t>
            </w:r>
            <w:r w:rsidRPr="00BD5924">
              <w:rPr>
                <w:sz w:val="20"/>
                <w:szCs w:val="20"/>
                <w:lang w:val="en-GB"/>
              </w:rPr>
              <w:t>757</w:t>
            </w:r>
            <w:r w:rsidR="00BD5924" w:rsidRPr="00BD5924">
              <w:rPr>
                <w:sz w:val="20"/>
                <w:szCs w:val="20"/>
                <w:lang w:val="en-GB"/>
              </w:rPr>
              <w:t>,</w:t>
            </w:r>
            <w:r w:rsidRPr="00BD5924">
              <w:rPr>
                <w:sz w:val="20"/>
                <w:szCs w:val="20"/>
                <w:lang w:val="en-GB"/>
              </w:rPr>
              <w:t>459</w:t>
            </w:r>
            <w:r w:rsidR="00BD5924" w:rsidRPr="00BD5924">
              <w:rPr>
                <w:sz w:val="20"/>
                <w:szCs w:val="20"/>
                <w:lang w:val="en-GB"/>
              </w:rPr>
              <w:t>.</w:t>
            </w:r>
            <w:r w:rsidRPr="00BD5924">
              <w:rPr>
                <w:sz w:val="20"/>
                <w:szCs w:val="20"/>
                <w:lang w:val="en-GB"/>
              </w:rPr>
              <w:t>00</w:t>
            </w:r>
          </w:p>
        </w:tc>
        <w:tc>
          <w:tcPr>
            <w:tcW w:w="1473" w:type="dxa"/>
            <w:tcBorders>
              <w:top w:val="single" w:sz="4" w:space="0" w:color="auto"/>
              <w:left w:val="single" w:sz="4" w:space="0" w:color="auto"/>
              <w:bottom w:val="single" w:sz="4" w:space="0" w:color="auto"/>
              <w:right w:val="single" w:sz="4" w:space="0" w:color="auto"/>
            </w:tcBorders>
          </w:tcPr>
          <w:p w14:paraId="309D6544" w14:textId="77777777" w:rsidR="00CA1D81" w:rsidRPr="00BD5924" w:rsidRDefault="00CA1D81" w:rsidP="00BD5924">
            <w:pPr>
              <w:spacing w:after="0"/>
              <w:jc w:val="right"/>
              <w:rPr>
                <w:sz w:val="20"/>
                <w:szCs w:val="20"/>
                <w:lang w:val="en-GB"/>
              </w:rPr>
            </w:pPr>
            <w:r w:rsidRPr="00BD5924">
              <w:rPr>
                <w:sz w:val="20"/>
                <w:szCs w:val="20"/>
                <w:lang w:val="en-GB"/>
              </w:rPr>
              <w:t>7</w:t>
            </w:r>
            <w:r w:rsidR="00BD5924" w:rsidRPr="00BD5924">
              <w:rPr>
                <w:sz w:val="20"/>
                <w:szCs w:val="20"/>
                <w:lang w:val="en-GB"/>
              </w:rPr>
              <w:t>,</w:t>
            </w:r>
            <w:r w:rsidRPr="00BD5924">
              <w:rPr>
                <w:sz w:val="20"/>
                <w:szCs w:val="20"/>
                <w:lang w:val="en-GB"/>
              </w:rPr>
              <w:t>757</w:t>
            </w:r>
            <w:r w:rsidR="00BD5924" w:rsidRPr="00BD5924">
              <w:rPr>
                <w:sz w:val="20"/>
                <w:szCs w:val="20"/>
                <w:lang w:val="en-GB"/>
              </w:rPr>
              <w:t>,</w:t>
            </w:r>
            <w:r w:rsidRPr="00BD5924">
              <w:rPr>
                <w:sz w:val="20"/>
                <w:szCs w:val="20"/>
                <w:lang w:val="en-GB"/>
              </w:rPr>
              <w:t>459</w:t>
            </w:r>
            <w:r w:rsidR="00BD5924" w:rsidRPr="00BD5924">
              <w:rPr>
                <w:sz w:val="20"/>
                <w:szCs w:val="20"/>
                <w:lang w:val="en-GB"/>
              </w:rPr>
              <w:t>.</w:t>
            </w:r>
            <w:r w:rsidRPr="00BD5924">
              <w:rPr>
                <w:sz w:val="20"/>
                <w:szCs w:val="20"/>
                <w:lang w:val="en-GB"/>
              </w:rPr>
              <w:t>00</w:t>
            </w:r>
          </w:p>
        </w:tc>
        <w:tc>
          <w:tcPr>
            <w:tcW w:w="1473" w:type="dxa"/>
            <w:tcBorders>
              <w:top w:val="single" w:sz="4" w:space="0" w:color="auto"/>
              <w:left w:val="single" w:sz="4" w:space="0" w:color="auto"/>
              <w:bottom w:val="single" w:sz="4" w:space="0" w:color="auto"/>
              <w:right w:val="single" w:sz="4" w:space="0" w:color="auto"/>
            </w:tcBorders>
          </w:tcPr>
          <w:p w14:paraId="2142A06C" w14:textId="77777777" w:rsidR="00CA1D81" w:rsidRPr="00BD5924" w:rsidRDefault="00CA1D81" w:rsidP="00BD5924">
            <w:pPr>
              <w:spacing w:after="0"/>
              <w:jc w:val="right"/>
              <w:rPr>
                <w:sz w:val="20"/>
                <w:szCs w:val="20"/>
                <w:lang w:val="en-GB"/>
              </w:rPr>
            </w:pPr>
            <w:r w:rsidRPr="00BD5924">
              <w:rPr>
                <w:sz w:val="20"/>
                <w:szCs w:val="20"/>
                <w:lang w:val="en-GB"/>
              </w:rPr>
              <w:t>7</w:t>
            </w:r>
            <w:r w:rsidR="00BD5924" w:rsidRPr="00BD5924">
              <w:rPr>
                <w:sz w:val="20"/>
                <w:szCs w:val="20"/>
                <w:lang w:val="en-GB"/>
              </w:rPr>
              <w:t>,</w:t>
            </w:r>
            <w:r w:rsidRPr="00BD5924">
              <w:rPr>
                <w:sz w:val="20"/>
                <w:szCs w:val="20"/>
                <w:lang w:val="en-GB"/>
              </w:rPr>
              <w:t>757</w:t>
            </w:r>
            <w:r w:rsidR="00BD5924" w:rsidRPr="00BD5924">
              <w:rPr>
                <w:sz w:val="20"/>
                <w:szCs w:val="20"/>
                <w:lang w:val="en-GB"/>
              </w:rPr>
              <w:t>,</w:t>
            </w:r>
            <w:r w:rsidRPr="00BD5924">
              <w:rPr>
                <w:sz w:val="20"/>
                <w:szCs w:val="20"/>
                <w:lang w:val="en-GB"/>
              </w:rPr>
              <w:t>459</w:t>
            </w:r>
            <w:r w:rsidR="00BD5924" w:rsidRPr="00BD5924">
              <w:rPr>
                <w:sz w:val="20"/>
                <w:szCs w:val="20"/>
                <w:lang w:val="en-GB"/>
              </w:rPr>
              <w:t>.</w:t>
            </w:r>
            <w:r w:rsidRPr="00BD5924">
              <w:rPr>
                <w:sz w:val="20"/>
                <w:szCs w:val="20"/>
                <w:lang w:val="en-GB"/>
              </w:rPr>
              <w:t>00</w:t>
            </w:r>
          </w:p>
        </w:tc>
        <w:tc>
          <w:tcPr>
            <w:tcW w:w="1473" w:type="dxa"/>
            <w:tcBorders>
              <w:top w:val="single" w:sz="4" w:space="0" w:color="auto"/>
              <w:left w:val="single" w:sz="4" w:space="0" w:color="auto"/>
              <w:bottom w:val="single" w:sz="4" w:space="0" w:color="auto"/>
              <w:right w:val="single" w:sz="4" w:space="0" w:color="auto"/>
            </w:tcBorders>
          </w:tcPr>
          <w:p w14:paraId="141103FD" w14:textId="77777777" w:rsidR="00CA1D81" w:rsidRPr="00BD5924" w:rsidRDefault="00CA1D81" w:rsidP="00BD5924">
            <w:pPr>
              <w:spacing w:after="0"/>
              <w:jc w:val="right"/>
              <w:rPr>
                <w:sz w:val="20"/>
                <w:szCs w:val="20"/>
                <w:lang w:val="en-GB"/>
              </w:rPr>
            </w:pPr>
            <w:r w:rsidRPr="00BD5924">
              <w:rPr>
                <w:sz w:val="20"/>
                <w:szCs w:val="20"/>
                <w:lang w:val="en-GB"/>
              </w:rPr>
              <w:t>7</w:t>
            </w:r>
            <w:r w:rsidR="00BD5924" w:rsidRPr="00BD5924">
              <w:rPr>
                <w:sz w:val="20"/>
                <w:szCs w:val="20"/>
                <w:lang w:val="en-GB"/>
              </w:rPr>
              <w:t>,</w:t>
            </w:r>
            <w:r w:rsidRPr="00BD5924">
              <w:rPr>
                <w:sz w:val="20"/>
                <w:szCs w:val="20"/>
                <w:lang w:val="en-GB"/>
              </w:rPr>
              <w:t>757</w:t>
            </w:r>
            <w:r w:rsidR="00BD5924" w:rsidRPr="00BD5924">
              <w:rPr>
                <w:sz w:val="20"/>
                <w:szCs w:val="20"/>
                <w:lang w:val="en-GB"/>
              </w:rPr>
              <w:t>,</w:t>
            </w:r>
            <w:r w:rsidRPr="00BD5924">
              <w:rPr>
                <w:sz w:val="20"/>
                <w:szCs w:val="20"/>
                <w:lang w:val="en-GB"/>
              </w:rPr>
              <w:t>459</w:t>
            </w:r>
            <w:r w:rsidR="00BD5924" w:rsidRPr="00BD5924">
              <w:rPr>
                <w:sz w:val="20"/>
                <w:szCs w:val="20"/>
                <w:lang w:val="en-GB"/>
              </w:rPr>
              <w:t>.</w:t>
            </w:r>
            <w:r w:rsidRPr="00BD5924">
              <w:rPr>
                <w:sz w:val="20"/>
                <w:szCs w:val="20"/>
                <w:lang w:val="en-GB"/>
              </w:rPr>
              <w:t>00</w:t>
            </w:r>
          </w:p>
        </w:tc>
      </w:tr>
      <w:tr w:rsidR="00CA1D81" w:rsidRPr="00BD5924" w14:paraId="307D4F7B" w14:textId="77777777" w:rsidTr="00AD5BFF">
        <w:trPr>
          <w:trHeight w:val="268"/>
        </w:trPr>
        <w:tc>
          <w:tcPr>
            <w:tcW w:w="1752" w:type="dxa"/>
            <w:tcBorders>
              <w:top w:val="single" w:sz="4" w:space="0" w:color="auto"/>
              <w:left w:val="single" w:sz="4" w:space="0" w:color="auto"/>
              <w:bottom w:val="single" w:sz="4" w:space="0" w:color="auto"/>
              <w:right w:val="single" w:sz="4" w:space="0" w:color="auto"/>
            </w:tcBorders>
            <w:hideMark/>
          </w:tcPr>
          <w:p w14:paraId="0CA713EB" w14:textId="77777777" w:rsidR="00CA1D81" w:rsidRPr="00BD5924" w:rsidRDefault="00BD5924" w:rsidP="00AD5BFF">
            <w:pPr>
              <w:tabs>
                <w:tab w:val="left" w:pos="1152"/>
              </w:tabs>
              <w:spacing w:after="0" w:line="240" w:lineRule="auto"/>
              <w:rPr>
                <w:rFonts w:eastAsia="Times New Roman"/>
                <w:sz w:val="20"/>
                <w:szCs w:val="20"/>
                <w:lang w:val="en-GB"/>
              </w:rPr>
            </w:pPr>
            <w:r w:rsidRPr="00BD5924">
              <w:rPr>
                <w:rFonts w:eastAsia="Times New Roman"/>
                <w:sz w:val="20"/>
                <w:szCs w:val="20"/>
                <w:lang w:val="en-GB"/>
              </w:rPr>
              <w:t xml:space="preserve">Greek </w:t>
            </w:r>
          </w:p>
        </w:tc>
        <w:tc>
          <w:tcPr>
            <w:tcW w:w="1473" w:type="dxa"/>
            <w:tcBorders>
              <w:top w:val="single" w:sz="4" w:space="0" w:color="auto"/>
              <w:left w:val="single" w:sz="4" w:space="0" w:color="auto"/>
              <w:bottom w:val="single" w:sz="4" w:space="0" w:color="auto"/>
              <w:right w:val="single" w:sz="4" w:space="0" w:color="auto"/>
            </w:tcBorders>
            <w:hideMark/>
          </w:tcPr>
          <w:p w14:paraId="00B3CCC2" w14:textId="77777777" w:rsidR="00CA1D81" w:rsidRPr="00BD5924" w:rsidRDefault="00CA1D81" w:rsidP="00BD5924">
            <w:pPr>
              <w:spacing w:after="0" w:line="240" w:lineRule="auto"/>
              <w:jc w:val="right"/>
              <w:rPr>
                <w:sz w:val="20"/>
                <w:szCs w:val="20"/>
                <w:lang w:val="en-GB"/>
              </w:rPr>
            </w:pPr>
            <w:r w:rsidRPr="00BD5924">
              <w:rPr>
                <w:sz w:val="20"/>
                <w:szCs w:val="20"/>
                <w:lang w:val="en-GB"/>
              </w:rPr>
              <w:t>3</w:t>
            </w:r>
            <w:r w:rsidR="00BD5924" w:rsidRPr="00BD5924">
              <w:rPr>
                <w:sz w:val="20"/>
                <w:szCs w:val="20"/>
                <w:lang w:val="en-GB"/>
              </w:rPr>
              <w:t>,</w:t>
            </w:r>
            <w:r w:rsidRPr="00BD5924">
              <w:rPr>
                <w:sz w:val="20"/>
                <w:szCs w:val="20"/>
                <w:lang w:val="en-GB"/>
              </w:rPr>
              <w:t>572</w:t>
            </w:r>
            <w:r w:rsidR="00BD5924" w:rsidRPr="00BD5924">
              <w:rPr>
                <w:sz w:val="20"/>
                <w:szCs w:val="20"/>
                <w:lang w:val="en-GB"/>
              </w:rPr>
              <w:t>,</w:t>
            </w:r>
            <w:r w:rsidRPr="00BD5924">
              <w:rPr>
                <w:sz w:val="20"/>
                <w:szCs w:val="20"/>
                <w:lang w:val="en-GB"/>
              </w:rPr>
              <w:t>471</w:t>
            </w:r>
            <w:r w:rsidR="00BD5924" w:rsidRPr="00BD5924">
              <w:rPr>
                <w:sz w:val="20"/>
                <w:szCs w:val="20"/>
                <w:lang w:val="en-GB"/>
              </w:rPr>
              <w:t>.</w:t>
            </w:r>
            <w:r w:rsidRPr="00BD5924">
              <w:rPr>
                <w:sz w:val="20"/>
                <w:szCs w:val="20"/>
                <w:lang w:val="en-GB"/>
              </w:rPr>
              <w:t>00</w:t>
            </w:r>
          </w:p>
        </w:tc>
        <w:tc>
          <w:tcPr>
            <w:tcW w:w="1473" w:type="dxa"/>
            <w:tcBorders>
              <w:top w:val="single" w:sz="4" w:space="0" w:color="auto"/>
              <w:left w:val="single" w:sz="4" w:space="0" w:color="auto"/>
              <w:bottom w:val="single" w:sz="4" w:space="0" w:color="auto"/>
              <w:right w:val="single" w:sz="4" w:space="0" w:color="auto"/>
            </w:tcBorders>
          </w:tcPr>
          <w:p w14:paraId="0CC2CC4D" w14:textId="77777777" w:rsidR="00CA1D81" w:rsidRPr="00BD5924" w:rsidRDefault="00CA1D81" w:rsidP="00BD5924">
            <w:pPr>
              <w:spacing w:after="0" w:line="240" w:lineRule="auto"/>
              <w:jc w:val="right"/>
              <w:rPr>
                <w:sz w:val="20"/>
                <w:szCs w:val="20"/>
                <w:lang w:val="en-GB"/>
              </w:rPr>
            </w:pPr>
            <w:r w:rsidRPr="00BD5924">
              <w:rPr>
                <w:sz w:val="20"/>
                <w:szCs w:val="20"/>
                <w:lang w:val="en-GB"/>
              </w:rPr>
              <w:t>3</w:t>
            </w:r>
            <w:r w:rsidR="00BD5924" w:rsidRPr="00BD5924">
              <w:rPr>
                <w:sz w:val="20"/>
                <w:szCs w:val="20"/>
                <w:lang w:val="en-GB"/>
              </w:rPr>
              <w:t>,</w:t>
            </w:r>
            <w:r w:rsidRPr="00BD5924">
              <w:rPr>
                <w:sz w:val="20"/>
                <w:szCs w:val="20"/>
                <w:lang w:val="en-GB"/>
              </w:rPr>
              <w:t>572</w:t>
            </w:r>
            <w:r w:rsidR="00BD5924" w:rsidRPr="00BD5924">
              <w:rPr>
                <w:sz w:val="20"/>
                <w:szCs w:val="20"/>
                <w:lang w:val="en-GB"/>
              </w:rPr>
              <w:t>,</w:t>
            </w:r>
            <w:r w:rsidRPr="00BD5924">
              <w:rPr>
                <w:sz w:val="20"/>
                <w:szCs w:val="20"/>
                <w:lang w:val="en-GB"/>
              </w:rPr>
              <w:t>471</w:t>
            </w:r>
            <w:r w:rsidR="00BD5924" w:rsidRPr="00BD5924">
              <w:rPr>
                <w:sz w:val="20"/>
                <w:szCs w:val="20"/>
                <w:lang w:val="en-GB"/>
              </w:rPr>
              <w:t>.</w:t>
            </w:r>
            <w:r w:rsidRPr="00BD5924">
              <w:rPr>
                <w:sz w:val="20"/>
                <w:szCs w:val="20"/>
                <w:lang w:val="en-GB"/>
              </w:rPr>
              <w:t>00</w:t>
            </w:r>
          </w:p>
        </w:tc>
        <w:tc>
          <w:tcPr>
            <w:tcW w:w="1473" w:type="dxa"/>
            <w:tcBorders>
              <w:top w:val="single" w:sz="4" w:space="0" w:color="auto"/>
              <w:left w:val="single" w:sz="4" w:space="0" w:color="auto"/>
              <w:bottom w:val="single" w:sz="4" w:space="0" w:color="auto"/>
              <w:right w:val="single" w:sz="4" w:space="0" w:color="auto"/>
            </w:tcBorders>
          </w:tcPr>
          <w:p w14:paraId="282464B1" w14:textId="77777777" w:rsidR="00CA1D81" w:rsidRPr="00BD5924" w:rsidRDefault="00CA1D81" w:rsidP="00BD5924">
            <w:pPr>
              <w:spacing w:after="0"/>
              <w:jc w:val="right"/>
              <w:rPr>
                <w:sz w:val="20"/>
                <w:szCs w:val="20"/>
                <w:lang w:val="en-GB"/>
              </w:rPr>
            </w:pPr>
            <w:r w:rsidRPr="00BD5924">
              <w:rPr>
                <w:sz w:val="20"/>
                <w:szCs w:val="20"/>
                <w:lang w:val="en-GB"/>
              </w:rPr>
              <w:t>3</w:t>
            </w:r>
            <w:r w:rsidR="00BD5924" w:rsidRPr="00BD5924">
              <w:rPr>
                <w:sz w:val="20"/>
                <w:szCs w:val="20"/>
                <w:lang w:val="en-GB"/>
              </w:rPr>
              <w:t>,</w:t>
            </w:r>
            <w:r w:rsidRPr="00BD5924">
              <w:rPr>
                <w:sz w:val="20"/>
                <w:szCs w:val="20"/>
                <w:lang w:val="en-GB"/>
              </w:rPr>
              <w:t>572</w:t>
            </w:r>
            <w:r w:rsidR="00BD5924" w:rsidRPr="00BD5924">
              <w:rPr>
                <w:sz w:val="20"/>
                <w:szCs w:val="20"/>
                <w:lang w:val="en-GB"/>
              </w:rPr>
              <w:t>,</w:t>
            </w:r>
            <w:r w:rsidRPr="00BD5924">
              <w:rPr>
                <w:sz w:val="20"/>
                <w:szCs w:val="20"/>
                <w:lang w:val="en-GB"/>
              </w:rPr>
              <w:t>471</w:t>
            </w:r>
            <w:r w:rsidR="00BD5924" w:rsidRPr="00BD5924">
              <w:rPr>
                <w:sz w:val="20"/>
                <w:szCs w:val="20"/>
                <w:lang w:val="en-GB"/>
              </w:rPr>
              <w:t>.</w:t>
            </w:r>
            <w:r w:rsidRPr="00BD5924">
              <w:rPr>
                <w:sz w:val="20"/>
                <w:szCs w:val="20"/>
                <w:lang w:val="en-GB"/>
              </w:rPr>
              <w:t>00</w:t>
            </w:r>
          </w:p>
        </w:tc>
        <w:tc>
          <w:tcPr>
            <w:tcW w:w="1473" w:type="dxa"/>
            <w:tcBorders>
              <w:top w:val="single" w:sz="4" w:space="0" w:color="auto"/>
              <w:left w:val="single" w:sz="4" w:space="0" w:color="auto"/>
              <w:bottom w:val="single" w:sz="4" w:space="0" w:color="auto"/>
              <w:right w:val="single" w:sz="4" w:space="0" w:color="auto"/>
            </w:tcBorders>
          </w:tcPr>
          <w:p w14:paraId="17379A8E" w14:textId="77777777" w:rsidR="00CA1D81" w:rsidRPr="00BD5924" w:rsidRDefault="00CA1D81" w:rsidP="00BD5924">
            <w:pPr>
              <w:spacing w:after="0"/>
              <w:jc w:val="right"/>
              <w:rPr>
                <w:sz w:val="20"/>
                <w:szCs w:val="20"/>
                <w:lang w:val="en-GB"/>
              </w:rPr>
            </w:pPr>
            <w:r w:rsidRPr="00BD5924">
              <w:rPr>
                <w:sz w:val="20"/>
                <w:szCs w:val="20"/>
                <w:lang w:val="en-GB"/>
              </w:rPr>
              <w:t>3</w:t>
            </w:r>
            <w:r w:rsidR="00BD5924" w:rsidRPr="00BD5924">
              <w:rPr>
                <w:sz w:val="20"/>
                <w:szCs w:val="20"/>
                <w:lang w:val="en-GB"/>
              </w:rPr>
              <w:t>,</w:t>
            </w:r>
            <w:r w:rsidRPr="00BD5924">
              <w:rPr>
                <w:sz w:val="20"/>
                <w:szCs w:val="20"/>
                <w:lang w:val="en-GB"/>
              </w:rPr>
              <w:t>572</w:t>
            </w:r>
            <w:r w:rsidR="00BD5924" w:rsidRPr="00BD5924">
              <w:rPr>
                <w:sz w:val="20"/>
                <w:szCs w:val="20"/>
                <w:lang w:val="en-GB"/>
              </w:rPr>
              <w:t>,</w:t>
            </w:r>
            <w:r w:rsidRPr="00BD5924">
              <w:rPr>
                <w:sz w:val="20"/>
                <w:szCs w:val="20"/>
                <w:lang w:val="en-GB"/>
              </w:rPr>
              <w:t>471</w:t>
            </w:r>
            <w:r w:rsidR="00BD5924" w:rsidRPr="00BD5924">
              <w:rPr>
                <w:sz w:val="20"/>
                <w:szCs w:val="20"/>
                <w:lang w:val="en-GB"/>
              </w:rPr>
              <w:t>.</w:t>
            </w:r>
            <w:r w:rsidRPr="00BD5924">
              <w:rPr>
                <w:sz w:val="20"/>
                <w:szCs w:val="20"/>
                <w:lang w:val="en-GB"/>
              </w:rPr>
              <w:t>00</w:t>
            </w:r>
          </w:p>
        </w:tc>
        <w:tc>
          <w:tcPr>
            <w:tcW w:w="1473" w:type="dxa"/>
            <w:tcBorders>
              <w:top w:val="single" w:sz="4" w:space="0" w:color="auto"/>
              <w:left w:val="single" w:sz="4" w:space="0" w:color="auto"/>
              <w:bottom w:val="single" w:sz="4" w:space="0" w:color="auto"/>
              <w:right w:val="single" w:sz="4" w:space="0" w:color="auto"/>
            </w:tcBorders>
          </w:tcPr>
          <w:p w14:paraId="4B30F6EA" w14:textId="77777777" w:rsidR="00CA1D81" w:rsidRPr="00BD5924" w:rsidRDefault="00CA1D81" w:rsidP="00BD5924">
            <w:pPr>
              <w:spacing w:after="0"/>
              <w:jc w:val="right"/>
              <w:rPr>
                <w:sz w:val="20"/>
                <w:szCs w:val="20"/>
                <w:lang w:val="en-GB"/>
              </w:rPr>
            </w:pPr>
            <w:r w:rsidRPr="00BD5924">
              <w:rPr>
                <w:sz w:val="20"/>
                <w:szCs w:val="20"/>
                <w:lang w:val="en-GB"/>
              </w:rPr>
              <w:t>3</w:t>
            </w:r>
            <w:r w:rsidR="00BD5924" w:rsidRPr="00BD5924">
              <w:rPr>
                <w:sz w:val="20"/>
                <w:szCs w:val="20"/>
                <w:lang w:val="en-GB"/>
              </w:rPr>
              <w:t>,</w:t>
            </w:r>
            <w:r w:rsidRPr="00BD5924">
              <w:rPr>
                <w:sz w:val="20"/>
                <w:szCs w:val="20"/>
                <w:lang w:val="en-GB"/>
              </w:rPr>
              <w:t>572</w:t>
            </w:r>
            <w:r w:rsidR="00BD5924" w:rsidRPr="00BD5924">
              <w:rPr>
                <w:sz w:val="20"/>
                <w:szCs w:val="20"/>
                <w:lang w:val="en-GB"/>
              </w:rPr>
              <w:t>,</w:t>
            </w:r>
            <w:r w:rsidRPr="00BD5924">
              <w:rPr>
                <w:sz w:val="20"/>
                <w:szCs w:val="20"/>
                <w:lang w:val="en-GB"/>
              </w:rPr>
              <w:t>471</w:t>
            </w:r>
            <w:r w:rsidR="00BD5924" w:rsidRPr="00BD5924">
              <w:rPr>
                <w:sz w:val="20"/>
                <w:szCs w:val="20"/>
                <w:lang w:val="en-GB"/>
              </w:rPr>
              <w:t>.</w:t>
            </w:r>
            <w:r w:rsidRPr="00BD5924">
              <w:rPr>
                <w:sz w:val="20"/>
                <w:szCs w:val="20"/>
                <w:lang w:val="en-GB"/>
              </w:rPr>
              <w:t>00</w:t>
            </w:r>
          </w:p>
        </w:tc>
      </w:tr>
      <w:tr w:rsidR="00CA1D81" w:rsidRPr="00BD5924" w14:paraId="209305D4" w14:textId="77777777" w:rsidTr="00AD5BFF">
        <w:trPr>
          <w:trHeight w:val="268"/>
        </w:trPr>
        <w:tc>
          <w:tcPr>
            <w:tcW w:w="1752" w:type="dxa"/>
            <w:tcBorders>
              <w:top w:val="single" w:sz="4" w:space="0" w:color="auto"/>
              <w:left w:val="single" w:sz="4" w:space="0" w:color="auto"/>
              <w:bottom w:val="single" w:sz="4" w:space="0" w:color="auto"/>
              <w:right w:val="single" w:sz="4" w:space="0" w:color="auto"/>
            </w:tcBorders>
            <w:hideMark/>
          </w:tcPr>
          <w:p w14:paraId="525EE305" w14:textId="77777777" w:rsidR="00CA1D81" w:rsidRPr="00BD5924" w:rsidRDefault="00BD5924" w:rsidP="00AD5BFF">
            <w:pPr>
              <w:tabs>
                <w:tab w:val="left" w:pos="1152"/>
              </w:tabs>
              <w:spacing w:after="0" w:line="240" w:lineRule="auto"/>
              <w:rPr>
                <w:rFonts w:eastAsia="Times New Roman"/>
                <w:sz w:val="20"/>
                <w:szCs w:val="20"/>
                <w:lang w:val="en-GB"/>
              </w:rPr>
            </w:pPr>
            <w:r w:rsidRPr="00BD5924">
              <w:rPr>
                <w:rFonts w:eastAsia="Times New Roman"/>
                <w:sz w:val="20"/>
                <w:szCs w:val="20"/>
                <w:lang w:val="en-GB"/>
              </w:rPr>
              <w:t xml:space="preserve">Egyptian </w:t>
            </w:r>
          </w:p>
        </w:tc>
        <w:tc>
          <w:tcPr>
            <w:tcW w:w="1473" w:type="dxa"/>
            <w:tcBorders>
              <w:top w:val="single" w:sz="4" w:space="0" w:color="auto"/>
              <w:left w:val="single" w:sz="4" w:space="0" w:color="auto"/>
              <w:bottom w:val="single" w:sz="4" w:space="0" w:color="auto"/>
              <w:right w:val="single" w:sz="4" w:space="0" w:color="auto"/>
            </w:tcBorders>
            <w:hideMark/>
          </w:tcPr>
          <w:p w14:paraId="1D381FA5" w14:textId="77777777" w:rsidR="00CA1D81" w:rsidRPr="00BD5924" w:rsidRDefault="00CA1D81" w:rsidP="00BD5924">
            <w:pPr>
              <w:spacing w:after="0" w:line="240" w:lineRule="auto"/>
              <w:jc w:val="right"/>
              <w:rPr>
                <w:sz w:val="20"/>
                <w:szCs w:val="20"/>
                <w:lang w:val="en-GB"/>
              </w:rPr>
            </w:pPr>
            <w:r w:rsidRPr="00BD5924">
              <w:rPr>
                <w:sz w:val="20"/>
                <w:szCs w:val="20"/>
                <w:lang w:val="en-GB"/>
              </w:rPr>
              <w:t>3</w:t>
            </w:r>
            <w:r w:rsidR="00BD5924" w:rsidRPr="00BD5924">
              <w:rPr>
                <w:sz w:val="20"/>
                <w:szCs w:val="20"/>
                <w:lang w:val="en-GB"/>
              </w:rPr>
              <w:t>,</w:t>
            </w:r>
            <w:r w:rsidRPr="00BD5924">
              <w:rPr>
                <w:sz w:val="20"/>
                <w:szCs w:val="20"/>
                <w:lang w:val="en-GB"/>
              </w:rPr>
              <w:t>683</w:t>
            </w:r>
            <w:r w:rsidR="00BD5924" w:rsidRPr="00BD5924">
              <w:rPr>
                <w:sz w:val="20"/>
                <w:szCs w:val="20"/>
                <w:lang w:val="en-GB"/>
              </w:rPr>
              <w:t>,</w:t>
            </w:r>
            <w:r w:rsidRPr="00BD5924">
              <w:rPr>
                <w:sz w:val="20"/>
                <w:szCs w:val="20"/>
                <w:lang w:val="en-GB"/>
              </w:rPr>
              <w:t>326</w:t>
            </w:r>
            <w:r w:rsidR="00BD5924" w:rsidRPr="00BD5924">
              <w:rPr>
                <w:sz w:val="20"/>
                <w:szCs w:val="20"/>
                <w:lang w:val="en-GB"/>
              </w:rPr>
              <w:t>.</w:t>
            </w:r>
            <w:r w:rsidRPr="00BD5924">
              <w:rPr>
                <w:sz w:val="20"/>
                <w:szCs w:val="20"/>
                <w:lang w:val="en-GB"/>
              </w:rPr>
              <w:t>00</w:t>
            </w:r>
          </w:p>
        </w:tc>
        <w:tc>
          <w:tcPr>
            <w:tcW w:w="1473" w:type="dxa"/>
            <w:tcBorders>
              <w:top w:val="single" w:sz="4" w:space="0" w:color="auto"/>
              <w:left w:val="single" w:sz="4" w:space="0" w:color="auto"/>
              <w:bottom w:val="single" w:sz="4" w:space="0" w:color="auto"/>
              <w:right w:val="single" w:sz="4" w:space="0" w:color="auto"/>
            </w:tcBorders>
          </w:tcPr>
          <w:p w14:paraId="0D22B4D7" w14:textId="77777777" w:rsidR="00CA1D81" w:rsidRPr="00BD5924" w:rsidRDefault="00CA1D81" w:rsidP="00BD5924">
            <w:pPr>
              <w:spacing w:after="0" w:line="240" w:lineRule="auto"/>
              <w:jc w:val="right"/>
              <w:rPr>
                <w:sz w:val="20"/>
                <w:szCs w:val="20"/>
                <w:lang w:val="en-GB"/>
              </w:rPr>
            </w:pPr>
            <w:r w:rsidRPr="00BD5924">
              <w:rPr>
                <w:sz w:val="20"/>
                <w:szCs w:val="20"/>
                <w:lang w:val="en-GB"/>
              </w:rPr>
              <w:t>3</w:t>
            </w:r>
            <w:r w:rsidR="00BD5924" w:rsidRPr="00BD5924">
              <w:rPr>
                <w:sz w:val="20"/>
                <w:szCs w:val="20"/>
                <w:lang w:val="en-GB"/>
              </w:rPr>
              <w:t>,</w:t>
            </w:r>
            <w:r w:rsidRPr="00BD5924">
              <w:rPr>
                <w:sz w:val="20"/>
                <w:szCs w:val="20"/>
                <w:lang w:val="en-GB"/>
              </w:rPr>
              <w:t>683</w:t>
            </w:r>
            <w:r w:rsidR="00BD5924" w:rsidRPr="00BD5924">
              <w:rPr>
                <w:sz w:val="20"/>
                <w:szCs w:val="20"/>
                <w:lang w:val="en-GB"/>
              </w:rPr>
              <w:t>,</w:t>
            </w:r>
            <w:r w:rsidRPr="00BD5924">
              <w:rPr>
                <w:sz w:val="20"/>
                <w:szCs w:val="20"/>
                <w:lang w:val="en-GB"/>
              </w:rPr>
              <w:t>326</w:t>
            </w:r>
            <w:r w:rsidR="00BD5924" w:rsidRPr="00BD5924">
              <w:rPr>
                <w:sz w:val="20"/>
                <w:szCs w:val="20"/>
                <w:lang w:val="en-GB"/>
              </w:rPr>
              <w:t>.</w:t>
            </w:r>
            <w:r w:rsidRPr="00BD5924">
              <w:rPr>
                <w:sz w:val="20"/>
                <w:szCs w:val="20"/>
                <w:lang w:val="en-GB"/>
              </w:rPr>
              <w:t>00</w:t>
            </w:r>
          </w:p>
        </w:tc>
        <w:tc>
          <w:tcPr>
            <w:tcW w:w="1473" w:type="dxa"/>
            <w:tcBorders>
              <w:top w:val="single" w:sz="4" w:space="0" w:color="auto"/>
              <w:left w:val="single" w:sz="4" w:space="0" w:color="auto"/>
              <w:bottom w:val="single" w:sz="4" w:space="0" w:color="auto"/>
              <w:right w:val="single" w:sz="4" w:space="0" w:color="auto"/>
            </w:tcBorders>
          </w:tcPr>
          <w:p w14:paraId="078062EB" w14:textId="77777777" w:rsidR="00CA1D81" w:rsidRPr="00BD5924" w:rsidRDefault="00CA1D81" w:rsidP="00BD5924">
            <w:pPr>
              <w:spacing w:after="0"/>
              <w:jc w:val="right"/>
              <w:rPr>
                <w:sz w:val="20"/>
                <w:szCs w:val="20"/>
                <w:lang w:val="en-GB"/>
              </w:rPr>
            </w:pPr>
            <w:r w:rsidRPr="00BD5924">
              <w:rPr>
                <w:sz w:val="20"/>
                <w:szCs w:val="20"/>
                <w:lang w:val="en-GB"/>
              </w:rPr>
              <w:t>3</w:t>
            </w:r>
            <w:r w:rsidR="00BD5924" w:rsidRPr="00BD5924">
              <w:rPr>
                <w:sz w:val="20"/>
                <w:szCs w:val="20"/>
                <w:lang w:val="en-GB"/>
              </w:rPr>
              <w:t>,</w:t>
            </w:r>
            <w:r w:rsidRPr="00BD5924">
              <w:rPr>
                <w:sz w:val="20"/>
                <w:szCs w:val="20"/>
                <w:lang w:val="en-GB"/>
              </w:rPr>
              <w:t>683</w:t>
            </w:r>
            <w:r w:rsidR="00BD5924" w:rsidRPr="00BD5924">
              <w:rPr>
                <w:sz w:val="20"/>
                <w:szCs w:val="20"/>
                <w:lang w:val="en-GB"/>
              </w:rPr>
              <w:t>,</w:t>
            </w:r>
            <w:r w:rsidRPr="00BD5924">
              <w:rPr>
                <w:sz w:val="20"/>
                <w:szCs w:val="20"/>
                <w:lang w:val="en-GB"/>
              </w:rPr>
              <w:t>326</w:t>
            </w:r>
            <w:r w:rsidR="00BD5924" w:rsidRPr="00BD5924">
              <w:rPr>
                <w:sz w:val="20"/>
                <w:szCs w:val="20"/>
                <w:lang w:val="en-GB"/>
              </w:rPr>
              <w:t>.</w:t>
            </w:r>
            <w:r w:rsidRPr="00BD5924">
              <w:rPr>
                <w:sz w:val="20"/>
                <w:szCs w:val="20"/>
                <w:lang w:val="en-GB"/>
              </w:rPr>
              <w:t>00</w:t>
            </w:r>
          </w:p>
        </w:tc>
        <w:tc>
          <w:tcPr>
            <w:tcW w:w="1473" w:type="dxa"/>
            <w:tcBorders>
              <w:top w:val="single" w:sz="4" w:space="0" w:color="auto"/>
              <w:left w:val="single" w:sz="4" w:space="0" w:color="auto"/>
              <w:bottom w:val="single" w:sz="4" w:space="0" w:color="auto"/>
              <w:right w:val="single" w:sz="4" w:space="0" w:color="auto"/>
            </w:tcBorders>
          </w:tcPr>
          <w:p w14:paraId="635F776F" w14:textId="77777777" w:rsidR="00CA1D81" w:rsidRPr="00BD5924" w:rsidRDefault="00CA1D81" w:rsidP="00BD5924">
            <w:pPr>
              <w:spacing w:after="0"/>
              <w:jc w:val="right"/>
              <w:rPr>
                <w:sz w:val="20"/>
                <w:szCs w:val="20"/>
                <w:lang w:val="en-GB"/>
              </w:rPr>
            </w:pPr>
            <w:r w:rsidRPr="00BD5924">
              <w:rPr>
                <w:sz w:val="20"/>
                <w:szCs w:val="20"/>
                <w:lang w:val="en-GB"/>
              </w:rPr>
              <w:t>3</w:t>
            </w:r>
            <w:r w:rsidR="00BD5924" w:rsidRPr="00BD5924">
              <w:rPr>
                <w:sz w:val="20"/>
                <w:szCs w:val="20"/>
                <w:lang w:val="en-GB"/>
              </w:rPr>
              <w:t>,</w:t>
            </w:r>
            <w:r w:rsidRPr="00BD5924">
              <w:rPr>
                <w:sz w:val="20"/>
                <w:szCs w:val="20"/>
                <w:lang w:val="en-GB"/>
              </w:rPr>
              <w:t>683</w:t>
            </w:r>
            <w:r w:rsidR="00BD5924" w:rsidRPr="00BD5924">
              <w:rPr>
                <w:sz w:val="20"/>
                <w:szCs w:val="20"/>
                <w:lang w:val="en-GB"/>
              </w:rPr>
              <w:t>,</w:t>
            </w:r>
            <w:r w:rsidRPr="00BD5924">
              <w:rPr>
                <w:sz w:val="20"/>
                <w:szCs w:val="20"/>
                <w:lang w:val="en-GB"/>
              </w:rPr>
              <w:t>326</w:t>
            </w:r>
            <w:r w:rsidR="00BD5924" w:rsidRPr="00BD5924">
              <w:rPr>
                <w:sz w:val="20"/>
                <w:szCs w:val="20"/>
                <w:lang w:val="en-GB"/>
              </w:rPr>
              <w:t>.</w:t>
            </w:r>
            <w:r w:rsidRPr="00BD5924">
              <w:rPr>
                <w:sz w:val="20"/>
                <w:szCs w:val="20"/>
                <w:lang w:val="en-GB"/>
              </w:rPr>
              <w:t>00</w:t>
            </w:r>
          </w:p>
        </w:tc>
        <w:tc>
          <w:tcPr>
            <w:tcW w:w="1473" w:type="dxa"/>
            <w:tcBorders>
              <w:top w:val="single" w:sz="4" w:space="0" w:color="auto"/>
              <w:left w:val="single" w:sz="4" w:space="0" w:color="auto"/>
              <w:bottom w:val="single" w:sz="4" w:space="0" w:color="auto"/>
              <w:right w:val="single" w:sz="4" w:space="0" w:color="auto"/>
            </w:tcBorders>
          </w:tcPr>
          <w:p w14:paraId="6075C1A7" w14:textId="77777777" w:rsidR="00CA1D81" w:rsidRPr="00BD5924" w:rsidRDefault="00CA1D81" w:rsidP="00BD5924">
            <w:pPr>
              <w:spacing w:after="0"/>
              <w:jc w:val="right"/>
              <w:rPr>
                <w:sz w:val="20"/>
                <w:szCs w:val="20"/>
                <w:lang w:val="en-GB"/>
              </w:rPr>
            </w:pPr>
            <w:r w:rsidRPr="00BD5924">
              <w:rPr>
                <w:sz w:val="20"/>
                <w:szCs w:val="20"/>
                <w:lang w:val="en-GB"/>
              </w:rPr>
              <w:t>3</w:t>
            </w:r>
            <w:r w:rsidR="00BD5924" w:rsidRPr="00BD5924">
              <w:rPr>
                <w:sz w:val="20"/>
                <w:szCs w:val="20"/>
                <w:lang w:val="en-GB"/>
              </w:rPr>
              <w:t>,</w:t>
            </w:r>
            <w:r w:rsidRPr="00BD5924">
              <w:rPr>
                <w:sz w:val="20"/>
                <w:szCs w:val="20"/>
                <w:lang w:val="en-GB"/>
              </w:rPr>
              <w:t>683</w:t>
            </w:r>
            <w:r w:rsidR="00BD5924" w:rsidRPr="00BD5924">
              <w:rPr>
                <w:sz w:val="20"/>
                <w:szCs w:val="20"/>
                <w:lang w:val="en-GB"/>
              </w:rPr>
              <w:t>,</w:t>
            </w:r>
            <w:r w:rsidRPr="00BD5924">
              <w:rPr>
                <w:sz w:val="20"/>
                <w:szCs w:val="20"/>
                <w:lang w:val="en-GB"/>
              </w:rPr>
              <w:t>326</w:t>
            </w:r>
            <w:r w:rsidR="00BD5924" w:rsidRPr="00BD5924">
              <w:rPr>
                <w:sz w:val="20"/>
                <w:szCs w:val="20"/>
                <w:lang w:val="en-GB"/>
              </w:rPr>
              <w:t>.</w:t>
            </w:r>
            <w:r w:rsidRPr="00BD5924">
              <w:rPr>
                <w:sz w:val="20"/>
                <w:szCs w:val="20"/>
                <w:lang w:val="en-GB"/>
              </w:rPr>
              <w:t>00</w:t>
            </w:r>
          </w:p>
        </w:tc>
      </w:tr>
      <w:tr w:rsidR="00CA1D81" w:rsidRPr="00D62D04" w14:paraId="045261BE" w14:textId="77777777" w:rsidTr="00AD5BFF">
        <w:trPr>
          <w:trHeight w:val="460"/>
        </w:trPr>
        <w:tc>
          <w:tcPr>
            <w:tcW w:w="1752" w:type="dxa"/>
            <w:tcBorders>
              <w:top w:val="single" w:sz="4" w:space="0" w:color="auto"/>
              <w:left w:val="single" w:sz="4" w:space="0" w:color="auto"/>
              <w:bottom w:val="single" w:sz="4" w:space="0" w:color="auto"/>
              <w:right w:val="single" w:sz="4" w:space="0" w:color="auto"/>
            </w:tcBorders>
            <w:hideMark/>
          </w:tcPr>
          <w:p w14:paraId="4353478B" w14:textId="77777777" w:rsidR="00CA1D81" w:rsidRPr="00BD5924" w:rsidRDefault="00BD5924" w:rsidP="00AD5BFF">
            <w:pPr>
              <w:tabs>
                <w:tab w:val="left" w:pos="1152"/>
              </w:tabs>
              <w:spacing w:after="0" w:line="240" w:lineRule="auto"/>
              <w:rPr>
                <w:rFonts w:eastAsia="Times New Roman"/>
                <w:sz w:val="20"/>
                <w:szCs w:val="20"/>
                <w:lang w:val="en-GB"/>
              </w:rPr>
            </w:pPr>
            <w:r w:rsidRPr="00BD5924">
              <w:rPr>
                <w:rFonts w:eastAsia="Times New Roman"/>
                <w:sz w:val="20"/>
                <w:szCs w:val="20"/>
                <w:lang w:val="en-GB"/>
              </w:rPr>
              <w:t>Union of Jewish Municipalities</w:t>
            </w:r>
          </w:p>
        </w:tc>
        <w:tc>
          <w:tcPr>
            <w:tcW w:w="1473" w:type="dxa"/>
            <w:tcBorders>
              <w:top w:val="single" w:sz="4" w:space="0" w:color="auto"/>
              <w:left w:val="single" w:sz="4" w:space="0" w:color="auto"/>
              <w:bottom w:val="single" w:sz="4" w:space="0" w:color="auto"/>
              <w:right w:val="single" w:sz="4" w:space="0" w:color="auto"/>
            </w:tcBorders>
            <w:hideMark/>
          </w:tcPr>
          <w:p w14:paraId="6CEC7BCE" w14:textId="77777777" w:rsidR="00CA1D81" w:rsidRPr="00BD5924" w:rsidRDefault="00CA1D81" w:rsidP="00BD5924">
            <w:pPr>
              <w:spacing w:after="0" w:line="240" w:lineRule="auto"/>
              <w:jc w:val="right"/>
              <w:rPr>
                <w:sz w:val="20"/>
                <w:szCs w:val="20"/>
                <w:lang w:val="en-GB"/>
              </w:rPr>
            </w:pPr>
            <w:r w:rsidRPr="00BD5924">
              <w:rPr>
                <w:sz w:val="20"/>
                <w:szCs w:val="20"/>
                <w:lang w:val="en-GB"/>
              </w:rPr>
              <w:t>3</w:t>
            </w:r>
            <w:r w:rsidR="00BD5924" w:rsidRPr="00BD5924">
              <w:rPr>
                <w:sz w:val="20"/>
                <w:szCs w:val="20"/>
                <w:lang w:val="en-GB"/>
              </w:rPr>
              <w:t>,</w:t>
            </w:r>
            <w:r w:rsidRPr="00BD5924">
              <w:rPr>
                <w:sz w:val="20"/>
                <w:szCs w:val="20"/>
                <w:lang w:val="en-GB"/>
              </w:rPr>
              <w:t>616</w:t>
            </w:r>
            <w:r w:rsidR="00BD5924" w:rsidRPr="00BD5924">
              <w:rPr>
                <w:sz w:val="20"/>
                <w:szCs w:val="20"/>
                <w:lang w:val="en-GB"/>
              </w:rPr>
              <w:t>,</w:t>
            </w:r>
            <w:r w:rsidRPr="00BD5924">
              <w:rPr>
                <w:sz w:val="20"/>
                <w:szCs w:val="20"/>
                <w:lang w:val="en-GB"/>
              </w:rPr>
              <w:t>063</w:t>
            </w:r>
            <w:r w:rsidR="00BD5924" w:rsidRPr="00BD5924">
              <w:rPr>
                <w:sz w:val="20"/>
                <w:szCs w:val="20"/>
                <w:lang w:val="en-GB"/>
              </w:rPr>
              <w:t>.</w:t>
            </w:r>
            <w:r w:rsidRPr="00BD5924">
              <w:rPr>
                <w:sz w:val="20"/>
                <w:szCs w:val="20"/>
                <w:lang w:val="en-GB"/>
              </w:rPr>
              <w:t>00</w:t>
            </w:r>
          </w:p>
        </w:tc>
        <w:tc>
          <w:tcPr>
            <w:tcW w:w="1473" w:type="dxa"/>
            <w:tcBorders>
              <w:top w:val="single" w:sz="4" w:space="0" w:color="auto"/>
              <w:left w:val="single" w:sz="4" w:space="0" w:color="auto"/>
              <w:bottom w:val="single" w:sz="4" w:space="0" w:color="auto"/>
              <w:right w:val="single" w:sz="4" w:space="0" w:color="auto"/>
            </w:tcBorders>
          </w:tcPr>
          <w:p w14:paraId="475685A5" w14:textId="77777777" w:rsidR="00CA1D81" w:rsidRPr="00BD5924" w:rsidRDefault="00CA1D81" w:rsidP="00BD5924">
            <w:pPr>
              <w:spacing w:after="0" w:line="240" w:lineRule="auto"/>
              <w:jc w:val="right"/>
              <w:rPr>
                <w:sz w:val="20"/>
                <w:szCs w:val="20"/>
                <w:lang w:val="en-GB"/>
              </w:rPr>
            </w:pPr>
            <w:r w:rsidRPr="00BD5924">
              <w:rPr>
                <w:sz w:val="20"/>
                <w:szCs w:val="20"/>
                <w:lang w:val="en-GB"/>
              </w:rPr>
              <w:t>3</w:t>
            </w:r>
            <w:r w:rsidR="00BD5924" w:rsidRPr="00BD5924">
              <w:rPr>
                <w:sz w:val="20"/>
                <w:szCs w:val="20"/>
                <w:lang w:val="en-GB"/>
              </w:rPr>
              <w:t>,</w:t>
            </w:r>
            <w:r w:rsidRPr="00BD5924">
              <w:rPr>
                <w:sz w:val="20"/>
                <w:szCs w:val="20"/>
                <w:lang w:val="en-GB"/>
              </w:rPr>
              <w:t>616</w:t>
            </w:r>
            <w:r w:rsidR="00BD5924" w:rsidRPr="00BD5924">
              <w:rPr>
                <w:sz w:val="20"/>
                <w:szCs w:val="20"/>
                <w:lang w:val="en-GB"/>
              </w:rPr>
              <w:t>,</w:t>
            </w:r>
            <w:r w:rsidRPr="00BD5924">
              <w:rPr>
                <w:sz w:val="20"/>
                <w:szCs w:val="20"/>
                <w:lang w:val="en-GB"/>
              </w:rPr>
              <w:t>063</w:t>
            </w:r>
            <w:r w:rsidR="00BD5924" w:rsidRPr="00BD5924">
              <w:rPr>
                <w:sz w:val="20"/>
                <w:szCs w:val="20"/>
                <w:lang w:val="en-GB"/>
              </w:rPr>
              <w:t>.</w:t>
            </w:r>
            <w:r w:rsidRPr="00BD5924">
              <w:rPr>
                <w:sz w:val="20"/>
                <w:szCs w:val="20"/>
                <w:lang w:val="en-GB"/>
              </w:rPr>
              <w:t>00</w:t>
            </w:r>
          </w:p>
        </w:tc>
        <w:tc>
          <w:tcPr>
            <w:tcW w:w="1473" w:type="dxa"/>
            <w:tcBorders>
              <w:top w:val="single" w:sz="4" w:space="0" w:color="auto"/>
              <w:left w:val="single" w:sz="4" w:space="0" w:color="auto"/>
              <w:bottom w:val="single" w:sz="4" w:space="0" w:color="auto"/>
              <w:right w:val="single" w:sz="4" w:space="0" w:color="auto"/>
            </w:tcBorders>
          </w:tcPr>
          <w:p w14:paraId="5D51F5DD" w14:textId="77777777" w:rsidR="00CA1D81" w:rsidRPr="00BD5924" w:rsidRDefault="00CA1D81" w:rsidP="00BD5924">
            <w:pPr>
              <w:spacing w:after="0"/>
              <w:jc w:val="right"/>
              <w:rPr>
                <w:sz w:val="20"/>
                <w:szCs w:val="20"/>
                <w:lang w:val="en-GB"/>
              </w:rPr>
            </w:pPr>
            <w:r w:rsidRPr="00BD5924">
              <w:rPr>
                <w:sz w:val="20"/>
                <w:szCs w:val="20"/>
                <w:lang w:val="en-GB"/>
              </w:rPr>
              <w:t>3</w:t>
            </w:r>
            <w:r w:rsidR="00BD5924" w:rsidRPr="00BD5924">
              <w:rPr>
                <w:sz w:val="20"/>
                <w:szCs w:val="20"/>
                <w:lang w:val="en-GB"/>
              </w:rPr>
              <w:t>,</w:t>
            </w:r>
            <w:r w:rsidRPr="00BD5924">
              <w:rPr>
                <w:sz w:val="20"/>
                <w:szCs w:val="20"/>
                <w:lang w:val="en-GB"/>
              </w:rPr>
              <w:t>616</w:t>
            </w:r>
            <w:r w:rsidR="00BD5924" w:rsidRPr="00BD5924">
              <w:rPr>
                <w:sz w:val="20"/>
                <w:szCs w:val="20"/>
                <w:lang w:val="en-GB"/>
              </w:rPr>
              <w:t>,</w:t>
            </w:r>
            <w:r w:rsidRPr="00BD5924">
              <w:rPr>
                <w:sz w:val="20"/>
                <w:szCs w:val="20"/>
                <w:lang w:val="en-GB"/>
              </w:rPr>
              <w:t>063</w:t>
            </w:r>
            <w:r w:rsidR="00BD5924" w:rsidRPr="00BD5924">
              <w:rPr>
                <w:sz w:val="20"/>
                <w:szCs w:val="20"/>
                <w:lang w:val="en-GB"/>
              </w:rPr>
              <w:t>.</w:t>
            </w:r>
            <w:r w:rsidRPr="00BD5924">
              <w:rPr>
                <w:sz w:val="20"/>
                <w:szCs w:val="20"/>
                <w:lang w:val="en-GB"/>
              </w:rPr>
              <w:t>00</w:t>
            </w:r>
          </w:p>
        </w:tc>
        <w:tc>
          <w:tcPr>
            <w:tcW w:w="1473" w:type="dxa"/>
            <w:tcBorders>
              <w:top w:val="single" w:sz="4" w:space="0" w:color="auto"/>
              <w:left w:val="single" w:sz="4" w:space="0" w:color="auto"/>
              <w:bottom w:val="single" w:sz="4" w:space="0" w:color="auto"/>
              <w:right w:val="single" w:sz="4" w:space="0" w:color="auto"/>
            </w:tcBorders>
          </w:tcPr>
          <w:p w14:paraId="2C5200D8" w14:textId="77777777" w:rsidR="00CA1D81" w:rsidRPr="00BD5924" w:rsidRDefault="00CA1D81" w:rsidP="00BD5924">
            <w:pPr>
              <w:spacing w:after="0"/>
              <w:jc w:val="right"/>
              <w:rPr>
                <w:sz w:val="20"/>
                <w:szCs w:val="20"/>
                <w:lang w:val="en-GB"/>
              </w:rPr>
            </w:pPr>
            <w:r w:rsidRPr="00BD5924">
              <w:rPr>
                <w:sz w:val="20"/>
                <w:szCs w:val="20"/>
                <w:lang w:val="en-GB"/>
              </w:rPr>
              <w:t>3</w:t>
            </w:r>
            <w:r w:rsidR="00BD5924" w:rsidRPr="00BD5924">
              <w:rPr>
                <w:sz w:val="20"/>
                <w:szCs w:val="20"/>
                <w:lang w:val="en-GB"/>
              </w:rPr>
              <w:t>,</w:t>
            </w:r>
            <w:r w:rsidRPr="00BD5924">
              <w:rPr>
                <w:sz w:val="20"/>
                <w:szCs w:val="20"/>
                <w:lang w:val="en-GB"/>
              </w:rPr>
              <w:t>616</w:t>
            </w:r>
            <w:r w:rsidR="00BD5924" w:rsidRPr="00BD5924">
              <w:rPr>
                <w:sz w:val="20"/>
                <w:szCs w:val="20"/>
                <w:lang w:val="en-GB"/>
              </w:rPr>
              <w:t>,</w:t>
            </w:r>
            <w:r w:rsidRPr="00BD5924">
              <w:rPr>
                <w:sz w:val="20"/>
                <w:szCs w:val="20"/>
                <w:lang w:val="en-GB"/>
              </w:rPr>
              <w:t>063</w:t>
            </w:r>
            <w:r w:rsidR="00BD5924" w:rsidRPr="00BD5924">
              <w:rPr>
                <w:sz w:val="20"/>
                <w:szCs w:val="20"/>
                <w:lang w:val="en-GB"/>
              </w:rPr>
              <w:t>.</w:t>
            </w:r>
            <w:r w:rsidRPr="00BD5924">
              <w:rPr>
                <w:sz w:val="20"/>
                <w:szCs w:val="20"/>
                <w:lang w:val="en-GB"/>
              </w:rPr>
              <w:t>00</w:t>
            </w:r>
          </w:p>
        </w:tc>
        <w:tc>
          <w:tcPr>
            <w:tcW w:w="1473" w:type="dxa"/>
            <w:tcBorders>
              <w:top w:val="single" w:sz="4" w:space="0" w:color="auto"/>
              <w:left w:val="single" w:sz="4" w:space="0" w:color="auto"/>
              <w:bottom w:val="single" w:sz="4" w:space="0" w:color="auto"/>
              <w:right w:val="single" w:sz="4" w:space="0" w:color="auto"/>
            </w:tcBorders>
          </w:tcPr>
          <w:p w14:paraId="60F724F9" w14:textId="77777777" w:rsidR="00CA1D81" w:rsidRPr="00BD5924" w:rsidRDefault="00CA1D81" w:rsidP="00BD5924">
            <w:pPr>
              <w:spacing w:after="0"/>
              <w:jc w:val="right"/>
              <w:rPr>
                <w:sz w:val="20"/>
                <w:szCs w:val="20"/>
                <w:lang w:val="en-GB"/>
              </w:rPr>
            </w:pPr>
            <w:r w:rsidRPr="00BD5924">
              <w:rPr>
                <w:sz w:val="20"/>
                <w:szCs w:val="20"/>
                <w:lang w:val="en-GB"/>
              </w:rPr>
              <w:t>3</w:t>
            </w:r>
            <w:r w:rsidR="00BD5924" w:rsidRPr="00BD5924">
              <w:rPr>
                <w:sz w:val="20"/>
                <w:szCs w:val="20"/>
                <w:lang w:val="en-GB"/>
              </w:rPr>
              <w:t>,</w:t>
            </w:r>
            <w:r w:rsidRPr="00BD5924">
              <w:rPr>
                <w:sz w:val="20"/>
                <w:szCs w:val="20"/>
                <w:lang w:val="en-GB"/>
              </w:rPr>
              <w:t>616</w:t>
            </w:r>
            <w:r w:rsidR="00BD5924" w:rsidRPr="00BD5924">
              <w:rPr>
                <w:sz w:val="20"/>
                <w:szCs w:val="20"/>
                <w:lang w:val="en-GB"/>
              </w:rPr>
              <w:t>,</w:t>
            </w:r>
            <w:r w:rsidRPr="00BD5924">
              <w:rPr>
                <w:sz w:val="20"/>
                <w:szCs w:val="20"/>
                <w:lang w:val="en-GB"/>
              </w:rPr>
              <w:t>063</w:t>
            </w:r>
            <w:r w:rsidR="00BD5924" w:rsidRPr="00BD5924">
              <w:rPr>
                <w:sz w:val="20"/>
                <w:szCs w:val="20"/>
                <w:lang w:val="en-GB"/>
              </w:rPr>
              <w:t>.</w:t>
            </w:r>
            <w:r w:rsidRPr="00BD5924">
              <w:rPr>
                <w:sz w:val="20"/>
                <w:szCs w:val="20"/>
                <w:lang w:val="en-GB"/>
              </w:rPr>
              <w:t>00</w:t>
            </w:r>
          </w:p>
        </w:tc>
      </w:tr>
      <w:tr w:rsidR="00CA1D81" w:rsidRPr="00D62D04" w14:paraId="17DF3E45" w14:textId="77777777" w:rsidTr="00AD5BFF">
        <w:trPr>
          <w:trHeight w:val="268"/>
        </w:trPr>
        <w:tc>
          <w:tcPr>
            <w:tcW w:w="1752" w:type="dxa"/>
            <w:tcBorders>
              <w:top w:val="single" w:sz="4" w:space="0" w:color="auto"/>
              <w:left w:val="single" w:sz="4" w:space="0" w:color="auto"/>
              <w:bottom w:val="single" w:sz="4" w:space="0" w:color="auto"/>
              <w:right w:val="single" w:sz="4" w:space="0" w:color="auto"/>
            </w:tcBorders>
            <w:hideMark/>
          </w:tcPr>
          <w:p w14:paraId="677C5E1C" w14:textId="77777777" w:rsidR="00CA1D81" w:rsidRPr="003C0E81" w:rsidRDefault="003C0E81" w:rsidP="00AD5BFF">
            <w:pPr>
              <w:tabs>
                <w:tab w:val="left" w:pos="1152"/>
              </w:tabs>
              <w:spacing w:after="0" w:line="240" w:lineRule="auto"/>
              <w:rPr>
                <w:rFonts w:eastAsia="Times New Roman"/>
                <w:sz w:val="20"/>
                <w:szCs w:val="20"/>
                <w:lang w:val="en-GB"/>
              </w:rPr>
            </w:pPr>
            <w:r w:rsidRPr="003C0E81">
              <w:rPr>
                <w:rFonts w:eastAsia="Times New Roman"/>
                <w:sz w:val="20"/>
                <w:szCs w:val="20"/>
                <w:lang w:val="en-GB"/>
              </w:rPr>
              <w:t xml:space="preserve">Hungarian </w:t>
            </w:r>
          </w:p>
        </w:tc>
        <w:tc>
          <w:tcPr>
            <w:tcW w:w="1473" w:type="dxa"/>
            <w:tcBorders>
              <w:top w:val="single" w:sz="4" w:space="0" w:color="auto"/>
              <w:left w:val="single" w:sz="4" w:space="0" w:color="auto"/>
              <w:bottom w:val="single" w:sz="4" w:space="0" w:color="auto"/>
              <w:right w:val="single" w:sz="4" w:space="0" w:color="auto"/>
            </w:tcBorders>
            <w:hideMark/>
          </w:tcPr>
          <w:p w14:paraId="293338D5" w14:textId="77777777" w:rsidR="00CA1D81" w:rsidRPr="00CC24F0" w:rsidRDefault="00CA1D81" w:rsidP="003C0E81">
            <w:pPr>
              <w:spacing w:after="0" w:line="240" w:lineRule="auto"/>
              <w:jc w:val="right"/>
              <w:rPr>
                <w:sz w:val="20"/>
                <w:szCs w:val="20"/>
                <w:lang w:val="en-GB"/>
              </w:rPr>
            </w:pPr>
            <w:r w:rsidRPr="00CC24F0">
              <w:rPr>
                <w:sz w:val="20"/>
                <w:szCs w:val="20"/>
                <w:lang w:val="en-GB"/>
              </w:rPr>
              <w:t>59</w:t>
            </w:r>
            <w:r w:rsidR="003C0E81" w:rsidRPr="00CC24F0">
              <w:rPr>
                <w:sz w:val="20"/>
                <w:szCs w:val="20"/>
                <w:lang w:val="en-GB"/>
              </w:rPr>
              <w:t>,</w:t>
            </w:r>
            <w:r w:rsidRPr="00CC24F0">
              <w:rPr>
                <w:sz w:val="20"/>
                <w:szCs w:val="20"/>
                <w:lang w:val="en-GB"/>
              </w:rPr>
              <w:t>438</w:t>
            </w:r>
            <w:r w:rsidR="003C0E81" w:rsidRPr="00CC24F0">
              <w:rPr>
                <w:sz w:val="20"/>
                <w:szCs w:val="20"/>
                <w:lang w:val="en-GB"/>
              </w:rPr>
              <w:t>,</w:t>
            </w:r>
            <w:r w:rsidRPr="00CC24F0">
              <w:rPr>
                <w:sz w:val="20"/>
                <w:szCs w:val="20"/>
                <w:lang w:val="en-GB"/>
              </w:rPr>
              <w:t>983</w:t>
            </w:r>
            <w:r w:rsidR="003C0E81" w:rsidRPr="00CC24F0">
              <w:rPr>
                <w:sz w:val="20"/>
                <w:szCs w:val="20"/>
                <w:lang w:val="en-GB"/>
              </w:rPr>
              <w:t>.</w:t>
            </w:r>
            <w:r w:rsidRPr="00CC24F0">
              <w:rPr>
                <w:sz w:val="20"/>
                <w:szCs w:val="20"/>
                <w:lang w:val="en-GB"/>
              </w:rPr>
              <w:t>00</w:t>
            </w:r>
          </w:p>
        </w:tc>
        <w:tc>
          <w:tcPr>
            <w:tcW w:w="1473" w:type="dxa"/>
            <w:tcBorders>
              <w:top w:val="single" w:sz="4" w:space="0" w:color="auto"/>
              <w:left w:val="single" w:sz="4" w:space="0" w:color="auto"/>
              <w:bottom w:val="single" w:sz="4" w:space="0" w:color="auto"/>
              <w:right w:val="single" w:sz="4" w:space="0" w:color="auto"/>
            </w:tcBorders>
          </w:tcPr>
          <w:p w14:paraId="2D1802FF" w14:textId="77777777" w:rsidR="00CA1D81" w:rsidRPr="00CC24F0" w:rsidRDefault="00CA1D81" w:rsidP="003C0E81">
            <w:pPr>
              <w:spacing w:after="0" w:line="240" w:lineRule="auto"/>
              <w:jc w:val="right"/>
              <w:rPr>
                <w:sz w:val="20"/>
                <w:szCs w:val="20"/>
                <w:lang w:val="en-GB"/>
              </w:rPr>
            </w:pPr>
            <w:r w:rsidRPr="00CC24F0">
              <w:rPr>
                <w:sz w:val="20"/>
                <w:szCs w:val="20"/>
                <w:lang w:val="en-GB"/>
              </w:rPr>
              <w:t>59</w:t>
            </w:r>
            <w:r w:rsidR="003C0E81" w:rsidRPr="00CC24F0">
              <w:rPr>
                <w:sz w:val="20"/>
                <w:szCs w:val="20"/>
                <w:lang w:val="en-GB"/>
              </w:rPr>
              <w:t>,</w:t>
            </w:r>
            <w:r w:rsidRPr="00CC24F0">
              <w:rPr>
                <w:sz w:val="20"/>
                <w:szCs w:val="20"/>
                <w:lang w:val="en-GB"/>
              </w:rPr>
              <w:t>438</w:t>
            </w:r>
            <w:r w:rsidR="003C0E81" w:rsidRPr="00CC24F0">
              <w:rPr>
                <w:sz w:val="20"/>
                <w:szCs w:val="20"/>
                <w:lang w:val="en-GB"/>
              </w:rPr>
              <w:t>,</w:t>
            </w:r>
            <w:r w:rsidRPr="00CC24F0">
              <w:rPr>
                <w:sz w:val="20"/>
                <w:szCs w:val="20"/>
                <w:lang w:val="en-GB"/>
              </w:rPr>
              <w:t>983</w:t>
            </w:r>
            <w:r w:rsidR="003C0E81" w:rsidRPr="00CC24F0">
              <w:rPr>
                <w:sz w:val="20"/>
                <w:szCs w:val="20"/>
                <w:lang w:val="en-GB"/>
              </w:rPr>
              <w:t>.</w:t>
            </w:r>
            <w:r w:rsidRPr="00CC24F0">
              <w:rPr>
                <w:sz w:val="20"/>
                <w:szCs w:val="20"/>
                <w:lang w:val="en-GB"/>
              </w:rPr>
              <w:t>00</w:t>
            </w:r>
          </w:p>
        </w:tc>
        <w:tc>
          <w:tcPr>
            <w:tcW w:w="1473" w:type="dxa"/>
            <w:tcBorders>
              <w:top w:val="single" w:sz="4" w:space="0" w:color="auto"/>
              <w:left w:val="single" w:sz="4" w:space="0" w:color="auto"/>
              <w:bottom w:val="single" w:sz="4" w:space="0" w:color="auto"/>
              <w:right w:val="single" w:sz="4" w:space="0" w:color="auto"/>
            </w:tcBorders>
          </w:tcPr>
          <w:p w14:paraId="0D37AC48" w14:textId="77777777" w:rsidR="00CA1D81" w:rsidRPr="00CC24F0" w:rsidRDefault="00CA1D81" w:rsidP="003C0E81">
            <w:pPr>
              <w:spacing w:after="0"/>
              <w:jc w:val="right"/>
              <w:rPr>
                <w:sz w:val="20"/>
                <w:szCs w:val="20"/>
                <w:lang w:val="en-GB"/>
              </w:rPr>
            </w:pPr>
            <w:r w:rsidRPr="00CC24F0">
              <w:rPr>
                <w:sz w:val="20"/>
                <w:szCs w:val="20"/>
                <w:lang w:val="en-GB"/>
              </w:rPr>
              <w:t>59</w:t>
            </w:r>
            <w:r w:rsidR="003C0E81" w:rsidRPr="00CC24F0">
              <w:rPr>
                <w:sz w:val="20"/>
                <w:szCs w:val="20"/>
                <w:lang w:val="en-GB"/>
              </w:rPr>
              <w:t>,</w:t>
            </w:r>
            <w:r w:rsidRPr="00CC24F0">
              <w:rPr>
                <w:sz w:val="20"/>
                <w:szCs w:val="20"/>
                <w:lang w:val="en-GB"/>
              </w:rPr>
              <w:t>438</w:t>
            </w:r>
            <w:r w:rsidR="003C0E81" w:rsidRPr="00CC24F0">
              <w:rPr>
                <w:sz w:val="20"/>
                <w:szCs w:val="20"/>
                <w:lang w:val="en-GB"/>
              </w:rPr>
              <w:t>,</w:t>
            </w:r>
            <w:r w:rsidRPr="00CC24F0">
              <w:rPr>
                <w:sz w:val="20"/>
                <w:szCs w:val="20"/>
                <w:lang w:val="en-GB"/>
              </w:rPr>
              <w:t>983</w:t>
            </w:r>
            <w:r w:rsidR="003C0E81" w:rsidRPr="00CC24F0">
              <w:rPr>
                <w:sz w:val="20"/>
                <w:szCs w:val="20"/>
                <w:lang w:val="en-GB"/>
              </w:rPr>
              <w:t>.</w:t>
            </w:r>
            <w:r w:rsidRPr="00CC24F0">
              <w:rPr>
                <w:sz w:val="20"/>
                <w:szCs w:val="20"/>
                <w:lang w:val="en-GB"/>
              </w:rPr>
              <w:t>00</w:t>
            </w:r>
          </w:p>
        </w:tc>
        <w:tc>
          <w:tcPr>
            <w:tcW w:w="1473" w:type="dxa"/>
            <w:tcBorders>
              <w:top w:val="single" w:sz="4" w:space="0" w:color="auto"/>
              <w:left w:val="single" w:sz="4" w:space="0" w:color="auto"/>
              <w:bottom w:val="single" w:sz="4" w:space="0" w:color="auto"/>
              <w:right w:val="single" w:sz="4" w:space="0" w:color="auto"/>
            </w:tcBorders>
          </w:tcPr>
          <w:p w14:paraId="2BD9101D" w14:textId="77777777" w:rsidR="00CA1D81" w:rsidRPr="00CC24F0" w:rsidRDefault="00CA1D81" w:rsidP="003C0E81">
            <w:pPr>
              <w:spacing w:after="0"/>
              <w:jc w:val="right"/>
              <w:rPr>
                <w:sz w:val="20"/>
                <w:szCs w:val="20"/>
                <w:lang w:val="en-GB"/>
              </w:rPr>
            </w:pPr>
            <w:r w:rsidRPr="00CC24F0">
              <w:rPr>
                <w:sz w:val="20"/>
                <w:szCs w:val="20"/>
                <w:lang w:val="en-GB"/>
              </w:rPr>
              <w:t>59</w:t>
            </w:r>
            <w:r w:rsidR="003C0E81" w:rsidRPr="00CC24F0">
              <w:rPr>
                <w:sz w:val="20"/>
                <w:szCs w:val="20"/>
                <w:lang w:val="en-GB"/>
              </w:rPr>
              <w:t>,</w:t>
            </w:r>
            <w:r w:rsidRPr="00CC24F0">
              <w:rPr>
                <w:sz w:val="20"/>
                <w:szCs w:val="20"/>
                <w:lang w:val="en-GB"/>
              </w:rPr>
              <w:t>438</w:t>
            </w:r>
            <w:r w:rsidR="003C0E81" w:rsidRPr="00CC24F0">
              <w:rPr>
                <w:sz w:val="20"/>
                <w:szCs w:val="20"/>
                <w:lang w:val="en-GB"/>
              </w:rPr>
              <w:t>,</w:t>
            </w:r>
            <w:r w:rsidRPr="00CC24F0">
              <w:rPr>
                <w:sz w:val="20"/>
                <w:szCs w:val="20"/>
                <w:lang w:val="en-GB"/>
              </w:rPr>
              <w:t>983</w:t>
            </w:r>
            <w:r w:rsidR="003C0E81" w:rsidRPr="00CC24F0">
              <w:rPr>
                <w:sz w:val="20"/>
                <w:szCs w:val="20"/>
                <w:lang w:val="en-GB"/>
              </w:rPr>
              <w:t>.</w:t>
            </w:r>
            <w:r w:rsidRPr="00CC24F0">
              <w:rPr>
                <w:sz w:val="20"/>
                <w:szCs w:val="20"/>
                <w:lang w:val="en-GB"/>
              </w:rPr>
              <w:t>00</w:t>
            </w:r>
          </w:p>
        </w:tc>
        <w:tc>
          <w:tcPr>
            <w:tcW w:w="1473" w:type="dxa"/>
            <w:tcBorders>
              <w:top w:val="single" w:sz="4" w:space="0" w:color="auto"/>
              <w:left w:val="single" w:sz="4" w:space="0" w:color="auto"/>
              <w:bottom w:val="single" w:sz="4" w:space="0" w:color="auto"/>
              <w:right w:val="single" w:sz="4" w:space="0" w:color="auto"/>
            </w:tcBorders>
          </w:tcPr>
          <w:p w14:paraId="414BE6BA" w14:textId="77777777" w:rsidR="00CA1D81" w:rsidRPr="00CC24F0" w:rsidRDefault="00CA1D81" w:rsidP="003C0E81">
            <w:pPr>
              <w:spacing w:after="0"/>
              <w:jc w:val="right"/>
              <w:rPr>
                <w:sz w:val="20"/>
                <w:szCs w:val="20"/>
                <w:lang w:val="en-GB"/>
              </w:rPr>
            </w:pPr>
            <w:r w:rsidRPr="00CC24F0">
              <w:rPr>
                <w:sz w:val="20"/>
                <w:szCs w:val="20"/>
                <w:lang w:val="en-GB"/>
              </w:rPr>
              <w:t>59</w:t>
            </w:r>
            <w:r w:rsidR="003C0E81" w:rsidRPr="00CC24F0">
              <w:rPr>
                <w:sz w:val="20"/>
                <w:szCs w:val="20"/>
                <w:lang w:val="en-GB"/>
              </w:rPr>
              <w:t>,</w:t>
            </w:r>
            <w:r w:rsidRPr="00CC24F0">
              <w:rPr>
                <w:sz w:val="20"/>
                <w:szCs w:val="20"/>
                <w:lang w:val="en-GB"/>
              </w:rPr>
              <w:t>438</w:t>
            </w:r>
            <w:r w:rsidR="003C0E81" w:rsidRPr="00CC24F0">
              <w:rPr>
                <w:sz w:val="20"/>
                <w:szCs w:val="20"/>
                <w:lang w:val="en-GB"/>
              </w:rPr>
              <w:t>,</w:t>
            </w:r>
            <w:r w:rsidRPr="00CC24F0">
              <w:rPr>
                <w:sz w:val="20"/>
                <w:szCs w:val="20"/>
                <w:lang w:val="en-GB"/>
              </w:rPr>
              <w:t>983</w:t>
            </w:r>
            <w:r w:rsidR="003C0E81" w:rsidRPr="00CC24F0">
              <w:rPr>
                <w:sz w:val="20"/>
                <w:szCs w:val="20"/>
                <w:lang w:val="en-GB"/>
              </w:rPr>
              <w:t>.</w:t>
            </w:r>
            <w:r w:rsidRPr="00CC24F0">
              <w:rPr>
                <w:sz w:val="20"/>
                <w:szCs w:val="20"/>
                <w:lang w:val="en-GB"/>
              </w:rPr>
              <w:t>00</w:t>
            </w:r>
          </w:p>
        </w:tc>
      </w:tr>
      <w:tr w:rsidR="00CA1D81" w:rsidRPr="00D62D04" w14:paraId="6498714A" w14:textId="77777777" w:rsidTr="00AD5BFF">
        <w:trPr>
          <w:trHeight w:val="268"/>
        </w:trPr>
        <w:tc>
          <w:tcPr>
            <w:tcW w:w="1752" w:type="dxa"/>
            <w:tcBorders>
              <w:top w:val="single" w:sz="4" w:space="0" w:color="auto"/>
              <w:left w:val="single" w:sz="4" w:space="0" w:color="auto"/>
              <w:bottom w:val="single" w:sz="4" w:space="0" w:color="auto"/>
              <w:right w:val="single" w:sz="4" w:space="0" w:color="auto"/>
            </w:tcBorders>
            <w:hideMark/>
          </w:tcPr>
          <w:p w14:paraId="6A64A898" w14:textId="77777777" w:rsidR="00CA1D81" w:rsidRPr="003C0E81" w:rsidRDefault="003C0E81" w:rsidP="00AD5BFF">
            <w:pPr>
              <w:tabs>
                <w:tab w:val="left" w:pos="1152"/>
              </w:tabs>
              <w:spacing w:after="0" w:line="240" w:lineRule="auto"/>
              <w:rPr>
                <w:rFonts w:eastAsia="Times New Roman"/>
                <w:sz w:val="20"/>
                <w:szCs w:val="20"/>
                <w:lang w:val="en-GB"/>
              </w:rPr>
            </w:pPr>
            <w:r w:rsidRPr="003C0E81">
              <w:rPr>
                <w:rFonts w:eastAsia="Times New Roman"/>
                <w:sz w:val="20"/>
                <w:szCs w:val="20"/>
                <w:lang w:val="en-GB"/>
              </w:rPr>
              <w:t xml:space="preserve">Macedonian </w:t>
            </w:r>
          </w:p>
        </w:tc>
        <w:tc>
          <w:tcPr>
            <w:tcW w:w="1473" w:type="dxa"/>
            <w:tcBorders>
              <w:top w:val="single" w:sz="4" w:space="0" w:color="auto"/>
              <w:left w:val="single" w:sz="4" w:space="0" w:color="auto"/>
              <w:bottom w:val="single" w:sz="4" w:space="0" w:color="auto"/>
              <w:right w:val="single" w:sz="4" w:space="0" w:color="auto"/>
            </w:tcBorders>
            <w:hideMark/>
          </w:tcPr>
          <w:p w14:paraId="32A4ACA8" w14:textId="77777777" w:rsidR="00CA1D81" w:rsidRPr="00CC24F0" w:rsidRDefault="00CA1D81" w:rsidP="003C0E81">
            <w:pPr>
              <w:spacing w:after="0" w:line="240" w:lineRule="auto"/>
              <w:jc w:val="right"/>
              <w:rPr>
                <w:sz w:val="20"/>
                <w:szCs w:val="20"/>
                <w:lang w:val="en-GB"/>
              </w:rPr>
            </w:pPr>
            <w:r w:rsidRPr="00CC24F0">
              <w:rPr>
                <w:sz w:val="20"/>
                <w:szCs w:val="20"/>
                <w:lang w:val="en-GB"/>
              </w:rPr>
              <w:t>6</w:t>
            </w:r>
            <w:r w:rsidR="003C0E81" w:rsidRPr="00CC24F0">
              <w:rPr>
                <w:sz w:val="20"/>
                <w:szCs w:val="20"/>
                <w:lang w:val="en-GB"/>
              </w:rPr>
              <w:t>,</w:t>
            </w:r>
            <w:r w:rsidRPr="00CC24F0">
              <w:rPr>
                <w:sz w:val="20"/>
                <w:szCs w:val="20"/>
                <w:lang w:val="en-GB"/>
              </w:rPr>
              <w:t>952</w:t>
            </w:r>
            <w:r w:rsidR="003C0E81" w:rsidRPr="00CC24F0">
              <w:rPr>
                <w:sz w:val="20"/>
                <w:szCs w:val="20"/>
                <w:lang w:val="en-GB"/>
              </w:rPr>
              <w:t>,</w:t>
            </w:r>
            <w:r w:rsidRPr="00CC24F0">
              <w:rPr>
                <w:sz w:val="20"/>
                <w:szCs w:val="20"/>
                <w:lang w:val="en-GB"/>
              </w:rPr>
              <w:t>728</w:t>
            </w:r>
            <w:r w:rsidR="003C0E81" w:rsidRPr="00CC24F0">
              <w:rPr>
                <w:sz w:val="20"/>
                <w:szCs w:val="20"/>
                <w:lang w:val="en-GB"/>
              </w:rPr>
              <w:t>.</w:t>
            </w:r>
            <w:r w:rsidRPr="00CC24F0">
              <w:rPr>
                <w:sz w:val="20"/>
                <w:szCs w:val="20"/>
                <w:lang w:val="en-GB"/>
              </w:rPr>
              <w:t>00</w:t>
            </w:r>
          </w:p>
        </w:tc>
        <w:tc>
          <w:tcPr>
            <w:tcW w:w="1473" w:type="dxa"/>
            <w:tcBorders>
              <w:top w:val="single" w:sz="4" w:space="0" w:color="auto"/>
              <w:left w:val="single" w:sz="4" w:space="0" w:color="auto"/>
              <w:bottom w:val="single" w:sz="4" w:space="0" w:color="auto"/>
              <w:right w:val="single" w:sz="4" w:space="0" w:color="auto"/>
            </w:tcBorders>
          </w:tcPr>
          <w:p w14:paraId="72806FE9" w14:textId="77777777" w:rsidR="00CA1D81" w:rsidRPr="00CC24F0" w:rsidRDefault="00CA1D81" w:rsidP="003C0E81">
            <w:pPr>
              <w:spacing w:after="0" w:line="240" w:lineRule="auto"/>
              <w:jc w:val="right"/>
              <w:rPr>
                <w:sz w:val="20"/>
                <w:szCs w:val="20"/>
                <w:lang w:val="en-GB"/>
              </w:rPr>
            </w:pPr>
            <w:r w:rsidRPr="00CC24F0">
              <w:rPr>
                <w:sz w:val="20"/>
                <w:szCs w:val="20"/>
                <w:lang w:val="en-GB"/>
              </w:rPr>
              <w:t>6</w:t>
            </w:r>
            <w:r w:rsidR="003C0E81" w:rsidRPr="00CC24F0">
              <w:rPr>
                <w:sz w:val="20"/>
                <w:szCs w:val="20"/>
                <w:lang w:val="en-GB"/>
              </w:rPr>
              <w:t>,</w:t>
            </w:r>
            <w:r w:rsidRPr="00CC24F0">
              <w:rPr>
                <w:sz w:val="20"/>
                <w:szCs w:val="20"/>
                <w:lang w:val="en-GB"/>
              </w:rPr>
              <w:t>952</w:t>
            </w:r>
            <w:r w:rsidR="003C0E81" w:rsidRPr="00CC24F0">
              <w:rPr>
                <w:sz w:val="20"/>
                <w:szCs w:val="20"/>
                <w:lang w:val="en-GB"/>
              </w:rPr>
              <w:t>,</w:t>
            </w:r>
            <w:r w:rsidRPr="00CC24F0">
              <w:rPr>
                <w:sz w:val="20"/>
                <w:szCs w:val="20"/>
                <w:lang w:val="en-GB"/>
              </w:rPr>
              <w:t>728</w:t>
            </w:r>
            <w:r w:rsidR="003C0E81" w:rsidRPr="00CC24F0">
              <w:rPr>
                <w:sz w:val="20"/>
                <w:szCs w:val="20"/>
                <w:lang w:val="en-GB"/>
              </w:rPr>
              <w:t>.</w:t>
            </w:r>
            <w:r w:rsidRPr="00CC24F0">
              <w:rPr>
                <w:sz w:val="20"/>
                <w:szCs w:val="20"/>
                <w:lang w:val="en-GB"/>
              </w:rPr>
              <w:t>00</w:t>
            </w:r>
          </w:p>
        </w:tc>
        <w:tc>
          <w:tcPr>
            <w:tcW w:w="1473" w:type="dxa"/>
            <w:tcBorders>
              <w:top w:val="single" w:sz="4" w:space="0" w:color="auto"/>
              <w:left w:val="single" w:sz="4" w:space="0" w:color="auto"/>
              <w:bottom w:val="single" w:sz="4" w:space="0" w:color="auto"/>
              <w:right w:val="single" w:sz="4" w:space="0" w:color="auto"/>
            </w:tcBorders>
          </w:tcPr>
          <w:p w14:paraId="44523767" w14:textId="77777777" w:rsidR="00CA1D81" w:rsidRPr="00CC24F0" w:rsidRDefault="00CA1D81" w:rsidP="00CC24F0">
            <w:pPr>
              <w:spacing w:after="0"/>
              <w:jc w:val="right"/>
              <w:rPr>
                <w:sz w:val="20"/>
                <w:szCs w:val="20"/>
                <w:lang w:val="en-GB"/>
              </w:rPr>
            </w:pPr>
            <w:r w:rsidRPr="00CC24F0">
              <w:rPr>
                <w:sz w:val="20"/>
                <w:szCs w:val="20"/>
                <w:lang w:val="en-GB"/>
              </w:rPr>
              <w:t>6</w:t>
            </w:r>
            <w:r w:rsidR="00CC24F0" w:rsidRPr="00CC24F0">
              <w:rPr>
                <w:sz w:val="20"/>
                <w:szCs w:val="20"/>
                <w:lang w:val="en-GB"/>
              </w:rPr>
              <w:t>,</w:t>
            </w:r>
            <w:r w:rsidRPr="00CC24F0">
              <w:rPr>
                <w:sz w:val="20"/>
                <w:szCs w:val="20"/>
                <w:lang w:val="en-GB"/>
              </w:rPr>
              <w:t>952</w:t>
            </w:r>
            <w:r w:rsidR="00CC24F0" w:rsidRPr="00CC24F0">
              <w:rPr>
                <w:sz w:val="20"/>
                <w:szCs w:val="20"/>
                <w:lang w:val="en-GB"/>
              </w:rPr>
              <w:t>,</w:t>
            </w:r>
            <w:r w:rsidRPr="00CC24F0">
              <w:rPr>
                <w:sz w:val="20"/>
                <w:szCs w:val="20"/>
                <w:lang w:val="en-GB"/>
              </w:rPr>
              <w:t>728</w:t>
            </w:r>
            <w:r w:rsidR="00CC24F0" w:rsidRPr="00CC24F0">
              <w:rPr>
                <w:sz w:val="20"/>
                <w:szCs w:val="20"/>
                <w:lang w:val="en-GB"/>
              </w:rPr>
              <w:t>.</w:t>
            </w:r>
            <w:r w:rsidRPr="00CC24F0">
              <w:rPr>
                <w:sz w:val="20"/>
                <w:szCs w:val="20"/>
                <w:lang w:val="en-GB"/>
              </w:rPr>
              <w:t>00</w:t>
            </w:r>
          </w:p>
        </w:tc>
        <w:tc>
          <w:tcPr>
            <w:tcW w:w="1473" w:type="dxa"/>
            <w:tcBorders>
              <w:top w:val="single" w:sz="4" w:space="0" w:color="auto"/>
              <w:left w:val="single" w:sz="4" w:space="0" w:color="auto"/>
              <w:bottom w:val="single" w:sz="4" w:space="0" w:color="auto"/>
              <w:right w:val="single" w:sz="4" w:space="0" w:color="auto"/>
            </w:tcBorders>
          </w:tcPr>
          <w:p w14:paraId="21244AB4" w14:textId="77777777" w:rsidR="00CA1D81" w:rsidRPr="00CC24F0" w:rsidRDefault="00CA1D81" w:rsidP="00CC24F0">
            <w:pPr>
              <w:spacing w:after="0"/>
              <w:jc w:val="right"/>
              <w:rPr>
                <w:sz w:val="20"/>
                <w:szCs w:val="20"/>
                <w:lang w:val="en-GB"/>
              </w:rPr>
            </w:pPr>
            <w:r w:rsidRPr="00CC24F0">
              <w:rPr>
                <w:sz w:val="20"/>
                <w:szCs w:val="20"/>
                <w:lang w:val="en-GB"/>
              </w:rPr>
              <w:t>6</w:t>
            </w:r>
            <w:r w:rsidR="00CC24F0" w:rsidRPr="00CC24F0">
              <w:rPr>
                <w:sz w:val="20"/>
                <w:szCs w:val="20"/>
                <w:lang w:val="en-GB"/>
              </w:rPr>
              <w:t>,</w:t>
            </w:r>
            <w:r w:rsidRPr="00CC24F0">
              <w:rPr>
                <w:sz w:val="20"/>
                <w:szCs w:val="20"/>
                <w:lang w:val="en-GB"/>
              </w:rPr>
              <w:t>952</w:t>
            </w:r>
            <w:r w:rsidR="00CC24F0" w:rsidRPr="00CC24F0">
              <w:rPr>
                <w:sz w:val="20"/>
                <w:szCs w:val="20"/>
                <w:lang w:val="en-GB"/>
              </w:rPr>
              <w:t>,</w:t>
            </w:r>
            <w:r w:rsidRPr="00CC24F0">
              <w:rPr>
                <w:sz w:val="20"/>
                <w:szCs w:val="20"/>
                <w:lang w:val="en-GB"/>
              </w:rPr>
              <w:t>728</w:t>
            </w:r>
            <w:r w:rsidR="00CC24F0" w:rsidRPr="00CC24F0">
              <w:rPr>
                <w:sz w:val="20"/>
                <w:szCs w:val="20"/>
                <w:lang w:val="en-GB"/>
              </w:rPr>
              <w:t>.</w:t>
            </w:r>
            <w:r w:rsidRPr="00CC24F0">
              <w:rPr>
                <w:sz w:val="20"/>
                <w:szCs w:val="20"/>
                <w:lang w:val="en-GB"/>
              </w:rPr>
              <w:t>00</w:t>
            </w:r>
          </w:p>
        </w:tc>
        <w:tc>
          <w:tcPr>
            <w:tcW w:w="1473" w:type="dxa"/>
            <w:tcBorders>
              <w:top w:val="single" w:sz="4" w:space="0" w:color="auto"/>
              <w:left w:val="single" w:sz="4" w:space="0" w:color="auto"/>
              <w:bottom w:val="single" w:sz="4" w:space="0" w:color="auto"/>
              <w:right w:val="single" w:sz="4" w:space="0" w:color="auto"/>
            </w:tcBorders>
          </w:tcPr>
          <w:p w14:paraId="08529E88" w14:textId="77777777" w:rsidR="00CA1D81" w:rsidRPr="00CC24F0" w:rsidRDefault="00CA1D81" w:rsidP="00CC24F0">
            <w:pPr>
              <w:spacing w:after="0"/>
              <w:jc w:val="right"/>
              <w:rPr>
                <w:sz w:val="20"/>
                <w:szCs w:val="20"/>
                <w:lang w:val="en-GB"/>
              </w:rPr>
            </w:pPr>
            <w:r w:rsidRPr="00CC24F0">
              <w:rPr>
                <w:sz w:val="20"/>
                <w:szCs w:val="20"/>
                <w:lang w:val="en-GB"/>
              </w:rPr>
              <w:t>6</w:t>
            </w:r>
            <w:r w:rsidR="00CC24F0" w:rsidRPr="00CC24F0">
              <w:rPr>
                <w:sz w:val="20"/>
                <w:szCs w:val="20"/>
                <w:lang w:val="en-GB"/>
              </w:rPr>
              <w:t>,</w:t>
            </w:r>
            <w:r w:rsidRPr="00CC24F0">
              <w:rPr>
                <w:sz w:val="20"/>
                <w:szCs w:val="20"/>
                <w:lang w:val="en-GB"/>
              </w:rPr>
              <w:t>952</w:t>
            </w:r>
            <w:r w:rsidR="00CC24F0" w:rsidRPr="00CC24F0">
              <w:rPr>
                <w:sz w:val="20"/>
                <w:szCs w:val="20"/>
                <w:lang w:val="en-GB"/>
              </w:rPr>
              <w:t>,</w:t>
            </w:r>
            <w:r w:rsidRPr="00CC24F0">
              <w:rPr>
                <w:sz w:val="20"/>
                <w:szCs w:val="20"/>
                <w:lang w:val="en-GB"/>
              </w:rPr>
              <w:t>728</w:t>
            </w:r>
            <w:r w:rsidR="00CC24F0" w:rsidRPr="00CC24F0">
              <w:rPr>
                <w:sz w:val="20"/>
                <w:szCs w:val="20"/>
                <w:lang w:val="en-GB"/>
              </w:rPr>
              <w:t>.</w:t>
            </w:r>
            <w:r w:rsidRPr="00CC24F0">
              <w:rPr>
                <w:sz w:val="20"/>
                <w:szCs w:val="20"/>
                <w:lang w:val="en-GB"/>
              </w:rPr>
              <w:t>00</w:t>
            </w:r>
          </w:p>
        </w:tc>
      </w:tr>
      <w:tr w:rsidR="00CA1D81" w:rsidRPr="00D62D04" w14:paraId="438789CA" w14:textId="77777777" w:rsidTr="00AD5BFF">
        <w:trPr>
          <w:trHeight w:val="268"/>
        </w:trPr>
        <w:tc>
          <w:tcPr>
            <w:tcW w:w="1752" w:type="dxa"/>
            <w:tcBorders>
              <w:top w:val="single" w:sz="4" w:space="0" w:color="auto"/>
              <w:left w:val="single" w:sz="4" w:space="0" w:color="auto"/>
              <w:bottom w:val="single" w:sz="4" w:space="0" w:color="auto"/>
              <w:right w:val="single" w:sz="4" w:space="0" w:color="auto"/>
            </w:tcBorders>
            <w:hideMark/>
          </w:tcPr>
          <w:p w14:paraId="473F1254" w14:textId="77777777" w:rsidR="00CA1D81" w:rsidRPr="003C0E81" w:rsidRDefault="003C0E81" w:rsidP="00AD5BFF">
            <w:pPr>
              <w:tabs>
                <w:tab w:val="left" w:pos="1152"/>
              </w:tabs>
              <w:spacing w:after="0" w:line="240" w:lineRule="auto"/>
              <w:rPr>
                <w:rFonts w:eastAsia="Times New Roman"/>
                <w:sz w:val="20"/>
                <w:szCs w:val="20"/>
                <w:lang w:val="en-GB"/>
              </w:rPr>
            </w:pPr>
            <w:r w:rsidRPr="003C0E81">
              <w:rPr>
                <w:rFonts w:eastAsia="Times New Roman"/>
                <w:sz w:val="20"/>
                <w:szCs w:val="20"/>
                <w:lang w:val="en-GB"/>
              </w:rPr>
              <w:t xml:space="preserve">German </w:t>
            </w:r>
          </w:p>
        </w:tc>
        <w:tc>
          <w:tcPr>
            <w:tcW w:w="1473" w:type="dxa"/>
            <w:tcBorders>
              <w:top w:val="single" w:sz="4" w:space="0" w:color="auto"/>
              <w:left w:val="single" w:sz="4" w:space="0" w:color="auto"/>
              <w:bottom w:val="single" w:sz="4" w:space="0" w:color="auto"/>
              <w:right w:val="single" w:sz="4" w:space="0" w:color="auto"/>
            </w:tcBorders>
            <w:hideMark/>
          </w:tcPr>
          <w:p w14:paraId="59AEF050" w14:textId="77777777" w:rsidR="00CA1D81" w:rsidRPr="00CC24F0" w:rsidRDefault="00CA1D81" w:rsidP="003C0E81">
            <w:pPr>
              <w:spacing w:after="0" w:line="240" w:lineRule="auto"/>
              <w:jc w:val="right"/>
              <w:rPr>
                <w:sz w:val="20"/>
                <w:szCs w:val="20"/>
                <w:lang w:val="en-GB"/>
              </w:rPr>
            </w:pPr>
            <w:r w:rsidRPr="00CC24F0">
              <w:rPr>
                <w:sz w:val="20"/>
                <w:szCs w:val="20"/>
                <w:lang w:val="en-GB"/>
              </w:rPr>
              <w:t>3</w:t>
            </w:r>
            <w:r w:rsidR="003C0E81" w:rsidRPr="00CC24F0">
              <w:rPr>
                <w:sz w:val="20"/>
                <w:szCs w:val="20"/>
                <w:lang w:val="en-GB"/>
              </w:rPr>
              <w:t>,</w:t>
            </w:r>
            <w:r w:rsidRPr="00CC24F0">
              <w:rPr>
                <w:sz w:val="20"/>
                <w:szCs w:val="20"/>
                <w:lang w:val="en-GB"/>
              </w:rPr>
              <w:t>963</w:t>
            </w:r>
            <w:r w:rsidR="003C0E81" w:rsidRPr="00CC24F0">
              <w:rPr>
                <w:sz w:val="20"/>
                <w:szCs w:val="20"/>
                <w:lang w:val="en-GB"/>
              </w:rPr>
              <w:t>,</w:t>
            </w:r>
            <w:r w:rsidRPr="00CC24F0">
              <w:rPr>
                <w:sz w:val="20"/>
                <w:szCs w:val="20"/>
                <w:lang w:val="en-GB"/>
              </w:rPr>
              <w:t>046</w:t>
            </w:r>
            <w:r w:rsidR="003C0E81" w:rsidRPr="00CC24F0">
              <w:rPr>
                <w:sz w:val="20"/>
                <w:szCs w:val="20"/>
                <w:lang w:val="en-GB"/>
              </w:rPr>
              <w:t>.</w:t>
            </w:r>
            <w:r w:rsidRPr="00CC24F0">
              <w:rPr>
                <w:sz w:val="20"/>
                <w:szCs w:val="20"/>
                <w:lang w:val="en-GB"/>
              </w:rPr>
              <w:t>00</w:t>
            </w:r>
          </w:p>
        </w:tc>
        <w:tc>
          <w:tcPr>
            <w:tcW w:w="1473" w:type="dxa"/>
            <w:tcBorders>
              <w:top w:val="single" w:sz="4" w:space="0" w:color="auto"/>
              <w:left w:val="single" w:sz="4" w:space="0" w:color="auto"/>
              <w:bottom w:val="single" w:sz="4" w:space="0" w:color="auto"/>
              <w:right w:val="single" w:sz="4" w:space="0" w:color="auto"/>
            </w:tcBorders>
          </w:tcPr>
          <w:p w14:paraId="27461810" w14:textId="77777777" w:rsidR="00CA1D81" w:rsidRPr="00CC24F0" w:rsidRDefault="00CA1D81" w:rsidP="003C0E81">
            <w:pPr>
              <w:spacing w:after="0" w:line="240" w:lineRule="auto"/>
              <w:jc w:val="right"/>
              <w:rPr>
                <w:sz w:val="20"/>
                <w:szCs w:val="20"/>
                <w:lang w:val="en-GB"/>
              </w:rPr>
            </w:pPr>
            <w:r w:rsidRPr="00CC24F0">
              <w:rPr>
                <w:sz w:val="20"/>
                <w:szCs w:val="20"/>
                <w:lang w:val="en-GB"/>
              </w:rPr>
              <w:t>3</w:t>
            </w:r>
            <w:r w:rsidR="003C0E81" w:rsidRPr="00CC24F0">
              <w:rPr>
                <w:sz w:val="20"/>
                <w:szCs w:val="20"/>
                <w:lang w:val="en-GB"/>
              </w:rPr>
              <w:t>,</w:t>
            </w:r>
            <w:r w:rsidRPr="00CC24F0">
              <w:rPr>
                <w:sz w:val="20"/>
                <w:szCs w:val="20"/>
                <w:lang w:val="en-GB"/>
              </w:rPr>
              <w:t>963</w:t>
            </w:r>
            <w:r w:rsidR="003C0E81" w:rsidRPr="00CC24F0">
              <w:rPr>
                <w:sz w:val="20"/>
                <w:szCs w:val="20"/>
                <w:lang w:val="en-GB"/>
              </w:rPr>
              <w:t>,</w:t>
            </w:r>
            <w:r w:rsidRPr="00CC24F0">
              <w:rPr>
                <w:sz w:val="20"/>
                <w:szCs w:val="20"/>
                <w:lang w:val="en-GB"/>
              </w:rPr>
              <w:t>046</w:t>
            </w:r>
            <w:r w:rsidR="003C0E81" w:rsidRPr="00CC24F0">
              <w:rPr>
                <w:sz w:val="20"/>
                <w:szCs w:val="20"/>
                <w:lang w:val="en-GB"/>
              </w:rPr>
              <w:t>.</w:t>
            </w:r>
            <w:r w:rsidRPr="00CC24F0">
              <w:rPr>
                <w:sz w:val="20"/>
                <w:szCs w:val="20"/>
                <w:lang w:val="en-GB"/>
              </w:rPr>
              <w:t>00</w:t>
            </w:r>
          </w:p>
        </w:tc>
        <w:tc>
          <w:tcPr>
            <w:tcW w:w="1473" w:type="dxa"/>
            <w:tcBorders>
              <w:top w:val="single" w:sz="4" w:space="0" w:color="auto"/>
              <w:left w:val="single" w:sz="4" w:space="0" w:color="auto"/>
              <w:bottom w:val="single" w:sz="4" w:space="0" w:color="auto"/>
              <w:right w:val="single" w:sz="4" w:space="0" w:color="auto"/>
            </w:tcBorders>
          </w:tcPr>
          <w:p w14:paraId="4715DFF9" w14:textId="77777777" w:rsidR="00CA1D81" w:rsidRPr="00CC24F0" w:rsidRDefault="00CA1D81" w:rsidP="00CC24F0">
            <w:pPr>
              <w:spacing w:after="0"/>
              <w:jc w:val="right"/>
              <w:rPr>
                <w:sz w:val="20"/>
                <w:szCs w:val="20"/>
                <w:lang w:val="en-GB"/>
              </w:rPr>
            </w:pPr>
            <w:r w:rsidRPr="00CC24F0">
              <w:rPr>
                <w:sz w:val="20"/>
                <w:szCs w:val="20"/>
                <w:lang w:val="en-GB"/>
              </w:rPr>
              <w:t>3</w:t>
            </w:r>
            <w:r w:rsidR="00CC24F0" w:rsidRPr="00CC24F0">
              <w:rPr>
                <w:sz w:val="20"/>
                <w:szCs w:val="20"/>
                <w:lang w:val="en-GB"/>
              </w:rPr>
              <w:t>,</w:t>
            </w:r>
            <w:r w:rsidRPr="00CC24F0">
              <w:rPr>
                <w:sz w:val="20"/>
                <w:szCs w:val="20"/>
                <w:lang w:val="en-GB"/>
              </w:rPr>
              <w:t>963</w:t>
            </w:r>
            <w:r w:rsidR="00CC24F0" w:rsidRPr="00CC24F0">
              <w:rPr>
                <w:sz w:val="20"/>
                <w:szCs w:val="20"/>
                <w:lang w:val="en-GB"/>
              </w:rPr>
              <w:t>,</w:t>
            </w:r>
            <w:r w:rsidRPr="00CC24F0">
              <w:rPr>
                <w:sz w:val="20"/>
                <w:szCs w:val="20"/>
                <w:lang w:val="en-GB"/>
              </w:rPr>
              <w:t>046</w:t>
            </w:r>
            <w:r w:rsidR="00CC24F0" w:rsidRPr="00CC24F0">
              <w:rPr>
                <w:sz w:val="20"/>
                <w:szCs w:val="20"/>
                <w:lang w:val="en-GB"/>
              </w:rPr>
              <w:t>.</w:t>
            </w:r>
            <w:r w:rsidRPr="00CC24F0">
              <w:rPr>
                <w:sz w:val="20"/>
                <w:szCs w:val="20"/>
                <w:lang w:val="en-GB"/>
              </w:rPr>
              <w:t>00</w:t>
            </w:r>
          </w:p>
        </w:tc>
        <w:tc>
          <w:tcPr>
            <w:tcW w:w="1473" w:type="dxa"/>
            <w:tcBorders>
              <w:top w:val="single" w:sz="4" w:space="0" w:color="auto"/>
              <w:left w:val="single" w:sz="4" w:space="0" w:color="auto"/>
              <w:bottom w:val="single" w:sz="4" w:space="0" w:color="auto"/>
              <w:right w:val="single" w:sz="4" w:space="0" w:color="auto"/>
            </w:tcBorders>
          </w:tcPr>
          <w:p w14:paraId="2D3E3C35" w14:textId="77777777" w:rsidR="00CA1D81" w:rsidRPr="00CC24F0" w:rsidRDefault="00CA1D81" w:rsidP="00CC24F0">
            <w:pPr>
              <w:spacing w:after="0"/>
              <w:jc w:val="right"/>
              <w:rPr>
                <w:sz w:val="20"/>
                <w:szCs w:val="20"/>
                <w:lang w:val="en-GB"/>
              </w:rPr>
            </w:pPr>
            <w:r w:rsidRPr="00CC24F0">
              <w:rPr>
                <w:sz w:val="20"/>
                <w:szCs w:val="20"/>
                <w:lang w:val="en-GB"/>
              </w:rPr>
              <w:t>3</w:t>
            </w:r>
            <w:r w:rsidR="00CC24F0" w:rsidRPr="00CC24F0">
              <w:rPr>
                <w:sz w:val="20"/>
                <w:szCs w:val="20"/>
                <w:lang w:val="en-GB"/>
              </w:rPr>
              <w:t>,</w:t>
            </w:r>
            <w:r w:rsidRPr="00CC24F0">
              <w:rPr>
                <w:sz w:val="20"/>
                <w:szCs w:val="20"/>
                <w:lang w:val="en-GB"/>
              </w:rPr>
              <w:t>963</w:t>
            </w:r>
            <w:r w:rsidR="00CC24F0" w:rsidRPr="00CC24F0">
              <w:rPr>
                <w:sz w:val="20"/>
                <w:szCs w:val="20"/>
                <w:lang w:val="en-GB"/>
              </w:rPr>
              <w:t>,</w:t>
            </w:r>
            <w:r w:rsidRPr="00CC24F0">
              <w:rPr>
                <w:sz w:val="20"/>
                <w:szCs w:val="20"/>
                <w:lang w:val="en-GB"/>
              </w:rPr>
              <w:t>046</w:t>
            </w:r>
            <w:r w:rsidR="00CC24F0" w:rsidRPr="00CC24F0">
              <w:rPr>
                <w:sz w:val="20"/>
                <w:szCs w:val="20"/>
                <w:lang w:val="en-GB"/>
              </w:rPr>
              <w:t>.</w:t>
            </w:r>
            <w:r w:rsidRPr="00CC24F0">
              <w:rPr>
                <w:sz w:val="20"/>
                <w:szCs w:val="20"/>
                <w:lang w:val="en-GB"/>
              </w:rPr>
              <w:t>00</w:t>
            </w:r>
          </w:p>
        </w:tc>
        <w:tc>
          <w:tcPr>
            <w:tcW w:w="1473" w:type="dxa"/>
            <w:tcBorders>
              <w:top w:val="single" w:sz="4" w:space="0" w:color="auto"/>
              <w:left w:val="single" w:sz="4" w:space="0" w:color="auto"/>
              <w:bottom w:val="single" w:sz="4" w:space="0" w:color="auto"/>
              <w:right w:val="single" w:sz="4" w:space="0" w:color="auto"/>
            </w:tcBorders>
          </w:tcPr>
          <w:p w14:paraId="4798948C" w14:textId="77777777" w:rsidR="00CA1D81" w:rsidRPr="00CC24F0" w:rsidRDefault="00CA1D81" w:rsidP="00CC24F0">
            <w:pPr>
              <w:spacing w:after="0"/>
              <w:jc w:val="right"/>
              <w:rPr>
                <w:sz w:val="20"/>
                <w:szCs w:val="20"/>
                <w:lang w:val="en-GB"/>
              </w:rPr>
            </w:pPr>
            <w:r w:rsidRPr="00CC24F0">
              <w:rPr>
                <w:sz w:val="20"/>
                <w:szCs w:val="20"/>
                <w:lang w:val="en-GB"/>
              </w:rPr>
              <w:t>3</w:t>
            </w:r>
            <w:r w:rsidR="00CC24F0" w:rsidRPr="00CC24F0">
              <w:rPr>
                <w:sz w:val="20"/>
                <w:szCs w:val="20"/>
                <w:lang w:val="en-GB"/>
              </w:rPr>
              <w:t>,</w:t>
            </w:r>
            <w:r w:rsidRPr="00CC24F0">
              <w:rPr>
                <w:sz w:val="20"/>
                <w:szCs w:val="20"/>
                <w:lang w:val="en-GB"/>
              </w:rPr>
              <w:t>963</w:t>
            </w:r>
            <w:r w:rsidR="00CC24F0" w:rsidRPr="00CC24F0">
              <w:rPr>
                <w:sz w:val="20"/>
                <w:szCs w:val="20"/>
                <w:lang w:val="en-GB"/>
              </w:rPr>
              <w:t>,</w:t>
            </w:r>
            <w:r w:rsidRPr="00CC24F0">
              <w:rPr>
                <w:sz w:val="20"/>
                <w:szCs w:val="20"/>
                <w:lang w:val="en-GB"/>
              </w:rPr>
              <w:t>046</w:t>
            </w:r>
            <w:r w:rsidR="00CC24F0" w:rsidRPr="00CC24F0">
              <w:rPr>
                <w:sz w:val="20"/>
                <w:szCs w:val="20"/>
                <w:lang w:val="en-GB"/>
              </w:rPr>
              <w:t>.</w:t>
            </w:r>
            <w:r w:rsidRPr="00CC24F0">
              <w:rPr>
                <w:sz w:val="20"/>
                <w:szCs w:val="20"/>
                <w:lang w:val="en-GB"/>
              </w:rPr>
              <w:t>00</w:t>
            </w:r>
          </w:p>
        </w:tc>
      </w:tr>
      <w:tr w:rsidR="00CA1D81" w:rsidRPr="00D62D04" w14:paraId="677F858A" w14:textId="77777777" w:rsidTr="00AD5BFF">
        <w:trPr>
          <w:trHeight w:val="268"/>
        </w:trPr>
        <w:tc>
          <w:tcPr>
            <w:tcW w:w="1752" w:type="dxa"/>
            <w:tcBorders>
              <w:top w:val="single" w:sz="4" w:space="0" w:color="auto"/>
              <w:left w:val="single" w:sz="4" w:space="0" w:color="auto"/>
              <w:bottom w:val="single" w:sz="4" w:space="0" w:color="auto"/>
              <w:right w:val="single" w:sz="4" w:space="0" w:color="auto"/>
            </w:tcBorders>
          </w:tcPr>
          <w:p w14:paraId="41BDD66F" w14:textId="77777777" w:rsidR="00CA1D81" w:rsidRPr="003C0E81" w:rsidRDefault="003C0E81" w:rsidP="00AD5BFF">
            <w:pPr>
              <w:tabs>
                <w:tab w:val="left" w:pos="1152"/>
              </w:tabs>
              <w:spacing w:after="0" w:line="240" w:lineRule="auto"/>
              <w:rPr>
                <w:rFonts w:eastAsia="Times New Roman"/>
                <w:sz w:val="20"/>
                <w:szCs w:val="20"/>
                <w:lang w:val="en-GB"/>
              </w:rPr>
            </w:pPr>
            <w:r w:rsidRPr="003C0E81">
              <w:rPr>
                <w:rFonts w:eastAsia="Times New Roman"/>
                <w:sz w:val="20"/>
                <w:szCs w:val="20"/>
                <w:lang w:val="en-GB"/>
              </w:rPr>
              <w:t xml:space="preserve">Polish </w:t>
            </w:r>
          </w:p>
        </w:tc>
        <w:tc>
          <w:tcPr>
            <w:tcW w:w="1473" w:type="dxa"/>
            <w:tcBorders>
              <w:top w:val="single" w:sz="4" w:space="0" w:color="auto"/>
              <w:left w:val="single" w:sz="4" w:space="0" w:color="auto"/>
              <w:bottom w:val="single" w:sz="4" w:space="0" w:color="auto"/>
              <w:right w:val="single" w:sz="4" w:space="0" w:color="auto"/>
            </w:tcBorders>
          </w:tcPr>
          <w:p w14:paraId="2AD8482D" w14:textId="77777777" w:rsidR="00CA1D81" w:rsidRPr="00CC24F0" w:rsidRDefault="00CA1D81" w:rsidP="00CA1D81">
            <w:pPr>
              <w:spacing w:after="0" w:line="240" w:lineRule="auto"/>
              <w:jc w:val="right"/>
              <w:rPr>
                <w:sz w:val="20"/>
                <w:szCs w:val="20"/>
                <w:lang w:val="en-GB"/>
              </w:rPr>
            </w:pPr>
          </w:p>
        </w:tc>
        <w:tc>
          <w:tcPr>
            <w:tcW w:w="1473" w:type="dxa"/>
            <w:tcBorders>
              <w:top w:val="single" w:sz="4" w:space="0" w:color="auto"/>
              <w:left w:val="single" w:sz="4" w:space="0" w:color="auto"/>
              <w:bottom w:val="single" w:sz="4" w:space="0" w:color="auto"/>
              <w:right w:val="single" w:sz="4" w:space="0" w:color="auto"/>
            </w:tcBorders>
          </w:tcPr>
          <w:p w14:paraId="4655B6BF" w14:textId="77777777" w:rsidR="00CA1D81" w:rsidRPr="00CC24F0" w:rsidRDefault="00CA1D81" w:rsidP="00CA1D81">
            <w:pPr>
              <w:spacing w:after="0" w:line="240" w:lineRule="auto"/>
              <w:jc w:val="right"/>
              <w:rPr>
                <w:sz w:val="20"/>
                <w:szCs w:val="20"/>
                <w:lang w:val="en-GB"/>
              </w:rPr>
            </w:pPr>
          </w:p>
        </w:tc>
        <w:tc>
          <w:tcPr>
            <w:tcW w:w="1473" w:type="dxa"/>
            <w:tcBorders>
              <w:top w:val="single" w:sz="4" w:space="0" w:color="auto"/>
              <w:left w:val="single" w:sz="4" w:space="0" w:color="auto"/>
              <w:bottom w:val="single" w:sz="4" w:space="0" w:color="auto"/>
              <w:right w:val="single" w:sz="4" w:space="0" w:color="auto"/>
            </w:tcBorders>
            <w:vAlign w:val="bottom"/>
          </w:tcPr>
          <w:p w14:paraId="61509367" w14:textId="77777777" w:rsidR="00CA1D81" w:rsidRPr="00CC24F0" w:rsidRDefault="00CA1D81" w:rsidP="00CC24F0">
            <w:pPr>
              <w:spacing w:after="0"/>
              <w:jc w:val="right"/>
              <w:rPr>
                <w:color w:val="000000"/>
                <w:sz w:val="20"/>
                <w:szCs w:val="20"/>
                <w:lang w:val="en-GB"/>
              </w:rPr>
            </w:pPr>
            <w:r w:rsidRPr="00CC24F0">
              <w:rPr>
                <w:color w:val="000000"/>
                <w:sz w:val="20"/>
                <w:szCs w:val="20"/>
                <w:lang w:val="en-GB"/>
              </w:rPr>
              <w:t>3</w:t>
            </w:r>
            <w:r w:rsidR="00CC24F0" w:rsidRPr="00CC24F0">
              <w:rPr>
                <w:color w:val="000000"/>
                <w:sz w:val="20"/>
                <w:szCs w:val="20"/>
                <w:lang w:val="en-GB"/>
              </w:rPr>
              <w:t>,</w:t>
            </w:r>
            <w:r w:rsidRPr="00CC24F0">
              <w:rPr>
                <w:color w:val="000000"/>
                <w:sz w:val="20"/>
                <w:szCs w:val="20"/>
                <w:lang w:val="en-GB"/>
              </w:rPr>
              <w:t>326</w:t>
            </w:r>
            <w:r w:rsidR="00CC24F0" w:rsidRPr="00CC24F0">
              <w:rPr>
                <w:color w:val="000000"/>
                <w:sz w:val="20"/>
                <w:szCs w:val="20"/>
                <w:lang w:val="en-GB"/>
              </w:rPr>
              <w:t>,</w:t>
            </w:r>
            <w:r w:rsidRPr="00CC24F0">
              <w:rPr>
                <w:color w:val="000000"/>
                <w:sz w:val="20"/>
                <w:szCs w:val="20"/>
                <w:lang w:val="en-GB"/>
              </w:rPr>
              <w:t>088</w:t>
            </w:r>
            <w:r w:rsidR="00CC24F0" w:rsidRPr="00CC24F0">
              <w:rPr>
                <w:color w:val="000000"/>
                <w:sz w:val="20"/>
                <w:szCs w:val="20"/>
                <w:lang w:val="en-GB"/>
              </w:rPr>
              <w:t>.</w:t>
            </w:r>
            <w:r w:rsidRPr="00CC24F0">
              <w:rPr>
                <w:color w:val="000000"/>
                <w:sz w:val="20"/>
                <w:szCs w:val="20"/>
                <w:lang w:val="en-GB"/>
              </w:rPr>
              <w:t>00</w:t>
            </w:r>
          </w:p>
        </w:tc>
        <w:tc>
          <w:tcPr>
            <w:tcW w:w="1473" w:type="dxa"/>
            <w:tcBorders>
              <w:top w:val="single" w:sz="4" w:space="0" w:color="auto"/>
              <w:left w:val="single" w:sz="4" w:space="0" w:color="auto"/>
              <w:bottom w:val="single" w:sz="4" w:space="0" w:color="auto"/>
              <w:right w:val="single" w:sz="4" w:space="0" w:color="auto"/>
            </w:tcBorders>
          </w:tcPr>
          <w:p w14:paraId="6B33C456" w14:textId="77777777" w:rsidR="00CA1D81" w:rsidRPr="00CC24F0" w:rsidRDefault="00CA1D81" w:rsidP="00CC24F0">
            <w:pPr>
              <w:spacing w:after="0"/>
              <w:jc w:val="right"/>
              <w:rPr>
                <w:sz w:val="20"/>
                <w:szCs w:val="20"/>
                <w:lang w:val="en-GB"/>
              </w:rPr>
            </w:pPr>
            <w:r w:rsidRPr="00CC24F0">
              <w:rPr>
                <w:color w:val="000000"/>
                <w:sz w:val="20"/>
                <w:szCs w:val="20"/>
                <w:lang w:val="en-GB"/>
              </w:rPr>
              <w:t>3</w:t>
            </w:r>
            <w:r w:rsidR="00CC24F0" w:rsidRPr="00CC24F0">
              <w:rPr>
                <w:color w:val="000000"/>
                <w:sz w:val="20"/>
                <w:szCs w:val="20"/>
                <w:lang w:val="en-GB"/>
              </w:rPr>
              <w:t>,</w:t>
            </w:r>
            <w:r w:rsidRPr="00CC24F0">
              <w:rPr>
                <w:color w:val="000000"/>
                <w:sz w:val="20"/>
                <w:szCs w:val="20"/>
                <w:lang w:val="en-GB"/>
              </w:rPr>
              <w:t>326</w:t>
            </w:r>
            <w:r w:rsidR="00CC24F0" w:rsidRPr="00CC24F0">
              <w:rPr>
                <w:color w:val="000000"/>
                <w:sz w:val="20"/>
                <w:szCs w:val="20"/>
                <w:lang w:val="en-GB"/>
              </w:rPr>
              <w:t>,</w:t>
            </w:r>
            <w:r w:rsidRPr="00CC24F0">
              <w:rPr>
                <w:color w:val="000000"/>
                <w:sz w:val="20"/>
                <w:szCs w:val="20"/>
                <w:lang w:val="en-GB"/>
              </w:rPr>
              <w:t>088</w:t>
            </w:r>
            <w:r w:rsidR="00CC24F0" w:rsidRPr="00CC24F0">
              <w:rPr>
                <w:color w:val="000000"/>
                <w:sz w:val="20"/>
                <w:szCs w:val="20"/>
                <w:lang w:val="en-GB"/>
              </w:rPr>
              <w:t>.</w:t>
            </w:r>
            <w:r w:rsidRPr="00CC24F0">
              <w:rPr>
                <w:color w:val="000000"/>
                <w:sz w:val="20"/>
                <w:szCs w:val="20"/>
                <w:lang w:val="en-GB"/>
              </w:rPr>
              <w:t>00</w:t>
            </w:r>
          </w:p>
        </w:tc>
        <w:tc>
          <w:tcPr>
            <w:tcW w:w="1473" w:type="dxa"/>
            <w:tcBorders>
              <w:top w:val="single" w:sz="4" w:space="0" w:color="auto"/>
              <w:left w:val="single" w:sz="4" w:space="0" w:color="auto"/>
              <w:bottom w:val="single" w:sz="4" w:space="0" w:color="auto"/>
              <w:right w:val="single" w:sz="4" w:space="0" w:color="auto"/>
            </w:tcBorders>
          </w:tcPr>
          <w:p w14:paraId="3C0002FD" w14:textId="77777777" w:rsidR="00CA1D81" w:rsidRPr="00CC24F0" w:rsidRDefault="00CA1D81" w:rsidP="00CC24F0">
            <w:pPr>
              <w:spacing w:after="0"/>
              <w:jc w:val="right"/>
              <w:rPr>
                <w:sz w:val="20"/>
                <w:szCs w:val="20"/>
                <w:lang w:val="en-GB"/>
              </w:rPr>
            </w:pPr>
            <w:r w:rsidRPr="00CC24F0">
              <w:rPr>
                <w:color w:val="000000"/>
                <w:sz w:val="20"/>
                <w:szCs w:val="20"/>
                <w:lang w:val="en-GB"/>
              </w:rPr>
              <w:t>3</w:t>
            </w:r>
            <w:r w:rsidR="00CC24F0" w:rsidRPr="00CC24F0">
              <w:rPr>
                <w:color w:val="000000"/>
                <w:sz w:val="20"/>
                <w:szCs w:val="20"/>
                <w:lang w:val="en-GB"/>
              </w:rPr>
              <w:t>,</w:t>
            </w:r>
            <w:r w:rsidRPr="00CC24F0">
              <w:rPr>
                <w:color w:val="000000"/>
                <w:sz w:val="20"/>
                <w:szCs w:val="20"/>
                <w:lang w:val="en-GB"/>
              </w:rPr>
              <w:t>326</w:t>
            </w:r>
            <w:r w:rsidR="00CC24F0" w:rsidRPr="00CC24F0">
              <w:rPr>
                <w:color w:val="000000"/>
                <w:sz w:val="20"/>
                <w:szCs w:val="20"/>
                <w:lang w:val="en-GB"/>
              </w:rPr>
              <w:t>,</w:t>
            </w:r>
            <w:r w:rsidRPr="00CC24F0">
              <w:rPr>
                <w:color w:val="000000"/>
                <w:sz w:val="20"/>
                <w:szCs w:val="20"/>
                <w:lang w:val="en-GB"/>
              </w:rPr>
              <w:t>088</w:t>
            </w:r>
            <w:r w:rsidR="00CC24F0" w:rsidRPr="00CC24F0">
              <w:rPr>
                <w:color w:val="000000"/>
                <w:sz w:val="20"/>
                <w:szCs w:val="20"/>
                <w:lang w:val="en-GB"/>
              </w:rPr>
              <w:t>.</w:t>
            </w:r>
            <w:r w:rsidRPr="00CC24F0">
              <w:rPr>
                <w:color w:val="000000"/>
                <w:sz w:val="20"/>
                <w:szCs w:val="20"/>
                <w:lang w:val="en-GB"/>
              </w:rPr>
              <w:t>00</w:t>
            </w:r>
          </w:p>
        </w:tc>
      </w:tr>
      <w:tr w:rsidR="00CA1D81" w:rsidRPr="00D62D04" w14:paraId="3BD86833" w14:textId="77777777" w:rsidTr="00AD5BFF">
        <w:trPr>
          <w:trHeight w:val="268"/>
        </w:trPr>
        <w:tc>
          <w:tcPr>
            <w:tcW w:w="1752" w:type="dxa"/>
            <w:tcBorders>
              <w:top w:val="single" w:sz="4" w:space="0" w:color="auto"/>
              <w:left w:val="single" w:sz="4" w:space="0" w:color="auto"/>
              <w:bottom w:val="single" w:sz="4" w:space="0" w:color="auto"/>
              <w:right w:val="single" w:sz="4" w:space="0" w:color="auto"/>
            </w:tcBorders>
            <w:hideMark/>
          </w:tcPr>
          <w:p w14:paraId="2232F2F9" w14:textId="77777777" w:rsidR="00CA1D81" w:rsidRPr="00AA636D" w:rsidRDefault="00AA636D" w:rsidP="00AD5BFF">
            <w:pPr>
              <w:tabs>
                <w:tab w:val="left" w:pos="1152"/>
              </w:tabs>
              <w:spacing w:after="0" w:line="240" w:lineRule="auto"/>
              <w:rPr>
                <w:rFonts w:eastAsia="Times New Roman"/>
                <w:sz w:val="20"/>
                <w:szCs w:val="20"/>
                <w:lang w:val="en-GB"/>
              </w:rPr>
            </w:pPr>
            <w:r w:rsidRPr="00AA636D">
              <w:rPr>
                <w:rFonts w:eastAsia="Times New Roman"/>
                <w:sz w:val="20"/>
                <w:szCs w:val="20"/>
                <w:lang w:val="en-GB"/>
              </w:rPr>
              <w:t xml:space="preserve">Romani </w:t>
            </w:r>
          </w:p>
        </w:tc>
        <w:tc>
          <w:tcPr>
            <w:tcW w:w="1473" w:type="dxa"/>
            <w:tcBorders>
              <w:top w:val="single" w:sz="4" w:space="0" w:color="auto"/>
              <w:left w:val="single" w:sz="4" w:space="0" w:color="auto"/>
              <w:bottom w:val="single" w:sz="4" w:space="0" w:color="auto"/>
              <w:right w:val="single" w:sz="4" w:space="0" w:color="auto"/>
            </w:tcBorders>
            <w:hideMark/>
          </w:tcPr>
          <w:p w14:paraId="17A00D41" w14:textId="77777777" w:rsidR="00CA1D81" w:rsidRPr="00AA636D" w:rsidRDefault="00CA1D81" w:rsidP="00AA636D">
            <w:pPr>
              <w:spacing w:after="0" w:line="240" w:lineRule="auto"/>
              <w:jc w:val="right"/>
              <w:rPr>
                <w:sz w:val="20"/>
                <w:szCs w:val="20"/>
                <w:lang w:val="en-GB"/>
              </w:rPr>
            </w:pPr>
            <w:r w:rsidRPr="00AA636D">
              <w:rPr>
                <w:sz w:val="20"/>
                <w:szCs w:val="20"/>
                <w:lang w:val="en-GB"/>
              </w:rPr>
              <w:t>22</w:t>
            </w:r>
            <w:r w:rsidR="00AA636D" w:rsidRPr="00AA636D">
              <w:rPr>
                <w:sz w:val="20"/>
                <w:szCs w:val="20"/>
                <w:lang w:val="en-GB"/>
              </w:rPr>
              <w:t>,</w:t>
            </w:r>
            <w:r w:rsidRPr="00AA636D">
              <w:rPr>
                <w:sz w:val="20"/>
                <w:szCs w:val="20"/>
                <w:lang w:val="en-GB"/>
              </w:rPr>
              <w:t>122</w:t>
            </w:r>
            <w:r w:rsidR="00AA636D" w:rsidRPr="00AA636D">
              <w:rPr>
                <w:sz w:val="20"/>
                <w:szCs w:val="20"/>
                <w:lang w:val="en-GB"/>
              </w:rPr>
              <w:t>,</w:t>
            </w:r>
            <w:r w:rsidRPr="00AA636D">
              <w:rPr>
                <w:sz w:val="20"/>
                <w:szCs w:val="20"/>
                <w:lang w:val="en-GB"/>
              </w:rPr>
              <w:t>634</w:t>
            </w:r>
            <w:r w:rsidR="00AA636D" w:rsidRPr="00AA636D">
              <w:rPr>
                <w:sz w:val="20"/>
                <w:szCs w:val="20"/>
                <w:lang w:val="en-GB"/>
              </w:rPr>
              <w:t>.</w:t>
            </w:r>
            <w:r w:rsidRPr="00AA636D">
              <w:rPr>
                <w:sz w:val="20"/>
                <w:szCs w:val="20"/>
                <w:lang w:val="en-GB"/>
              </w:rPr>
              <w:t>00</w:t>
            </w:r>
          </w:p>
        </w:tc>
        <w:tc>
          <w:tcPr>
            <w:tcW w:w="1473" w:type="dxa"/>
            <w:tcBorders>
              <w:top w:val="single" w:sz="4" w:space="0" w:color="auto"/>
              <w:left w:val="single" w:sz="4" w:space="0" w:color="auto"/>
              <w:bottom w:val="single" w:sz="4" w:space="0" w:color="auto"/>
              <w:right w:val="single" w:sz="4" w:space="0" w:color="auto"/>
            </w:tcBorders>
          </w:tcPr>
          <w:p w14:paraId="7229456F" w14:textId="77777777" w:rsidR="00CA1D81" w:rsidRPr="00AA636D" w:rsidRDefault="00CA1D81" w:rsidP="00AA636D">
            <w:pPr>
              <w:spacing w:after="0" w:line="240" w:lineRule="auto"/>
              <w:jc w:val="right"/>
              <w:rPr>
                <w:sz w:val="20"/>
                <w:szCs w:val="20"/>
                <w:lang w:val="en-GB"/>
              </w:rPr>
            </w:pPr>
            <w:r w:rsidRPr="00AA636D">
              <w:rPr>
                <w:sz w:val="20"/>
                <w:szCs w:val="20"/>
                <w:lang w:val="en-GB"/>
              </w:rPr>
              <w:t>22</w:t>
            </w:r>
            <w:r w:rsidR="00AA636D" w:rsidRPr="00AA636D">
              <w:rPr>
                <w:sz w:val="20"/>
                <w:szCs w:val="20"/>
                <w:lang w:val="en-GB"/>
              </w:rPr>
              <w:t>,</w:t>
            </w:r>
            <w:r w:rsidRPr="00AA636D">
              <w:rPr>
                <w:sz w:val="20"/>
                <w:szCs w:val="20"/>
                <w:lang w:val="en-GB"/>
              </w:rPr>
              <w:t>122</w:t>
            </w:r>
            <w:r w:rsidR="00AA636D" w:rsidRPr="00AA636D">
              <w:rPr>
                <w:sz w:val="20"/>
                <w:szCs w:val="20"/>
                <w:lang w:val="en-GB"/>
              </w:rPr>
              <w:t>,</w:t>
            </w:r>
            <w:r w:rsidRPr="00AA636D">
              <w:rPr>
                <w:sz w:val="20"/>
                <w:szCs w:val="20"/>
                <w:lang w:val="en-GB"/>
              </w:rPr>
              <w:t>634</w:t>
            </w:r>
            <w:r w:rsidR="00AA636D" w:rsidRPr="00AA636D">
              <w:rPr>
                <w:sz w:val="20"/>
                <w:szCs w:val="20"/>
                <w:lang w:val="en-GB"/>
              </w:rPr>
              <w:t>.</w:t>
            </w:r>
            <w:r w:rsidRPr="00AA636D">
              <w:rPr>
                <w:sz w:val="20"/>
                <w:szCs w:val="20"/>
                <w:lang w:val="en-GB"/>
              </w:rPr>
              <w:t>00</w:t>
            </w:r>
          </w:p>
        </w:tc>
        <w:tc>
          <w:tcPr>
            <w:tcW w:w="1473" w:type="dxa"/>
            <w:tcBorders>
              <w:top w:val="single" w:sz="4" w:space="0" w:color="auto"/>
              <w:left w:val="single" w:sz="4" w:space="0" w:color="auto"/>
              <w:bottom w:val="single" w:sz="4" w:space="0" w:color="auto"/>
              <w:right w:val="single" w:sz="4" w:space="0" w:color="auto"/>
            </w:tcBorders>
          </w:tcPr>
          <w:p w14:paraId="3459B6D3" w14:textId="77777777" w:rsidR="00CA1D81" w:rsidRPr="00AA636D" w:rsidRDefault="00CA1D81" w:rsidP="00AA636D">
            <w:pPr>
              <w:spacing w:after="0"/>
              <w:jc w:val="right"/>
              <w:rPr>
                <w:sz w:val="20"/>
                <w:szCs w:val="20"/>
                <w:lang w:val="en-GB"/>
              </w:rPr>
            </w:pPr>
            <w:r w:rsidRPr="00AA636D">
              <w:rPr>
                <w:sz w:val="20"/>
                <w:szCs w:val="20"/>
                <w:lang w:val="en-GB"/>
              </w:rPr>
              <w:t>22</w:t>
            </w:r>
            <w:r w:rsidR="00AA636D" w:rsidRPr="00AA636D">
              <w:rPr>
                <w:sz w:val="20"/>
                <w:szCs w:val="20"/>
                <w:lang w:val="en-GB"/>
              </w:rPr>
              <w:t>,</w:t>
            </w:r>
            <w:r w:rsidRPr="00AA636D">
              <w:rPr>
                <w:sz w:val="20"/>
                <w:szCs w:val="20"/>
                <w:lang w:val="en-GB"/>
              </w:rPr>
              <w:t>122</w:t>
            </w:r>
            <w:r w:rsidR="00AA636D" w:rsidRPr="00AA636D">
              <w:rPr>
                <w:sz w:val="20"/>
                <w:szCs w:val="20"/>
                <w:lang w:val="en-GB"/>
              </w:rPr>
              <w:t>,</w:t>
            </w:r>
            <w:r w:rsidRPr="00AA636D">
              <w:rPr>
                <w:sz w:val="20"/>
                <w:szCs w:val="20"/>
                <w:lang w:val="en-GB"/>
              </w:rPr>
              <w:t>634</w:t>
            </w:r>
            <w:r w:rsidR="00AA636D" w:rsidRPr="00AA636D">
              <w:rPr>
                <w:sz w:val="20"/>
                <w:szCs w:val="20"/>
                <w:lang w:val="en-GB"/>
              </w:rPr>
              <w:t>.</w:t>
            </w:r>
            <w:r w:rsidRPr="00AA636D">
              <w:rPr>
                <w:sz w:val="20"/>
                <w:szCs w:val="20"/>
                <w:lang w:val="en-GB"/>
              </w:rPr>
              <w:t>00</w:t>
            </w:r>
          </w:p>
        </w:tc>
        <w:tc>
          <w:tcPr>
            <w:tcW w:w="1473" w:type="dxa"/>
            <w:tcBorders>
              <w:top w:val="single" w:sz="4" w:space="0" w:color="auto"/>
              <w:left w:val="single" w:sz="4" w:space="0" w:color="auto"/>
              <w:bottom w:val="single" w:sz="4" w:space="0" w:color="auto"/>
              <w:right w:val="single" w:sz="4" w:space="0" w:color="auto"/>
            </w:tcBorders>
          </w:tcPr>
          <w:p w14:paraId="70C78E19" w14:textId="77777777" w:rsidR="00CA1D81" w:rsidRPr="00AA636D" w:rsidRDefault="00CA1D81" w:rsidP="00AA636D">
            <w:pPr>
              <w:spacing w:after="0"/>
              <w:jc w:val="right"/>
              <w:rPr>
                <w:sz w:val="20"/>
                <w:szCs w:val="20"/>
                <w:lang w:val="en-GB"/>
              </w:rPr>
            </w:pPr>
            <w:r w:rsidRPr="00AA636D">
              <w:rPr>
                <w:sz w:val="20"/>
                <w:szCs w:val="20"/>
                <w:lang w:val="en-GB"/>
              </w:rPr>
              <w:t>22</w:t>
            </w:r>
            <w:r w:rsidR="00AA636D" w:rsidRPr="00AA636D">
              <w:rPr>
                <w:sz w:val="20"/>
                <w:szCs w:val="20"/>
                <w:lang w:val="en-GB"/>
              </w:rPr>
              <w:t>,</w:t>
            </w:r>
            <w:r w:rsidRPr="00AA636D">
              <w:rPr>
                <w:sz w:val="20"/>
                <w:szCs w:val="20"/>
                <w:lang w:val="en-GB"/>
              </w:rPr>
              <w:t>122</w:t>
            </w:r>
            <w:r w:rsidR="00AA636D" w:rsidRPr="00AA636D">
              <w:rPr>
                <w:sz w:val="20"/>
                <w:szCs w:val="20"/>
                <w:lang w:val="en-GB"/>
              </w:rPr>
              <w:t>,</w:t>
            </w:r>
            <w:r w:rsidRPr="00AA636D">
              <w:rPr>
                <w:sz w:val="20"/>
                <w:szCs w:val="20"/>
                <w:lang w:val="en-GB"/>
              </w:rPr>
              <w:t>634</w:t>
            </w:r>
            <w:r w:rsidR="00AA636D" w:rsidRPr="00AA636D">
              <w:rPr>
                <w:sz w:val="20"/>
                <w:szCs w:val="20"/>
                <w:lang w:val="en-GB"/>
              </w:rPr>
              <w:t>.</w:t>
            </w:r>
            <w:r w:rsidRPr="00AA636D">
              <w:rPr>
                <w:sz w:val="20"/>
                <w:szCs w:val="20"/>
                <w:lang w:val="en-GB"/>
              </w:rPr>
              <w:t>00</w:t>
            </w:r>
          </w:p>
        </w:tc>
        <w:tc>
          <w:tcPr>
            <w:tcW w:w="1473" w:type="dxa"/>
            <w:tcBorders>
              <w:top w:val="single" w:sz="4" w:space="0" w:color="auto"/>
              <w:left w:val="single" w:sz="4" w:space="0" w:color="auto"/>
              <w:bottom w:val="single" w:sz="4" w:space="0" w:color="auto"/>
              <w:right w:val="single" w:sz="4" w:space="0" w:color="auto"/>
            </w:tcBorders>
          </w:tcPr>
          <w:p w14:paraId="32A33FEE" w14:textId="77777777" w:rsidR="00CA1D81" w:rsidRPr="00AA636D" w:rsidRDefault="00CA1D81" w:rsidP="00AA636D">
            <w:pPr>
              <w:spacing w:after="0"/>
              <w:jc w:val="right"/>
              <w:rPr>
                <w:sz w:val="20"/>
                <w:szCs w:val="20"/>
                <w:lang w:val="en-GB"/>
              </w:rPr>
            </w:pPr>
            <w:r w:rsidRPr="00AA636D">
              <w:rPr>
                <w:sz w:val="20"/>
                <w:szCs w:val="20"/>
                <w:lang w:val="en-GB"/>
              </w:rPr>
              <w:t>22</w:t>
            </w:r>
            <w:r w:rsidR="00AA636D" w:rsidRPr="00AA636D">
              <w:rPr>
                <w:sz w:val="20"/>
                <w:szCs w:val="20"/>
                <w:lang w:val="en-GB"/>
              </w:rPr>
              <w:t>,</w:t>
            </w:r>
            <w:r w:rsidRPr="00AA636D">
              <w:rPr>
                <w:sz w:val="20"/>
                <w:szCs w:val="20"/>
                <w:lang w:val="en-GB"/>
              </w:rPr>
              <w:t>122</w:t>
            </w:r>
            <w:r w:rsidR="00AA636D" w:rsidRPr="00AA636D">
              <w:rPr>
                <w:sz w:val="20"/>
                <w:szCs w:val="20"/>
                <w:lang w:val="en-GB"/>
              </w:rPr>
              <w:t>,</w:t>
            </w:r>
            <w:r w:rsidRPr="00AA636D">
              <w:rPr>
                <w:sz w:val="20"/>
                <w:szCs w:val="20"/>
                <w:lang w:val="en-GB"/>
              </w:rPr>
              <w:t>634</w:t>
            </w:r>
            <w:r w:rsidR="00AA636D" w:rsidRPr="00AA636D">
              <w:rPr>
                <w:sz w:val="20"/>
                <w:szCs w:val="20"/>
                <w:lang w:val="en-GB"/>
              </w:rPr>
              <w:t>.</w:t>
            </w:r>
            <w:r w:rsidRPr="00AA636D">
              <w:rPr>
                <w:sz w:val="20"/>
                <w:szCs w:val="20"/>
                <w:lang w:val="en-GB"/>
              </w:rPr>
              <w:t>00</w:t>
            </w:r>
          </w:p>
        </w:tc>
      </w:tr>
      <w:tr w:rsidR="00CA1D81" w:rsidRPr="00D62D04" w14:paraId="116E5C2C" w14:textId="77777777" w:rsidTr="00AD5BFF">
        <w:trPr>
          <w:trHeight w:val="268"/>
        </w:trPr>
        <w:tc>
          <w:tcPr>
            <w:tcW w:w="1752" w:type="dxa"/>
            <w:tcBorders>
              <w:top w:val="single" w:sz="4" w:space="0" w:color="auto"/>
              <w:left w:val="single" w:sz="4" w:space="0" w:color="auto"/>
              <w:bottom w:val="single" w:sz="4" w:space="0" w:color="auto"/>
              <w:right w:val="single" w:sz="4" w:space="0" w:color="auto"/>
            </w:tcBorders>
            <w:hideMark/>
          </w:tcPr>
          <w:p w14:paraId="78224517" w14:textId="77777777" w:rsidR="00CA1D81" w:rsidRPr="00AA636D" w:rsidRDefault="00AA636D" w:rsidP="00AD5BFF">
            <w:pPr>
              <w:tabs>
                <w:tab w:val="left" w:pos="1152"/>
              </w:tabs>
              <w:spacing w:after="0" w:line="240" w:lineRule="auto"/>
              <w:rPr>
                <w:rFonts w:eastAsia="Times New Roman"/>
                <w:sz w:val="20"/>
                <w:szCs w:val="20"/>
                <w:lang w:val="en-GB"/>
              </w:rPr>
            </w:pPr>
            <w:r w:rsidRPr="00AA636D">
              <w:rPr>
                <w:rFonts w:eastAsia="Times New Roman"/>
                <w:sz w:val="20"/>
                <w:szCs w:val="20"/>
                <w:lang w:val="en-GB"/>
              </w:rPr>
              <w:t xml:space="preserve">Romanian </w:t>
            </w:r>
          </w:p>
        </w:tc>
        <w:tc>
          <w:tcPr>
            <w:tcW w:w="1473" w:type="dxa"/>
            <w:tcBorders>
              <w:top w:val="single" w:sz="4" w:space="0" w:color="auto"/>
              <w:left w:val="single" w:sz="4" w:space="0" w:color="auto"/>
              <w:bottom w:val="single" w:sz="4" w:space="0" w:color="auto"/>
              <w:right w:val="single" w:sz="4" w:space="0" w:color="auto"/>
            </w:tcBorders>
            <w:hideMark/>
          </w:tcPr>
          <w:p w14:paraId="55C17805" w14:textId="77777777" w:rsidR="00CA1D81" w:rsidRPr="00AA636D" w:rsidRDefault="00CA1D81" w:rsidP="00AA636D">
            <w:pPr>
              <w:spacing w:after="0" w:line="240" w:lineRule="auto"/>
              <w:jc w:val="right"/>
              <w:rPr>
                <w:sz w:val="20"/>
                <w:szCs w:val="20"/>
                <w:lang w:val="en-GB"/>
              </w:rPr>
            </w:pPr>
            <w:r w:rsidRPr="00AA636D">
              <w:rPr>
                <w:sz w:val="20"/>
                <w:szCs w:val="20"/>
                <w:lang w:val="en-GB"/>
              </w:rPr>
              <w:t>14</w:t>
            </w:r>
            <w:r w:rsidR="00AA636D" w:rsidRPr="00AA636D">
              <w:rPr>
                <w:sz w:val="20"/>
                <w:szCs w:val="20"/>
                <w:lang w:val="en-GB"/>
              </w:rPr>
              <w:t>,</w:t>
            </w:r>
            <w:r w:rsidRPr="00AA636D">
              <w:rPr>
                <w:sz w:val="20"/>
                <w:szCs w:val="20"/>
                <w:lang w:val="en-GB"/>
              </w:rPr>
              <w:t>160</w:t>
            </w:r>
            <w:r w:rsidR="00AA636D" w:rsidRPr="00AA636D">
              <w:rPr>
                <w:sz w:val="20"/>
                <w:szCs w:val="20"/>
                <w:lang w:val="en-GB"/>
              </w:rPr>
              <w:t>,</w:t>
            </w:r>
            <w:r w:rsidRPr="00AA636D">
              <w:rPr>
                <w:sz w:val="20"/>
                <w:szCs w:val="20"/>
                <w:lang w:val="en-GB"/>
              </w:rPr>
              <w:t>015</w:t>
            </w:r>
            <w:r w:rsidR="00AA636D" w:rsidRPr="00AA636D">
              <w:rPr>
                <w:sz w:val="20"/>
                <w:szCs w:val="20"/>
                <w:lang w:val="en-GB"/>
              </w:rPr>
              <w:t>.</w:t>
            </w:r>
            <w:r w:rsidRPr="00AA636D">
              <w:rPr>
                <w:sz w:val="20"/>
                <w:szCs w:val="20"/>
                <w:lang w:val="en-GB"/>
              </w:rPr>
              <w:t>00</w:t>
            </w:r>
          </w:p>
        </w:tc>
        <w:tc>
          <w:tcPr>
            <w:tcW w:w="1473" w:type="dxa"/>
            <w:tcBorders>
              <w:top w:val="single" w:sz="4" w:space="0" w:color="auto"/>
              <w:left w:val="single" w:sz="4" w:space="0" w:color="auto"/>
              <w:bottom w:val="single" w:sz="4" w:space="0" w:color="auto"/>
              <w:right w:val="single" w:sz="4" w:space="0" w:color="auto"/>
            </w:tcBorders>
          </w:tcPr>
          <w:p w14:paraId="7A262A9C" w14:textId="77777777" w:rsidR="00CA1D81" w:rsidRPr="00AA636D" w:rsidRDefault="00CA1D81" w:rsidP="00AA636D">
            <w:pPr>
              <w:spacing w:after="0" w:line="240" w:lineRule="auto"/>
              <w:jc w:val="right"/>
              <w:rPr>
                <w:sz w:val="20"/>
                <w:szCs w:val="20"/>
                <w:lang w:val="en-GB"/>
              </w:rPr>
            </w:pPr>
            <w:r w:rsidRPr="00AA636D">
              <w:rPr>
                <w:sz w:val="20"/>
                <w:szCs w:val="20"/>
                <w:lang w:val="en-GB"/>
              </w:rPr>
              <w:t>14</w:t>
            </w:r>
            <w:r w:rsidR="00AA636D" w:rsidRPr="00AA636D">
              <w:rPr>
                <w:sz w:val="20"/>
                <w:szCs w:val="20"/>
                <w:lang w:val="en-GB"/>
              </w:rPr>
              <w:t>,</w:t>
            </w:r>
            <w:r w:rsidRPr="00AA636D">
              <w:rPr>
                <w:sz w:val="20"/>
                <w:szCs w:val="20"/>
                <w:lang w:val="en-GB"/>
              </w:rPr>
              <w:t>160</w:t>
            </w:r>
            <w:r w:rsidR="00AA636D" w:rsidRPr="00AA636D">
              <w:rPr>
                <w:sz w:val="20"/>
                <w:szCs w:val="20"/>
                <w:lang w:val="en-GB"/>
              </w:rPr>
              <w:t>,</w:t>
            </w:r>
            <w:r w:rsidRPr="00AA636D">
              <w:rPr>
                <w:sz w:val="20"/>
                <w:szCs w:val="20"/>
                <w:lang w:val="en-GB"/>
              </w:rPr>
              <w:t>015</w:t>
            </w:r>
            <w:r w:rsidR="00AA636D" w:rsidRPr="00AA636D">
              <w:rPr>
                <w:sz w:val="20"/>
                <w:szCs w:val="20"/>
                <w:lang w:val="en-GB"/>
              </w:rPr>
              <w:t>.</w:t>
            </w:r>
            <w:r w:rsidRPr="00AA636D">
              <w:rPr>
                <w:sz w:val="20"/>
                <w:szCs w:val="20"/>
                <w:lang w:val="en-GB"/>
              </w:rPr>
              <w:t>00</w:t>
            </w:r>
          </w:p>
        </w:tc>
        <w:tc>
          <w:tcPr>
            <w:tcW w:w="1473" w:type="dxa"/>
            <w:tcBorders>
              <w:top w:val="single" w:sz="4" w:space="0" w:color="auto"/>
              <w:left w:val="single" w:sz="4" w:space="0" w:color="auto"/>
              <w:bottom w:val="single" w:sz="4" w:space="0" w:color="auto"/>
              <w:right w:val="single" w:sz="4" w:space="0" w:color="auto"/>
            </w:tcBorders>
          </w:tcPr>
          <w:p w14:paraId="253D97DD" w14:textId="77777777" w:rsidR="00CA1D81" w:rsidRPr="00AA636D" w:rsidRDefault="00CA1D81" w:rsidP="00AA636D">
            <w:pPr>
              <w:spacing w:after="0"/>
              <w:jc w:val="right"/>
              <w:rPr>
                <w:sz w:val="20"/>
                <w:szCs w:val="20"/>
                <w:lang w:val="en-GB"/>
              </w:rPr>
            </w:pPr>
            <w:r w:rsidRPr="00AA636D">
              <w:rPr>
                <w:sz w:val="20"/>
                <w:szCs w:val="20"/>
                <w:lang w:val="en-GB"/>
              </w:rPr>
              <w:t>14</w:t>
            </w:r>
            <w:r w:rsidR="00AA636D" w:rsidRPr="00AA636D">
              <w:rPr>
                <w:sz w:val="20"/>
                <w:szCs w:val="20"/>
                <w:lang w:val="en-GB"/>
              </w:rPr>
              <w:t>,</w:t>
            </w:r>
            <w:r w:rsidRPr="00AA636D">
              <w:rPr>
                <w:sz w:val="20"/>
                <w:szCs w:val="20"/>
                <w:lang w:val="en-GB"/>
              </w:rPr>
              <w:t>160</w:t>
            </w:r>
            <w:r w:rsidR="00AA636D" w:rsidRPr="00AA636D">
              <w:rPr>
                <w:sz w:val="20"/>
                <w:szCs w:val="20"/>
                <w:lang w:val="en-GB"/>
              </w:rPr>
              <w:t>,</w:t>
            </w:r>
            <w:r w:rsidRPr="00AA636D">
              <w:rPr>
                <w:sz w:val="20"/>
                <w:szCs w:val="20"/>
                <w:lang w:val="en-GB"/>
              </w:rPr>
              <w:t>015</w:t>
            </w:r>
            <w:r w:rsidR="00AA636D" w:rsidRPr="00AA636D">
              <w:rPr>
                <w:sz w:val="20"/>
                <w:szCs w:val="20"/>
                <w:lang w:val="en-GB"/>
              </w:rPr>
              <w:t>.</w:t>
            </w:r>
            <w:r w:rsidRPr="00AA636D">
              <w:rPr>
                <w:sz w:val="20"/>
                <w:szCs w:val="20"/>
                <w:lang w:val="en-GB"/>
              </w:rPr>
              <w:t>00</w:t>
            </w:r>
          </w:p>
        </w:tc>
        <w:tc>
          <w:tcPr>
            <w:tcW w:w="1473" w:type="dxa"/>
            <w:tcBorders>
              <w:top w:val="single" w:sz="4" w:space="0" w:color="auto"/>
              <w:left w:val="single" w:sz="4" w:space="0" w:color="auto"/>
              <w:bottom w:val="single" w:sz="4" w:space="0" w:color="auto"/>
              <w:right w:val="single" w:sz="4" w:space="0" w:color="auto"/>
            </w:tcBorders>
          </w:tcPr>
          <w:p w14:paraId="46F7B00F" w14:textId="77777777" w:rsidR="00CA1D81" w:rsidRPr="00AA636D" w:rsidRDefault="00CA1D81" w:rsidP="00AA636D">
            <w:pPr>
              <w:spacing w:after="0"/>
              <w:jc w:val="right"/>
              <w:rPr>
                <w:sz w:val="20"/>
                <w:szCs w:val="20"/>
                <w:lang w:val="en-GB"/>
              </w:rPr>
            </w:pPr>
            <w:r w:rsidRPr="00AA636D">
              <w:rPr>
                <w:sz w:val="20"/>
                <w:szCs w:val="20"/>
                <w:lang w:val="en-GB"/>
              </w:rPr>
              <w:t>14</w:t>
            </w:r>
            <w:r w:rsidR="00AA636D" w:rsidRPr="00AA636D">
              <w:rPr>
                <w:sz w:val="20"/>
                <w:szCs w:val="20"/>
                <w:lang w:val="en-GB"/>
              </w:rPr>
              <w:t>,</w:t>
            </w:r>
            <w:r w:rsidRPr="00AA636D">
              <w:rPr>
                <w:sz w:val="20"/>
                <w:szCs w:val="20"/>
                <w:lang w:val="en-GB"/>
              </w:rPr>
              <w:t>160</w:t>
            </w:r>
            <w:r w:rsidR="00AA636D" w:rsidRPr="00AA636D">
              <w:rPr>
                <w:sz w:val="20"/>
                <w:szCs w:val="20"/>
                <w:lang w:val="en-GB"/>
              </w:rPr>
              <w:t>,</w:t>
            </w:r>
            <w:r w:rsidRPr="00AA636D">
              <w:rPr>
                <w:sz w:val="20"/>
                <w:szCs w:val="20"/>
                <w:lang w:val="en-GB"/>
              </w:rPr>
              <w:t>015</w:t>
            </w:r>
            <w:r w:rsidR="00AA636D" w:rsidRPr="00AA636D">
              <w:rPr>
                <w:sz w:val="20"/>
                <w:szCs w:val="20"/>
                <w:lang w:val="en-GB"/>
              </w:rPr>
              <w:t>.</w:t>
            </w:r>
            <w:r w:rsidRPr="00AA636D">
              <w:rPr>
                <w:sz w:val="20"/>
                <w:szCs w:val="20"/>
                <w:lang w:val="en-GB"/>
              </w:rPr>
              <w:t>00</w:t>
            </w:r>
          </w:p>
        </w:tc>
        <w:tc>
          <w:tcPr>
            <w:tcW w:w="1473" w:type="dxa"/>
            <w:tcBorders>
              <w:top w:val="single" w:sz="4" w:space="0" w:color="auto"/>
              <w:left w:val="single" w:sz="4" w:space="0" w:color="auto"/>
              <w:bottom w:val="single" w:sz="4" w:space="0" w:color="auto"/>
              <w:right w:val="single" w:sz="4" w:space="0" w:color="auto"/>
            </w:tcBorders>
          </w:tcPr>
          <w:p w14:paraId="272A00D3" w14:textId="77777777" w:rsidR="00CA1D81" w:rsidRPr="00AA636D" w:rsidRDefault="00CA1D81" w:rsidP="00AA636D">
            <w:pPr>
              <w:spacing w:after="0"/>
              <w:jc w:val="right"/>
              <w:rPr>
                <w:sz w:val="20"/>
                <w:szCs w:val="20"/>
                <w:lang w:val="en-GB"/>
              </w:rPr>
            </w:pPr>
            <w:r w:rsidRPr="00AA636D">
              <w:rPr>
                <w:sz w:val="20"/>
                <w:szCs w:val="20"/>
                <w:lang w:val="en-GB"/>
              </w:rPr>
              <w:t>14</w:t>
            </w:r>
            <w:r w:rsidR="00AA636D" w:rsidRPr="00AA636D">
              <w:rPr>
                <w:sz w:val="20"/>
                <w:szCs w:val="20"/>
                <w:lang w:val="en-GB"/>
              </w:rPr>
              <w:t>,</w:t>
            </w:r>
            <w:r w:rsidRPr="00AA636D">
              <w:rPr>
                <w:sz w:val="20"/>
                <w:szCs w:val="20"/>
                <w:lang w:val="en-GB"/>
              </w:rPr>
              <w:t>160</w:t>
            </w:r>
            <w:r w:rsidR="00AA636D" w:rsidRPr="00AA636D">
              <w:rPr>
                <w:sz w:val="20"/>
                <w:szCs w:val="20"/>
                <w:lang w:val="en-GB"/>
              </w:rPr>
              <w:t>,</w:t>
            </w:r>
            <w:r w:rsidRPr="00AA636D">
              <w:rPr>
                <w:sz w:val="20"/>
                <w:szCs w:val="20"/>
                <w:lang w:val="en-GB"/>
              </w:rPr>
              <w:t>015</w:t>
            </w:r>
            <w:r w:rsidR="00AA636D" w:rsidRPr="00AA636D">
              <w:rPr>
                <w:sz w:val="20"/>
                <w:szCs w:val="20"/>
                <w:lang w:val="en-GB"/>
              </w:rPr>
              <w:t>.</w:t>
            </w:r>
            <w:r w:rsidRPr="00AA636D">
              <w:rPr>
                <w:sz w:val="20"/>
                <w:szCs w:val="20"/>
                <w:lang w:val="en-GB"/>
              </w:rPr>
              <w:t>00</w:t>
            </w:r>
          </w:p>
        </w:tc>
      </w:tr>
      <w:tr w:rsidR="00CA1D81" w:rsidRPr="00D62D04" w14:paraId="77099CCE" w14:textId="77777777" w:rsidTr="00AD5BFF">
        <w:trPr>
          <w:trHeight w:val="268"/>
        </w:trPr>
        <w:tc>
          <w:tcPr>
            <w:tcW w:w="1752" w:type="dxa"/>
            <w:tcBorders>
              <w:top w:val="single" w:sz="4" w:space="0" w:color="auto"/>
              <w:left w:val="single" w:sz="4" w:space="0" w:color="auto"/>
              <w:bottom w:val="single" w:sz="4" w:space="0" w:color="auto"/>
              <w:right w:val="single" w:sz="4" w:space="0" w:color="auto"/>
            </w:tcBorders>
            <w:hideMark/>
          </w:tcPr>
          <w:p w14:paraId="51D2BC54" w14:textId="77777777" w:rsidR="00CA1D81" w:rsidRPr="00AA636D" w:rsidRDefault="00AA636D" w:rsidP="00AD5BFF">
            <w:pPr>
              <w:tabs>
                <w:tab w:val="left" w:pos="1152"/>
              </w:tabs>
              <w:spacing w:after="0" w:line="240" w:lineRule="auto"/>
              <w:rPr>
                <w:rFonts w:eastAsia="Times New Roman"/>
                <w:sz w:val="20"/>
                <w:szCs w:val="20"/>
                <w:lang w:val="en-GB"/>
              </w:rPr>
            </w:pPr>
            <w:proofErr w:type="spellStart"/>
            <w:r w:rsidRPr="00AA636D">
              <w:rPr>
                <w:rFonts w:eastAsia="Times New Roman"/>
                <w:sz w:val="20"/>
                <w:szCs w:val="20"/>
                <w:lang w:val="en-GB"/>
              </w:rPr>
              <w:t>Ruthenian</w:t>
            </w:r>
            <w:proofErr w:type="spellEnd"/>
            <w:r w:rsidRPr="00AA636D">
              <w:rPr>
                <w:rFonts w:eastAsia="Times New Roman"/>
                <w:sz w:val="20"/>
                <w:szCs w:val="20"/>
                <w:lang w:val="en-GB"/>
              </w:rPr>
              <w:t xml:space="preserve"> </w:t>
            </w:r>
          </w:p>
        </w:tc>
        <w:tc>
          <w:tcPr>
            <w:tcW w:w="1473" w:type="dxa"/>
            <w:tcBorders>
              <w:top w:val="single" w:sz="4" w:space="0" w:color="auto"/>
              <w:left w:val="single" w:sz="4" w:space="0" w:color="auto"/>
              <w:bottom w:val="single" w:sz="4" w:space="0" w:color="auto"/>
              <w:right w:val="single" w:sz="4" w:space="0" w:color="auto"/>
            </w:tcBorders>
            <w:hideMark/>
          </w:tcPr>
          <w:p w14:paraId="1C8FD323" w14:textId="77777777" w:rsidR="00CA1D81" w:rsidRPr="00AA636D" w:rsidRDefault="00CA1D81" w:rsidP="00AA636D">
            <w:pPr>
              <w:spacing w:after="0" w:line="240" w:lineRule="auto"/>
              <w:jc w:val="right"/>
              <w:rPr>
                <w:sz w:val="20"/>
                <w:szCs w:val="20"/>
                <w:lang w:val="en-GB"/>
              </w:rPr>
            </w:pPr>
            <w:r w:rsidRPr="00AA636D">
              <w:rPr>
                <w:sz w:val="20"/>
                <w:szCs w:val="20"/>
                <w:lang w:val="en-GB"/>
              </w:rPr>
              <w:t>9</w:t>
            </w:r>
            <w:r w:rsidR="00AA636D" w:rsidRPr="00AA636D">
              <w:rPr>
                <w:sz w:val="20"/>
                <w:szCs w:val="20"/>
                <w:lang w:val="en-GB"/>
              </w:rPr>
              <w:t>,</w:t>
            </w:r>
            <w:r w:rsidRPr="00AA636D">
              <w:rPr>
                <w:sz w:val="20"/>
                <w:szCs w:val="20"/>
                <w:lang w:val="en-GB"/>
              </w:rPr>
              <w:t>033</w:t>
            </w:r>
            <w:r w:rsidR="00AA636D" w:rsidRPr="00AA636D">
              <w:rPr>
                <w:sz w:val="20"/>
                <w:szCs w:val="20"/>
                <w:lang w:val="en-GB"/>
              </w:rPr>
              <w:t>,</w:t>
            </w:r>
            <w:r w:rsidRPr="00AA636D">
              <w:rPr>
                <w:sz w:val="20"/>
                <w:szCs w:val="20"/>
                <w:lang w:val="en-GB"/>
              </w:rPr>
              <w:t>971</w:t>
            </w:r>
            <w:r w:rsidR="00AA636D" w:rsidRPr="00AA636D">
              <w:rPr>
                <w:sz w:val="20"/>
                <w:szCs w:val="20"/>
                <w:lang w:val="en-GB"/>
              </w:rPr>
              <w:t>.</w:t>
            </w:r>
            <w:r w:rsidRPr="00AA636D">
              <w:rPr>
                <w:sz w:val="20"/>
                <w:szCs w:val="20"/>
                <w:lang w:val="en-GB"/>
              </w:rPr>
              <w:t>00</w:t>
            </w:r>
          </w:p>
        </w:tc>
        <w:tc>
          <w:tcPr>
            <w:tcW w:w="1473" w:type="dxa"/>
            <w:tcBorders>
              <w:top w:val="single" w:sz="4" w:space="0" w:color="auto"/>
              <w:left w:val="single" w:sz="4" w:space="0" w:color="auto"/>
              <w:bottom w:val="single" w:sz="4" w:space="0" w:color="auto"/>
              <w:right w:val="single" w:sz="4" w:space="0" w:color="auto"/>
            </w:tcBorders>
          </w:tcPr>
          <w:p w14:paraId="54A3996A" w14:textId="77777777" w:rsidR="00CA1D81" w:rsidRPr="00AA636D" w:rsidRDefault="00CA1D81" w:rsidP="00AA636D">
            <w:pPr>
              <w:spacing w:after="0" w:line="240" w:lineRule="auto"/>
              <w:jc w:val="right"/>
              <w:rPr>
                <w:sz w:val="20"/>
                <w:szCs w:val="20"/>
                <w:lang w:val="en-GB"/>
              </w:rPr>
            </w:pPr>
            <w:r w:rsidRPr="00AA636D">
              <w:rPr>
                <w:sz w:val="20"/>
                <w:szCs w:val="20"/>
                <w:lang w:val="en-GB"/>
              </w:rPr>
              <w:t>9</w:t>
            </w:r>
            <w:r w:rsidR="00AA636D" w:rsidRPr="00AA636D">
              <w:rPr>
                <w:sz w:val="20"/>
                <w:szCs w:val="20"/>
                <w:lang w:val="en-GB"/>
              </w:rPr>
              <w:t>,</w:t>
            </w:r>
            <w:r w:rsidRPr="00AA636D">
              <w:rPr>
                <w:sz w:val="20"/>
                <w:szCs w:val="20"/>
                <w:lang w:val="en-GB"/>
              </w:rPr>
              <w:t>033</w:t>
            </w:r>
            <w:r w:rsidR="00AA636D" w:rsidRPr="00AA636D">
              <w:rPr>
                <w:sz w:val="20"/>
                <w:szCs w:val="20"/>
                <w:lang w:val="en-GB"/>
              </w:rPr>
              <w:t>,</w:t>
            </w:r>
            <w:r w:rsidRPr="00AA636D">
              <w:rPr>
                <w:sz w:val="20"/>
                <w:szCs w:val="20"/>
                <w:lang w:val="en-GB"/>
              </w:rPr>
              <w:t>971</w:t>
            </w:r>
            <w:r w:rsidR="00AA636D" w:rsidRPr="00AA636D">
              <w:rPr>
                <w:sz w:val="20"/>
                <w:szCs w:val="20"/>
                <w:lang w:val="en-GB"/>
              </w:rPr>
              <w:t>.</w:t>
            </w:r>
            <w:r w:rsidRPr="00AA636D">
              <w:rPr>
                <w:sz w:val="20"/>
                <w:szCs w:val="20"/>
                <w:lang w:val="en-GB"/>
              </w:rPr>
              <w:t>00</w:t>
            </w:r>
          </w:p>
        </w:tc>
        <w:tc>
          <w:tcPr>
            <w:tcW w:w="1473" w:type="dxa"/>
            <w:tcBorders>
              <w:top w:val="single" w:sz="4" w:space="0" w:color="auto"/>
              <w:left w:val="single" w:sz="4" w:space="0" w:color="auto"/>
              <w:bottom w:val="single" w:sz="4" w:space="0" w:color="auto"/>
              <w:right w:val="single" w:sz="4" w:space="0" w:color="auto"/>
            </w:tcBorders>
          </w:tcPr>
          <w:p w14:paraId="23415E16" w14:textId="77777777" w:rsidR="00CA1D81" w:rsidRPr="00AA636D" w:rsidRDefault="00CA1D81" w:rsidP="00AA636D">
            <w:pPr>
              <w:spacing w:after="0"/>
              <w:jc w:val="right"/>
              <w:rPr>
                <w:sz w:val="20"/>
                <w:szCs w:val="20"/>
                <w:lang w:val="en-GB"/>
              </w:rPr>
            </w:pPr>
            <w:r w:rsidRPr="00AA636D">
              <w:rPr>
                <w:sz w:val="20"/>
                <w:szCs w:val="20"/>
                <w:lang w:val="en-GB"/>
              </w:rPr>
              <w:t>9</w:t>
            </w:r>
            <w:r w:rsidR="00AA636D" w:rsidRPr="00AA636D">
              <w:rPr>
                <w:sz w:val="20"/>
                <w:szCs w:val="20"/>
                <w:lang w:val="en-GB"/>
              </w:rPr>
              <w:t>,</w:t>
            </w:r>
            <w:r w:rsidRPr="00AA636D">
              <w:rPr>
                <w:sz w:val="20"/>
                <w:szCs w:val="20"/>
                <w:lang w:val="en-GB"/>
              </w:rPr>
              <w:t>033</w:t>
            </w:r>
            <w:r w:rsidR="00AA636D" w:rsidRPr="00AA636D">
              <w:rPr>
                <w:sz w:val="20"/>
                <w:szCs w:val="20"/>
                <w:lang w:val="en-GB"/>
              </w:rPr>
              <w:t>,</w:t>
            </w:r>
            <w:r w:rsidRPr="00AA636D">
              <w:rPr>
                <w:sz w:val="20"/>
                <w:szCs w:val="20"/>
                <w:lang w:val="en-GB"/>
              </w:rPr>
              <w:t>971</w:t>
            </w:r>
            <w:r w:rsidR="00AA636D" w:rsidRPr="00AA636D">
              <w:rPr>
                <w:sz w:val="20"/>
                <w:szCs w:val="20"/>
                <w:lang w:val="en-GB"/>
              </w:rPr>
              <w:t>.</w:t>
            </w:r>
            <w:r w:rsidRPr="00AA636D">
              <w:rPr>
                <w:sz w:val="20"/>
                <w:szCs w:val="20"/>
                <w:lang w:val="en-GB"/>
              </w:rPr>
              <w:t>00</w:t>
            </w:r>
          </w:p>
        </w:tc>
        <w:tc>
          <w:tcPr>
            <w:tcW w:w="1473" w:type="dxa"/>
            <w:tcBorders>
              <w:top w:val="single" w:sz="4" w:space="0" w:color="auto"/>
              <w:left w:val="single" w:sz="4" w:space="0" w:color="auto"/>
              <w:bottom w:val="single" w:sz="4" w:space="0" w:color="auto"/>
              <w:right w:val="single" w:sz="4" w:space="0" w:color="auto"/>
            </w:tcBorders>
          </w:tcPr>
          <w:p w14:paraId="1DC33F05" w14:textId="77777777" w:rsidR="00CA1D81" w:rsidRPr="00AA636D" w:rsidRDefault="00CA1D81" w:rsidP="00AA636D">
            <w:pPr>
              <w:spacing w:after="0"/>
              <w:jc w:val="right"/>
              <w:rPr>
                <w:sz w:val="20"/>
                <w:szCs w:val="20"/>
                <w:lang w:val="en-GB"/>
              </w:rPr>
            </w:pPr>
            <w:r w:rsidRPr="00AA636D">
              <w:rPr>
                <w:sz w:val="20"/>
                <w:szCs w:val="20"/>
                <w:lang w:val="en-GB"/>
              </w:rPr>
              <w:t>9</w:t>
            </w:r>
            <w:r w:rsidR="00AA636D" w:rsidRPr="00AA636D">
              <w:rPr>
                <w:sz w:val="20"/>
                <w:szCs w:val="20"/>
                <w:lang w:val="en-GB"/>
              </w:rPr>
              <w:t>,</w:t>
            </w:r>
            <w:r w:rsidRPr="00AA636D">
              <w:rPr>
                <w:sz w:val="20"/>
                <w:szCs w:val="20"/>
                <w:lang w:val="en-GB"/>
              </w:rPr>
              <w:t>033</w:t>
            </w:r>
            <w:r w:rsidR="00AA636D" w:rsidRPr="00AA636D">
              <w:rPr>
                <w:sz w:val="20"/>
                <w:szCs w:val="20"/>
                <w:lang w:val="en-GB"/>
              </w:rPr>
              <w:t>,</w:t>
            </w:r>
            <w:r w:rsidRPr="00AA636D">
              <w:rPr>
                <w:sz w:val="20"/>
                <w:szCs w:val="20"/>
                <w:lang w:val="en-GB"/>
              </w:rPr>
              <w:t>971</w:t>
            </w:r>
            <w:r w:rsidR="00AA636D" w:rsidRPr="00AA636D">
              <w:rPr>
                <w:sz w:val="20"/>
                <w:szCs w:val="20"/>
                <w:lang w:val="en-GB"/>
              </w:rPr>
              <w:t>.</w:t>
            </w:r>
            <w:r w:rsidRPr="00AA636D">
              <w:rPr>
                <w:sz w:val="20"/>
                <w:szCs w:val="20"/>
                <w:lang w:val="en-GB"/>
              </w:rPr>
              <w:t>00</w:t>
            </w:r>
          </w:p>
        </w:tc>
        <w:tc>
          <w:tcPr>
            <w:tcW w:w="1473" w:type="dxa"/>
            <w:tcBorders>
              <w:top w:val="single" w:sz="4" w:space="0" w:color="auto"/>
              <w:left w:val="single" w:sz="4" w:space="0" w:color="auto"/>
              <w:bottom w:val="single" w:sz="4" w:space="0" w:color="auto"/>
              <w:right w:val="single" w:sz="4" w:space="0" w:color="auto"/>
            </w:tcBorders>
          </w:tcPr>
          <w:p w14:paraId="6655722A" w14:textId="77777777" w:rsidR="00CA1D81" w:rsidRPr="00AA636D" w:rsidRDefault="00CA1D81" w:rsidP="00AA636D">
            <w:pPr>
              <w:spacing w:after="0"/>
              <w:jc w:val="right"/>
              <w:rPr>
                <w:sz w:val="20"/>
                <w:szCs w:val="20"/>
                <w:lang w:val="en-GB"/>
              </w:rPr>
            </w:pPr>
            <w:r w:rsidRPr="00AA636D">
              <w:rPr>
                <w:sz w:val="20"/>
                <w:szCs w:val="20"/>
                <w:lang w:val="en-GB"/>
              </w:rPr>
              <w:t>9</w:t>
            </w:r>
            <w:r w:rsidR="00AA636D" w:rsidRPr="00AA636D">
              <w:rPr>
                <w:sz w:val="20"/>
                <w:szCs w:val="20"/>
                <w:lang w:val="en-GB"/>
              </w:rPr>
              <w:t>,</w:t>
            </w:r>
            <w:r w:rsidRPr="00AA636D">
              <w:rPr>
                <w:sz w:val="20"/>
                <w:szCs w:val="20"/>
                <w:lang w:val="en-GB"/>
              </w:rPr>
              <w:t>033</w:t>
            </w:r>
            <w:r w:rsidR="00AA636D" w:rsidRPr="00AA636D">
              <w:rPr>
                <w:sz w:val="20"/>
                <w:szCs w:val="20"/>
                <w:lang w:val="en-GB"/>
              </w:rPr>
              <w:t>,</w:t>
            </w:r>
            <w:r w:rsidRPr="00AA636D">
              <w:rPr>
                <w:sz w:val="20"/>
                <w:szCs w:val="20"/>
                <w:lang w:val="en-GB"/>
              </w:rPr>
              <w:t>971</w:t>
            </w:r>
            <w:r w:rsidR="00AA636D" w:rsidRPr="00AA636D">
              <w:rPr>
                <w:sz w:val="20"/>
                <w:szCs w:val="20"/>
                <w:lang w:val="en-GB"/>
              </w:rPr>
              <w:t>.</w:t>
            </w:r>
            <w:r w:rsidRPr="00AA636D">
              <w:rPr>
                <w:sz w:val="20"/>
                <w:szCs w:val="20"/>
                <w:lang w:val="en-GB"/>
              </w:rPr>
              <w:t>00</w:t>
            </w:r>
          </w:p>
        </w:tc>
      </w:tr>
      <w:tr w:rsidR="00CA1D81" w:rsidRPr="00D62D04" w14:paraId="0EFC815F" w14:textId="77777777" w:rsidTr="00AD5BFF">
        <w:trPr>
          <w:trHeight w:val="261"/>
        </w:trPr>
        <w:tc>
          <w:tcPr>
            <w:tcW w:w="1752" w:type="dxa"/>
            <w:tcBorders>
              <w:top w:val="single" w:sz="4" w:space="0" w:color="auto"/>
              <w:left w:val="single" w:sz="4" w:space="0" w:color="auto"/>
              <w:bottom w:val="single" w:sz="4" w:space="0" w:color="auto"/>
              <w:right w:val="single" w:sz="4" w:space="0" w:color="auto"/>
            </w:tcBorders>
          </w:tcPr>
          <w:p w14:paraId="46D18C16" w14:textId="77777777" w:rsidR="00CA1D81" w:rsidRPr="00AA636D" w:rsidRDefault="00AA636D" w:rsidP="00AD5BFF">
            <w:pPr>
              <w:tabs>
                <w:tab w:val="left" w:pos="1152"/>
              </w:tabs>
              <w:spacing w:after="0" w:line="240" w:lineRule="auto"/>
              <w:rPr>
                <w:rFonts w:eastAsia="Times New Roman"/>
                <w:sz w:val="20"/>
                <w:szCs w:val="20"/>
                <w:lang w:val="en-GB"/>
              </w:rPr>
            </w:pPr>
            <w:r w:rsidRPr="00AA636D">
              <w:rPr>
                <w:rFonts w:eastAsia="Times New Roman"/>
                <w:sz w:val="20"/>
                <w:szCs w:val="20"/>
                <w:lang w:val="en-GB"/>
              </w:rPr>
              <w:t xml:space="preserve">Russian </w:t>
            </w:r>
          </w:p>
        </w:tc>
        <w:tc>
          <w:tcPr>
            <w:tcW w:w="1473" w:type="dxa"/>
            <w:tcBorders>
              <w:top w:val="single" w:sz="4" w:space="0" w:color="auto"/>
              <w:left w:val="single" w:sz="4" w:space="0" w:color="auto"/>
              <w:bottom w:val="single" w:sz="4" w:space="0" w:color="auto"/>
              <w:right w:val="single" w:sz="4" w:space="0" w:color="auto"/>
            </w:tcBorders>
          </w:tcPr>
          <w:p w14:paraId="6FF80E91" w14:textId="77777777" w:rsidR="00CA1D81" w:rsidRPr="00AA636D" w:rsidRDefault="00CA1D81" w:rsidP="00CA1D81">
            <w:pPr>
              <w:spacing w:after="0" w:line="240" w:lineRule="auto"/>
              <w:jc w:val="right"/>
              <w:rPr>
                <w:sz w:val="20"/>
                <w:szCs w:val="20"/>
                <w:lang w:val="en-GB"/>
              </w:rPr>
            </w:pPr>
          </w:p>
        </w:tc>
        <w:tc>
          <w:tcPr>
            <w:tcW w:w="1473" w:type="dxa"/>
            <w:tcBorders>
              <w:top w:val="single" w:sz="4" w:space="0" w:color="auto"/>
              <w:left w:val="single" w:sz="4" w:space="0" w:color="auto"/>
              <w:bottom w:val="single" w:sz="4" w:space="0" w:color="auto"/>
              <w:right w:val="single" w:sz="4" w:space="0" w:color="auto"/>
            </w:tcBorders>
          </w:tcPr>
          <w:p w14:paraId="1A53C411" w14:textId="77777777" w:rsidR="00CA1D81" w:rsidRPr="00AA636D" w:rsidRDefault="00CA1D81" w:rsidP="00CA1D81">
            <w:pPr>
              <w:spacing w:after="0" w:line="240" w:lineRule="auto"/>
              <w:jc w:val="right"/>
              <w:rPr>
                <w:sz w:val="20"/>
                <w:szCs w:val="20"/>
                <w:lang w:val="en-GB"/>
              </w:rPr>
            </w:pPr>
          </w:p>
        </w:tc>
        <w:tc>
          <w:tcPr>
            <w:tcW w:w="1473" w:type="dxa"/>
            <w:tcBorders>
              <w:top w:val="single" w:sz="4" w:space="0" w:color="auto"/>
              <w:left w:val="single" w:sz="4" w:space="0" w:color="auto"/>
              <w:bottom w:val="single" w:sz="4" w:space="0" w:color="auto"/>
              <w:right w:val="single" w:sz="4" w:space="0" w:color="auto"/>
            </w:tcBorders>
            <w:vAlign w:val="bottom"/>
          </w:tcPr>
          <w:p w14:paraId="1A958F87" w14:textId="77777777" w:rsidR="00CA1D81" w:rsidRPr="00AA636D" w:rsidRDefault="00CA1D81" w:rsidP="00AA636D">
            <w:pPr>
              <w:spacing w:after="0"/>
              <w:jc w:val="right"/>
              <w:rPr>
                <w:color w:val="000000"/>
                <w:sz w:val="20"/>
                <w:szCs w:val="20"/>
                <w:lang w:val="en-GB"/>
              </w:rPr>
            </w:pPr>
            <w:r w:rsidRPr="00AA636D">
              <w:rPr>
                <w:color w:val="000000"/>
                <w:sz w:val="20"/>
                <w:szCs w:val="20"/>
                <w:lang w:val="en-GB"/>
              </w:rPr>
              <w:t>3</w:t>
            </w:r>
            <w:r w:rsidR="00AA636D" w:rsidRPr="00AA636D">
              <w:rPr>
                <w:color w:val="000000"/>
                <w:sz w:val="20"/>
                <w:szCs w:val="20"/>
                <w:lang w:val="en-GB"/>
              </w:rPr>
              <w:t>,</w:t>
            </w:r>
            <w:r w:rsidRPr="00AA636D">
              <w:rPr>
                <w:color w:val="000000"/>
                <w:sz w:val="20"/>
                <w:szCs w:val="20"/>
                <w:lang w:val="en-GB"/>
              </w:rPr>
              <w:t>326</w:t>
            </w:r>
            <w:r w:rsidR="00AA636D" w:rsidRPr="00AA636D">
              <w:rPr>
                <w:color w:val="000000"/>
                <w:sz w:val="20"/>
                <w:szCs w:val="20"/>
                <w:lang w:val="en-GB"/>
              </w:rPr>
              <w:t>,</w:t>
            </w:r>
            <w:r w:rsidRPr="00AA636D">
              <w:rPr>
                <w:color w:val="000000"/>
                <w:sz w:val="20"/>
                <w:szCs w:val="20"/>
                <w:lang w:val="en-GB"/>
              </w:rPr>
              <w:t>088</w:t>
            </w:r>
            <w:r w:rsidR="00AA636D" w:rsidRPr="00AA636D">
              <w:rPr>
                <w:color w:val="000000"/>
                <w:sz w:val="20"/>
                <w:szCs w:val="20"/>
                <w:lang w:val="en-GB"/>
              </w:rPr>
              <w:t>.</w:t>
            </w:r>
            <w:r w:rsidRPr="00AA636D">
              <w:rPr>
                <w:color w:val="000000"/>
                <w:sz w:val="20"/>
                <w:szCs w:val="20"/>
                <w:lang w:val="en-GB"/>
              </w:rPr>
              <w:t>00</w:t>
            </w:r>
          </w:p>
        </w:tc>
        <w:tc>
          <w:tcPr>
            <w:tcW w:w="1473" w:type="dxa"/>
            <w:tcBorders>
              <w:top w:val="single" w:sz="4" w:space="0" w:color="auto"/>
              <w:left w:val="single" w:sz="4" w:space="0" w:color="auto"/>
              <w:bottom w:val="single" w:sz="4" w:space="0" w:color="auto"/>
              <w:right w:val="single" w:sz="4" w:space="0" w:color="auto"/>
            </w:tcBorders>
          </w:tcPr>
          <w:p w14:paraId="76AFEF3A" w14:textId="77777777" w:rsidR="00CA1D81" w:rsidRPr="00AA636D" w:rsidRDefault="00CA1D81" w:rsidP="00AA636D">
            <w:pPr>
              <w:spacing w:after="0"/>
              <w:jc w:val="right"/>
              <w:rPr>
                <w:sz w:val="20"/>
                <w:szCs w:val="20"/>
                <w:lang w:val="en-GB"/>
              </w:rPr>
            </w:pPr>
            <w:r w:rsidRPr="00AA636D">
              <w:rPr>
                <w:color w:val="000000"/>
                <w:sz w:val="20"/>
                <w:szCs w:val="20"/>
                <w:lang w:val="en-GB"/>
              </w:rPr>
              <w:t>3</w:t>
            </w:r>
            <w:r w:rsidR="00AA636D" w:rsidRPr="00AA636D">
              <w:rPr>
                <w:color w:val="000000"/>
                <w:sz w:val="20"/>
                <w:szCs w:val="20"/>
                <w:lang w:val="en-GB"/>
              </w:rPr>
              <w:t>,</w:t>
            </w:r>
            <w:r w:rsidRPr="00AA636D">
              <w:rPr>
                <w:color w:val="000000"/>
                <w:sz w:val="20"/>
                <w:szCs w:val="20"/>
                <w:lang w:val="en-GB"/>
              </w:rPr>
              <w:t>326</w:t>
            </w:r>
            <w:r w:rsidR="00AA636D" w:rsidRPr="00AA636D">
              <w:rPr>
                <w:color w:val="000000"/>
                <w:sz w:val="20"/>
                <w:szCs w:val="20"/>
                <w:lang w:val="en-GB"/>
              </w:rPr>
              <w:t>,</w:t>
            </w:r>
            <w:r w:rsidRPr="00AA636D">
              <w:rPr>
                <w:color w:val="000000"/>
                <w:sz w:val="20"/>
                <w:szCs w:val="20"/>
                <w:lang w:val="en-GB"/>
              </w:rPr>
              <w:t>088</w:t>
            </w:r>
            <w:r w:rsidR="00AA636D" w:rsidRPr="00AA636D">
              <w:rPr>
                <w:color w:val="000000"/>
                <w:sz w:val="20"/>
                <w:szCs w:val="20"/>
                <w:lang w:val="en-GB"/>
              </w:rPr>
              <w:t>.</w:t>
            </w:r>
            <w:r w:rsidRPr="00AA636D">
              <w:rPr>
                <w:color w:val="000000"/>
                <w:sz w:val="20"/>
                <w:szCs w:val="20"/>
                <w:lang w:val="en-GB"/>
              </w:rPr>
              <w:t>00</w:t>
            </w:r>
          </w:p>
        </w:tc>
        <w:tc>
          <w:tcPr>
            <w:tcW w:w="1473" w:type="dxa"/>
            <w:tcBorders>
              <w:top w:val="single" w:sz="4" w:space="0" w:color="auto"/>
              <w:left w:val="single" w:sz="4" w:space="0" w:color="auto"/>
              <w:bottom w:val="single" w:sz="4" w:space="0" w:color="auto"/>
              <w:right w:val="single" w:sz="4" w:space="0" w:color="auto"/>
            </w:tcBorders>
          </w:tcPr>
          <w:p w14:paraId="56798552" w14:textId="77777777" w:rsidR="00CA1D81" w:rsidRPr="00AA636D" w:rsidRDefault="00CA1D81" w:rsidP="00AA636D">
            <w:pPr>
              <w:spacing w:after="0"/>
              <w:jc w:val="right"/>
              <w:rPr>
                <w:sz w:val="20"/>
                <w:szCs w:val="20"/>
                <w:lang w:val="en-GB"/>
              </w:rPr>
            </w:pPr>
            <w:r w:rsidRPr="00AA636D">
              <w:rPr>
                <w:color w:val="000000"/>
                <w:sz w:val="20"/>
                <w:szCs w:val="20"/>
                <w:lang w:val="en-GB"/>
              </w:rPr>
              <w:t>3</w:t>
            </w:r>
            <w:r w:rsidR="00AA636D" w:rsidRPr="00AA636D">
              <w:rPr>
                <w:color w:val="000000"/>
                <w:sz w:val="20"/>
                <w:szCs w:val="20"/>
                <w:lang w:val="en-GB"/>
              </w:rPr>
              <w:t>,</w:t>
            </w:r>
            <w:r w:rsidRPr="00AA636D">
              <w:rPr>
                <w:color w:val="000000"/>
                <w:sz w:val="20"/>
                <w:szCs w:val="20"/>
                <w:lang w:val="en-GB"/>
              </w:rPr>
              <w:t>326</w:t>
            </w:r>
            <w:r w:rsidR="00AA636D" w:rsidRPr="00AA636D">
              <w:rPr>
                <w:color w:val="000000"/>
                <w:sz w:val="20"/>
                <w:szCs w:val="20"/>
                <w:lang w:val="en-GB"/>
              </w:rPr>
              <w:t>,</w:t>
            </w:r>
            <w:r w:rsidRPr="00AA636D">
              <w:rPr>
                <w:color w:val="000000"/>
                <w:sz w:val="20"/>
                <w:szCs w:val="20"/>
                <w:lang w:val="en-GB"/>
              </w:rPr>
              <w:t>088</w:t>
            </w:r>
            <w:r w:rsidR="00AA636D" w:rsidRPr="00AA636D">
              <w:rPr>
                <w:color w:val="000000"/>
                <w:sz w:val="20"/>
                <w:szCs w:val="20"/>
                <w:lang w:val="en-GB"/>
              </w:rPr>
              <w:t>.</w:t>
            </w:r>
            <w:r w:rsidRPr="00AA636D">
              <w:rPr>
                <w:color w:val="000000"/>
                <w:sz w:val="20"/>
                <w:szCs w:val="20"/>
                <w:lang w:val="en-GB"/>
              </w:rPr>
              <w:t>00</w:t>
            </w:r>
          </w:p>
        </w:tc>
      </w:tr>
      <w:tr w:rsidR="00CA1D81" w:rsidRPr="00DF101C" w14:paraId="6E8C428A" w14:textId="77777777" w:rsidTr="00AD5BFF">
        <w:trPr>
          <w:trHeight w:val="268"/>
        </w:trPr>
        <w:tc>
          <w:tcPr>
            <w:tcW w:w="1752" w:type="dxa"/>
            <w:tcBorders>
              <w:top w:val="single" w:sz="4" w:space="0" w:color="auto"/>
              <w:left w:val="single" w:sz="4" w:space="0" w:color="auto"/>
              <w:bottom w:val="single" w:sz="4" w:space="0" w:color="auto"/>
              <w:right w:val="single" w:sz="4" w:space="0" w:color="auto"/>
            </w:tcBorders>
            <w:hideMark/>
          </w:tcPr>
          <w:p w14:paraId="07FBC02E" w14:textId="77777777" w:rsidR="00CA1D81" w:rsidRPr="00DF101C" w:rsidRDefault="00DF101C" w:rsidP="00AD5BFF">
            <w:pPr>
              <w:tabs>
                <w:tab w:val="left" w:pos="1152"/>
              </w:tabs>
              <w:spacing w:after="0" w:line="240" w:lineRule="auto"/>
              <w:rPr>
                <w:rFonts w:eastAsia="Times New Roman"/>
                <w:sz w:val="20"/>
                <w:szCs w:val="20"/>
                <w:lang w:val="en-GB"/>
              </w:rPr>
            </w:pPr>
            <w:r w:rsidRPr="00DF101C">
              <w:rPr>
                <w:rFonts w:eastAsia="Times New Roman"/>
                <w:sz w:val="20"/>
                <w:szCs w:val="20"/>
                <w:lang w:val="en-GB"/>
              </w:rPr>
              <w:t xml:space="preserve">Slovak </w:t>
            </w:r>
          </w:p>
        </w:tc>
        <w:tc>
          <w:tcPr>
            <w:tcW w:w="1473" w:type="dxa"/>
            <w:tcBorders>
              <w:top w:val="single" w:sz="4" w:space="0" w:color="auto"/>
              <w:left w:val="single" w:sz="4" w:space="0" w:color="auto"/>
              <w:bottom w:val="single" w:sz="4" w:space="0" w:color="auto"/>
              <w:right w:val="single" w:sz="4" w:space="0" w:color="auto"/>
            </w:tcBorders>
            <w:hideMark/>
          </w:tcPr>
          <w:p w14:paraId="60084DB2" w14:textId="77777777" w:rsidR="00CA1D81" w:rsidRPr="00DF101C" w:rsidRDefault="00CA1D81" w:rsidP="00DF101C">
            <w:pPr>
              <w:spacing w:after="0" w:line="240" w:lineRule="auto"/>
              <w:jc w:val="right"/>
              <w:rPr>
                <w:sz w:val="20"/>
                <w:szCs w:val="20"/>
                <w:lang w:val="en-GB"/>
              </w:rPr>
            </w:pPr>
            <w:r w:rsidRPr="00DF101C">
              <w:rPr>
                <w:sz w:val="20"/>
                <w:szCs w:val="20"/>
                <w:lang w:val="en-GB"/>
              </w:rPr>
              <w:t>17</w:t>
            </w:r>
            <w:r w:rsidR="00DF101C" w:rsidRPr="00DF101C">
              <w:rPr>
                <w:sz w:val="20"/>
                <w:szCs w:val="20"/>
                <w:lang w:val="en-GB"/>
              </w:rPr>
              <w:t>,</w:t>
            </w:r>
            <w:r w:rsidRPr="00DF101C">
              <w:rPr>
                <w:sz w:val="20"/>
                <w:szCs w:val="20"/>
                <w:lang w:val="en-GB"/>
              </w:rPr>
              <w:t>778</w:t>
            </w:r>
            <w:r w:rsidR="00DF101C" w:rsidRPr="00DF101C">
              <w:rPr>
                <w:sz w:val="20"/>
                <w:szCs w:val="20"/>
                <w:lang w:val="en-GB"/>
              </w:rPr>
              <w:t>,</w:t>
            </w:r>
            <w:r w:rsidRPr="00DF101C">
              <w:rPr>
                <w:sz w:val="20"/>
                <w:szCs w:val="20"/>
                <w:lang w:val="en-GB"/>
              </w:rPr>
              <w:t>529</w:t>
            </w:r>
            <w:r w:rsidR="00DF101C" w:rsidRPr="00DF101C">
              <w:rPr>
                <w:sz w:val="20"/>
                <w:szCs w:val="20"/>
                <w:lang w:val="en-GB"/>
              </w:rPr>
              <w:t>.</w:t>
            </w:r>
            <w:r w:rsidRPr="00DF101C">
              <w:rPr>
                <w:sz w:val="20"/>
                <w:szCs w:val="20"/>
                <w:lang w:val="en-GB"/>
              </w:rPr>
              <w:t>00</w:t>
            </w:r>
          </w:p>
        </w:tc>
        <w:tc>
          <w:tcPr>
            <w:tcW w:w="1473" w:type="dxa"/>
            <w:tcBorders>
              <w:top w:val="single" w:sz="4" w:space="0" w:color="auto"/>
              <w:left w:val="single" w:sz="4" w:space="0" w:color="auto"/>
              <w:bottom w:val="single" w:sz="4" w:space="0" w:color="auto"/>
              <w:right w:val="single" w:sz="4" w:space="0" w:color="auto"/>
            </w:tcBorders>
          </w:tcPr>
          <w:p w14:paraId="39998D37" w14:textId="77777777" w:rsidR="00CA1D81" w:rsidRPr="00DF101C" w:rsidRDefault="00CA1D81" w:rsidP="00DF101C">
            <w:pPr>
              <w:spacing w:after="0" w:line="240" w:lineRule="auto"/>
              <w:jc w:val="right"/>
              <w:rPr>
                <w:sz w:val="20"/>
                <w:szCs w:val="20"/>
                <w:lang w:val="en-GB"/>
              </w:rPr>
            </w:pPr>
            <w:r w:rsidRPr="00DF101C">
              <w:rPr>
                <w:sz w:val="20"/>
                <w:szCs w:val="20"/>
                <w:lang w:val="en-GB"/>
              </w:rPr>
              <w:t>17</w:t>
            </w:r>
            <w:r w:rsidR="00DF101C" w:rsidRPr="00DF101C">
              <w:rPr>
                <w:sz w:val="20"/>
                <w:szCs w:val="20"/>
                <w:lang w:val="en-GB"/>
              </w:rPr>
              <w:t>,</w:t>
            </w:r>
            <w:r w:rsidRPr="00DF101C">
              <w:rPr>
                <w:sz w:val="20"/>
                <w:szCs w:val="20"/>
                <w:lang w:val="en-GB"/>
              </w:rPr>
              <w:t>778</w:t>
            </w:r>
            <w:r w:rsidR="00DF101C" w:rsidRPr="00DF101C">
              <w:rPr>
                <w:sz w:val="20"/>
                <w:szCs w:val="20"/>
                <w:lang w:val="en-GB"/>
              </w:rPr>
              <w:t>,</w:t>
            </w:r>
            <w:r w:rsidRPr="00DF101C">
              <w:rPr>
                <w:sz w:val="20"/>
                <w:szCs w:val="20"/>
                <w:lang w:val="en-GB"/>
              </w:rPr>
              <w:t>529</w:t>
            </w:r>
            <w:r w:rsidR="00DF101C" w:rsidRPr="00DF101C">
              <w:rPr>
                <w:sz w:val="20"/>
                <w:szCs w:val="20"/>
                <w:lang w:val="en-GB"/>
              </w:rPr>
              <w:t>.</w:t>
            </w:r>
            <w:r w:rsidRPr="00DF101C">
              <w:rPr>
                <w:sz w:val="20"/>
                <w:szCs w:val="20"/>
                <w:lang w:val="en-GB"/>
              </w:rPr>
              <w:t>00</w:t>
            </w:r>
          </w:p>
        </w:tc>
        <w:tc>
          <w:tcPr>
            <w:tcW w:w="1473" w:type="dxa"/>
            <w:tcBorders>
              <w:top w:val="single" w:sz="4" w:space="0" w:color="auto"/>
              <w:left w:val="single" w:sz="4" w:space="0" w:color="auto"/>
              <w:bottom w:val="single" w:sz="4" w:space="0" w:color="auto"/>
              <w:right w:val="single" w:sz="4" w:space="0" w:color="auto"/>
            </w:tcBorders>
          </w:tcPr>
          <w:p w14:paraId="52CB51DE" w14:textId="77777777" w:rsidR="00CA1D81" w:rsidRPr="00DF101C" w:rsidRDefault="00CA1D81" w:rsidP="00DF101C">
            <w:pPr>
              <w:spacing w:after="0"/>
              <w:jc w:val="right"/>
              <w:rPr>
                <w:sz w:val="20"/>
                <w:szCs w:val="20"/>
                <w:lang w:val="en-GB"/>
              </w:rPr>
            </w:pPr>
            <w:r w:rsidRPr="00DF101C">
              <w:rPr>
                <w:sz w:val="20"/>
                <w:szCs w:val="20"/>
                <w:lang w:val="en-GB"/>
              </w:rPr>
              <w:t>17</w:t>
            </w:r>
            <w:r w:rsidR="00DF101C" w:rsidRPr="00DF101C">
              <w:rPr>
                <w:sz w:val="20"/>
                <w:szCs w:val="20"/>
                <w:lang w:val="en-GB"/>
              </w:rPr>
              <w:t>,</w:t>
            </w:r>
            <w:r w:rsidRPr="00DF101C">
              <w:rPr>
                <w:sz w:val="20"/>
                <w:szCs w:val="20"/>
                <w:lang w:val="en-GB"/>
              </w:rPr>
              <w:t>778</w:t>
            </w:r>
            <w:r w:rsidR="00DF101C" w:rsidRPr="00DF101C">
              <w:rPr>
                <w:sz w:val="20"/>
                <w:szCs w:val="20"/>
                <w:lang w:val="en-GB"/>
              </w:rPr>
              <w:t>,</w:t>
            </w:r>
            <w:r w:rsidRPr="00DF101C">
              <w:rPr>
                <w:sz w:val="20"/>
                <w:szCs w:val="20"/>
                <w:lang w:val="en-GB"/>
              </w:rPr>
              <w:t>529</w:t>
            </w:r>
            <w:r w:rsidR="00DF101C" w:rsidRPr="00DF101C">
              <w:rPr>
                <w:sz w:val="20"/>
                <w:szCs w:val="20"/>
                <w:lang w:val="en-GB"/>
              </w:rPr>
              <w:t>.</w:t>
            </w:r>
            <w:r w:rsidRPr="00DF101C">
              <w:rPr>
                <w:sz w:val="20"/>
                <w:szCs w:val="20"/>
                <w:lang w:val="en-GB"/>
              </w:rPr>
              <w:t>00</w:t>
            </w:r>
          </w:p>
        </w:tc>
        <w:tc>
          <w:tcPr>
            <w:tcW w:w="1473" w:type="dxa"/>
            <w:tcBorders>
              <w:top w:val="single" w:sz="4" w:space="0" w:color="auto"/>
              <w:left w:val="single" w:sz="4" w:space="0" w:color="auto"/>
              <w:bottom w:val="single" w:sz="4" w:space="0" w:color="auto"/>
              <w:right w:val="single" w:sz="4" w:space="0" w:color="auto"/>
            </w:tcBorders>
          </w:tcPr>
          <w:p w14:paraId="5D109826" w14:textId="77777777" w:rsidR="00CA1D81" w:rsidRPr="00DF101C" w:rsidRDefault="00CA1D81" w:rsidP="00DF101C">
            <w:pPr>
              <w:spacing w:after="0"/>
              <w:jc w:val="right"/>
              <w:rPr>
                <w:sz w:val="20"/>
                <w:szCs w:val="20"/>
                <w:lang w:val="en-GB"/>
              </w:rPr>
            </w:pPr>
            <w:r w:rsidRPr="00DF101C">
              <w:rPr>
                <w:sz w:val="20"/>
                <w:szCs w:val="20"/>
                <w:lang w:val="en-GB"/>
              </w:rPr>
              <w:t>17</w:t>
            </w:r>
            <w:r w:rsidR="00DF101C" w:rsidRPr="00DF101C">
              <w:rPr>
                <w:sz w:val="20"/>
                <w:szCs w:val="20"/>
                <w:lang w:val="en-GB"/>
              </w:rPr>
              <w:t>,</w:t>
            </w:r>
            <w:r w:rsidRPr="00DF101C">
              <w:rPr>
                <w:sz w:val="20"/>
                <w:szCs w:val="20"/>
                <w:lang w:val="en-GB"/>
              </w:rPr>
              <w:t>778</w:t>
            </w:r>
            <w:r w:rsidR="00DF101C" w:rsidRPr="00DF101C">
              <w:rPr>
                <w:sz w:val="20"/>
                <w:szCs w:val="20"/>
                <w:lang w:val="en-GB"/>
              </w:rPr>
              <w:t>,</w:t>
            </w:r>
            <w:r w:rsidRPr="00DF101C">
              <w:rPr>
                <w:sz w:val="20"/>
                <w:szCs w:val="20"/>
                <w:lang w:val="en-GB"/>
              </w:rPr>
              <w:t>529</w:t>
            </w:r>
            <w:r w:rsidR="00DF101C" w:rsidRPr="00DF101C">
              <w:rPr>
                <w:sz w:val="20"/>
                <w:szCs w:val="20"/>
                <w:lang w:val="en-GB"/>
              </w:rPr>
              <w:t>.</w:t>
            </w:r>
            <w:r w:rsidRPr="00DF101C">
              <w:rPr>
                <w:sz w:val="20"/>
                <w:szCs w:val="20"/>
                <w:lang w:val="en-GB"/>
              </w:rPr>
              <w:t>00</w:t>
            </w:r>
          </w:p>
        </w:tc>
        <w:tc>
          <w:tcPr>
            <w:tcW w:w="1473" w:type="dxa"/>
            <w:tcBorders>
              <w:top w:val="single" w:sz="4" w:space="0" w:color="auto"/>
              <w:left w:val="single" w:sz="4" w:space="0" w:color="auto"/>
              <w:bottom w:val="single" w:sz="4" w:space="0" w:color="auto"/>
              <w:right w:val="single" w:sz="4" w:space="0" w:color="auto"/>
            </w:tcBorders>
          </w:tcPr>
          <w:p w14:paraId="60A9D639" w14:textId="77777777" w:rsidR="00CA1D81" w:rsidRPr="00DF101C" w:rsidRDefault="00CA1D81" w:rsidP="00DF101C">
            <w:pPr>
              <w:spacing w:after="0"/>
              <w:jc w:val="right"/>
              <w:rPr>
                <w:sz w:val="20"/>
                <w:szCs w:val="20"/>
                <w:lang w:val="en-GB"/>
              </w:rPr>
            </w:pPr>
            <w:r w:rsidRPr="00DF101C">
              <w:rPr>
                <w:sz w:val="20"/>
                <w:szCs w:val="20"/>
                <w:lang w:val="en-GB"/>
              </w:rPr>
              <w:t>17</w:t>
            </w:r>
            <w:r w:rsidR="00DF101C" w:rsidRPr="00DF101C">
              <w:rPr>
                <w:sz w:val="20"/>
                <w:szCs w:val="20"/>
                <w:lang w:val="en-GB"/>
              </w:rPr>
              <w:t>,</w:t>
            </w:r>
            <w:r w:rsidRPr="00DF101C">
              <w:rPr>
                <w:sz w:val="20"/>
                <w:szCs w:val="20"/>
                <w:lang w:val="en-GB"/>
              </w:rPr>
              <w:t>778</w:t>
            </w:r>
            <w:r w:rsidR="00DF101C" w:rsidRPr="00DF101C">
              <w:rPr>
                <w:sz w:val="20"/>
                <w:szCs w:val="20"/>
                <w:lang w:val="en-GB"/>
              </w:rPr>
              <w:t>,</w:t>
            </w:r>
            <w:r w:rsidRPr="00DF101C">
              <w:rPr>
                <w:sz w:val="20"/>
                <w:szCs w:val="20"/>
                <w:lang w:val="en-GB"/>
              </w:rPr>
              <w:t>529</w:t>
            </w:r>
            <w:r w:rsidR="00DF101C" w:rsidRPr="00DF101C">
              <w:rPr>
                <w:sz w:val="20"/>
                <w:szCs w:val="20"/>
                <w:lang w:val="en-GB"/>
              </w:rPr>
              <w:t>.</w:t>
            </w:r>
            <w:r w:rsidRPr="00DF101C">
              <w:rPr>
                <w:sz w:val="20"/>
                <w:szCs w:val="20"/>
                <w:lang w:val="en-GB"/>
              </w:rPr>
              <w:t>00</w:t>
            </w:r>
          </w:p>
        </w:tc>
      </w:tr>
      <w:tr w:rsidR="00CA1D81" w:rsidRPr="00D62D04" w14:paraId="57A9A7C7" w14:textId="77777777" w:rsidTr="00AD5BFF">
        <w:trPr>
          <w:trHeight w:val="268"/>
        </w:trPr>
        <w:tc>
          <w:tcPr>
            <w:tcW w:w="1752" w:type="dxa"/>
            <w:tcBorders>
              <w:top w:val="single" w:sz="4" w:space="0" w:color="auto"/>
              <w:left w:val="single" w:sz="4" w:space="0" w:color="auto"/>
              <w:bottom w:val="single" w:sz="4" w:space="0" w:color="auto"/>
              <w:right w:val="single" w:sz="4" w:space="0" w:color="auto"/>
            </w:tcBorders>
            <w:hideMark/>
          </w:tcPr>
          <w:p w14:paraId="15E18F50" w14:textId="77777777" w:rsidR="00CA1D81" w:rsidRPr="00DF101C" w:rsidRDefault="00DF101C" w:rsidP="00AD5BFF">
            <w:pPr>
              <w:tabs>
                <w:tab w:val="left" w:pos="1152"/>
              </w:tabs>
              <w:spacing w:after="0" w:line="240" w:lineRule="auto"/>
              <w:rPr>
                <w:rFonts w:eastAsia="Times New Roman"/>
                <w:sz w:val="20"/>
                <w:szCs w:val="20"/>
                <w:lang w:val="en-GB"/>
              </w:rPr>
            </w:pPr>
            <w:r w:rsidRPr="00DF101C">
              <w:rPr>
                <w:rFonts w:eastAsia="Times New Roman"/>
                <w:sz w:val="20"/>
                <w:szCs w:val="20"/>
                <w:lang w:val="en-GB"/>
              </w:rPr>
              <w:t xml:space="preserve">Slovenian </w:t>
            </w:r>
          </w:p>
        </w:tc>
        <w:tc>
          <w:tcPr>
            <w:tcW w:w="1473" w:type="dxa"/>
            <w:tcBorders>
              <w:top w:val="single" w:sz="4" w:space="0" w:color="auto"/>
              <w:left w:val="single" w:sz="4" w:space="0" w:color="auto"/>
              <w:bottom w:val="single" w:sz="4" w:space="0" w:color="auto"/>
              <w:right w:val="single" w:sz="4" w:space="0" w:color="auto"/>
            </w:tcBorders>
            <w:hideMark/>
          </w:tcPr>
          <w:p w14:paraId="0943A830" w14:textId="77777777" w:rsidR="00CA1D81" w:rsidRPr="00DF101C" w:rsidRDefault="00CA1D81" w:rsidP="00DF101C">
            <w:pPr>
              <w:spacing w:after="0" w:line="240" w:lineRule="auto"/>
              <w:jc w:val="right"/>
              <w:rPr>
                <w:sz w:val="20"/>
                <w:szCs w:val="20"/>
                <w:lang w:val="en-GB"/>
              </w:rPr>
            </w:pPr>
            <w:r w:rsidRPr="00DF101C">
              <w:rPr>
                <w:sz w:val="20"/>
                <w:szCs w:val="20"/>
                <w:lang w:val="en-GB"/>
              </w:rPr>
              <w:t>4</w:t>
            </w:r>
            <w:r w:rsidR="00DF101C" w:rsidRPr="00DF101C">
              <w:rPr>
                <w:sz w:val="20"/>
                <w:szCs w:val="20"/>
                <w:lang w:val="en-GB"/>
              </w:rPr>
              <w:t>,</w:t>
            </w:r>
            <w:r w:rsidRPr="00DF101C">
              <w:rPr>
                <w:sz w:val="20"/>
                <w:szCs w:val="20"/>
                <w:lang w:val="en-GB"/>
              </w:rPr>
              <w:t>095</w:t>
            </w:r>
            <w:r w:rsidR="00DF101C" w:rsidRPr="00DF101C">
              <w:rPr>
                <w:sz w:val="20"/>
                <w:szCs w:val="20"/>
                <w:lang w:val="en-GB"/>
              </w:rPr>
              <w:t>,</w:t>
            </w:r>
            <w:r w:rsidRPr="00DF101C">
              <w:rPr>
                <w:sz w:val="20"/>
                <w:szCs w:val="20"/>
                <w:lang w:val="en-GB"/>
              </w:rPr>
              <w:t>241</w:t>
            </w:r>
            <w:r w:rsidR="00DF101C" w:rsidRPr="00DF101C">
              <w:rPr>
                <w:sz w:val="20"/>
                <w:szCs w:val="20"/>
                <w:lang w:val="en-GB"/>
              </w:rPr>
              <w:t>.</w:t>
            </w:r>
            <w:r w:rsidRPr="00DF101C">
              <w:rPr>
                <w:sz w:val="20"/>
                <w:szCs w:val="20"/>
                <w:lang w:val="en-GB"/>
              </w:rPr>
              <w:t>00</w:t>
            </w:r>
          </w:p>
        </w:tc>
        <w:tc>
          <w:tcPr>
            <w:tcW w:w="1473" w:type="dxa"/>
            <w:tcBorders>
              <w:top w:val="single" w:sz="4" w:space="0" w:color="auto"/>
              <w:left w:val="single" w:sz="4" w:space="0" w:color="auto"/>
              <w:bottom w:val="single" w:sz="4" w:space="0" w:color="auto"/>
              <w:right w:val="single" w:sz="4" w:space="0" w:color="auto"/>
            </w:tcBorders>
          </w:tcPr>
          <w:p w14:paraId="0397EECA" w14:textId="77777777" w:rsidR="00CA1D81" w:rsidRPr="00DF101C" w:rsidRDefault="00CA1D81" w:rsidP="00DF101C">
            <w:pPr>
              <w:spacing w:after="0" w:line="240" w:lineRule="auto"/>
              <w:jc w:val="right"/>
              <w:rPr>
                <w:sz w:val="20"/>
                <w:szCs w:val="20"/>
                <w:lang w:val="en-GB"/>
              </w:rPr>
            </w:pPr>
            <w:r w:rsidRPr="00DF101C">
              <w:rPr>
                <w:sz w:val="20"/>
                <w:szCs w:val="20"/>
                <w:lang w:val="en-GB"/>
              </w:rPr>
              <w:t>4</w:t>
            </w:r>
            <w:r w:rsidR="00DF101C" w:rsidRPr="00DF101C">
              <w:rPr>
                <w:sz w:val="20"/>
                <w:szCs w:val="20"/>
                <w:lang w:val="en-GB"/>
              </w:rPr>
              <w:t>,</w:t>
            </w:r>
            <w:r w:rsidRPr="00DF101C">
              <w:rPr>
                <w:sz w:val="20"/>
                <w:szCs w:val="20"/>
                <w:lang w:val="en-GB"/>
              </w:rPr>
              <w:t>095</w:t>
            </w:r>
            <w:r w:rsidR="00DF101C" w:rsidRPr="00DF101C">
              <w:rPr>
                <w:sz w:val="20"/>
                <w:szCs w:val="20"/>
                <w:lang w:val="en-GB"/>
              </w:rPr>
              <w:t>,</w:t>
            </w:r>
            <w:r w:rsidRPr="00DF101C">
              <w:rPr>
                <w:sz w:val="20"/>
                <w:szCs w:val="20"/>
                <w:lang w:val="en-GB"/>
              </w:rPr>
              <w:t>241</w:t>
            </w:r>
            <w:r w:rsidR="00DF101C" w:rsidRPr="00DF101C">
              <w:rPr>
                <w:sz w:val="20"/>
                <w:szCs w:val="20"/>
                <w:lang w:val="en-GB"/>
              </w:rPr>
              <w:t>.</w:t>
            </w:r>
            <w:r w:rsidRPr="00DF101C">
              <w:rPr>
                <w:sz w:val="20"/>
                <w:szCs w:val="20"/>
                <w:lang w:val="en-GB"/>
              </w:rPr>
              <w:t>00</w:t>
            </w:r>
          </w:p>
        </w:tc>
        <w:tc>
          <w:tcPr>
            <w:tcW w:w="1473" w:type="dxa"/>
            <w:tcBorders>
              <w:top w:val="single" w:sz="4" w:space="0" w:color="auto"/>
              <w:left w:val="single" w:sz="4" w:space="0" w:color="auto"/>
              <w:bottom w:val="single" w:sz="4" w:space="0" w:color="auto"/>
              <w:right w:val="single" w:sz="4" w:space="0" w:color="auto"/>
            </w:tcBorders>
          </w:tcPr>
          <w:p w14:paraId="76B07B72" w14:textId="77777777" w:rsidR="00CA1D81" w:rsidRPr="00DF101C" w:rsidRDefault="00CA1D81" w:rsidP="00DF101C">
            <w:pPr>
              <w:spacing w:after="0"/>
              <w:jc w:val="right"/>
              <w:rPr>
                <w:sz w:val="20"/>
                <w:szCs w:val="20"/>
                <w:lang w:val="en-GB"/>
              </w:rPr>
            </w:pPr>
            <w:r w:rsidRPr="00DF101C">
              <w:rPr>
                <w:sz w:val="20"/>
                <w:szCs w:val="20"/>
                <w:lang w:val="en-GB"/>
              </w:rPr>
              <w:t>4</w:t>
            </w:r>
            <w:r w:rsidR="00DF101C" w:rsidRPr="00DF101C">
              <w:rPr>
                <w:sz w:val="20"/>
                <w:szCs w:val="20"/>
                <w:lang w:val="en-GB"/>
              </w:rPr>
              <w:t>,</w:t>
            </w:r>
            <w:r w:rsidRPr="00DF101C">
              <w:rPr>
                <w:sz w:val="20"/>
                <w:szCs w:val="20"/>
                <w:lang w:val="en-GB"/>
              </w:rPr>
              <w:t>095</w:t>
            </w:r>
            <w:r w:rsidR="00DF101C" w:rsidRPr="00DF101C">
              <w:rPr>
                <w:sz w:val="20"/>
                <w:szCs w:val="20"/>
                <w:lang w:val="en-GB"/>
              </w:rPr>
              <w:t>,</w:t>
            </w:r>
            <w:r w:rsidRPr="00DF101C">
              <w:rPr>
                <w:sz w:val="20"/>
                <w:szCs w:val="20"/>
                <w:lang w:val="en-GB"/>
              </w:rPr>
              <w:t>241</w:t>
            </w:r>
            <w:r w:rsidR="00DF101C" w:rsidRPr="00DF101C">
              <w:rPr>
                <w:sz w:val="20"/>
                <w:szCs w:val="20"/>
                <w:lang w:val="en-GB"/>
              </w:rPr>
              <w:t>.</w:t>
            </w:r>
            <w:r w:rsidRPr="00DF101C">
              <w:rPr>
                <w:sz w:val="20"/>
                <w:szCs w:val="20"/>
                <w:lang w:val="en-GB"/>
              </w:rPr>
              <w:t>00</w:t>
            </w:r>
          </w:p>
        </w:tc>
        <w:tc>
          <w:tcPr>
            <w:tcW w:w="1473" w:type="dxa"/>
            <w:tcBorders>
              <w:top w:val="single" w:sz="4" w:space="0" w:color="auto"/>
              <w:left w:val="single" w:sz="4" w:space="0" w:color="auto"/>
              <w:bottom w:val="single" w:sz="4" w:space="0" w:color="auto"/>
              <w:right w:val="single" w:sz="4" w:space="0" w:color="auto"/>
            </w:tcBorders>
          </w:tcPr>
          <w:p w14:paraId="6B7CA9DD" w14:textId="77777777" w:rsidR="00CA1D81" w:rsidRPr="00DF101C" w:rsidRDefault="00CA1D81" w:rsidP="00DF101C">
            <w:pPr>
              <w:spacing w:after="0"/>
              <w:jc w:val="right"/>
              <w:rPr>
                <w:sz w:val="20"/>
                <w:szCs w:val="20"/>
                <w:lang w:val="en-GB"/>
              </w:rPr>
            </w:pPr>
            <w:r w:rsidRPr="00DF101C">
              <w:rPr>
                <w:sz w:val="20"/>
                <w:szCs w:val="20"/>
                <w:lang w:val="en-GB"/>
              </w:rPr>
              <w:t>4</w:t>
            </w:r>
            <w:r w:rsidR="00DF101C" w:rsidRPr="00DF101C">
              <w:rPr>
                <w:sz w:val="20"/>
                <w:szCs w:val="20"/>
                <w:lang w:val="en-GB"/>
              </w:rPr>
              <w:t>,</w:t>
            </w:r>
            <w:r w:rsidRPr="00DF101C">
              <w:rPr>
                <w:sz w:val="20"/>
                <w:szCs w:val="20"/>
                <w:lang w:val="en-GB"/>
              </w:rPr>
              <w:t>095</w:t>
            </w:r>
            <w:r w:rsidR="00DF101C" w:rsidRPr="00DF101C">
              <w:rPr>
                <w:sz w:val="20"/>
                <w:szCs w:val="20"/>
                <w:lang w:val="en-GB"/>
              </w:rPr>
              <w:t>,</w:t>
            </w:r>
            <w:r w:rsidRPr="00DF101C">
              <w:rPr>
                <w:sz w:val="20"/>
                <w:szCs w:val="20"/>
                <w:lang w:val="en-GB"/>
              </w:rPr>
              <w:t>241</w:t>
            </w:r>
            <w:r w:rsidR="00DF101C" w:rsidRPr="00DF101C">
              <w:rPr>
                <w:sz w:val="20"/>
                <w:szCs w:val="20"/>
                <w:lang w:val="en-GB"/>
              </w:rPr>
              <w:t>.</w:t>
            </w:r>
            <w:r w:rsidRPr="00DF101C">
              <w:rPr>
                <w:sz w:val="20"/>
                <w:szCs w:val="20"/>
                <w:lang w:val="en-GB"/>
              </w:rPr>
              <w:t>00</w:t>
            </w:r>
          </w:p>
        </w:tc>
        <w:tc>
          <w:tcPr>
            <w:tcW w:w="1473" w:type="dxa"/>
            <w:tcBorders>
              <w:top w:val="single" w:sz="4" w:space="0" w:color="auto"/>
              <w:left w:val="single" w:sz="4" w:space="0" w:color="auto"/>
              <w:bottom w:val="single" w:sz="4" w:space="0" w:color="auto"/>
              <w:right w:val="single" w:sz="4" w:space="0" w:color="auto"/>
            </w:tcBorders>
          </w:tcPr>
          <w:p w14:paraId="288D8164" w14:textId="77777777" w:rsidR="00CA1D81" w:rsidRPr="00DF101C" w:rsidRDefault="00CA1D81" w:rsidP="00DF101C">
            <w:pPr>
              <w:spacing w:after="0"/>
              <w:jc w:val="right"/>
              <w:rPr>
                <w:sz w:val="20"/>
                <w:szCs w:val="20"/>
                <w:lang w:val="en-GB"/>
              </w:rPr>
            </w:pPr>
            <w:r w:rsidRPr="00DF101C">
              <w:rPr>
                <w:sz w:val="20"/>
                <w:szCs w:val="20"/>
                <w:lang w:val="en-GB"/>
              </w:rPr>
              <w:t>4</w:t>
            </w:r>
            <w:r w:rsidR="00DF101C" w:rsidRPr="00DF101C">
              <w:rPr>
                <w:sz w:val="20"/>
                <w:szCs w:val="20"/>
                <w:lang w:val="en-GB"/>
              </w:rPr>
              <w:t>,</w:t>
            </w:r>
            <w:r w:rsidRPr="00DF101C">
              <w:rPr>
                <w:sz w:val="20"/>
                <w:szCs w:val="20"/>
                <w:lang w:val="en-GB"/>
              </w:rPr>
              <w:t>095</w:t>
            </w:r>
            <w:r w:rsidR="00DF101C" w:rsidRPr="00DF101C">
              <w:rPr>
                <w:sz w:val="20"/>
                <w:szCs w:val="20"/>
                <w:lang w:val="en-GB"/>
              </w:rPr>
              <w:t>,241.</w:t>
            </w:r>
            <w:r w:rsidRPr="00DF101C">
              <w:rPr>
                <w:sz w:val="20"/>
                <w:szCs w:val="20"/>
                <w:lang w:val="en-GB"/>
              </w:rPr>
              <w:t>00</w:t>
            </w:r>
          </w:p>
        </w:tc>
      </w:tr>
      <w:tr w:rsidR="00CA1D81" w:rsidRPr="00703994" w14:paraId="5057789F" w14:textId="77777777" w:rsidTr="00AD5BFF">
        <w:trPr>
          <w:trHeight w:val="268"/>
        </w:trPr>
        <w:tc>
          <w:tcPr>
            <w:tcW w:w="1752" w:type="dxa"/>
            <w:tcBorders>
              <w:top w:val="single" w:sz="4" w:space="0" w:color="auto"/>
              <w:left w:val="single" w:sz="4" w:space="0" w:color="auto"/>
              <w:bottom w:val="single" w:sz="4" w:space="0" w:color="auto"/>
              <w:right w:val="single" w:sz="4" w:space="0" w:color="auto"/>
            </w:tcBorders>
            <w:hideMark/>
          </w:tcPr>
          <w:p w14:paraId="22965DF4" w14:textId="77777777" w:rsidR="00CA1D81" w:rsidRPr="00703994" w:rsidRDefault="00DF101C" w:rsidP="00AD5BFF">
            <w:pPr>
              <w:tabs>
                <w:tab w:val="left" w:pos="1152"/>
              </w:tabs>
              <w:spacing w:after="0" w:line="240" w:lineRule="auto"/>
              <w:rPr>
                <w:rFonts w:eastAsia="Times New Roman"/>
                <w:sz w:val="20"/>
                <w:szCs w:val="20"/>
                <w:lang w:val="en-GB"/>
              </w:rPr>
            </w:pPr>
            <w:r w:rsidRPr="00703994">
              <w:rPr>
                <w:rFonts w:eastAsia="Times New Roman"/>
                <w:sz w:val="20"/>
                <w:szCs w:val="20"/>
                <w:lang w:val="en-GB"/>
              </w:rPr>
              <w:t xml:space="preserve">Ukrainian </w:t>
            </w:r>
          </w:p>
        </w:tc>
        <w:tc>
          <w:tcPr>
            <w:tcW w:w="1473" w:type="dxa"/>
            <w:tcBorders>
              <w:top w:val="single" w:sz="4" w:space="0" w:color="auto"/>
              <w:left w:val="single" w:sz="4" w:space="0" w:color="auto"/>
              <w:bottom w:val="single" w:sz="4" w:space="0" w:color="auto"/>
              <w:right w:val="single" w:sz="4" w:space="0" w:color="auto"/>
            </w:tcBorders>
            <w:hideMark/>
          </w:tcPr>
          <w:p w14:paraId="7D9F1940" w14:textId="77777777" w:rsidR="00CA1D81" w:rsidRPr="00703994" w:rsidRDefault="00CA1D81" w:rsidP="00703994">
            <w:pPr>
              <w:spacing w:after="0" w:line="240" w:lineRule="auto"/>
              <w:jc w:val="right"/>
              <w:rPr>
                <w:sz w:val="20"/>
                <w:szCs w:val="20"/>
                <w:lang w:val="en-GB"/>
              </w:rPr>
            </w:pPr>
            <w:r w:rsidRPr="00703994">
              <w:rPr>
                <w:sz w:val="20"/>
                <w:szCs w:val="20"/>
                <w:lang w:val="en-GB"/>
              </w:rPr>
              <w:t>4</w:t>
            </w:r>
            <w:r w:rsidR="00703994" w:rsidRPr="00703994">
              <w:rPr>
                <w:sz w:val="20"/>
                <w:szCs w:val="20"/>
                <w:lang w:val="en-GB"/>
              </w:rPr>
              <w:t>,</w:t>
            </w:r>
            <w:r w:rsidRPr="00703994">
              <w:rPr>
                <w:sz w:val="20"/>
                <w:szCs w:val="20"/>
                <w:lang w:val="en-GB"/>
              </w:rPr>
              <w:t>601</w:t>
            </w:r>
            <w:r w:rsidR="00703994" w:rsidRPr="00703994">
              <w:rPr>
                <w:sz w:val="20"/>
                <w:szCs w:val="20"/>
                <w:lang w:val="en-GB"/>
              </w:rPr>
              <w:t>,</w:t>
            </w:r>
            <w:r w:rsidRPr="00703994">
              <w:rPr>
                <w:sz w:val="20"/>
                <w:szCs w:val="20"/>
                <w:lang w:val="en-GB"/>
              </w:rPr>
              <w:t>055</w:t>
            </w:r>
            <w:r w:rsidR="00703994" w:rsidRPr="00703994">
              <w:rPr>
                <w:sz w:val="20"/>
                <w:szCs w:val="20"/>
                <w:lang w:val="en-GB"/>
              </w:rPr>
              <w:t>.</w:t>
            </w:r>
            <w:r w:rsidRPr="00703994">
              <w:rPr>
                <w:sz w:val="20"/>
                <w:szCs w:val="20"/>
                <w:lang w:val="en-GB"/>
              </w:rPr>
              <w:t>00</w:t>
            </w:r>
          </w:p>
        </w:tc>
        <w:tc>
          <w:tcPr>
            <w:tcW w:w="1473" w:type="dxa"/>
            <w:tcBorders>
              <w:top w:val="single" w:sz="4" w:space="0" w:color="auto"/>
              <w:left w:val="single" w:sz="4" w:space="0" w:color="auto"/>
              <w:bottom w:val="single" w:sz="4" w:space="0" w:color="auto"/>
              <w:right w:val="single" w:sz="4" w:space="0" w:color="auto"/>
            </w:tcBorders>
          </w:tcPr>
          <w:p w14:paraId="5B98B49E" w14:textId="77777777" w:rsidR="00CA1D81" w:rsidRPr="00703994" w:rsidRDefault="00CA1D81" w:rsidP="00703994">
            <w:pPr>
              <w:spacing w:after="0" w:line="240" w:lineRule="auto"/>
              <w:jc w:val="right"/>
              <w:rPr>
                <w:sz w:val="20"/>
                <w:szCs w:val="20"/>
                <w:lang w:val="en-GB"/>
              </w:rPr>
            </w:pPr>
            <w:r w:rsidRPr="00703994">
              <w:rPr>
                <w:sz w:val="20"/>
                <w:szCs w:val="20"/>
                <w:lang w:val="en-GB"/>
              </w:rPr>
              <w:t>4</w:t>
            </w:r>
            <w:r w:rsidR="00703994" w:rsidRPr="00703994">
              <w:rPr>
                <w:sz w:val="20"/>
                <w:szCs w:val="20"/>
                <w:lang w:val="en-GB"/>
              </w:rPr>
              <w:t>,</w:t>
            </w:r>
            <w:r w:rsidRPr="00703994">
              <w:rPr>
                <w:sz w:val="20"/>
                <w:szCs w:val="20"/>
                <w:lang w:val="en-GB"/>
              </w:rPr>
              <w:t>601</w:t>
            </w:r>
            <w:r w:rsidR="00703994" w:rsidRPr="00703994">
              <w:rPr>
                <w:sz w:val="20"/>
                <w:szCs w:val="20"/>
                <w:lang w:val="en-GB"/>
              </w:rPr>
              <w:t>,</w:t>
            </w:r>
            <w:r w:rsidRPr="00703994">
              <w:rPr>
                <w:sz w:val="20"/>
                <w:szCs w:val="20"/>
                <w:lang w:val="en-GB"/>
              </w:rPr>
              <w:t>055</w:t>
            </w:r>
            <w:r w:rsidR="00703994" w:rsidRPr="00703994">
              <w:rPr>
                <w:sz w:val="20"/>
                <w:szCs w:val="20"/>
                <w:lang w:val="en-GB"/>
              </w:rPr>
              <w:t>.</w:t>
            </w:r>
            <w:r w:rsidRPr="00703994">
              <w:rPr>
                <w:sz w:val="20"/>
                <w:szCs w:val="20"/>
                <w:lang w:val="en-GB"/>
              </w:rPr>
              <w:t>00</w:t>
            </w:r>
          </w:p>
        </w:tc>
        <w:tc>
          <w:tcPr>
            <w:tcW w:w="1473" w:type="dxa"/>
            <w:tcBorders>
              <w:top w:val="single" w:sz="4" w:space="0" w:color="auto"/>
              <w:left w:val="single" w:sz="4" w:space="0" w:color="auto"/>
              <w:bottom w:val="single" w:sz="4" w:space="0" w:color="auto"/>
              <w:right w:val="single" w:sz="4" w:space="0" w:color="auto"/>
            </w:tcBorders>
          </w:tcPr>
          <w:p w14:paraId="0C5601B8" w14:textId="77777777" w:rsidR="00CA1D81" w:rsidRPr="00703994" w:rsidRDefault="00CA1D81" w:rsidP="00703994">
            <w:pPr>
              <w:spacing w:after="0"/>
              <w:jc w:val="right"/>
              <w:rPr>
                <w:sz w:val="20"/>
                <w:szCs w:val="20"/>
                <w:lang w:val="en-GB"/>
              </w:rPr>
            </w:pPr>
            <w:r w:rsidRPr="00703994">
              <w:rPr>
                <w:sz w:val="20"/>
                <w:szCs w:val="20"/>
                <w:lang w:val="en-GB"/>
              </w:rPr>
              <w:t>4</w:t>
            </w:r>
            <w:r w:rsidR="00703994" w:rsidRPr="00703994">
              <w:rPr>
                <w:sz w:val="20"/>
                <w:szCs w:val="20"/>
                <w:lang w:val="en-GB"/>
              </w:rPr>
              <w:t>,</w:t>
            </w:r>
            <w:r w:rsidRPr="00703994">
              <w:rPr>
                <w:sz w:val="20"/>
                <w:szCs w:val="20"/>
                <w:lang w:val="en-GB"/>
              </w:rPr>
              <w:t>601</w:t>
            </w:r>
            <w:r w:rsidR="00703994" w:rsidRPr="00703994">
              <w:rPr>
                <w:sz w:val="20"/>
                <w:szCs w:val="20"/>
                <w:lang w:val="en-GB"/>
              </w:rPr>
              <w:t>,</w:t>
            </w:r>
            <w:r w:rsidRPr="00703994">
              <w:rPr>
                <w:sz w:val="20"/>
                <w:szCs w:val="20"/>
                <w:lang w:val="en-GB"/>
              </w:rPr>
              <w:t>055</w:t>
            </w:r>
            <w:r w:rsidR="00703994" w:rsidRPr="00703994">
              <w:rPr>
                <w:sz w:val="20"/>
                <w:szCs w:val="20"/>
                <w:lang w:val="en-GB"/>
              </w:rPr>
              <w:t>.</w:t>
            </w:r>
            <w:r w:rsidRPr="00703994">
              <w:rPr>
                <w:sz w:val="20"/>
                <w:szCs w:val="20"/>
                <w:lang w:val="en-GB"/>
              </w:rPr>
              <w:t>00</w:t>
            </w:r>
          </w:p>
        </w:tc>
        <w:tc>
          <w:tcPr>
            <w:tcW w:w="1473" w:type="dxa"/>
            <w:tcBorders>
              <w:top w:val="single" w:sz="4" w:space="0" w:color="auto"/>
              <w:left w:val="single" w:sz="4" w:space="0" w:color="auto"/>
              <w:bottom w:val="single" w:sz="4" w:space="0" w:color="auto"/>
              <w:right w:val="single" w:sz="4" w:space="0" w:color="auto"/>
            </w:tcBorders>
          </w:tcPr>
          <w:p w14:paraId="5A8CAE08" w14:textId="77777777" w:rsidR="00CA1D81" w:rsidRPr="00703994" w:rsidRDefault="00CA1D81" w:rsidP="00703994">
            <w:pPr>
              <w:spacing w:after="0"/>
              <w:jc w:val="right"/>
              <w:rPr>
                <w:sz w:val="20"/>
                <w:szCs w:val="20"/>
                <w:lang w:val="en-GB"/>
              </w:rPr>
            </w:pPr>
            <w:r w:rsidRPr="00703994">
              <w:rPr>
                <w:sz w:val="20"/>
                <w:szCs w:val="20"/>
                <w:lang w:val="en-GB"/>
              </w:rPr>
              <w:t>4</w:t>
            </w:r>
            <w:r w:rsidR="00703994" w:rsidRPr="00703994">
              <w:rPr>
                <w:sz w:val="20"/>
                <w:szCs w:val="20"/>
                <w:lang w:val="en-GB"/>
              </w:rPr>
              <w:t>,</w:t>
            </w:r>
            <w:r w:rsidRPr="00703994">
              <w:rPr>
                <w:sz w:val="20"/>
                <w:szCs w:val="20"/>
                <w:lang w:val="en-GB"/>
              </w:rPr>
              <w:t>601</w:t>
            </w:r>
            <w:r w:rsidR="00703994" w:rsidRPr="00703994">
              <w:rPr>
                <w:sz w:val="20"/>
                <w:szCs w:val="20"/>
                <w:lang w:val="en-GB"/>
              </w:rPr>
              <w:t>,</w:t>
            </w:r>
            <w:r w:rsidRPr="00703994">
              <w:rPr>
                <w:sz w:val="20"/>
                <w:szCs w:val="20"/>
                <w:lang w:val="en-GB"/>
              </w:rPr>
              <w:t>055</w:t>
            </w:r>
            <w:r w:rsidR="00703994" w:rsidRPr="00703994">
              <w:rPr>
                <w:sz w:val="20"/>
                <w:szCs w:val="20"/>
                <w:lang w:val="en-GB"/>
              </w:rPr>
              <w:t>.</w:t>
            </w:r>
            <w:r w:rsidRPr="00703994">
              <w:rPr>
                <w:sz w:val="20"/>
                <w:szCs w:val="20"/>
                <w:lang w:val="en-GB"/>
              </w:rPr>
              <w:t>00</w:t>
            </w:r>
          </w:p>
        </w:tc>
        <w:tc>
          <w:tcPr>
            <w:tcW w:w="1473" w:type="dxa"/>
            <w:tcBorders>
              <w:top w:val="single" w:sz="4" w:space="0" w:color="auto"/>
              <w:left w:val="single" w:sz="4" w:space="0" w:color="auto"/>
              <w:bottom w:val="single" w:sz="4" w:space="0" w:color="auto"/>
              <w:right w:val="single" w:sz="4" w:space="0" w:color="auto"/>
            </w:tcBorders>
          </w:tcPr>
          <w:p w14:paraId="61FD5FF7" w14:textId="77777777" w:rsidR="00CA1D81" w:rsidRPr="00703994" w:rsidRDefault="00CA1D81" w:rsidP="00703994">
            <w:pPr>
              <w:spacing w:after="0"/>
              <w:jc w:val="right"/>
              <w:rPr>
                <w:sz w:val="20"/>
                <w:szCs w:val="20"/>
                <w:lang w:val="en-GB"/>
              </w:rPr>
            </w:pPr>
            <w:r w:rsidRPr="00703994">
              <w:rPr>
                <w:sz w:val="20"/>
                <w:szCs w:val="20"/>
                <w:lang w:val="en-GB"/>
              </w:rPr>
              <w:t>4</w:t>
            </w:r>
            <w:r w:rsidR="00703994" w:rsidRPr="00703994">
              <w:rPr>
                <w:sz w:val="20"/>
                <w:szCs w:val="20"/>
                <w:lang w:val="en-GB"/>
              </w:rPr>
              <w:t>,</w:t>
            </w:r>
            <w:r w:rsidRPr="00703994">
              <w:rPr>
                <w:sz w:val="20"/>
                <w:szCs w:val="20"/>
                <w:lang w:val="en-GB"/>
              </w:rPr>
              <w:t>601</w:t>
            </w:r>
            <w:r w:rsidR="00703994" w:rsidRPr="00703994">
              <w:rPr>
                <w:sz w:val="20"/>
                <w:szCs w:val="20"/>
                <w:lang w:val="en-GB"/>
              </w:rPr>
              <w:t>,</w:t>
            </w:r>
            <w:r w:rsidRPr="00703994">
              <w:rPr>
                <w:sz w:val="20"/>
                <w:szCs w:val="20"/>
                <w:lang w:val="en-GB"/>
              </w:rPr>
              <w:t>055</w:t>
            </w:r>
            <w:r w:rsidR="00703994" w:rsidRPr="00703994">
              <w:rPr>
                <w:sz w:val="20"/>
                <w:szCs w:val="20"/>
                <w:lang w:val="en-GB"/>
              </w:rPr>
              <w:t>.</w:t>
            </w:r>
            <w:r w:rsidRPr="00703994">
              <w:rPr>
                <w:sz w:val="20"/>
                <w:szCs w:val="20"/>
                <w:lang w:val="en-GB"/>
              </w:rPr>
              <w:t>00</w:t>
            </w:r>
          </w:p>
        </w:tc>
      </w:tr>
      <w:tr w:rsidR="00CA1D81" w:rsidRPr="00703994" w14:paraId="318FFBB3" w14:textId="77777777" w:rsidTr="00AD5BFF">
        <w:trPr>
          <w:trHeight w:val="268"/>
        </w:trPr>
        <w:tc>
          <w:tcPr>
            <w:tcW w:w="1752" w:type="dxa"/>
            <w:tcBorders>
              <w:top w:val="single" w:sz="4" w:space="0" w:color="auto"/>
              <w:left w:val="single" w:sz="4" w:space="0" w:color="auto"/>
              <w:bottom w:val="single" w:sz="4" w:space="0" w:color="auto"/>
              <w:right w:val="single" w:sz="4" w:space="0" w:color="auto"/>
            </w:tcBorders>
            <w:hideMark/>
          </w:tcPr>
          <w:p w14:paraId="46BB4932" w14:textId="77777777" w:rsidR="00CA1D81" w:rsidRPr="00703994" w:rsidRDefault="00DF101C" w:rsidP="00AD5BFF">
            <w:pPr>
              <w:tabs>
                <w:tab w:val="left" w:pos="1152"/>
              </w:tabs>
              <w:spacing w:after="0" w:line="240" w:lineRule="auto"/>
              <w:rPr>
                <w:rFonts w:eastAsia="Times New Roman"/>
                <w:sz w:val="20"/>
                <w:szCs w:val="20"/>
                <w:lang w:val="en-GB"/>
              </w:rPr>
            </w:pPr>
            <w:r w:rsidRPr="00703994">
              <w:rPr>
                <w:rFonts w:eastAsia="Times New Roman"/>
                <w:sz w:val="20"/>
                <w:szCs w:val="20"/>
                <w:lang w:val="en-GB"/>
              </w:rPr>
              <w:t xml:space="preserve">Croatian </w:t>
            </w:r>
          </w:p>
        </w:tc>
        <w:tc>
          <w:tcPr>
            <w:tcW w:w="1473" w:type="dxa"/>
            <w:tcBorders>
              <w:top w:val="single" w:sz="4" w:space="0" w:color="auto"/>
              <w:left w:val="single" w:sz="4" w:space="0" w:color="auto"/>
              <w:bottom w:val="single" w:sz="4" w:space="0" w:color="auto"/>
              <w:right w:val="single" w:sz="4" w:space="0" w:color="auto"/>
            </w:tcBorders>
            <w:hideMark/>
          </w:tcPr>
          <w:p w14:paraId="19F3F06A" w14:textId="77777777" w:rsidR="00CA1D81" w:rsidRPr="00703994" w:rsidRDefault="00CA1D81" w:rsidP="00703994">
            <w:pPr>
              <w:spacing w:after="0" w:line="240" w:lineRule="auto"/>
              <w:jc w:val="right"/>
              <w:rPr>
                <w:sz w:val="20"/>
                <w:szCs w:val="20"/>
                <w:lang w:val="en-GB"/>
              </w:rPr>
            </w:pPr>
            <w:r w:rsidRPr="00703994">
              <w:rPr>
                <w:sz w:val="20"/>
                <w:szCs w:val="20"/>
                <w:lang w:val="en-GB"/>
              </w:rPr>
              <w:t>12</w:t>
            </w:r>
            <w:r w:rsidR="00703994" w:rsidRPr="00703994">
              <w:rPr>
                <w:sz w:val="20"/>
                <w:szCs w:val="20"/>
                <w:lang w:val="en-GB"/>
              </w:rPr>
              <w:t>,</w:t>
            </w:r>
            <w:r w:rsidRPr="00703994">
              <w:rPr>
                <w:sz w:val="20"/>
                <w:szCs w:val="20"/>
                <w:lang w:val="en-GB"/>
              </w:rPr>
              <w:t>975</w:t>
            </w:r>
            <w:r w:rsidR="00703994" w:rsidRPr="00703994">
              <w:rPr>
                <w:sz w:val="20"/>
                <w:szCs w:val="20"/>
                <w:lang w:val="en-GB"/>
              </w:rPr>
              <w:t>,</w:t>
            </w:r>
            <w:r w:rsidRPr="00703994">
              <w:rPr>
                <w:sz w:val="20"/>
                <w:szCs w:val="20"/>
                <w:lang w:val="en-GB"/>
              </w:rPr>
              <w:t>990</w:t>
            </w:r>
            <w:r w:rsidR="00703994" w:rsidRPr="00703994">
              <w:rPr>
                <w:sz w:val="20"/>
                <w:szCs w:val="20"/>
                <w:lang w:val="en-GB"/>
              </w:rPr>
              <w:t>.</w:t>
            </w:r>
            <w:r w:rsidRPr="00703994">
              <w:rPr>
                <w:sz w:val="20"/>
                <w:szCs w:val="20"/>
                <w:lang w:val="en-GB"/>
              </w:rPr>
              <w:t>00</w:t>
            </w:r>
          </w:p>
        </w:tc>
        <w:tc>
          <w:tcPr>
            <w:tcW w:w="1473" w:type="dxa"/>
            <w:tcBorders>
              <w:top w:val="single" w:sz="4" w:space="0" w:color="auto"/>
              <w:left w:val="single" w:sz="4" w:space="0" w:color="auto"/>
              <w:bottom w:val="single" w:sz="4" w:space="0" w:color="auto"/>
              <w:right w:val="single" w:sz="4" w:space="0" w:color="auto"/>
            </w:tcBorders>
          </w:tcPr>
          <w:p w14:paraId="3E5ABF8A" w14:textId="77777777" w:rsidR="00CA1D81" w:rsidRPr="00703994" w:rsidRDefault="00CA1D81" w:rsidP="00703994">
            <w:pPr>
              <w:spacing w:after="0" w:line="240" w:lineRule="auto"/>
              <w:jc w:val="right"/>
              <w:rPr>
                <w:sz w:val="20"/>
                <w:szCs w:val="20"/>
                <w:lang w:val="en-GB"/>
              </w:rPr>
            </w:pPr>
            <w:r w:rsidRPr="00703994">
              <w:rPr>
                <w:sz w:val="20"/>
                <w:szCs w:val="20"/>
                <w:lang w:val="en-GB"/>
              </w:rPr>
              <w:t>12</w:t>
            </w:r>
            <w:r w:rsidR="00703994" w:rsidRPr="00703994">
              <w:rPr>
                <w:sz w:val="20"/>
                <w:szCs w:val="20"/>
                <w:lang w:val="en-GB"/>
              </w:rPr>
              <w:t>,</w:t>
            </w:r>
            <w:r w:rsidRPr="00703994">
              <w:rPr>
                <w:sz w:val="20"/>
                <w:szCs w:val="20"/>
                <w:lang w:val="en-GB"/>
              </w:rPr>
              <w:t>975</w:t>
            </w:r>
            <w:r w:rsidR="00703994" w:rsidRPr="00703994">
              <w:rPr>
                <w:sz w:val="20"/>
                <w:szCs w:val="20"/>
                <w:lang w:val="en-GB"/>
              </w:rPr>
              <w:t>,</w:t>
            </w:r>
            <w:r w:rsidRPr="00703994">
              <w:rPr>
                <w:sz w:val="20"/>
                <w:szCs w:val="20"/>
                <w:lang w:val="en-GB"/>
              </w:rPr>
              <w:t>990</w:t>
            </w:r>
            <w:r w:rsidR="00703994" w:rsidRPr="00703994">
              <w:rPr>
                <w:sz w:val="20"/>
                <w:szCs w:val="20"/>
                <w:lang w:val="en-GB"/>
              </w:rPr>
              <w:t>.</w:t>
            </w:r>
            <w:r w:rsidRPr="00703994">
              <w:rPr>
                <w:sz w:val="20"/>
                <w:szCs w:val="20"/>
                <w:lang w:val="en-GB"/>
              </w:rPr>
              <w:t>00</w:t>
            </w:r>
          </w:p>
        </w:tc>
        <w:tc>
          <w:tcPr>
            <w:tcW w:w="1473" w:type="dxa"/>
            <w:tcBorders>
              <w:top w:val="single" w:sz="4" w:space="0" w:color="auto"/>
              <w:left w:val="single" w:sz="4" w:space="0" w:color="auto"/>
              <w:bottom w:val="single" w:sz="4" w:space="0" w:color="auto"/>
              <w:right w:val="single" w:sz="4" w:space="0" w:color="auto"/>
            </w:tcBorders>
          </w:tcPr>
          <w:p w14:paraId="3A72F157" w14:textId="77777777" w:rsidR="00CA1D81" w:rsidRPr="00703994" w:rsidRDefault="00CA1D81" w:rsidP="00703994">
            <w:pPr>
              <w:spacing w:after="0"/>
              <w:jc w:val="right"/>
              <w:rPr>
                <w:sz w:val="20"/>
                <w:szCs w:val="20"/>
                <w:lang w:val="en-GB"/>
              </w:rPr>
            </w:pPr>
            <w:r w:rsidRPr="00703994">
              <w:rPr>
                <w:sz w:val="20"/>
                <w:szCs w:val="20"/>
                <w:lang w:val="en-GB"/>
              </w:rPr>
              <w:t>12</w:t>
            </w:r>
            <w:r w:rsidR="00703994" w:rsidRPr="00703994">
              <w:rPr>
                <w:sz w:val="20"/>
                <w:szCs w:val="20"/>
                <w:lang w:val="en-GB"/>
              </w:rPr>
              <w:t>,</w:t>
            </w:r>
            <w:r w:rsidRPr="00703994">
              <w:rPr>
                <w:sz w:val="20"/>
                <w:szCs w:val="20"/>
                <w:lang w:val="en-GB"/>
              </w:rPr>
              <w:t>975</w:t>
            </w:r>
            <w:r w:rsidR="00703994" w:rsidRPr="00703994">
              <w:rPr>
                <w:sz w:val="20"/>
                <w:szCs w:val="20"/>
                <w:lang w:val="en-GB"/>
              </w:rPr>
              <w:t>,</w:t>
            </w:r>
            <w:r w:rsidRPr="00703994">
              <w:rPr>
                <w:sz w:val="20"/>
                <w:szCs w:val="20"/>
                <w:lang w:val="en-GB"/>
              </w:rPr>
              <w:t>990</w:t>
            </w:r>
            <w:r w:rsidR="00703994" w:rsidRPr="00703994">
              <w:rPr>
                <w:sz w:val="20"/>
                <w:szCs w:val="20"/>
                <w:lang w:val="en-GB"/>
              </w:rPr>
              <w:t>.</w:t>
            </w:r>
            <w:r w:rsidRPr="00703994">
              <w:rPr>
                <w:sz w:val="20"/>
                <w:szCs w:val="20"/>
                <w:lang w:val="en-GB"/>
              </w:rPr>
              <w:t>00</w:t>
            </w:r>
          </w:p>
        </w:tc>
        <w:tc>
          <w:tcPr>
            <w:tcW w:w="1473" w:type="dxa"/>
            <w:tcBorders>
              <w:top w:val="single" w:sz="4" w:space="0" w:color="auto"/>
              <w:left w:val="single" w:sz="4" w:space="0" w:color="auto"/>
              <w:bottom w:val="single" w:sz="4" w:space="0" w:color="auto"/>
              <w:right w:val="single" w:sz="4" w:space="0" w:color="auto"/>
            </w:tcBorders>
          </w:tcPr>
          <w:p w14:paraId="66A17922" w14:textId="77777777" w:rsidR="00CA1D81" w:rsidRPr="00703994" w:rsidRDefault="00CA1D81" w:rsidP="00703994">
            <w:pPr>
              <w:spacing w:after="0"/>
              <w:jc w:val="right"/>
              <w:rPr>
                <w:sz w:val="20"/>
                <w:szCs w:val="20"/>
                <w:lang w:val="en-GB"/>
              </w:rPr>
            </w:pPr>
            <w:r w:rsidRPr="00703994">
              <w:rPr>
                <w:sz w:val="20"/>
                <w:szCs w:val="20"/>
                <w:lang w:val="en-GB"/>
              </w:rPr>
              <w:t>12</w:t>
            </w:r>
            <w:r w:rsidR="00703994" w:rsidRPr="00703994">
              <w:rPr>
                <w:sz w:val="20"/>
                <w:szCs w:val="20"/>
                <w:lang w:val="en-GB"/>
              </w:rPr>
              <w:t>,</w:t>
            </w:r>
            <w:r w:rsidRPr="00703994">
              <w:rPr>
                <w:sz w:val="20"/>
                <w:szCs w:val="20"/>
                <w:lang w:val="en-GB"/>
              </w:rPr>
              <w:t>975</w:t>
            </w:r>
            <w:r w:rsidR="00703994" w:rsidRPr="00703994">
              <w:rPr>
                <w:sz w:val="20"/>
                <w:szCs w:val="20"/>
                <w:lang w:val="en-GB"/>
              </w:rPr>
              <w:t>,</w:t>
            </w:r>
            <w:r w:rsidRPr="00703994">
              <w:rPr>
                <w:sz w:val="20"/>
                <w:szCs w:val="20"/>
                <w:lang w:val="en-GB"/>
              </w:rPr>
              <w:t>990</w:t>
            </w:r>
            <w:r w:rsidR="00703994" w:rsidRPr="00703994">
              <w:rPr>
                <w:sz w:val="20"/>
                <w:szCs w:val="20"/>
                <w:lang w:val="en-GB"/>
              </w:rPr>
              <w:t>.</w:t>
            </w:r>
            <w:r w:rsidRPr="00703994">
              <w:rPr>
                <w:sz w:val="20"/>
                <w:szCs w:val="20"/>
                <w:lang w:val="en-GB"/>
              </w:rPr>
              <w:t>00</w:t>
            </w:r>
          </w:p>
        </w:tc>
        <w:tc>
          <w:tcPr>
            <w:tcW w:w="1473" w:type="dxa"/>
            <w:tcBorders>
              <w:top w:val="single" w:sz="4" w:space="0" w:color="auto"/>
              <w:left w:val="single" w:sz="4" w:space="0" w:color="auto"/>
              <w:bottom w:val="single" w:sz="4" w:space="0" w:color="auto"/>
              <w:right w:val="single" w:sz="4" w:space="0" w:color="auto"/>
            </w:tcBorders>
          </w:tcPr>
          <w:p w14:paraId="5BB10815" w14:textId="77777777" w:rsidR="00CA1D81" w:rsidRPr="00703994" w:rsidRDefault="00CA1D81" w:rsidP="00703994">
            <w:pPr>
              <w:spacing w:after="0"/>
              <w:jc w:val="right"/>
              <w:rPr>
                <w:sz w:val="20"/>
                <w:szCs w:val="20"/>
                <w:lang w:val="en-GB"/>
              </w:rPr>
            </w:pPr>
            <w:r w:rsidRPr="00703994">
              <w:rPr>
                <w:sz w:val="20"/>
                <w:szCs w:val="20"/>
                <w:lang w:val="en-GB"/>
              </w:rPr>
              <w:t>12</w:t>
            </w:r>
            <w:r w:rsidR="00703994" w:rsidRPr="00703994">
              <w:rPr>
                <w:sz w:val="20"/>
                <w:szCs w:val="20"/>
                <w:lang w:val="en-GB"/>
              </w:rPr>
              <w:t>,</w:t>
            </w:r>
            <w:r w:rsidRPr="00703994">
              <w:rPr>
                <w:sz w:val="20"/>
                <w:szCs w:val="20"/>
                <w:lang w:val="en-GB"/>
              </w:rPr>
              <w:t>975</w:t>
            </w:r>
            <w:r w:rsidR="00703994" w:rsidRPr="00703994">
              <w:rPr>
                <w:sz w:val="20"/>
                <w:szCs w:val="20"/>
                <w:lang w:val="en-GB"/>
              </w:rPr>
              <w:t>,</w:t>
            </w:r>
            <w:r w:rsidRPr="00703994">
              <w:rPr>
                <w:sz w:val="20"/>
                <w:szCs w:val="20"/>
                <w:lang w:val="en-GB"/>
              </w:rPr>
              <w:t>990</w:t>
            </w:r>
            <w:r w:rsidR="00703994" w:rsidRPr="00703994">
              <w:rPr>
                <w:sz w:val="20"/>
                <w:szCs w:val="20"/>
                <w:lang w:val="en-GB"/>
              </w:rPr>
              <w:t>.</w:t>
            </w:r>
            <w:r w:rsidRPr="00703994">
              <w:rPr>
                <w:sz w:val="20"/>
                <w:szCs w:val="20"/>
                <w:lang w:val="en-GB"/>
              </w:rPr>
              <w:t>00</w:t>
            </w:r>
          </w:p>
        </w:tc>
      </w:tr>
      <w:tr w:rsidR="00CA1D81" w:rsidRPr="00D62D04" w14:paraId="78556ADB" w14:textId="77777777" w:rsidTr="00AD5BFF">
        <w:trPr>
          <w:trHeight w:val="268"/>
        </w:trPr>
        <w:tc>
          <w:tcPr>
            <w:tcW w:w="1752" w:type="dxa"/>
            <w:tcBorders>
              <w:top w:val="single" w:sz="4" w:space="0" w:color="auto"/>
              <w:left w:val="single" w:sz="4" w:space="0" w:color="auto"/>
              <w:bottom w:val="single" w:sz="4" w:space="0" w:color="auto"/>
              <w:right w:val="single" w:sz="4" w:space="0" w:color="auto"/>
            </w:tcBorders>
            <w:hideMark/>
          </w:tcPr>
          <w:p w14:paraId="7BB7D558" w14:textId="77777777" w:rsidR="00CA1D81" w:rsidRPr="00703994" w:rsidRDefault="00DF101C" w:rsidP="00AD5BFF">
            <w:pPr>
              <w:tabs>
                <w:tab w:val="left" w:pos="1152"/>
              </w:tabs>
              <w:spacing w:after="0" w:line="240" w:lineRule="auto"/>
              <w:rPr>
                <w:rFonts w:eastAsia="Times New Roman"/>
                <w:sz w:val="20"/>
                <w:szCs w:val="20"/>
                <w:lang w:val="en-GB"/>
              </w:rPr>
            </w:pPr>
            <w:r w:rsidRPr="00703994">
              <w:rPr>
                <w:rFonts w:eastAsia="Times New Roman"/>
                <w:sz w:val="20"/>
                <w:szCs w:val="20"/>
                <w:lang w:val="en-GB"/>
              </w:rPr>
              <w:t xml:space="preserve">Montenegrin </w:t>
            </w:r>
          </w:p>
        </w:tc>
        <w:tc>
          <w:tcPr>
            <w:tcW w:w="1473" w:type="dxa"/>
            <w:tcBorders>
              <w:top w:val="single" w:sz="4" w:space="0" w:color="auto"/>
              <w:left w:val="single" w:sz="4" w:space="0" w:color="auto"/>
              <w:bottom w:val="single" w:sz="4" w:space="0" w:color="auto"/>
              <w:right w:val="single" w:sz="4" w:space="0" w:color="auto"/>
            </w:tcBorders>
            <w:hideMark/>
          </w:tcPr>
          <w:p w14:paraId="56809092" w14:textId="77777777" w:rsidR="00CA1D81" w:rsidRPr="00703994" w:rsidRDefault="00CA1D81" w:rsidP="00703994">
            <w:pPr>
              <w:spacing w:after="0" w:line="240" w:lineRule="auto"/>
              <w:jc w:val="right"/>
              <w:rPr>
                <w:sz w:val="20"/>
                <w:szCs w:val="20"/>
                <w:lang w:val="en-GB"/>
              </w:rPr>
            </w:pPr>
            <w:r w:rsidRPr="00703994">
              <w:rPr>
                <w:sz w:val="20"/>
                <w:szCs w:val="20"/>
                <w:lang w:val="en-GB"/>
              </w:rPr>
              <w:t>7</w:t>
            </w:r>
            <w:r w:rsidR="00703994" w:rsidRPr="00703994">
              <w:rPr>
                <w:sz w:val="20"/>
                <w:szCs w:val="20"/>
                <w:lang w:val="en-GB"/>
              </w:rPr>
              <w:t>,</w:t>
            </w:r>
            <w:r w:rsidRPr="00703994">
              <w:rPr>
                <w:sz w:val="20"/>
                <w:szCs w:val="20"/>
                <w:lang w:val="en-GB"/>
              </w:rPr>
              <w:t>675</w:t>
            </w:r>
            <w:r w:rsidR="00703994" w:rsidRPr="00703994">
              <w:rPr>
                <w:sz w:val="20"/>
                <w:szCs w:val="20"/>
                <w:lang w:val="en-GB"/>
              </w:rPr>
              <w:t>,</w:t>
            </w:r>
            <w:r w:rsidRPr="00703994">
              <w:rPr>
                <w:sz w:val="20"/>
                <w:szCs w:val="20"/>
                <w:lang w:val="en-GB"/>
              </w:rPr>
              <w:t>264</w:t>
            </w:r>
            <w:r w:rsidR="00703994" w:rsidRPr="00703994">
              <w:rPr>
                <w:sz w:val="20"/>
                <w:szCs w:val="20"/>
                <w:lang w:val="en-GB"/>
              </w:rPr>
              <w:t>.</w:t>
            </w:r>
            <w:r w:rsidRPr="00703994">
              <w:rPr>
                <w:sz w:val="20"/>
                <w:szCs w:val="20"/>
                <w:lang w:val="en-GB"/>
              </w:rPr>
              <w:t>00</w:t>
            </w:r>
          </w:p>
        </w:tc>
        <w:tc>
          <w:tcPr>
            <w:tcW w:w="1473" w:type="dxa"/>
            <w:tcBorders>
              <w:top w:val="single" w:sz="4" w:space="0" w:color="auto"/>
              <w:left w:val="single" w:sz="4" w:space="0" w:color="auto"/>
              <w:bottom w:val="single" w:sz="4" w:space="0" w:color="auto"/>
              <w:right w:val="single" w:sz="4" w:space="0" w:color="auto"/>
            </w:tcBorders>
          </w:tcPr>
          <w:p w14:paraId="1D3717C5" w14:textId="77777777" w:rsidR="00CA1D81" w:rsidRPr="00703994" w:rsidRDefault="00CA1D81" w:rsidP="00703994">
            <w:pPr>
              <w:spacing w:after="0" w:line="240" w:lineRule="auto"/>
              <w:jc w:val="right"/>
              <w:rPr>
                <w:sz w:val="20"/>
                <w:szCs w:val="20"/>
                <w:lang w:val="en-GB"/>
              </w:rPr>
            </w:pPr>
            <w:r w:rsidRPr="00703994">
              <w:rPr>
                <w:sz w:val="20"/>
                <w:szCs w:val="20"/>
                <w:lang w:val="en-GB"/>
              </w:rPr>
              <w:t>7</w:t>
            </w:r>
            <w:r w:rsidR="00703994" w:rsidRPr="00703994">
              <w:rPr>
                <w:sz w:val="20"/>
                <w:szCs w:val="20"/>
                <w:lang w:val="en-GB"/>
              </w:rPr>
              <w:t>,</w:t>
            </w:r>
            <w:r w:rsidRPr="00703994">
              <w:rPr>
                <w:sz w:val="20"/>
                <w:szCs w:val="20"/>
                <w:lang w:val="en-GB"/>
              </w:rPr>
              <w:t>675</w:t>
            </w:r>
            <w:r w:rsidR="00703994" w:rsidRPr="00703994">
              <w:rPr>
                <w:sz w:val="20"/>
                <w:szCs w:val="20"/>
                <w:lang w:val="en-GB"/>
              </w:rPr>
              <w:t>,</w:t>
            </w:r>
            <w:r w:rsidRPr="00703994">
              <w:rPr>
                <w:sz w:val="20"/>
                <w:szCs w:val="20"/>
                <w:lang w:val="en-GB"/>
              </w:rPr>
              <w:t>264</w:t>
            </w:r>
            <w:r w:rsidR="00703994" w:rsidRPr="00703994">
              <w:rPr>
                <w:sz w:val="20"/>
                <w:szCs w:val="20"/>
                <w:lang w:val="en-GB"/>
              </w:rPr>
              <w:t>.</w:t>
            </w:r>
            <w:r w:rsidRPr="00703994">
              <w:rPr>
                <w:sz w:val="20"/>
                <w:szCs w:val="20"/>
                <w:lang w:val="en-GB"/>
              </w:rPr>
              <w:t>00</w:t>
            </w:r>
          </w:p>
        </w:tc>
        <w:tc>
          <w:tcPr>
            <w:tcW w:w="1473" w:type="dxa"/>
            <w:tcBorders>
              <w:top w:val="single" w:sz="4" w:space="0" w:color="auto"/>
              <w:left w:val="single" w:sz="4" w:space="0" w:color="auto"/>
              <w:bottom w:val="single" w:sz="4" w:space="0" w:color="auto"/>
              <w:right w:val="single" w:sz="4" w:space="0" w:color="auto"/>
            </w:tcBorders>
          </w:tcPr>
          <w:p w14:paraId="6597952A" w14:textId="77777777" w:rsidR="00CA1D81" w:rsidRPr="00703994" w:rsidRDefault="00CA1D81" w:rsidP="00703994">
            <w:pPr>
              <w:spacing w:after="0"/>
              <w:jc w:val="right"/>
              <w:rPr>
                <w:sz w:val="20"/>
                <w:szCs w:val="20"/>
                <w:lang w:val="en-GB"/>
              </w:rPr>
            </w:pPr>
            <w:r w:rsidRPr="00703994">
              <w:rPr>
                <w:sz w:val="20"/>
                <w:szCs w:val="20"/>
                <w:lang w:val="en-GB"/>
              </w:rPr>
              <w:t>7</w:t>
            </w:r>
            <w:r w:rsidR="00703994" w:rsidRPr="00703994">
              <w:rPr>
                <w:sz w:val="20"/>
                <w:szCs w:val="20"/>
                <w:lang w:val="en-GB"/>
              </w:rPr>
              <w:t>,</w:t>
            </w:r>
            <w:r w:rsidRPr="00703994">
              <w:rPr>
                <w:sz w:val="20"/>
                <w:szCs w:val="20"/>
                <w:lang w:val="en-GB"/>
              </w:rPr>
              <w:t>675</w:t>
            </w:r>
            <w:r w:rsidR="00703994" w:rsidRPr="00703994">
              <w:rPr>
                <w:sz w:val="20"/>
                <w:szCs w:val="20"/>
                <w:lang w:val="en-GB"/>
              </w:rPr>
              <w:t>,</w:t>
            </w:r>
            <w:r w:rsidRPr="00703994">
              <w:rPr>
                <w:sz w:val="20"/>
                <w:szCs w:val="20"/>
                <w:lang w:val="en-GB"/>
              </w:rPr>
              <w:t>264</w:t>
            </w:r>
            <w:r w:rsidR="00703994" w:rsidRPr="00703994">
              <w:rPr>
                <w:sz w:val="20"/>
                <w:szCs w:val="20"/>
                <w:lang w:val="en-GB"/>
              </w:rPr>
              <w:t>.</w:t>
            </w:r>
            <w:r w:rsidRPr="00703994">
              <w:rPr>
                <w:sz w:val="20"/>
                <w:szCs w:val="20"/>
                <w:lang w:val="en-GB"/>
              </w:rPr>
              <w:t>00</w:t>
            </w:r>
          </w:p>
        </w:tc>
        <w:tc>
          <w:tcPr>
            <w:tcW w:w="1473" w:type="dxa"/>
            <w:tcBorders>
              <w:top w:val="single" w:sz="4" w:space="0" w:color="auto"/>
              <w:left w:val="single" w:sz="4" w:space="0" w:color="auto"/>
              <w:bottom w:val="single" w:sz="4" w:space="0" w:color="auto"/>
              <w:right w:val="single" w:sz="4" w:space="0" w:color="auto"/>
            </w:tcBorders>
          </w:tcPr>
          <w:p w14:paraId="034259BB" w14:textId="77777777" w:rsidR="00CA1D81" w:rsidRPr="00703994" w:rsidRDefault="00CA1D81" w:rsidP="00703994">
            <w:pPr>
              <w:spacing w:after="0"/>
              <w:jc w:val="right"/>
              <w:rPr>
                <w:sz w:val="20"/>
                <w:szCs w:val="20"/>
                <w:lang w:val="en-GB"/>
              </w:rPr>
            </w:pPr>
            <w:r w:rsidRPr="00703994">
              <w:rPr>
                <w:sz w:val="20"/>
                <w:szCs w:val="20"/>
                <w:lang w:val="en-GB"/>
              </w:rPr>
              <w:t>7</w:t>
            </w:r>
            <w:r w:rsidR="00703994" w:rsidRPr="00703994">
              <w:rPr>
                <w:sz w:val="20"/>
                <w:szCs w:val="20"/>
                <w:lang w:val="en-GB"/>
              </w:rPr>
              <w:t>,</w:t>
            </w:r>
            <w:r w:rsidRPr="00703994">
              <w:rPr>
                <w:sz w:val="20"/>
                <w:szCs w:val="20"/>
                <w:lang w:val="en-GB"/>
              </w:rPr>
              <w:t>675</w:t>
            </w:r>
            <w:r w:rsidR="00703994" w:rsidRPr="00703994">
              <w:rPr>
                <w:sz w:val="20"/>
                <w:szCs w:val="20"/>
                <w:lang w:val="en-GB"/>
              </w:rPr>
              <w:t>,</w:t>
            </w:r>
            <w:r w:rsidRPr="00703994">
              <w:rPr>
                <w:sz w:val="20"/>
                <w:szCs w:val="20"/>
                <w:lang w:val="en-GB"/>
              </w:rPr>
              <w:t>264</w:t>
            </w:r>
            <w:r w:rsidR="00703994" w:rsidRPr="00703994">
              <w:rPr>
                <w:sz w:val="20"/>
                <w:szCs w:val="20"/>
                <w:lang w:val="en-GB"/>
              </w:rPr>
              <w:t>.</w:t>
            </w:r>
            <w:r w:rsidRPr="00703994">
              <w:rPr>
                <w:sz w:val="20"/>
                <w:szCs w:val="20"/>
                <w:lang w:val="en-GB"/>
              </w:rPr>
              <w:t>00</w:t>
            </w:r>
          </w:p>
        </w:tc>
        <w:tc>
          <w:tcPr>
            <w:tcW w:w="1473" w:type="dxa"/>
            <w:tcBorders>
              <w:top w:val="single" w:sz="4" w:space="0" w:color="auto"/>
              <w:left w:val="single" w:sz="4" w:space="0" w:color="auto"/>
              <w:bottom w:val="single" w:sz="4" w:space="0" w:color="auto"/>
              <w:right w:val="single" w:sz="4" w:space="0" w:color="auto"/>
            </w:tcBorders>
          </w:tcPr>
          <w:p w14:paraId="23791CDF" w14:textId="77777777" w:rsidR="00CA1D81" w:rsidRPr="00703994" w:rsidRDefault="00CA1D81" w:rsidP="00703994">
            <w:pPr>
              <w:spacing w:after="0"/>
              <w:jc w:val="right"/>
              <w:rPr>
                <w:sz w:val="20"/>
                <w:szCs w:val="20"/>
                <w:lang w:val="en-GB"/>
              </w:rPr>
            </w:pPr>
            <w:r w:rsidRPr="00703994">
              <w:rPr>
                <w:sz w:val="20"/>
                <w:szCs w:val="20"/>
                <w:lang w:val="en-GB"/>
              </w:rPr>
              <w:t>7</w:t>
            </w:r>
            <w:r w:rsidR="00703994" w:rsidRPr="00703994">
              <w:rPr>
                <w:sz w:val="20"/>
                <w:szCs w:val="20"/>
                <w:lang w:val="en-GB"/>
              </w:rPr>
              <w:t>,</w:t>
            </w:r>
            <w:r w:rsidRPr="00703994">
              <w:rPr>
                <w:sz w:val="20"/>
                <w:szCs w:val="20"/>
                <w:lang w:val="en-GB"/>
              </w:rPr>
              <w:t>675</w:t>
            </w:r>
            <w:r w:rsidR="00703994" w:rsidRPr="00703994">
              <w:rPr>
                <w:sz w:val="20"/>
                <w:szCs w:val="20"/>
                <w:lang w:val="en-GB"/>
              </w:rPr>
              <w:t>,</w:t>
            </w:r>
            <w:r w:rsidRPr="00703994">
              <w:rPr>
                <w:sz w:val="20"/>
                <w:szCs w:val="20"/>
                <w:lang w:val="en-GB"/>
              </w:rPr>
              <w:t>264</w:t>
            </w:r>
            <w:r w:rsidR="00703994" w:rsidRPr="00703994">
              <w:rPr>
                <w:sz w:val="20"/>
                <w:szCs w:val="20"/>
                <w:lang w:val="en-GB"/>
              </w:rPr>
              <w:t>.</w:t>
            </w:r>
            <w:r w:rsidRPr="00703994">
              <w:rPr>
                <w:sz w:val="20"/>
                <w:szCs w:val="20"/>
                <w:lang w:val="en-GB"/>
              </w:rPr>
              <w:t>00</w:t>
            </w:r>
          </w:p>
        </w:tc>
      </w:tr>
      <w:tr w:rsidR="00CA1D81" w:rsidRPr="00C84D97" w14:paraId="61C93522" w14:textId="77777777" w:rsidTr="00AD5BFF">
        <w:trPr>
          <w:trHeight w:val="268"/>
        </w:trPr>
        <w:tc>
          <w:tcPr>
            <w:tcW w:w="1752" w:type="dxa"/>
            <w:tcBorders>
              <w:top w:val="single" w:sz="4" w:space="0" w:color="auto"/>
              <w:left w:val="single" w:sz="4" w:space="0" w:color="auto"/>
              <w:bottom w:val="single" w:sz="4" w:space="0" w:color="auto"/>
              <w:right w:val="single" w:sz="4" w:space="0" w:color="auto"/>
            </w:tcBorders>
          </w:tcPr>
          <w:p w14:paraId="7FF14E36" w14:textId="77777777" w:rsidR="00CA1D81" w:rsidRPr="00C84D97" w:rsidRDefault="00DF101C" w:rsidP="00AD5BFF">
            <w:pPr>
              <w:tabs>
                <w:tab w:val="left" w:pos="1152"/>
              </w:tabs>
              <w:spacing w:after="0" w:line="240" w:lineRule="auto"/>
              <w:rPr>
                <w:rFonts w:eastAsia="Times New Roman"/>
                <w:sz w:val="20"/>
                <w:szCs w:val="20"/>
                <w:lang w:val="en-GB"/>
              </w:rPr>
            </w:pPr>
            <w:r w:rsidRPr="00C84D97">
              <w:rPr>
                <w:rFonts w:eastAsia="Times New Roman"/>
                <w:sz w:val="20"/>
                <w:szCs w:val="20"/>
                <w:lang w:val="en-GB"/>
              </w:rPr>
              <w:t xml:space="preserve">Czech </w:t>
            </w:r>
          </w:p>
        </w:tc>
        <w:tc>
          <w:tcPr>
            <w:tcW w:w="1473" w:type="dxa"/>
            <w:tcBorders>
              <w:top w:val="single" w:sz="4" w:space="0" w:color="auto"/>
              <w:left w:val="single" w:sz="4" w:space="0" w:color="auto"/>
              <w:bottom w:val="single" w:sz="4" w:space="0" w:color="auto"/>
              <w:right w:val="single" w:sz="4" w:space="0" w:color="auto"/>
            </w:tcBorders>
          </w:tcPr>
          <w:p w14:paraId="67527B28" w14:textId="77777777" w:rsidR="00CA1D81" w:rsidRPr="00C84D97" w:rsidRDefault="00CA1D81" w:rsidP="00703994">
            <w:pPr>
              <w:spacing w:after="0" w:line="240" w:lineRule="auto"/>
              <w:jc w:val="right"/>
              <w:rPr>
                <w:sz w:val="20"/>
                <w:szCs w:val="20"/>
                <w:lang w:val="en-GB"/>
              </w:rPr>
            </w:pPr>
            <w:r w:rsidRPr="00C84D97">
              <w:rPr>
                <w:sz w:val="20"/>
                <w:szCs w:val="20"/>
                <w:lang w:val="en-GB"/>
              </w:rPr>
              <w:t>4</w:t>
            </w:r>
            <w:r w:rsidR="00703994" w:rsidRPr="00C84D97">
              <w:rPr>
                <w:sz w:val="20"/>
                <w:szCs w:val="20"/>
                <w:lang w:val="en-GB"/>
              </w:rPr>
              <w:t>,</w:t>
            </w:r>
            <w:r w:rsidRPr="00C84D97">
              <w:rPr>
                <w:sz w:val="20"/>
                <w:szCs w:val="20"/>
                <w:lang w:val="en-GB"/>
              </w:rPr>
              <w:t>037</w:t>
            </w:r>
            <w:r w:rsidR="00703994" w:rsidRPr="00C84D97">
              <w:rPr>
                <w:sz w:val="20"/>
                <w:szCs w:val="20"/>
                <w:lang w:val="en-GB"/>
              </w:rPr>
              <w:t>,</w:t>
            </w:r>
            <w:r w:rsidRPr="00C84D97">
              <w:rPr>
                <w:sz w:val="20"/>
                <w:szCs w:val="20"/>
                <w:lang w:val="en-GB"/>
              </w:rPr>
              <w:t>175</w:t>
            </w:r>
            <w:r w:rsidR="00703994" w:rsidRPr="00C84D97">
              <w:rPr>
                <w:sz w:val="20"/>
                <w:szCs w:val="20"/>
                <w:lang w:val="en-GB"/>
              </w:rPr>
              <w:t>.</w:t>
            </w:r>
            <w:r w:rsidRPr="00C84D97">
              <w:rPr>
                <w:sz w:val="20"/>
                <w:szCs w:val="20"/>
                <w:lang w:val="en-GB"/>
              </w:rPr>
              <w:t>00</w:t>
            </w:r>
          </w:p>
        </w:tc>
        <w:tc>
          <w:tcPr>
            <w:tcW w:w="1473" w:type="dxa"/>
            <w:tcBorders>
              <w:top w:val="single" w:sz="4" w:space="0" w:color="auto"/>
              <w:left w:val="single" w:sz="4" w:space="0" w:color="auto"/>
              <w:bottom w:val="single" w:sz="4" w:space="0" w:color="auto"/>
              <w:right w:val="single" w:sz="4" w:space="0" w:color="auto"/>
            </w:tcBorders>
          </w:tcPr>
          <w:p w14:paraId="624B8C04" w14:textId="77777777" w:rsidR="00CA1D81" w:rsidRPr="00C84D97" w:rsidRDefault="00CA1D81" w:rsidP="00703994">
            <w:pPr>
              <w:spacing w:after="0" w:line="240" w:lineRule="auto"/>
              <w:jc w:val="right"/>
              <w:rPr>
                <w:sz w:val="20"/>
                <w:szCs w:val="20"/>
                <w:lang w:val="en-GB"/>
              </w:rPr>
            </w:pPr>
            <w:r w:rsidRPr="00C84D97">
              <w:rPr>
                <w:sz w:val="20"/>
                <w:szCs w:val="20"/>
                <w:lang w:val="en-GB"/>
              </w:rPr>
              <w:t>4</w:t>
            </w:r>
            <w:r w:rsidR="00703994" w:rsidRPr="00C84D97">
              <w:rPr>
                <w:sz w:val="20"/>
                <w:szCs w:val="20"/>
                <w:lang w:val="en-GB"/>
              </w:rPr>
              <w:t>,</w:t>
            </w:r>
            <w:r w:rsidRPr="00C84D97">
              <w:rPr>
                <w:sz w:val="20"/>
                <w:szCs w:val="20"/>
                <w:lang w:val="en-GB"/>
              </w:rPr>
              <w:t>037</w:t>
            </w:r>
            <w:r w:rsidR="00703994" w:rsidRPr="00C84D97">
              <w:rPr>
                <w:sz w:val="20"/>
                <w:szCs w:val="20"/>
                <w:lang w:val="en-GB"/>
              </w:rPr>
              <w:t>,</w:t>
            </w:r>
            <w:r w:rsidRPr="00C84D97">
              <w:rPr>
                <w:sz w:val="20"/>
                <w:szCs w:val="20"/>
                <w:lang w:val="en-GB"/>
              </w:rPr>
              <w:t>175</w:t>
            </w:r>
            <w:r w:rsidR="00703994" w:rsidRPr="00C84D97">
              <w:rPr>
                <w:sz w:val="20"/>
                <w:szCs w:val="20"/>
                <w:lang w:val="en-GB"/>
              </w:rPr>
              <w:t>.</w:t>
            </w:r>
            <w:r w:rsidRPr="00C84D97">
              <w:rPr>
                <w:sz w:val="20"/>
                <w:szCs w:val="20"/>
                <w:lang w:val="en-GB"/>
              </w:rPr>
              <w:t>00</w:t>
            </w:r>
          </w:p>
        </w:tc>
        <w:tc>
          <w:tcPr>
            <w:tcW w:w="1473" w:type="dxa"/>
            <w:tcBorders>
              <w:top w:val="single" w:sz="4" w:space="0" w:color="auto"/>
              <w:left w:val="single" w:sz="4" w:space="0" w:color="auto"/>
              <w:bottom w:val="single" w:sz="4" w:space="0" w:color="auto"/>
              <w:right w:val="single" w:sz="4" w:space="0" w:color="auto"/>
            </w:tcBorders>
          </w:tcPr>
          <w:p w14:paraId="0747512B" w14:textId="77777777" w:rsidR="00CA1D81" w:rsidRPr="00C84D97" w:rsidRDefault="00CA1D81" w:rsidP="00C84D97">
            <w:pPr>
              <w:spacing w:after="0"/>
              <w:jc w:val="right"/>
              <w:rPr>
                <w:sz w:val="20"/>
                <w:szCs w:val="20"/>
                <w:lang w:val="en-GB"/>
              </w:rPr>
            </w:pPr>
            <w:r w:rsidRPr="00C84D97">
              <w:rPr>
                <w:sz w:val="20"/>
                <w:szCs w:val="20"/>
                <w:lang w:val="en-GB"/>
              </w:rPr>
              <w:t>4</w:t>
            </w:r>
            <w:r w:rsidR="00C84D97" w:rsidRPr="00C84D97">
              <w:rPr>
                <w:sz w:val="20"/>
                <w:szCs w:val="20"/>
                <w:lang w:val="en-GB"/>
              </w:rPr>
              <w:t>,</w:t>
            </w:r>
            <w:r w:rsidRPr="00C84D97">
              <w:rPr>
                <w:sz w:val="20"/>
                <w:szCs w:val="20"/>
                <w:lang w:val="en-GB"/>
              </w:rPr>
              <w:t>037</w:t>
            </w:r>
            <w:r w:rsidR="00C84D97" w:rsidRPr="00C84D97">
              <w:rPr>
                <w:sz w:val="20"/>
                <w:szCs w:val="20"/>
                <w:lang w:val="en-GB"/>
              </w:rPr>
              <w:t>,</w:t>
            </w:r>
            <w:r w:rsidRPr="00C84D97">
              <w:rPr>
                <w:sz w:val="20"/>
                <w:szCs w:val="20"/>
                <w:lang w:val="en-GB"/>
              </w:rPr>
              <w:t>175</w:t>
            </w:r>
            <w:r w:rsidR="00C84D97" w:rsidRPr="00C84D97">
              <w:rPr>
                <w:sz w:val="20"/>
                <w:szCs w:val="20"/>
                <w:lang w:val="en-GB"/>
              </w:rPr>
              <w:t>.</w:t>
            </w:r>
            <w:r w:rsidRPr="00C84D97">
              <w:rPr>
                <w:sz w:val="20"/>
                <w:szCs w:val="20"/>
                <w:lang w:val="en-GB"/>
              </w:rPr>
              <w:t>00</w:t>
            </w:r>
          </w:p>
        </w:tc>
        <w:tc>
          <w:tcPr>
            <w:tcW w:w="1473" w:type="dxa"/>
            <w:tcBorders>
              <w:top w:val="single" w:sz="4" w:space="0" w:color="auto"/>
              <w:left w:val="single" w:sz="4" w:space="0" w:color="auto"/>
              <w:bottom w:val="single" w:sz="4" w:space="0" w:color="auto"/>
              <w:right w:val="single" w:sz="4" w:space="0" w:color="auto"/>
            </w:tcBorders>
          </w:tcPr>
          <w:p w14:paraId="56019EAF" w14:textId="77777777" w:rsidR="00CA1D81" w:rsidRPr="00C84D97" w:rsidRDefault="00CA1D81" w:rsidP="00C84D97">
            <w:pPr>
              <w:spacing w:after="0"/>
              <w:jc w:val="right"/>
              <w:rPr>
                <w:sz w:val="20"/>
                <w:szCs w:val="20"/>
                <w:lang w:val="en-GB"/>
              </w:rPr>
            </w:pPr>
            <w:r w:rsidRPr="00C84D97">
              <w:rPr>
                <w:sz w:val="20"/>
                <w:szCs w:val="20"/>
                <w:lang w:val="en-GB"/>
              </w:rPr>
              <w:t>4</w:t>
            </w:r>
            <w:r w:rsidR="00C84D97" w:rsidRPr="00C84D97">
              <w:rPr>
                <w:sz w:val="20"/>
                <w:szCs w:val="20"/>
                <w:lang w:val="en-GB"/>
              </w:rPr>
              <w:t>,</w:t>
            </w:r>
            <w:r w:rsidRPr="00C84D97">
              <w:rPr>
                <w:sz w:val="20"/>
                <w:szCs w:val="20"/>
                <w:lang w:val="en-GB"/>
              </w:rPr>
              <w:t>037</w:t>
            </w:r>
            <w:r w:rsidR="00C84D97" w:rsidRPr="00C84D97">
              <w:rPr>
                <w:sz w:val="20"/>
                <w:szCs w:val="20"/>
                <w:lang w:val="en-GB"/>
              </w:rPr>
              <w:t>,</w:t>
            </w:r>
            <w:r w:rsidRPr="00C84D97">
              <w:rPr>
                <w:sz w:val="20"/>
                <w:szCs w:val="20"/>
                <w:lang w:val="en-GB"/>
              </w:rPr>
              <w:t>175</w:t>
            </w:r>
            <w:r w:rsidR="00C84D97" w:rsidRPr="00C84D97">
              <w:rPr>
                <w:sz w:val="20"/>
                <w:szCs w:val="20"/>
                <w:lang w:val="en-GB"/>
              </w:rPr>
              <w:t>.</w:t>
            </w:r>
            <w:r w:rsidRPr="00C84D97">
              <w:rPr>
                <w:sz w:val="20"/>
                <w:szCs w:val="20"/>
                <w:lang w:val="en-GB"/>
              </w:rPr>
              <w:t>00</w:t>
            </w:r>
          </w:p>
        </w:tc>
        <w:tc>
          <w:tcPr>
            <w:tcW w:w="1473" w:type="dxa"/>
            <w:tcBorders>
              <w:top w:val="single" w:sz="4" w:space="0" w:color="auto"/>
              <w:left w:val="single" w:sz="4" w:space="0" w:color="auto"/>
              <w:bottom w:val="single" w:sz="4" w:space="0" w:color="auto"/>
              <w:right w:val="single" w:sz="4" w:space="0" w:color="auto"/>
            </w:tcBorders>
          </w:tcPr>
          <w:p w14:paraId="17318508" w14:textId="77777777" w:rsidR="00CA1D81" w:rsidRPr="00C84D97" w:rsidRDefault="00CA1D81" w:rsidP="00C84D97">
            <w:pPr>
              <w:spacing w:after="0"/>
              <w:jc w:val="right"/>
              <w:rPr>
                <w:sz w:val="20"/>
                <w:szCs w:val="20"/>
                <w:lang w:val="en-GB"/>
              </w:rPr>
            </w:pPr>
            <w:r w:rsidRPr="00C84D97">
              <w:rPr>
                <w:sz w:val="20"/>
                <w:szCs w:val="20"/>
                <w:lang w:val="en-GB"/>
              </w:rPr>
              <w:t>4</w:t>
            </w:r>
            <w:r w:rsidR="00C84D97" w:rsidRPr="00C84D97">
              <w:rPr>
                <w:sz w:val="20"/>
                <w:szCs w:val="20"/>
                <w:lang w:val="en-GB"/>
              </w:rPr>
              <w:t>,</w:t>
            </w:r>
            <w:r w:rsidRPr="00C84D97">
              <w:rPr>
                <w:sz w:val="20"/>
                <w:szCs w:val="20"/>
                <w:lang w:val="en-GB"/>
              </w:rPr>
              <w:t>037</w:t>
            </w:r>
            <w:r w:rsidR="00C84D97" w:rsidRPr="00C84D97">
              <w:rPr>
                <w:sz w:val="20"/>
                <w:szCs w:val="20"/>
                <w:lang w:val="en-GB"/>
              </w:rPr>
              <w:t>,</w:t>
            </w:r>
            <w:r w:rsidRPr="00C84D97">
              <w:rPr>
                <w:sz w:val="20"/>
                <w:szCs w:val="20"/>
                <w:lang w:val="en-GB"/>
              </w:rPr>
              <w:t>175</w:t>
            </w:r>
            <w:r w:rsidR="00C84D97" w:rsidRPr="00C84D97">
              <w:rPr>
                <w:sz w:val="20"/>
                <w:szCs w:val="20"/>
                <w:lang w:val="en-GB"/>
              </w:rPr>
              <w:t>.</w:t>
            </w:r>
            <w:r w:rsidRPr="00C84D97">
              <w:rPr>
                <w:sz w:val="20"/>
                <w:szCs w:val="20"/>
                <w:lang w:val="en-GB"/>
              </w:rPr>
              <w:t>00</w:t>
            </w:r>
          </w:p>
        </w:tc>
      </w:tr>
      <w:tr w:rsidR="00CA1D81" w:rsidRPr="00D62D04" w14:paraId="18A59A11" w14:textId="77777777" w:rsidTr="00AD5BFF">
        <w:trPr>
          <w:trHeight w:val="268"/>
        </w:trPr>
        <w:tc>
          <w:tcPr>
            <w:tcW w:w="1752" w:type="dxa"/>
            <w:tcBorders>
              <w:top w:val="single" w:sz="4" w:space="0" w:color="auto"/>
              <w:left w:val="single" w:sz="4" w:space="0" w:color="auto"/>
              <w:bottom w:val="single" w:sz="4" w:space="0" w:color="auto"/>
              <w:right w:val="single" w:sz="4" w:space="0" w:color="auto"/>
            </w:tcBorders>
          </w:tcPr>
          <w:p w14:paraId="7F084026" w14:textId="77777777" w:rsidR="00CA1D81" w:rsidRPr="00C84D97" w:rsidRDefault="00DF101C" w:rsidP="00AD5BFF">
            <w:pPr>
              <w:tabs>
                <w:tab w:val="left" w:pos="1152"/>
              </w:tabs>
              <w:spacing w:after="0" w:line="240" w:lineRule="auto"/>
              <w:rPr>
                <w:rFonts w:eastAsia="Times New Roman"/>
                <w:b/>
                <w:sz w:val="20"/>
                <w:szCs w:val="20"/>
                <w:lang w:val="en-GB"/>
              </w:rPr>
            </w:pPr>
            <w:r w:rsidRPr="00C84D97">
              <w:rPr>
                <w:rFonts w:eastAsia="Times New Roman"/>
                <w:b/>
                <w:sz w:val="20"/>
                <w:szCs w:val="20"/>
                <w:lang w:val="en-GB"/>
              </w:rPr>
              <w:t xml:space="preserve">Total </w:t>
            </w:r>
          </w:p>
        </w:tc>
        <w:tc>
          <w:tcPr>
            <w:tcW w:w="1473" w:type="dxa"/>
            <w:tcBorders>
              <w:top w:val="single" w:sz="4" w:space="0" w:color="auto"/>
              <w:left w:val="single" w:sz="4" w:space="0" w:color="auto"/>
              <w:bottom w:val="single" w:sz="4" w:space="0" w:color="auto"/>
              <w:right w:val="single" w:sz="4" w:space="0" w:color="auto"/>
            </w:tcBorders>
          </w:tcPr>
          <w:p w14:paraId="7A91FA19" w14:textId="77777777" w:rsidR="00CA1D81" w:rsidRPr="00C84D97" w:rsidRDefault="00CA1D81" w:rsidP="00703994">
            <w:pPr>
              <w:spacing w:after="0" w:line="240" w:lineRule="auto"/>
              <w:jc w:val="right"/>
              <w:rPr>
                <w:b/>
                <w:sz w:val="20"/>
                <w:szCs w:val="20"/>
                <w:lang w:val="en-GB"/>
              </w:rPr>
            </w:pPr>
            <w:r w:rsidRPr="00C84D97">
              <w:rPr>
                <w:b/>
                <w:sz w:val="20"/>
                <w:szCs w:val="20"/>
                <w:lang w:val="en-GB"/>
              </w:rPr>
              <w:t>245</w:t>
            </w:r>
            <w:r w:rsidR="00703994" w:rsidRPr="00C84D97">
              <w:rPr>
                <w:b/>
                <w:sz w:val="20"/>
                <w:szCs w:val="20"/>
                <w:lang w:val="en-GB"/>
              </w:rPr>
              <w:t>,</w:t>
            </w:r>
            <w:r w:rsidRPr="00C84D97">
              <w:rPr>
                <w:b/>
                <w:sz w:val="20"/>
                <w:szCs w:val="20"/>
                <w:lang w:val="en-GB"/>
              </w:rPr>
              <w:t>000</w:t>
            </w:r>
            <w:r w:rsidR="00703994" w:rsidRPr="00C84D97">
              <w:rPr>
                <w:b/>
                <w:sz w:val="20"/>
                <w:szCs w:val="20"/>
                <w:lang w:val="en-GB"/>
              </w:rPr>
              <w:t>,</w:t>
            </w:r>
            <w:r w:rsidRPr="00C84D97">
              <w:rPr>
                <w:b/>
                <w:sz w:val="20"/>
                <w:szCs w:val="20"/>
                <w:lang w:val="en-GB"/>
              </w:rPr>
              <w:t>000</w:t>
            </w:r>
            <w:r w:rsidR="00703994" w:rsidRPr="00C84D97">
              <w:rPr>
                <w:b/>
                <w:sz w:val="20"/>
                <w:szCs w:val="20"/>
                <w:lang w:val="en-GB"/>
              </w:rPr>
              <w:t>.</w:t>
            </w:r>
            <w:r w:rsidRPr="00C84D97">
              <w:rPr>
                <w:b/>
                <w:sz w:val="20"/>
                <w:szCs w:val="20"/>
                <w:lang w:val="en-GB"/>
              </w:rPr>
              <w:t>00</w:t>
            </w:r>
          </w:p>
        </w:tc>
        <w:tc>
          <w:tcPr>
            <w:tcW w:w="1473" w:type="dxa"/>
            <w:tcBorders>
              <w:top w:val="single" w:sz="4" w:space="0" w:color="auto"/>
              <w:left w:val="single" w:sz="4" w:space="0" w:color="auto"/>
              <w:bottom w:val="single" w:sz="4" w:space="0" w:color="auto"/>
              <w:right w:val="single" w:sz="4" w:space="0" w:color="auto"/>
            </w:tcBorders>
          </w:tcPr>
          <w:p w14:paraId="4D347A81" w14:textId="77777777" w:rsidR="00CA1D81" w:rsidRPr="00C84D97" w:rsidRDefault="00CA1D81" w:rsidP="00703994">
            <w:pPr>
              <w:spacing w:after="0" w:line="240" w:lineRule="auto"/>
              <w:jc w:val="right"/>
              <w:rPr>
                <w:b/>
                <w:sz w:val="20"/>
                <w:szCs w:val="20"/>
                <w:lang w:val="en-GB"/>
              </w:rPr>
            </w:pPr>
            <w:r w:rsidRPr="00C84D97">
              <w:rPr>
                <w:b/>
                <w:sz w:val="20"/>
                <w:szCs w:val="20"/>
                <w:lang w:val="en-GB"/>
              </w:rPr>
              <w:t>245</w:t>
            </w:r>
            <w:r w:rsidR="00703994" w:rsidRPr="00C84D97">
              <w:rPr>
                <w:b/>
                <w:sz w:val="20"/>
                <w:szCs w:val="20"/>
                <w:lang w:val="en-GB"/>
              </w:rPr>
              <w:t>,</w:t>
            </w:r>
            <w:r w:rsidRPr="00C84D97">
              <w:rPr>
                <w:b/>
                <w:sz w:val="20"/>
                <w:szCs w:val="20"/>
                <w:lang w:val="en-GB"/>
              </w:rPr>
              <w:t>000</w:t>
            </w:r>
            <w:r w:rsidR="00703994" w:rsidRPr="00C84D97">
              <w:rPr>
                <w:b/>
                <w:sz w:val="20"/>
                <w:szCs w:val="20"/>
                <w:lang w:val="en-GB"/>
              </w:rPr>
              <w:t>,</w:t>
            </w:r>
            <w:r w:rsidRPr="00C84D97">
              <w:rPr>
                <w:b/>
                <w:sz w:val="20"/>
                <w:szCs w:val="20"/>
                <w:lang w:val="en-GB"/>
              </w:rPr>
              <w:t>000</w:t>
            </w:r>
            <w:r w:rsidR="00703994" w:rsidRPr="00C84D97">
              <w:rPr>
                <w:b/>
                <w:sz w:val="20"/>
                <w:szCs w:val="20"/>
                <w:lang w:val="en-GB"/>
              </w:rPr>
              <w:t>.</w:t>
            </w:r>
            <w:r w:rsidRPr="00C84D97">
              <w:rPr>
                <w:b/>
                <w:sz w:val="20"/>
                <w:szCs w:val="20"/>
                <w:lang w:val="en-GB"/>
              </w:rPr>
              <w:t>00</w:t>
            </w:r>
          </w:p>
        </w:tc>
        <w:tc>
          <w:tcPr>
            <w:tcW w:w="1473" w:type="dxa"/>
            <w:tcBorders>
              <w:top w:val="single" w:sz="4" w:space="0" w:color="auto"/>
              <w:left w:val="single" w:sz="4" w:space="0" w:color="auto"/>
              <w:bottom w:val="single" w:sz="4" w:space="0" w:color="auto"/>
              <w:right w:val="single" w:sz="4" w:space="0" w:color="auto"/>
            </w:tcBorders>
          </w:tcPr>
          <w:p w14:paraId="714C9694" w14:textId="77777777" w:rsidR="00CA1D81" w:rsidRPr="00C84D97" w:rsidRDefault="00CA1D81" w:rsidP="00C84D97">
            <w:pPr>
              <w:spacing w:after="0"/>
              <w:jc w:val="right"/>
              <w:rPr>
                <w:b/>
                <w:sz w:val="20"/>
                <w:szCs w:val="20"/>
                <w:lang w:val="en-GB"/>
              </w:rPr>
            </w:pPr>
            <w:r w:rsidRPr="00C84D97">
              <w:rPr>
                <w:b/>
                <w:sz w:val="20"/>
                <w:szCs w:val="20"/>
                <w:lang w:val="en-GB"/>
              </w:rPr>
              <w:t>249</w:t>
            </w:r>
            <w:r w:rsidR="00C84D97" w:rsidRPr="00C84D97">
              <w:rPr>
                <w:b/>
                <w:sz w:val="20"/>
                <w:szCs w:val="20"/>
                <w:lang w:val="en-GB"/>
              </w:rPr>
              <w:t>,</w:t>
            </w:r>
            <w:r w:rsidRPr="00C84D97">
              <w:rPr>
                <w:b/>
                <w:sz w:val="20"/>
                <w:szCs w:val="20"/>
                <w:lang w:val="en-GB"/>
              </w:rPr>
              <w:t>804</w:t>
            </w:r>
            <w:r w:rsidR="00C84D97" w:rsidRPr="00C84D97">
              <w:rPr>
                <w:b/>
                <w:sz w:val="20"/>
                <w:szCs w:val="20"/>
                <w:lang w:val="en-GB"/>
              </w:rPr>
              <w:t>,</w:t>
            </w:r>
            <w:r w:rsidRPr="00C84D97">
              <w:rPr>
                <w:b/>
                <w:sz w:val="20"/>
                <w:szCs w:val="20"/>
                <w:lang w:val="en-GB"/>
              </w:rPr>
              <w:t>065</w:t>
            </w:r>
            <w:r w:rsidR="00C84D97" w:rsidRPr="00C84D97">
              <w:rPr>
                <w:b/>
                <w:sz w:val="20"/>
                <w:szCs w:val="20"/>
                <w:lang w:val="en-GB"/>
              </w:rPr>
              <w:t>.</w:t>
            </w:r>
            <w:r w:rsidRPr="00C84D97">
              <w:rPr>
                <w:b/>
                <w:sz w:val="20"/>
                <w:szCs w:val="20"/>
                <w:lang w:val="en-GB"/>
              </w:rPr>
              <w:t>00</w:t>
            </w:r>
          </w:p>
        </w:tc>
        <w:tc>
          <w:tcPr>
            <w:tcW w:w="1473" w:type="dxa"/>
            <w:tcBorders>
              <w:top w:val="single" w:sz="4" w:space="0" w:color="auto"/>
              <w:left w:val="single" w:sz="4" w:space="0" w:color="auto"/>
              <w:bottom w:val="single" w:sz="4" w:space="0" w:color="auto"/>
              <w:right w:val="single" w:sz="4" w:space="0" w:color="auto"/>
            </w:tcBorders>
          </w:tcPr>
          <w:p w14:paraId="2239A54D" w14:textId="77777777" w:rsidR="00CA1D81" w:rsidRPr="00C84D97" w:rsidRDefault="00CA1D81" w:rsidP="00C84D97">
            <w:pPr>
              <w:spacing w:after="0"/>
              <w:jc w:val="right"/>
              <w:rPr>
                <w:b/>
                <w:sz w:val="20"/>
                <w:szCs w:val="20"/>
                <w:lang w:val="en-GB"/>
              </w:rPr>
            </w:pPr>
            <w:r w:rsidRPr="00C84D97">
              <w:rPr>
                <w:b/>
                <w:sz w:val="20"/>
                <w:szCs w:val="20"/>
                <w:lang w:val="en-GB"/>
              </w:rPr>
              <w:t>247</w:t>
            </w:r>
            <w:r w:rsidR="00C84D97" w:rsidRPr="00C84D97">
              <w:rPr>
                <w:b/>
                <w:sz w:val="20"/>
                <w:szCs w:val="20"/>
                <w:lang w:val="en-GB"/>
              </w:rPr>
              <w:t>,</w:t>
            </w:r>
            <w:r w:rsidRPr="00C84D97">
              <w:rPr>
                <w:b/>
                <w:sz w:val="20"/>
                <w:szCs w:val="20"/>
                <w:lang w:val="en-GB"/>
              </w:rPr>
              <w:t>955</w:t>
            </w:r>
            <w:r w:rsidR="00C84D97" w:rsidRPr="00C84D97">
              <w:rPr>
                <w:b/>
                <w:sz w:val="20"/>
                <w:szCs w:val="20"/>
                <w:lang w:val="en-GB"/>
              </w:rPr>
              <w:t>,</w:t>
            </w:r>
            <w:r w:rsidRPr="00C84D97">
              <w:rPr>
                <w:b/>
                <w:sz w:val="20"/>
                <w:szCs w:val="20"/>
                <w:lang w:val="en-GB"/>
              </w:rPr>
              <w:t>951</w:t>
            </w:r>
            <w:r w:rsidR="00C84D97" w:rsidRPr="00C84D97">
              <w:rPr>
                <w:b/>
                <w:sz w:val="20"/>
                <w:szCs w:val="20"/>
                <w:lang w:val="en-GB"/>
              </w:rPr>
              <w:t>.</w:t>
            </w:r>
            <w:r w:rsidRPr="00C84D97">
              <w:rPr>
                <w:b/>
                <w:sz w:val="20"/>
                <w:szCs w:val="20"/>
                <w:lang w:val="en-GB"/>
              </w:rPr>
              <w:t>00</w:t>
            </w:r>
          </w:p>
        </w:tc>
        <w:tc>
          <w:tcPr>
            <w:tcW w:w="1473" w:type="dxa"/>
            <w:tcBorders>
              <w:top w:val="single" w:sz="4" w:space="0" w:color="auto"/>
              <w:left w:val="single" w:sz="4" w:space="0" w:color="auto"/>
              <w:bottom w:val="single" w:sz="4" w:space="0" w:color="auto"/>
              <w:right w:val="single" w:sz="4" w:space="0" w:color="auto"/>
            </w:tcBorders>
          </w:tcPr>
          <w:p w14:paraId="1887466E" w14:textId="77777777" w:rsidR="00CA1D81" w:rsidRPr="00C84D97" w:rsidRDefault="00CA1D81" w:rsidP="00C84D97">
            <w:pPr>
              <w:spacing w:after="0"/>
              <w:jc w:val="right"/>
              <w:rPr>
                <w:b/>
                <w:sz w:val="20"/>
                <w:szCs w:val="20"/>
                <w:lang w:val="en-GB"/>
              </w:rPr>
            </w:pPr>
            <w:r w:rsidRPr="00C84D97">
              <w:rPr>
                <w:b/>
                <w:sz w:val="20"/>
                <w:szCs w:val="20"/>
                <w:lang w:val="en-GB"/>
              </w:rPr>
              <w:t>251</w:t>
            </w:r>
            <w:r w:rsidR="00C84D97" w:rsidRPr="00C84D97">
              <w:rPr>
                <w:b/>
                <w:sz w:val="20"/>
                <w:szCs w:val="20"/>
                <w:lang w:val="en-GB"/>
              </w:rPr>
              <w:t>,</w:t>
            </w:r>
            <w:r w:rsidRPr="00C84D97">
              <w:rPr>
                <w:b/>
                <w:sz w:val="20"/>
                <w:szCs w:val="20"/>
                <w:lang w:val="en-GB"/>
              </w:rPr>
              <w:t>344</w:t>
            </w:r>
            <w:r w:rsidR="00C84D97" w:rsidRPr="00C84D97">
              <w:rPr>
                <w:b/>
                <w:sz w:val="20"/>
                <w:szCs w:val="20"/>
                <w:lang w:val="en-GB"/>
              </w:rPr>
              <w:t>,</w:t>
            </w:r>
            <w:r w:rsidRPr="00C84D97">
              <w:rPr>
                <w:b/>
                <w:sz w:val="20"/>
                <w:szCs w:val="20"/>
                <w:lang w:val="en-GB"/>
              </w:rPr>
              <w:t>160</w:t>
            </w:r>
            <w:r w:rsidR="00C84D97" w:rsidRPr="00C84D97">
              <w:rPr>
                <w:b/>
                <w:sz w:val="20"/>
                <w:szCs w:val="20"/>
                <w:lang w:val="en-GB"/>
              </w:rPr>
              <w:t>.</w:t>
            </w:r>
            <w:r w:rsidRPr="00C84D97">
              <w:rPr>
                <w:b/>
                <w:sz w:val="20"/>
                <w:szCs w:val="20"/>
                <w:lang w:val="en-GB"/>
              </w:rPr>
              <w:t>00</w:t>
            </w:r>
          </w:p>
        </w:tc>
      </w:tr>
    </w:tbl>
    <w:p w14:paraId="2414492E" w14:textId="77777777" w:rsidR="00CA1D81" w:rsidRPr="00D62D04" w:rsidRDefault="00CA1D81" w:rsidP="00C82FD1">
      <w:pPr>
        <w:spacing w:after="0"/>
        <w:jc w:val="both"/>
        <w:rPr>
          <w:sz w:val="24"/>
          <w:szCs w:val="24"/>
          <w:highlight w:val="cyan"/>
          <w:lang w:val="en-GB"/>
        </w:rPr>
      </w:pPr>
    </w:p>
    <w:p w14:paraId="39483CBB" w14:textId="77777777" w:rsidR="00CA1D81" w:rsidRPr="00D62D04" w:rsidRDefault="0068735D" w:rsidP="00CA1D81">
      <w:pPr>
        <w:spacing w:after="0"/>
        <w:jc w:val="center"/>
        <w:rPr>
          <w:i/>
          <w:sz w:val="20"/>
          <w:szCs w:val="20"/>
          <w:highlight w:val="cyan"/>
          <w:lang w:val="en-GB"/>
        </w:rPr>
      </w:pPr>
      <w:r w:rsidRPr="0068735D">
        <w:rPr>
          <w:i/>
          <w:sz w:val="20"/>
          <w:szCs w:val="20"/>
          <w:lang w:val="en-GB"/>
        </w:rPr>
        <w:t xml:space="preserve">Funding from the AP </w:t>
      </w:r>
      <w:r>
        <w:rPr>
          <w:i/>
          <w:sz w:val="20"/>
          <w:szCs w:val="20"/>
          <w:lang w:val="en-GB"/>
        </w:rPr>
        <w:t xml:space="preserve">of </w:t>
      </w:r>
      <w:proofErr w:type="spellStart"/>
      <w:r w:rsidRPr="0068735D">
        <w:rPr>
          <w:i/>
          <w:sz w:val="20"/>
          <w:szCs w:val="20"/>
          <w:lang w:val="en-GB"/>
        </w:rPr>
        <w:t>Vojvodina</w:t>
      </w:r>
      <w:proofErr w:type="spellEnd"/>
      <w:r w:rsidRPr="0068735D">
        <w:rPr>
          <w:i/>
          <w:sz w:val="20"/>
          <w:szCs w:val="20"/>
          <w:lang w:val="en-GB"/>
        </w:rPr>
        <w:t xml:space="preserve"> budget</w:t>
      </w:r>
    </w:p>
    <w:tbl>
      <w:tblPr>
        <w:tblW w:w="9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560"/>
        <w:gridCol w:w="1417"/>
        <w:gridCol w:w="1559"/>
        <w:gridCol w:w="1430"/>
        <w:gridCol w:w="1447"/>
      </w:tblGrid>
      <w:tr w:rsidR="0068735D" w:rsidRPr="00D62D04" w14:paraId="06A3C320" w14:textId="77777777" w:rsidTr="000A1007">
        <w:trPr>
          <w:trHeight w:val="144"/>
        </w:trPr>
        <w:tc>
          <w:tcPr>
            <w:tcW w:w="1696" w:type="dxa"/>
            <w:tcBorders>
              <w:top w:val="single" w:sz="4" w:space="0" w:color="auto"/>
              <w:left w:val="single" w:sz="4" w:space="0" w:color="auto"/>
              <w:bottom w:val="single" w:sz="4" w:space="0" w:color="auto"/>
              <w:right w:val="single" w:sz="4" w:space="0" w:color="auto"/>
            </w:tcBorders>
          </w:tcPr>
          <w:p w14:paraId="234EB5AA" w14:textId="77777777" w:rsidR="0068735D" w:rsidRPr="0068735D" w:rsidRDefault="0068735D" w:rsidP="0068735D">
            <w:pPr>
              <w:tabs>
                <w:tab w:val="left" w:pos="1152"/>
              </w:tabs>
              <w:spacing w:after="0" w:line="240" w:lineRule="auto"/>
              <w:jc w:val="center"/>
              <w:rPr>
                <w:rFonts w:eastAsia="Times New Roman"/>
                <w:b/>
                <w:sz w:val="18"/>
                <w:szCs w:val="18"/>
                <w:lang w:val="en-GB"/>
              </w:rPr>
            </w:pPr>
            <w:r w:rsidRPr="0068735D">
              <w:rPr>
                <w:rFonts w:eastAsia="Times New Roman"/>
                <w:b/>
                <w:sz w:val="18"/>
                <w:szCs w:val="18"/>
                <w:lang w:val="en-GB"/>
              </w:rPr>
              <w:t>NATIONAL COUNCIL OF NATIONAL MINORITIES</w:t>
            </w:r>
          </w:p>
        </w:tc>
        <w:tc>
          <w:tcPr>
            <w:tcW w:w="1560" w:type="dxa"/>
            <w:shd w:val="clear" w:color="auto" w:fill="auto"/>
          </w:tcPr>
          <w:p w14:paraId="1D9C0B88" w14:textId="77777777" w:rsidR="0068735D" w:rsidRPr="0068735D" w:rsidRDefault="0068735D" w:rsidP="0068735D">
            <w:pPr>
              <w:tabs>
                <w:tab w:val="left" w:pos="1152"/>
              </w:tabs>
              <w:spacing w:after="0" w:line="240" w:lineRule="auto"/>
              <w:jc w:val="center"/>
              <w:rPr>
                <w:rFonts w:eastAsia="Times New Roman"/>
                <w:b/>
                <w:sz w:val="20"/>
                <w:szCs w:val="20"/>
                <w:lang w:val="en-GB"/>
              </w:rPr>
            </w:pPr>
            <w:r w:rsidRPr="0068735D">
              <w:rPr>
                <w:rFonts w:eastAsia="Times New Roman"/>
                <w:b/>
                <w:sz w:val="20"/>
                <w:szCs w:val="20"/>
                <w:lang w:val="en-GB"/>
              </w:rPr>
              <w:t>2017</w:t>
            </w:r>
          </w:p>
        </w:tc>
        <w:tc>
          <w:tcPr>
            <w:tcW w:w="1417" w:type="dxa"/>
            <w:shd w:val="clear" w:color="auto" w:fill="auto"/>
          </w:tcPr>
          <w:p w14:paraId="067332E8" w14:textId="77777777" w:rsidR="0068735D" w:rsidRPr="0068735D" w:rsidRDefault="0068735D" w:rsidP="0068735D">
            <w:pPr>
              <w:tabs>
                <w:tab w:val="left" w:pos="1152"/>
              </w:tabs>
              <w:spacing w:after="0" w:line="240" w:lineRule="auto"/>
              <w:jc w:val="center"/>
              <w:rPr>
                <w:rFonts w:eastAsia="Times New Roman"/>
                <w:b/>
                <w:sz w:val="20"/>
                <w:szCs w:val="20"/>
                <w:lang w:val="en-GB"/>
              </w:rPr>
            </w:pPr>
            <w:r w:rsidRPr="0068735D">
              <w:rPr>
                <w:rFonts w:eastAsia="Times New Roman"/>
                <w:b/>
                <w:sz w:val="20"/>
                <w:szCs w:val="20"/>
                <w:lang w:val="en-GB"/>
              </w:rPr>
              <w:t>2018</w:t>
            </w:r>
          </w:p>
        </w:tc>
        <w:tc>
          <w:tcPr>
            <w:tcW w:w="1559" w:type="dxa"/>
            <w:shd w:val="clear" w:color="auto" w:fill="auto"/>
          </w:tcPr>
          <w:p w14:paraId="0C74A13C" w14:textId="77777777" w:rsidR="0068735D" w:rsidRPr="0068735D" w:rsidRDefault="0068735D" w:rsidP="0068735D">
            <w:pPr>
              <w:tabs>
                <w:tab w:val="left" w:pos="1152"/>
              </w:tabs>
              <w:spacing w:after="0" w:line="240" w:lineRule="auto"/>
              <w:jc w:val="center"/>
              <w:rPr>
                <w:rFonts w:eastAsia="Times New Roman"/>
                <w:b/>
                <w:sz w:val="20"/>
                <w:szCs w:val="20"/>
                <w:lang w:val="en-GB"/>
              </w:rPr>
            </w:pPr>
            <w:r w:rsidRPr="0068735D">
              <w:rPr>
                <w:rFonts w:eastAsia="Times New Roman"/>
                <w:b/>
                <w:sz w:val="20"/>
                <w:szCs w:val="20"/>
                <w:lang w:val="en-GB"/>
              </w:rPr>
              <w:t>2019</w:t>
            </w:r>
          </w:p>
        </w:tc>
        <w:tc>
          <w:tcPr>
            <w:tcW w:w="1430" w:type="dxa"/>
          </w:tcPr>
          <w:p w14:paraId="715A420D" w14:textId="77777777" w:rsidR="0068735D" w:rsidRPr="0068735D" w:rsidRDefault="0068735D" w:rsidP="0068735D">
            <w:pPr>
              <w:tabs>
                <w:tab w:val="left" w:pos="1152"/>
              </w:tabs>
              <w:spacing w:after="0" w:line="240" w:lineRule="auto"/>
              <w:jc w:val="center"/>
              <w:rPr>
                <w:rFonts w:eastAsia="Times New Roman"/>
                <w:b/>
                <w:sz w:val="20"/>
                <w:szCs w:val="20"/>
                <w:lang w:val="en-GB"/>
              </w:rPr>
            </w:pPr>
            <w:r w:rsidRPr="0068735D">
              <w:rPr>
                <w:rFonts w:eastAsia="Times New Roman"/>
                <w:b/>
                <w:sz w:val="20"/>
                <w:szCs w:val="20"/>
                <w:lang w:val="en-GB"/>
              </w:rPr>
              <w:t>2020</w:t>
            </w:r>
          </w:p>
        </w:tc>
        <w:tc>
          <w:tcPr>
            <w:tcW w:w="1447" w:type="dxa"/>
          </w:tcPr>
          <w:p w14:paraId="2EA4E2F6" w14:textId="77777777" w:rsidR="0068735D" w:rsidRPr="0068735D" w:rsidRDefault="0068735D" w:rsidP="0068735D">
            <w:pPr>
              <w:tabs>
                <w:tab w:val="left" w:pos="1152"/>
              </w:tabs>
              <w:spacing w:after="0" w:line="240" w:lineRule="auto"/>
              <w:jc w:val="center"/>
              <w:rPr>
                <w:rFonts w:eastAsia="Times New Roman"/>
                <w:b/>
                <w:sz w:val="20"/>
                <w:szCs w:val="20"/>
                <w:lang w:val="en-GB"/>
              </w:rPr>
            </w:pPr>
            <w:r w:rsidRPr="0068735D">
              <w:rPr>
                <w:rFonts w:eastAsia="Times New Roman"/>
                <w:b/>
                <w:sz w:val="20"/>
                <w:szCs w:val="20"/>
                <w:lang w:val="en-GB"/>
              </w:rPr>
              <w:t>2021</w:t>
            </w:r>
          </w:p>
        </w:tc>
      </w:tr>
      <w:tr w:rsidR="00CA1D81" w:rsidRPr="00D62D04" w14:paraId="59331E19" w14:textId="77777777" w:rsidTr="00AD5BFF">
        <w:trPr>
          <w:trHeight w:val="144"/>
        </w:trPr>
        <w:tc>
          <w:tcPr>
            <w:tcW w:w="1696" w:type="dxa"/>
            <w:shd w:val="clear" w:color="auto" w:fill="auto"/>
            <w:vAlign w:val="center"/>
          </w:tcPr>
          <w:p w14:paraId="5381483D" w14:textId="77777777" w:rsidR="00CA1D81" w:rsidRPr="0068735D" w:rsidRDefault="0068735D" w:rsidP="00AD5BFF">
            <w:pPr>
              <w:spacing w:after="0" w:line="240" w:lineRule="auto"/>
              <w:rPr>
                <w:sz w:val="20"/>
                <w:szCs w:val="20"/>
                <w:lang w:val="en-GB"/>
              </w:rPr>
            </w:pPr>
            <w:proofErr w:type="spellStart"/>
            <w:r w:rsidRPr="0068735D">
              <w:rPr>
                <w:sz w:val="20"/>
                <w:szCs w:val="20"/>
                <w:lang w:val="en-GB"/>
              </w:rPr>
              <w:lastRenderedPageBreak/>
              <w:t>Ashkali</w:t>
            </w:r>
            <w:proofErr w:type="spellEnd"/>
            <w:r w:rsidRPr="0068735D">
              <w:rPr>
                <w:sz w:val="20"/>
                <w:szCs w:val="20"/>
                <w:lang w:val="en-GB"/>
              </w:rPr>
              <w:t xml:space="preserve"> </w:t>
            </w:r>
          </w:p>
        </w:tc>
        <w:tc>
          <w:tcPr>
            <w:tcW w:w="1560" w:type="dxa"/>
            <w:shd w:val="clear" w:color="auto" w:fill="auto"/>
            <w:vAlign w:val="center"/>
          </w:tcPr>
          <w:p w14:paraId="21BD2D0B" w14:textId="77777777" w:rsidR="00CA1D81" w:rsidRPr="0068735D" w:rsidRDefault="00CA1D81" w:rsidP="0068735D">
            <w:pPr>
              <w:spacing w:after="0" w:line="240" w:lineRule="auto"/>
              <w:ind w:left="-168" w:right="-77"/>
              <w:jc w:val="right"/>
              <w:rPr>
                <w:sz w:val="20"/>
                <w:szCs w:val="20"/>
                <w:lang w:val="en-GB"/>
              </w:rPr>
            </w:pPr>
            <w:r w:rsidRPr="0068735D">
              <w:rPr>
                <w:sz w:val="20"/>
                <w:szCs w:val="20"/>
                <w:lang w:val="en-GB"/>
              </w:rPr>
              <w:t>100</w:t>
            </w:r>
            <w:r w:rsidR="0068735D" w:rsidRPr="0068735D">
              <w:rPr>
                <w:sz w:val="20"/>
                <w:szCs w:val="20"/>
                <w:lang w:val="en-GB"/>
              </w:rPr>
              <w:t>,</w:t>
            </w:r>
            <w:r w:rsidRPr="0068735D">
              <w:rPr>
                <w:sz w:val="20"/>
                <w:szCs w:val="20"/>
                <w:lang w:val="en-GB"/>
              </w:rPr>
              <w:t>000</w:t>
            </w:r>
            <w:r w:rsidR="0068735D" w:rsidRPr="0068735D">
              <w:rPr>
                <w:sz w:val="20"/>
                <w:szCs w:val="20"/>
                <w:lang w:val="en-GB"/>
              </w:rPr>
              <w:t>.</w:t>
            </w:r>
            <w:r w:rsidRPr="0068735D">
              <w:rPr>
                <w:sz w:val="20"/>
                <w:szCs w:val="20"/>
                <w:lang w:val="en-GB"/>
              </w:rPr>
              <w:t>00</w:t>
            </w:r>
          </w:p>
        </w:tc>
        <w:tc>
          <w:tcPr>
            <w:tcW w:w="1417" w:type="dxa"/>
            <w:vAlign w:val="center"/>
          </w:tcPr>
          <w:p w14:paraId="7175D383" w14:textId="77777777" w:rsidR="00CA1D81" w:rsidRPr="0068735D" w:rsidRDefault="00CA1D81" w:rsidP="0068735D">
            <w:pPr>
              <w:spacing w:after="0" w:line="240" w:lineRule="auto"/>
              <w:ind w:left="-139"/>
              <w:jc w:val="right"/>
              <w:rPr>
                <w:sz w:val="20"/>
                <w:szCs w:val="20"/>
                <w:lang w:val="en-GB"/>
              </w:rPr>
            </w:pPr>
            <w:r w:rsidRPr="0068735D">
              <w:rPr>
                <w:sz w:val="20"/>
                <w:szCs w:val="20"/>
                <w:lang w:val="en-GB"/>
              </w:rPr>
              <w:t>100</w:t>
            </w:r>
            <w:r w:rsidR="0068735D" w:rsidRPr="0068735D">
              <w:rPr>
                <w:sz w:val="20"/>
                <w:szCs w:val="20"/>
                <w:lang w:val="en-GB"/>
              </w:rPr>
              <w:t>,</w:t>
            </w:r>
            <w:r w:rsidRPr="0068735D">
              <w:rPr>
                <w:sz w:val="20"/>
                <w:szCs w:val="20"/>
                <w:lang w:val="en-GB"/>
              </w:rPr>
              <w:t>000</w:t>
            </w:r>
            <w:r w:rsidR="0068735D" w:rsidRPr="0068735D">
              <w:rPr>
                <w:sz w:val="20"/>
                <w:szCs w:val="20"/>
                <w:lang w:val="en-GB"/>
              </w:rPr>
              <w:t>.</w:t>
            </w:r>
            <w:r w:rsidRPr="0068735D">
              <w:rPr>
                <w:sz w:val="20"/>
                <w:szCs w:val="20"/>
                <w:lang w:val="en-GB"/>
              </w:rPr>
              <w:t>00</w:t>
            </w:r>
          </w:p>
        </w:tc>
        <w:tc>
          <w:tcPr>
            <w:tcW w:w="1559" w:type="dxa"/>
            <w:vAlign w:val="center"/>
          </w:tcPr>
          <w:p w14:paraId="50404498" w14:textId="77777777" w:rsidR="00CA1D81" w:rsidRPr="0068735D" w:rsidRDefault="00CA1D81" w:rsidP="0068735D">
            <w:pPr>
              <w:spacing w:after="0" w:line="240" w:lineRule="auto"/>
              <w:ind w:left="-139"/>
              <w:jc w:val="right"/>
              <w:rPr>
                <w:sz w:val="20"/>
                <w:szCs w:val="20"/>
                <w:lang w:val="en-GB"/>
              </w:rPr>
            </w:pPr>
            <w:r w:rsidRPr="0068735D">
              <w:rPr>
                <w:sz w:val="20"/>
                <w:szCs w:val="20"/>
                <w:lang w:val="en-GB"/>
              </w:rPr>
              <w:t>100</w:t>
            </w:r>
            <w:r w:rsidR="0068735D" w:rsidRPr="0068735D">
              <w:rPr>
                <w:sz w:val="20"/>
                <w:szCs w:val="20"/>
                <w:lang w:val="en-GB"/>
              </w:rPr>
              <w:t>,</w:t>
            </w:r>
            <w:r w:rsidRPr="0068735D">
              <w:rPr>
                <w:sz w:val="20"/>
                <w:szCs w:val="20"/>
                <w:lang w:val="en-GB"/>
              </w:rPr>
              <w:t>000</w:t>
            </w:r>
            <w:r w:rsidR="0068735D" w:rsidRPr="0068735D">
              <w:rPr>
                <w:sz w:val="20"/>
                <w:szCs w:val="20"/>
                <w:lang w:val="en-GB"/>
              </w:rPr>
              <w:t>.</w:t>
            </w:r>
            <w:r w:rsidRPr="0068735D">
              <w:rPr>
                <w:sz w:val="20"/>
                <w:szCs w:val="20"/>
                <w:lang w:val="en-GB"/>
              </w:rPr>
              <w:t>00</w:t>
            </w:r>
          </w:p>
        </w:tc>
        <w:tc>
          <w:tcPr>
            <w:tcW w:w="1430" w:type="dxa"/>
            <w:vAlign w:val="center"/>
          </w:tcPr>
          <w:p w14:paraId="4C946CBC" w14:textId="77777777" w:rsidR="00CA1D81" w:rsidRPr="0068735D" w:rsidRDefault="00CA1D81" w:rsidP="0068735D">
            <w:pPr>
              <w:spacing w:after="0" w:line="240" w:lineRule="auto"/>
              <w:ind w:left="-139"/>
              <w:jc w:val="right"/>
              <w:rPr>
                <w:sz w:val="20"/>
                <w:szCs w:val="20"/>
                <w:lang w:val="en-GB"/>
              </w:rPr>
            </w:pPr>
            <w:r w:rsidRPr="0068735D">
              <w:rPr>
                <w:sz w:val="20"/>
                <w:szCs w:val="20"/>
                <w:lang w:val="en-GB"/>
              </w:rPr>
              <w:t>100</w:t>
            </w:r>
            <w:r w:rsidR="0068735D" w:rsidRPr="0068735D">
              <w:rPr>
                <w:sz w:val="20"/>
                <w:szCs w:val="20"/>
                <w:lang w:val="en-GB"/>
              </w:rPr>
              <w:t>,</w:t>
            </w:r>
            <w:r w:rsidRPr="0068735D">
              <w:rPr>
                <w:sz w:val="20"/>
                <w:szCs w:val="20"/>
                <w:lang w:val="en-GB"/>
              </w:rPr>
              <w:t>000</w:t>
            </w:r>
            <w:r w:rsidR="0068735D" w:rsidRPr="0068735D">
              <w:rPr>
                <w:sz w:val="20"/>
                <w:szCs w:val="20"/>
                <w:lang w:val="en-GB"/>
              </w:rPr>
              <w:t>.</w:t>
            </w:r>
            <w:r w:rsidRPr="0068735D">
              <w:rPr>
                <w:sz w:val="20"/>
                <w:szCs w:val="20"/>
                <w:lang w:val="en-GB"/>
              </w:rPr>
              <w:t>00</w:t>
            </w:r>
          </w:p>
        </w:tc>
        <w:tc>
          <w:tcPr>
            <w:tcW w:w="1447" w:type="dxa"/>
          </w:tcPr>
          <w:p w14:paraId="751C4940" w14:textId="77777777" w:rsidR="00CA1D81" w:rsidRPr="0068735D" w:rsidRDefault="00CA1D81" w:rsidP="0068735D">
            <w:pPr>
              <w:spacing w:after="0" w:line="240" w:lineRule="auto"/>
              <w:ind w:left="-139"/>
              <w:jc w:val="right"/>
              <w:rPr>
                <w:sz w:val="20"/>
                <w:szCs w:val="20"/>
                <w:lang w:val="en-GB"/>
              </w:rPr>
            </w:pPr>
            <w:r w:rsidRPr="0068735D">
              <w:rPr>
                <w:sz w:val="20"/>
                <w:szCs w:val="20"/>
                <w:lang w:val="en-GB"/>
              </w:rPr>
              <w:t>100</w:t>
            </w:r>
            <w:r w:rsidR="0068735D" w:rsidRPr="0068735D">
              <w:rPr>
                <w:sz w:val="20"/>
                <w:szCs w:val="20"/>
                <w:lang w:val="en-GB"/>
              </w:rPr>
              <w:t>,</w:t>
            </w:r>
            <w:r w:rsidRPr="0068735D">
              <w:rPr>
                <w:sz w:val="20"/>
                <w:szCs w:val="20"/>
                <w:lang w:val="en-GB"/>
              </w:rPr>
              <w:t>000</w:t>
            </w:r>
            <w:r w:rsidR="0068735D" w:rsidRPr="0068735D">
              <w:rPr>
                <w:sz w:val="20"/>
                <w:szCs w:val="20"/>
                <w:lang w:val="en-GB"/>
              </w:rPr>
              <w:t>.</w:t>
            </w:r>
            <w:r w:rsidRPr="0068735D">
              <w:rPr>
                <w:sz w:val="20"/>
                <w:szCs w:val="20"/>
                <w:lang w:val="en-GB"/>
              </w:rPr>
              <w:t>00</w:t>
            </w:r>
          </w:p>
        </w:tc>
      </w:tr>
      <w:tr w:rsidR="00CA1D81" w:rsidRPr="00D62D04" w14:paraId="2D56EB63" w14:textId="77777777" w:rsidTr="00AD5BFF">
        <w:trPr>
          <w:trHeight w:val="144"/>
        </w:trPr>
        <w:tc>
          <w:tcPr>
            <w:tcW w:w="1696" w:type="dxa"/>
            <w:shd w:val="clear" w:color="auto" w:fill="auto"/>
            <w:vAlign w:val="center"/>
          </w:tcPr>
          <w:p w14:paraId="19169D0C" w14:textId="77777777" w:rsidR="00CA1D81" w:rsidRPr="0068735D" w:rsidRDefault="0068735D" w:rsidP="00AD5BFF">
            <w:pPr>
              <w:spacing w:after="0" w:line="240" w:lineRule="auto"/>
              <w:rPr>
                <w:sz w:val="20"/>
                <w:szCs w:val="20"/>
                <w:lang w:val="en-GB"/>
              </w:rPr>
            </w:pPr>
            <w:proofErr w:type="spellStart"/>
            <w:r w:rsidRPr="0068735D">
              <w:rPr>
                <w:sz w:val="20"/>
                <w:szCs w:val="20"/>
                <w:lang w:val="en-GB"/>
              </w:rPr>
              <w:t>Bunjevac</w:t>
            </w:r>
            <w:proofErr w:type="spellEnd"/>
            <w:r w:rsidRPr="0068735D">
              <w:rPr>
                <w:sz w:val="20"/>
                <w:szCs w:val="20"/>
                <w:lang w:val="en-GB"/>
              </w:rPr>
              <w:t xml:space="preserve"> </w:t>
            </w:r>
          </w:p>
        </w:tc>
        <w:tc>
          <w:tcPr>
            <w:tcW w:w="1560" w:type="dxa"/>
            <w:shd w:val="clear" w:color="auto" w:fill="auto"/>
            <w:vAlign w:val="center"/>
          </w:tcPr>
          <w:p w14:paraId="1393816C" w14:textId="77777777" w:rsidR="00CA1D81" w:rsidRPr="0068735D" w:rsidRDefault="00CA1D81" w:rsidP="0068735D">
            <w:pPr>
              <w:spacing w:after="0" w:line="240" w:lineRule="auto"/>
              <w:ind w:left="-168" w:right="-77"/>
              <w:jc w:val="right"/>
              <w:rPr>
                <w:sz w:val="20"/>
                <w:szCs w:val="20"/>
                <w:lang w:val="en-GB"/>
              </w:rPr>
            </w:pPr>
            <w:r w:rsidRPr="0068735D">
              <w:rPr>
                <w:sz w:val="20"/>
                <w:szCs w:val="20"/>
                <w:lang w:val="en-GB"/>
              </w:rPr>
              <w:t>2</w:t>
            </w:r>
            <w:r w:rsidR="0068735D" w:rsidRPr="0068735D">
              <w:rPr>
                <w:sz w:val="20"/>
                <w:szCs w:val="20"/>
                <w:lang w:val="en-GB"/>
              </w:rPr>
              <w:t>,</w:t>
            </w:r>
            <w:r w:rsidRPr="0068735D">
              <w:rPr>
                <w:sz w:val="20"/>
                <w:szCs w:val="20"/>
                <w:lang w:val="en-GB"/>
              </w:rPr>
              <w:t>481</w:t>
            </w:r>
            <w:r w:rsidR="0068735D" w:rsidRPr="0068735D">
              <w:rPr>
                <w:sz w:val="20"/>
                <w:szCs w:val="20"/>
                <w:lang w:val="en-GB"/>
              </w:rPr>
              <w:t>,</w:t>
            </w:r>
            <w:r w:rsidRPr="0068735D">
              <w:rPr>
                <w:sz w:val="20"/>
                <w:szCs w:val="20"/>
                <w:lang w:val="en-GB"/>
              </w:rPr>
              <w:t>260</w:t>
            </w:r>
            <w:r w:rsidR="0068735D" w:rsidRPr="0068735D">
              <w:rPr>
                <w:sz w:val="20"/>
                <w:szCs w:val="20"/>
                <w:lang w:val="en-GB"/>
              </w:rPr>
              <w:t>.</w:t>
            </w:r>
            <w:r w:rsidRPr="0068735D">
              <w:rPr>
                <w:sz w:val="20"/>
                <w:szCs w:val="20"/>
                <w:lang w:val="en-GB"/>
              </w:rPr>
              <w:t>00</w:t>
            </w:r>
          </w:p>
        </w:tc>
        <w:tc>
          <w:tcPr>
            <w:tcW w:w="1417" w:type="dxa"/>
            <w:vAlign w:val="center"/>
          </w:tcPr>
          <w:p w14:paraId="1CD8B838" w14:textId="77777777" w:rsidR="00CA1D81" w:rsidRPr="0068735D" w:rsidRDefault="00CA1D81" w:rsidP="0068735D">
            <w:pPr>
              <w:spacing w:after="0" w:line="240" w:lineRule="auto"/>
              <w:ind w:left="-139"/>
              <w:jc w:val="right"/>
              <w:rPr>
                <w:sz w:val="20"/>
                <w:szCs w:val="20"/>
                <w:lang w:val="en-GB"/>
              </w:rPr>
            </w:pPr>
            <w:r w:rsidRPr="0068735D">
              <w:rPr>
                <w:sz w:val="20"/>
                <w:szCs w:val="20"/>
                <w:lang w:val="en-GB"/>
              </w:rPr>
              <w:t>2</w:t>
            </w:r>
            <w:r w:rsidR="0068735D" w:rsidRPr="0068735D">
              <w:rPr>
                <w:sz w:val="20"/>
                <w:szCs w:val="20"/>
                <w:lang w:val="en-GB"/>
              </w:rPr>
              <w:t>,</w:t>
            </w:r>
            <w:r w:rsidRPr="0068735D">
              <w:rPr>
                <w:sz w:val="20"/>
                <w:szCs w:val="20"/>
                <w:lang w:val="en-GB"/>
              </w:rPr>
              <w:t>480</w:t>
            </w:r>
            <w:r w:rsidR="0068735D" w:rsidRPr="0068735D">
              <w:rPr>
                <w:sz w:val="20"/>
                <w:szCs w:val="20"/>
                <w:lang w:val="en-GB"/>
              </w:rPr>
              <w:t>,</w:t>
            </w:r>
            <w:r w:rsidRPr="0068735D">
              <w:rPr>
                <w:sz w:val="20"/>
                <w:szCs w:val="20"/>
                <w:lang w:val="en-GB"/>
              </w:rPr>
              <w:t>612</w:t>
            </w:r>
            <w:r w:rsidR="0068735D" w:rsidRPr="0068735D">
              <w:rPr>
                <w:sz w:val="20"/>
                <w:szCs w:val="20"/>
                <w:lang w:val="en-GB"/>
              </w:rPr>
              <w:t>.</w:t>
            </w:r>
            <w:r w:rsidRPr="0068735D">
              <w:rPr>
                <w:sz w:val="20"/>
                <w:szCs w:val="20"/>
                <w:lang w:val="en-GB"/>
              </w:rPr>
              <w:t>00</w:t>
            </w:r>
          </w:p>
        </w:tc>
        <w:tc>
          <w:tcPr>
            <w:tcW w:w="1559" w:type="dxa"/>
            <w:vAlign w:val="center"/>
          </w:tcPr>
          <w:p w14:paraId="412007B9" w14:textId="77777777" w:rsidR="00CA1D81" w:rsidRPr="0068735D" w:rsidRDefault="00CA1D81" w:rsidP="0068735D">
            <w:pPr>
              <w:spacing w:after="0" w:line="240" w:lineRule="auto"/>
              <w:ind w:left="-139"/>
              <w:jc w:val="right"/>
              <w:rPr>
                <w:sz w:val="20"/>
                <w:szCs w:val="20"/>
                <w:lang w:val="en-GB"/>
              </w:rPr>
            </w:pPr>
            <w:r w:rsidRPr="0068735D">
              <w:rPr>
                <w:sz w:val="20"/>
                <w:szCs w:val="20"/>
                <w:lang w:val="en-GB"/>
              </w:rPr>
              <w:t>2</w:t>
            </w:r>
            <w:r w:rsidR="0068735D" w:rsidRPr="0068735D">
              <w:rPr>
                <w:sz w:val="20"/>
                <w:szCs w:val="20"/>
                <w:lang w:val="en-GB"/>
              </w:rPr>
              <w:t>,</w:t>
            </w:r>
            <w:r w:rsidRPr="0068735D">
              <w:rPr>
                <w:sz w:val="20"/>
                <w:szCs w:val="20"/>
                <w:lang w:val="en-GB"/>
              </w:rPr>
              <w:t>569</w:t>
            </w:r>
            <w:r w:rsidR="0068735D" w:rsidRPr="0068735D">
              <w:rPr>
                <w:sz w:val="20"/>
                <w:szCs w:val="20"/>
                <w:lang w:val="en-GB"/>
              </w:rPr>
              <w:t>,</w:t>
            </w:r>
            <w:r w:rsidRPr="0068735D">
              <w:rPr>
                <w:sz w:val="20"/>
                <w:szCs w:val="20"/>
                <w:lang w:val="en-GB"/>
              </w:rPr>
              <w:t>240</w:t>
            </w:r>
            <w:r w:rsidR="0068735D" w:rsidRPr="0068735D">
              <w:rPr>
                <w:sz w:val="20"/>
                <w:szCs w:val="20"/>
                <w:lang w:val="en-GB"/>
              </w:rPr>
              <w:t>.</w:t>
            </w:r>
            <w:r w:rsidRPr="0068735D">
              <w:rPr>
                <w:sz w:val="20"/>
                <w:szCs w:val="20"/>
                <w:lang w:val="en-GB"/>
              </w:rPr>
              <w:t>00</w:t>
            </w:r>
          </w:p>
        </w:tc>
        <w:tc>
          <w:tcPr>
            <w:tcW w:w="1430" w:type="dxa"/>
            <w:vAlign w:val="center"/>
          </w:tcPr>
          <w:p w14:paraId="04D513B6" w14:textId="77777777" w:rsidR="00CA1D81" w:rsidRPr="0068735D" w:rsidRDefault="00CA1D81" w:rsidP="0068735D">
            <w:pPr>
              <w:spacing w:after="0" w:line="240" w:lineRule="auto"/>
              <w:ind w:left="-139"/>
              <w:jc w:val="right"/>
              <w:rPr>
                <w:sz w:val="20"/>
                <w:szCs w:val="20"/>
                <w:lang w:val="en-GB"/>
              </w:rPr>
            </w:pPr>
            <w:r w:rsidRPr="0068735D">
              <w:rPr>
                <w:sz w:val="20"/>
                <w:szCs w:val="20"/>
                <w:lang w:val="en-GB"/>
              </w:rPr>
              <w:t>2</w:t>
            </w:r>
            <w:r w:rsidR="0068735D" w:rsidRPr="0068735D">
              <w:rPr>
                <w:sz w:val="20"/>
                <w:szCs w:val="20"/>
                <w:lang w:val="en-GB"/>
              </w:rPr>
              <w:t>,</w:t>
            </w:r>
            <w:r w:rsidRPr="0068735D">
              <w:rPr>
                <w:sz w:val="20"/>
                <w:szCs w:val="20"/>
                <w:lang w:val="en-GB"/>
              </w:rPr>
              <w:t>540</w:t>
            </w:r>
            <w:r w:rsidR="0068735D" w:rsidRPr="0068735D">
              <w:rPr>
                <w:sz w:val="20"/>
                <w:szCs w:val="20"/>
                <w:lang w:val="en-GB"/>
              </w:rPr>
              <w:t>,</w:t>
            </w:r>
            <w:r w:rsidRPr="0068735D">
              <w:rPr>
                <w:sz w:val="20"/>
                <w:szCs w:val="20"/>
                <w:lang w:val="en-GB"/>
              </w:rPr>
              <w:t>920</w:t>
            </w:r>
            <w:r w:rsidR="0068735D" w:rsidRPr="0068735D">
              <w:rPr>
                <w:sz w:val="20"/>
                <w:szCs w:val="20"/>
                <w:lang w:val="en-GB"/>
              </w:rPr>
              <w:t>.</w:t>
            </w:r>
            <w:r w:rsidRPr="0068735D">
              <w:rPr>
                <w:sz w:val="20"/>
                <w:szCs w:val="20"/>
                <w:lang w:val="en-GB"/>
              </w:rPr>
              <w:t>00</w:t>
            </w:r>
          </w:p>
        </w:tc>
        <w:tc>
          <w:tcPr>
            <w:tcW w:w="1447" w:type="dxa"/>
          </w:tcPr>
          <w:p w14:paraId="7D61D5E0" w14:textId="77777777" w:rsidR="00CA1D81" w:rsidRPr="0068735D" w:rsidRDefault="00CA1D81" w:rsidP="0068735D">
            <w:pPr>
              <w:spacing w:after="0" w:line="240" w:lineRule="auto"/>
              <w:ind w:left="-139"/>
              <w:jc w:val="right"/>
              <w:rPr>
                <w:sz w:val="20"/>
                <w:szCs w:val="20"/>
                <w:lang w:val="en-GB"/>
              </w:rPr>
            </w:pPr>
            <w:r w:rsidRPr="0068735D">
              <w:rPr>
                <w:sz w:val="20"/>
                <w:szCs w:val="20"/>
                <w:lang w:val="en-GB"/>
              </w:rPr>
              <w:t>2</w:t>
            </w:r>
            <w:r w:rsidR="0068735D" w:rsidRPr="0068735D">
              <w:rPr>
                <w:sz w:val="20"/>
                <w:szCs w:val="20"/>
                <w:lang w:val="en-GB"/>
              </w:rPr>
              <w:t>,</w:t>
            </w:r>
            <w:r w:rsidRPr="0068735D">
              <w:rPr>
                <w:sz w:val="20"/>
                <w:szCs w:val="20"/>
                <w:lang w:val="en-GB"/>
              </w:rPr>
              <w:t>533</w:t>
            </w:r>
            <w:r w:rsidR="0068735D" w:rsidRPr="0068735D">
              <w:rPr>
                <w:sz w:val="20"/>
                <w:szCs w:val="20"/>
                <w:lang w:val="en-GB"/>
              </w:rPr>
              <w:t>,</w:t>
            </w:r>
            <w:r w:rsidRPr="0068735D">
              <w:rPr>
                <w:sz w:val="20"/>
                <w:szCs w:val="20"/>
                <w:lang w:val="en-GB"/>
              </w:rPr>
              <w:t>200</w:t>
            </w:r>
            <w:r w:rsidR="0068735D" w:rsidRPr="0068735D">
              <w:rPr>
                <w:sz w:val="20"/>
                <w:szCs w:val="20"/>
                <w:lang w:val="en-GB"/>
              </w:rPr>
              <w:t>.</w:t>
            </w:r>
            <w:r w:rsidRPr="0068735D">
              <w:rPr>
                <w:sz w:val="20"/>
                <w:szCs w:val="20"/>
                <w:lang w:val="en-GB"/>
              </w:rPr>
              <w:t>00</w:t>
            </w:r>
          </w:p>
        </w:tc>
      </w:tr>
      <w:tr w:rsidR="00CA1D81" w:rsidRPr="00D62D04" w14:paraId="476355D2" w14:textId="77777777" w:rsidTr="00AD5BFF">
        <w:trPr>
          <w:trHeight w:val="144"/>
        </w:trPr>
        <w:tc>
          <w:tcPr>
            <w:tcW w:w="1696" w:type="dxa"/>
            <w:shd w:val="clear" w:color="auto" w:fill="auto"/>
            <w:vAlign w:val="center"/>
          </w:tcPr>
          <w:p w14:paraId="7A90F5ED" w14:textId="77777777" w:rsidR="00CA1D81" w:rsidRPr="0068735D" w:rsidRDefault="0068735D" w:rsidP="00AD5BFF">
            <w:pPr>
              <w:spacing w:after="0" w:line="240" w:lineRule="auto"/>
              <w:rPr>
                <w:sz w:val="20"/>
                <w:szCs w:val="20"/>
                <w:lang w:val="en-GB"/>
              </w:rPr>
            </w:pPr>
            <w:r w:rsidRPr="0068735D">
              <w:rPr>
                <w:sz w:val="20"/>
                <w:szCs w:val="20"/>
                <w:lang w:val="en-GB"/>
              </w:rPr>
              <w:t xml:space="preserve">Greek </w:t>
            </w:r>
          </w:p>
        </w:tc>
        <w:tc>
          <w:tcPr>
            <w:tcW w:w="1560" w:type="dxa"/>
            <w:shd w:val="clear" w:color="auto" w:fill="auto"/>
            <w:vAlign w:val="center"/>
          </w:tcPr>
          <w:p w14:paraId="26377172" w14:textId="77777777" w:rsidR="00CA1D81" w:rsidRPr="0068735D" w:rsidRDefault="00CA1D81" w:rsidP="0068735D">
            <w:pPr>
              <w:spacing w:after="0" w:line="240" w:lineRule="auto"/>
              <w:ind w:left="-168" w:right="-77"/>
              <w:jc w:val="right"/>
              <w:rPr>
                <w:sz w:val="20"/>
                <w:szCs w:val="20"/>
                <w:lang w:val="en-GB"/>
              </w:rPr>
            </w:pPr>
            <w:r w:rsidRPr="0068735D">
              <w:rPr>
                <w:sz w:val="20"/>
                <w:szCs w:val="20"/>
                <w:lang w:val="en-GB"/>
              </w:rPr>
              <w:t>50</w:t>
            </w:r>
            <w:r w:rsidR="0068735D" w:rsidRPr="0068735D">
              <w:rPr>
                <w:sz w:val="20"/>
                <w:szCs w:val="20"/>
                <w:lang w:val="en-GB"/>
              </w:rPr>
              <w:t>,</w:t>
            </w:r>
            <w:r w:rsidRPr="0068735D">
              <w:rPr>
                <w:sz w:val="20"/>
                <w:szCs w:val="20"/>
                <w:lang w:val="en-GB"/>
              </w:rPr>
              <w:t>000</w:t>
            </w:r>
            <w:r w:rsidR="0068735D" w:rsidRPr="0068735D">
              <w:rPr>
                <w:sz w:val="20"/>
                <w:szCs w:val="20"/>
                <w:lang w:val="en-GB"/>
              </w:rPr>
              <w:t>.</w:t>
            </w:r>
            <w:r w:rsidRPr="0068735D">
              <w:rPr>
                <w:sz w:val="20"/>
                <w:szCs w:val="20"/>
                <w:lang w:val="en-GB"/>
              </w:rPr>
              <w:t>00</w:t>
            </w:r>
          </w:p>
        </w:tc>
        <w:tc>
          <w:tcPr>
            <w:tcW w:w="1417" w:type="dxa"/>
            <w:vAlign w:val="center"/>
          </w:tcPr>
          <w:p w14:paraId="3807EF11" w14:textId="77777777" w:rsidR="00CA1D81" w:rsidRPr="0068735D" w:rsidRDefault="00CA1D81" w:rsidP="0068735D">
            <w:pPr>
              <w:spacing w:after="0" w:line="240" w:lineRule="auto"/>
              <w:ind w:left="-139"/>
              <w:jc w:val="right"/>
              <w:rPr>
                <w:sz w:val="20"/>
                <w:szCs w:val="20"/>
                <w:lang w:val="en-GB"/>
              </w:rPr>
            </w:pPr>
            <w:r w:rsidRPr="0068735D">
              <w:rPr>
                <w:sz w:val="20"/>
                <w:szCs w:val="20"/>
                <w:lang w:val="en-GB"/>
              </w:rPr>
              <w:t>500</w:t>
            </w:r>
            <w:r w:rsidR="0068735D" w:rsidRPr="0068735D">
              <w:rPr>
                <w:sz w:val="20"/>
                <w:szCs w:val="20"/>
                <w:lang w:val="en-GB"/>
              </w:rPr>
              <w:t>,</w:t>
            </w:r>
            <w:r w:rsidRPr="0068735D">
              <w:rPr>
                <w:sz w:val="20"/>
                <w:szCs w:val="20"/>
                <w:lang w:val="en-GB"/>
              </w:rPr>
              <w:t>000</w:t>
            </w:r>
            <w:r w:rsidR="0068735D" w:rsidRPr="0068735D">
              <w:rPr>
                <w:sz w:val="20"/>
                <w:szCs w:val="20"/>
                <w:lang w:val="en-GB"/>
              </w:rPr>
              <w:t>.</w:t>
            </w:r>
            <w:r w:rsidRPr="0068735D">
              <w:rPr>
                <w:sz w:val="20"/>
                <w:szCs w:val="20"/>
                <w:lang w:val="en-GB"/>
              </w:rPr>
              <w:t>00</w:t>
            </w:r>
          </w:p>
        </w:tc>
        <w:tc>
          <w:tcPr>
            <w:tcW w:w="1559" w:type="dxa"/>
            <w:vAlign w:val="center"/>
          </w:tcPr>
          <w:p w14:paraId="236B320C" w14:textId="77777777" w:rsidR="00CA1D81" w:rsidRPr="0068735D" w:rsidRDefault="00CA1D81" w:rsidP="0068735D">
            <w:pPr>
              <w:spacing w:after="0" w:line="240" w:lineRule="auto"/>
              <w:ind w:left="-139"/>
              <w:jc w:val="right"/>
              <w:rPr>
                <w:sz w:val="20"/>
                <w:szCs w:val="20"/>
                <w:lang w:val="en-GB"/>
              </w:rPr>
            </w:pPr>
            <w:r w:rsidRPr="0068735D">
              <w:rPr>
                <w:sz w:val="20"/>
                <w:szCs w:val="20"/>
                <w:lang w:val="en-GB"/>
              </w:rPr>
              <w:t>100</w:t>
            </w:r>
            <w:r w:rsidR="0068735D" w:rsidRPr="0068735D">
              <w:rPr>
                <w:sz w:val="20"/>
                <w:szCs w:val="20"/>
                <w:lang w:val="en-GB"/>
              </w:rPr>
              <w:t>,</w:t>
            </w:r>
            <w:r w:rsidRPr="0068735D">
              <w:rPr>
                <w:sz w:val="20"/>
                <w:szCs w:val="20"/>
                <w:lang w:val="en-GB"/>
              </w:rPr>
              <w:t>000</w:t>
            </w:r>
            <w:r w:rsidR="0068735D" w:rsidRPr="0068735D">
              <w:rPr>
                <w:sz w:val="20"/>
                <w:szCs w:val="20"/>
                <w:lang w:val="en-GB"/>
              </w:rPr>
              <w:t>.</w:t>
            </w:r>
            <w:r w:rsidRPr="0068735D">
              <w:rPr>
                <w:sz w:val="20"/>
                <w:szCs w:val="20"/>
                <w:lang w:val="en-GB"/>
              </w:rPr>
              <w:t>00</w:t>
            </w:r>
          </w:p>
        </w:tc>
        <w:tc>
          <w:tcPr>
            <w:tcW w:w="1430" w:type="dxa"/>
            <w:vAlign w:val="center"/>
          </w:tcPr>
          <w:p w14:paraId="626BCC27" w14:textId="77777777" w:rsidR="00CA1D81" w:rsidRPr="0068735D" w:rsidRDefault="00CA1D81" w:rsidP="0068735D">
            <w:pPr>
              <w:spacing w:after="0" w:line="240" w:lineRule="auto"/>
              <w:ind w:left="-139"/>
              <w:jc w:val="right"/>
              <w:rPr>
                <w:sz w:val="20"/>
                <w:szCs w:val="20"/>
                <w:lang w:val="en-GB"/>
              </w:rPr>
            </w:pPr>
            <w:r w:rsidRPr="0068735D">
              <w:rPr>
                <w:sz w:val="20"/>
                <w:szCs w:val="20"/>
                <w:lang w:val="en-GB"/>
              </w:rPr>
              <w:t>100</w:t>
            </w:r>
            <w:r w:rsidR="0068735D" w:rsidRPr="0068735D">
              <w:rPr>
                <w:sz w:val="20"/>
                <w:szCs w:val="20"/>
                <w:lang w:val="en-GB"/>
              </w:rPr>
              <w:t>,</w:t>
            </w:r>
            <w:r w:rsidRPr="0068735D">
              <w:rPr>
                <w:sz w:val="20"/>
                <w:szCs w:val="20"/>
                <w:lang w:val="en-GB"/>
              </w:rPr>
              <w:t>000</w:t>
            </w:r>
            <w:r w:rsidR="0068735D" w:rsidRPr="0068735D">
              <w:rPr>
                <w:sz w:val="20"/>
                <w:szCs w:val="20"/>
                <w:lang w:val="en-GB"/>
              </w:rPr>
              <w:t>.</w:t>
            </w:r>
            <w:r w:rsidRPr="0068735D">
              <w:rPr>
                <w:sz w:val="20"/>
                <w:szCs w:val="20"/>
                <w:lang w:val="en-GB"/>
              </w:rPr>
              <w:t>00</w:t>
            </w:r>
          </w:p>
        </w:tc>
        <w:tc>
          <w:tcPr>
            <w:tcW w:w="1447" w:type="dxa"/>
          </w:tcPr>
          <w:p w14:paraId="5C83CD2E" w14:textId="77777777" w:rsidR="00CA1D81" w:rsidRPr="0068735D" w:rsidRDefault="00CA1D81" w:rsidP="0068735D">
            <w:pPr>
              <w:spacing w:after="0" w:line="240" w:lineRule="auto"/>
              <w:ind w:left="-139"/>
              <w:jc w:val="right"/>
              <w:rPr>
                <w:sz w:val="20"/>
                <w:szCs w:val="20"/>
                <w:lang w:val="en-GB"/>
              </w:rPr>
            </w:pPr>
            <w:r w:rsidRPr="0068735D">
              <w:rPr>
                <w:sz w:val="20"/>
                <w:szCs w:val="20"/>
                <w:lang w:val="en-GB"/>
              </w:rPr>
              <w:t>100</w:t>
            </w:r>
            <w:r w:rsidR="0068735D" w:rsidRPr="0068735D">
              <w:rPr>
                <w:sz w:val="20"/>
                <w:szCs w:val="20"/>
                <w:lang w:val="en-GB"/>
              </w:rPr>
              <w:t>,</w:t>
            </w:r>
            <w:r w:rsidRPr="0068735D">
              <w:rPr>
                <w:sz w:val="20"/>
                <w:szCs w:val="20"/>
                <w:lang w:val="en-GB"/>
              </w:rPr>
              <w:t>000</w:t>
            </w:r>
            <w:r w:rsidR="0068735D" w:rsidRPr="0068735D">
              <w:rPr>
                <w:sz w:val="20"/>
                <w:szCs w:val="20"/>
                <w:lang w:val="en-GB"/>
              </w:rPr>
              <w:t>.</w:t>
            </w:r>
            <w:r w:rsidRPr="0068735D">
              <w:rPr>
                <w:sz w:val="20"/>
                <w:szCs w:val="20"/>
                <w:lang w:val="en-GB"/>
              </w:rPr>
              <w:t>00</w:t>
            </w:r>
          </w:p>
        </w:tc>
      </w:tr>
      <w:tr w:rsidR="00CA1D81" w:rsidRPr="00D62D04" w14:paraId="237523E8" w14:textId="77777777" w:rsidTr="00AD5BFF">
        <w:trPr>
          <w:trHeight w:val="233"/>
        </w:trPr>
        <w:tc>
          <w:tcPr>
            <w:tcW w:w="1696" w:type="dxa"/>
            <w:shd w:val="clear" w:color="auto" w:fill="auto"/>
            <w:vAlign w:val="center"/>
          </w:tcPr>
          <w:p w14:paraId="48E039A6" w14:textId="77777777" w:rsidR="00CA1D81" w:rsidRPr="0068735D" w:rsidRDefault="0068735D" w:rsidP="00AD5BFF">
            <w:pPr>
              <w:spacing w:after="0" w:line="240" w:lineRule="auto"/>
              <w:rPr>
                <w:sz w:val="20"/>
                <w:szCs w:val="20"/>
                <w:lang w:val="en-GB"/>
              </w:rPr>
            </w:pPr>
            <w:r w:rsidRPr="0068735D">
              <w:rPr>
                <w:sz w:val="20"/>
                <w:szCs w:val="20"/>
                <w:lang w:val="en-GB"/>
              </w:rPr>
              <w:t xml:space="preserve">Egyptian </w:t>
            </w:r>
          </w:p>
        </w:tc>
        <w:tc>
          <w:tcPr>
            <w:tcW w:w="1560" w:type="dxa"/>
            <w:shd w:val="clear" w:color="auto" w:fill="auto"/>
            <w:vAlign w:val="center"/>
          </w:tcPr>
          <w:p w14:paraId="5D105F68" w14:textId="77777777" w:rsidR="00CA1D81" w:rsidRPr="0068735D" w:rsidRDefault="00CA1D81" w:rsidP="0068735D">
            <w:pPr>
              <w:spacing w:after="0" w:line="240" w:lineRule="auto"/>
              <w:ind w:left="-168" w:right="-77"/>
              <w:jc w:val="right"/>
              <w:rPr>
                <w:sz w:val="20"/>
                <w:szCs w:val="20"/>
                <w:lang w:val="en-GB"/>
              </w:rPr>
            </w:pPr>
            <w:r w:rsidRPr="0068735D">
              <w:rPr>
                <w:sz w:val="20"/>
                <w:szCs w:val="20"/>
                <w:lang w:val="en-GB"/>
              </w:rPr>
              <w:t>100</w:t>
            </w:r>
            <w:r w:rsidR="0068735D" w:rsidRPr="0068735D">
              <w:rPr>
                <w:sz w:val="20"/>
                <w:szCs w:val="20"/>
                <w:lang w:val="en-GB"/>
              </w:rPr>
              <w:t>,</w:t>
            </w:r>
            <w:r w:rsidRPr="0068735D">
              <w:rPr>
                <w:sz w:val="20"/>
                <w:szCs w:val="20"/>
                <w:lang w:val="en-GB"/>
              </w:rPr>
              <w:t>000</w:t>
            </w:r>
            <w:r w:rsidR="0068735D" w:rsidRPr="0068735D">
              <w:rPr>
                <w:sz w:val="20"/>
                <w:szCs w:val="20"/>
                <w:lang w:val="en-GB"/>
              </w:rPr>
              <w:t>.</w:t>
            </w:r>
            <w:r w:rsidRPr="0068735D">
              <w:rPr>
                <w:sz w:val="20"/>
                <w:szCs w:val="20"/>
                <w:lang w:val="en-GB"/>
              </w:rPr>
              <w:t>00</w:t>
            </w:r>
          </w:p>
        </w:tc>
        <w:tc>
          <w:tcPr>
            <w:tcW w:w="1417" w:type="dxa"/>
            <w:vAlign w:val="center"/>
          </w:tcPr>
          <w:p w14:paraId="58290B45" w14:textId="77777777" w:rsidR="00CA1D81" w:rsidRPr="0068735D" w:rsidRDefault="00CA1D81" w:rsidP="0068735D">
            <w:pPr>
              <w:spacing w:after="0" w:line="240" w:lineRule="auto"/>
              <w:ind w:left="-139"/>
              <w:jc w:val="right"/>
              <w:rPr>
                <w:sz w:val="20"/>
                <w:szCs w:val="20"/>
                <w:lang w:val="en-GB"/>
              </w:rPr>
            </w:pPr>
            <w:r w:rsidRPr="0068735D">
              <w:rPr>
                <w:sz w:val="20"/>
                <w:szCs w:val="20"/>
                <w:lang w:val="en-GB"/>
              </w:rPr>
              <w:t>100</w:t>
            </w:r>
            <w:r w:rsidR="0068735D" w:rsidRPr="0068735D">
              <w:rPr>
                <w:sz w:val="20"/>
                <w:szCs w:val="20"/>
                <w:lang w:val="en-GB"/>
              </w:rPr>
              <w:t>,</w:t>
            </w:r>
            <w:r w:rsidRPr="0068735D">
              <w:rPr>
                <w:sz w:val="20"/>
                <w:szCs w:val="20"/>
                <w:lang w:val="en-GB"/>
              </w:rPr>
              <w:t>000</w:t>
            </w:r>
            <w:r w:rsidR="0068735D" w:rsidRPr="0068735D">
              <w:rPr>
                <w:sz w:val="20"/>
                <w:szCs w:val="20"/>
                <w:lang w:val="en-GB"/>
              </w:rPr>
              <w:t>.</w:t>
            </w:r>
            <w:r w:rsidRPr="0068735D">
              <w:rPr>
                <w:sz w:val="20"/>
                <w:szCs w:val="20"/>
                <w:lang w:val="en-GB"/>
              </w:rPr>
              <w:t>00</w:t>
            </w:r>
          </w:p>
        </w:tc>
        <w:tc>
          <w:tcPr>
            <w:tcW w:w="1559" w:type="dxa"/>
            <w:vAlign w:val="center"/>
          </w:tcPr>
          <w:p w14:paraId="39A244E3" w14:textId="77777777" w:rsidR="00CA1D81" w:rsidRPr="0068735D" w:rsidRDefault="00CA1D81" w:rsidP="0068735D">
            <w:pPr>
              <w:spacing w:after="0" w:line="240" w:lineRule="auto"/>
              <w:ind w:left="-139"/>
              <w:jc w:val="right"/>
              <w:rPr>
                <w:sz w:val="20"/>
                <w:szCs w:val="20"/>
                <w:lang w:val="en-GB"/>
              </w:rPr>
            </w:pPr>
            <w:r w:rsidRPr="0068735D">
              <w:rPr>
                <w:sz w:val="20"/>
                <w:szCs w:val="20"/>
                <w:lang w:val="en-GB"/>
              </w:rPr>
              <w:t>100</w:t>
            </w:r>
            <w:r w:rsidR="0068735D" w:rsidRPr="0068735D">
              <w:rPr>
                <w:sz w:val="20"/>
                <w:szCs w:val="20"/>
                <w:lang w:val="en-GB"/>
              </w:rPr>
              <w:t>,</w:t>
            </w:r>
            <w:r w:rsidRPr="0068735D">
              <w:rPr>
                <w:sz w:val="20"/>
                <w:szCs w:val="20"/>
                <w:lang w:val="en-GB"/>
              </w:rPr>
              <w:t>000</w:t>
            </w:r>
            <w:r w:rsidR="0068735D" w:rsidRPr="0068735D">
              <w:rPr>
                <w:sz w:val="20"/>
                <w:szCs w:val="20"/>
                <w:lang w:val="en-GB"/>
              </w:rPr>
              <w:t>.</w:t>
            </w:r>
            <w:r w:rsidRPr="0068735D">
              <w:rPr>
                <w:sz w:val="20"/>
                <w:szCs w:val="20"/>
                <w:lang w:val="en-GB"/>
              </w:rPr>
              <w:t>00</w:t>
            </w:r>
          </w:p>
        </w:tc>
        <w:tc>
          <w:tcPr>
            <w:tcW w:w="1430" w:type="dxa"/>
            <w:vAlign w:val="center"/>
          </w:tcPr>
          <w:p w14:paraId="213984BE" w14:textId="77777777" w:rsidR="00CA1D81" w:rsidRPr="0068735D" w:rsidRDefault="00CA1D81" w:rsidP="0068735D">
            <w:pPr>
              <w:spacing w:after="0" w:line="240" w:lineRule="auto"/>
              <w:ind w:left="-139"/>
              <w:jc w:val="right"/>
              <w:rPr>
                <w:sz w:val="20"/>
                <w:szCs w:val="20"/>
                <w:lang w:val="en-GB"/>
              </w:rPr>
            </w:pPr>
            <w:r w:rsidRPr="0068735D">
              <w:rPr>
                <w:sz w:val="20"/>
                <w:szCs w:val="20"/>
                <w:lang w:val="en-GB"/>
              </w:rPr>
              <w:t>100</w:t>
            </w:r>
            <w:r w:rsidR="0068735D" w:rsidRPr="0068735D">
              <w:rPr>
                <w:sz w:val="20"/>
                <w:szCs w:val="20"/>
                <w:lang w:val="en-GB"/>
              </w:rPr>
              <w:t>,</w:t>
            </w:r>
            <w:r w:rsidRPr="0068735D">
              <w:rPr>
                <w:sz w:val="20"/>
                <w:szCs w:val="20"/>
                <w:lang w:val="en-GB"/>
              </w:rPr>
              <w:t>000</w:t>
            </w:r>
            <w:r w:rsidR="0068735D" w:rsidRPr="0068735D">
              <w:rPr>
                <w:sz w:val="20"/>
                <w:szCs w:val="20"/>
                <w:lang w:val="en-GB"/>
              </w:rPr>
              <w:t>.</w:t>
            </w:r>
            <w:r w:rsidRPr="0068735D">
              <w:rPr>
                <w:sz w:val="20"/>
                <w:szCs w:val="20"/>
                <w:lang w:val="en-GB"/>
              </w:rPr>
              <w:t>00</w:t>
            </w:r>
          </w:p>
        </w:tc>
        <w:tc>
          <w:tcPr>
            <w:tcW w:w="1447" w:type="dxa"/>
          </w:tcPr>
          <w:p w14:paraId="36A6436B" w14:textId="77777777" w:rsidR="00CA1D81" w:rsidRPr="0068735D" w:rsidRDefault="00CA1D81" w:rsidP="0068735D">
            <w:pPr>
              <w:spacing w:after="0" w:line="240" w:lineRule="auto"/>
              <w:ind w:left="-139"/>
              <w:jc w:val="right"/>
              <w:rPr>
                <w:sz w:val="20"/>
                <w:szCs w:val="20"/>
                <w:lang w:val="en-GB"/>
              </w:rPr>
            </w:pPr>
            <w:r w:rsidRPr="0068735D">
              <w:rPr>
                <w:sz w:val="20"/>
                <w:szCs w:val="20"/>
                <w:lang w:val="en-GB"/>
              </w:rPr>
              <w:t>100</w:t>
            </w:r>
            <w:r w:rsidR="0068735D" w:rsidRPr="0068735D">
              <w:rPr>
                <w:sz w:val="20"/>
                <w:szCs w:val="20"/>
                <w:lang w:val="en-GB"/>
              </w:rPr>
              <w:t>,</w:t>
            </w:r>
            <w:r w:rsidRPr="0068735D">
              <w:rPr>
                <w:sz w:val="20"/>
                <w:szCs w:val="20"/>
                <w:lang w:val="en-GB"/>
              </w:rPr>
              <w:t>000</w:t>
            </w:r>
            <w:r w:rsidR="0068735D" w:rsidRPr="0068735D">
              <w:rPr>
                <w:sz w:val="20"/>
                <w:szCs w:val="20"/>
                <w:lang w:val="en-GB"/>
              </w:rPr>
              <w:t>.</w:t>
            </w:r>
            <w:r w:rsidRPr="0068735D">
              <w:rPr>
                <w:sz w:val="20"/>
                <w:szCs w:val="20"/>
                <w:lang w:val="en-GB"/>
              </w:rPr>
              <w:t>00</w:t>
            </w:r>
          </w:p>
        </w:tc>
      </w:tr>
      <w:tr w:rsidR="00CA1D81" w:rsidRPr="005D3251" w14:paraId="0F1E3CCF" w14:textId="77777777" w:rsidTr="00AD5BFF">
        <w:trPr>
          <w:trHeight w:val="170"/>
        </w:trPr>
        <w:tc>
          <w:tcPr>
            <w:tcW w:w="1696" w:type="dxa"/>
            <w:shd w:val="clear" w:color="auto" w:fill="auto"/>
            <w:vAlign w:val="center"/>
          </w:tcPr>
          <w:p w14:paraId="5FEF526C" w14:textId="77777777" w:rsidR="00CA1D81" w:rsidRPr="005D3251" w:rsidRDefault="005D3251" w:rsidP="00AD5BFF">
            <w:pPr>
              <w:spacing w:after="0" w:line="240" w:lineRule="auto"/>
              <w:rPr>
                <w:sz w:val="20"/>
                <w:szCs w:val="20"/>
                <w:lang w:val="en-GB"/>
              </w:rPr>
            </w:pPr>
            <w:r w:rsidRPr="005D3251">
              <w:rPr>
                <w:sz w:val="20"/>
                <w:szCs w:val="20"/>
                <w:lang w:val="en-GB"/>
              </w:rPr>
              <w:t xml:space="preserve">Hungarian </w:t>
            </w:r>
          </w:p>
        </w:tc>
        <w:tc>
          <w:tcPr>
            <w:tcW w:w="1560" w:type="dxa"/>
            <w:shd w:val="clear" w:color="auto" w:fill="auto"/>
            <w:vAlign w:val="center"/>
          </w:tcPr>
          <w:p w14:paraId="7B39DC96" w14:textId="77777777" w:rsidR="00CA1D81" w:rsidRPr="005D3251" w:rsidRDefault="00CA1D81" w:rsidP="005D3251">
            <w:pPr>
              <w:spacing w:after="0" w:line="240" w:lineRule="auto"/>
              <w:ind w:left="-168" w:right="-77"/>
              <w:jc w:val="right"/>
              <w:rPr>
                <w:sz w:val="20"/>
                <w:szCs w:val="20"/>
                <w:lang w:val="en-GB"/>
              </w:rPr>
            </w:pPr>
            <w:r w:rsidRPr="005D3251">
              <w:rPr>
                <w:sz w:val="20"/>
                <w:szCs w:val="20"/>
                <w:lang w:val="en-GB"/>
              </w:rPr>
              <w:t>24</w:t>
            </w:r>
            <w:r w:rsidR="005D3251" w:rsidRPr="005D3251">
              <w:rPr>
                <w:sz w:val="20"/>
                <w:szCs w:val="20"/>
                <w:lang w:val="en-GB"/>
              </w:rPr>
              <w:t>,</w:t>
            </w:r>
            <w:r w:rsidRPr="005D3251">
              <w:rPr>
                <w:sz w:val="20"/>
                <w:szCs w:val="20"/>
                <w:lang w:val="en-GB"/>
              </w:rPr>
              <w:t>349</w:t>
            </w:r>
            <w:r w:rsidR="005D3251" w:rsidRPr="005D3251">
              <w:rPr>
                <w:sz w:val="20"/>
                <w:szCs w:val="20"/>
                <w:lang w:val="en-GB"/>
              </w:rPr>
              <w:t>,</w:t>
            </w:r>
            <w:r w:rsidRPr="005D3251">
              <w:rPr>
                <w:sz w:val="20"/>
                <w:szCs w:val="20"/>
                <w:lang w:val="en-GB"/>
              </w:rPr>
              <w:t>004</w:t>
            </w:r>
            <w:r w:rsidR="005D3251" w:rsidRPr="005D3251">
              <w:rPr>
                <w:sz w:val="20"/>
                <w:szCs w:val="20"/>
                <w:lang w:val="en-GB"/>
              </w:rPr>
              <w:t>.</w:t>
            </w:r>
            <w:r w:rsidRPr="005D3251">
              <w:rPr>
                <w:sz w:val="20"/>
                <w:szCs w:val="20"/>
                <w:lang w:val="en-GB"/>
              </w:rPr>
              <w:t>00</w:t>
            </w:r>
          </w:p>
        </w:tc>
        <w:tc>
          <w:tcPr>
            <w:tcW w:w="1417" w:type="dxa"/>
            <w:vAlign w:val="center"/>
          </w:tcPr>
          <w:p w14:paraId="75D06126" w14:textId="77777777" w:rsidR="00CA1D81" w:rsidRPr="005D3251" w:rsidRDefault="00CA1D81" w:rsidP="005D3251">
            <w:pPr>
              <w:spacing w:after="0" w:line="240" w:lineRule="auto"/>
              <w:ind w:left="-139"/>
              <w:jc w:val="right"/>
              <w:rPr>
                <w:sz w:val="20"/>
                <w:szCs w:val="20"/>
                <w:lang w:val="en-GB"/>
              </w:rPr>
            </w:pPr>
            <w:r w:rsidRPr="005D3251">
              <w:rPr>
                <w:sz w:val="20"/>
                <w:szCs w:val="20"/>
                <w:lang w:val="en-GB"/>
              </w:rPr>
              <w:t>24</w:t>
            </w:r>
            <w:r w:rsidR="005D3251" w:rsidRPr="005D3251">
              <w:rPr>
                <w:sz w:val="20"/>
                <w:szCs w:val="20"/>
                <w:lang w:val="en-GB"/>
              </w:rPr>
              <w:t>,</w:t>
            </w:r>
            <w:r w:rsidRPr="005D3251">
              <w:rPr>
                <w:sz w:val="20"/>
                <w:szCs w:val="20"/>
                <w:lang w:val="en-GB"/>
              </w:rPr>
              <w:t>423</w:t>
            </w:r>
            <w:r w:rsidR="005D3251" w:rsidRPr="005D3251">
              <w:rPr>
                <w:sz w:val="20"/>
                <w:szCs w:val="20"/>
                <w:lang w:val="en-GB"/>
              </w:rPr>
              <w:t>,</w:t>
            </w:r>
            <w:r w:rsidRPr="005D3251">
              <w:rPr>
                <w:sz w:val="20"/>
                <w:szCs w:val="20"/>
                <w:lang w:val="en-GB"/>
              </w:rPr>
              <w:t>964</w:t>
            </w:r>
            <w:r w:rsidR="005D3251" w:rsidRPr="005D3251">
              <w:rPr>
                <w:sz w:val="20"/>
                <w:szCs w:val="20"/>
                <w:lang w:val="en-GB"/>
              </w:rPr>
              <w:t>.</w:t>
            </w:r>
            <w:r w:rsidRPr="005D3251">
              <w:rPr>
                <w:sz w:val="20"/>
                <w:szCs w:val="20"/>
                <w:lang w:val="en-GB"/>
              </w:rPr>
              <w:t>00</w:t>
            </w:r>
          </w:p>
        </w:tc>
        <w:tc>
          <w:tcPr>
            <w:tcW w:w="1559" w:type="dxa"/>
            <w:vAlign w:val="center"/>
          </w:tcPr>
          <w:p w14:paraId="562BD5FB" w14:textId="77777777" w:rsidR="00CA1D81" w:rsidRPr="005D3251" w:rsidRDefault="00CA1D81" w:rsidP="005D3251">
            <w:pPr>
              <w:spacing w:after="0" w:line="240" w:lineRule="auto"/>
              <w:ind w:left="-139"/>
              <w:jc w:val="right"/>
              <w:rPr>
                <w:sz w:val="20"/>
                <w:szCs w:val="20"/>
                <w:lang w:val="en-GB"/>
              </w:rPr>
            </w:pPr>
            <w:r w:rsidRPr="005D3251">
              <w:rPr>
                <w:sz w:val="20"/>
                <w:szCs w:val="20"/>
                <w:lang w:val="en-GB"/>
              </w:rPr>
              <w:t>24</w:t>
            </w:r>
            <w:r w:rsidR="005D3251" w:rsidRPr="005D3251">
              <w:rPr>
                <w:sz w:val="20"/>
                <w:szCs w:val="20"/>
                <w:lang w:val="en-GB"/>
              </w:rPr>
              <w:t>,</w:t>
            </w:r>
            <w:r w:rsidRPr="005D3251">
              <w:rPr>
                <w:sz w:val="20"/>
                <w:szCs w:val="20"/>
                <w:lang w:val="en-GB"/>
              </w:rPr>
              <w:t>194</w:t>
            </w:r>
            <w:r w:rsidR="005D3251" w:rsidRPr="005D3251">
              <w:rPr>
                <w:sz w:val="20"/>
                <w:szCs w:val="20"/>
                <w:lang w:val="en-GB"/>
              </w:rPr>
              <w:t>,</w:t>
            </w:r>
            <w:r w:rsidRPr="005D3251">
              <w:rPr>
                <w:sz w:val="20"/>
                <w:szCs w:val="20"/>
                <w:lang w:val="en-GB"/>
              </w:rPr>
              <w:t>720</w:t>
            </w:r>
            <w:r w:rsidR="005D3251" w:rsidRPr="005D3251">
              <w:rPr>
                <w:sz w:val="20"/>
                <w:szCs w:val="20"/>
                <w:lang w:val="en-GB"/>
              </w:rPr>
              <w:t>.</w:t>
            </w:r>
            <w:r w:rsidRPr="005D3251">
              <w:rPr>
                <w:sz w:val="20"/>
                <w:szCs w:val="20"/>
                <w:lang w:val="en-GB"/>
              </w:rPr>
              <w:t>00</w:t>
            </w:r>
          </w:p>
        </w:tc>
        <w:tc>
          <w:tcPr>
            <w:tcW w:w="1430" w:type="dxa"/>
            <w:vAlign w:val="center"/>
          </w:tcPr>
          <w:p w14:paraId="6ABCDCAA" w14:textId="77777777" w:rsidR="00CA1D81" w:rsidRPr="005D3251" w:rsidRDefault="00CA1D81" w:rsidP="005D3251">
            <w:pPr>
              <w:spacing w:after="0" w:line="240" w:lineRule="auto"/>
              <w:ind w:left="-139"/>
              <w:jc w:val="right"/>
              <w:rPr>
                <w:sz w:val="20"/>
                <w:szCs w:val="20"/>
                <w:lang w:val="en-GB"/>
              </w:rPr>
            </w:pPr>
            <w:r w:rsidRPr="005D3251">
              <w:rPr>
                <w:sz w:val="20"/>
                <w:szCs w:val="20"/>
                <w:lang w:val="en-GB"/>
              </w:rPr>
              <w:t>24</w:t>
            </w:r>
            <w:r w:rsidR="005D3251" w:rsidRPr="005D3251">
              <w:rPr>
                <w:sz w:val="20"/>
                <w:szCs w:val="20"/>
                <w:lang w:val="en-GB"/>
              </w:rPr>
              <w:t>,</w:t>
            </w:r>
            <w:r w:rsidRPr="005D3251">
              <w:rPr>
                <w:sz w:val="20"/>
                <w:szCs w:val="20"/>
                <w:lang w:val="en-GB"/>
              </w:rPr>
              <w:t>672</w:t>
            </w:r>
            <w:r w:rsidR="005D3251" w:rsidRPr="005D3251">
              <w:rPr>
                <w:sz w:val="20"/>
                <w:szCs w:val="20"/>
                <w:lang w:val="en-GB"/>
              </w:rPr>
              <w:t>,</w:t>
            </w:r>
            <w:r w:rsidRPr="005D3251">
              <w:rPr>
                <w:sz w:val="20"/>
                <w:szCs w:val="20"/>
                <w:lang w:val="en-GB"/>
              </w:rPr>
              <w:t>360</w:t>
            </w:r>
            <w:r w:rsidR="005D3251" w:rsidRPr="005D3251">
              <w:rPr>
                <w:sz w:val="20"/>
                <w:szCs w:val="20"/>
                <w:lang w:val="en-GB"/>
              </w:rPr>
              <w:t>.</w:t>
            </w:r>
            <w:r w:rsidRPr="005D3251">
              <w:rPr>
                <w:sz w:val="20"/>
                <w:szCs w:val="20"/>
                <w:lang w:val="en-GB"/>
              </w:rPr>
              <w:t>00</w:t>
            </w:r>
          </w:p>
        </w:tc>
        <w:tc>
          <w:tcPr>
            <w:tcW w:w="1447" w:type="dxa"/>
          </w:tcPr>
          <w:p w14:paraId="6A6A67D5" w14:textId="77777777" w:rsidR="00CA1D81" w:rsidRPr="005D3251" w:rsidRDefault="00CA1D81" w:rsidP="005D3251">
            <w:pPr>
              <w:spacing w:after="0" w:line="240" w:lineRule="auto"/>
              <w:ind w:left="-139"/>
              <w:jc w:val="right"/>
              <w:rPr>
                <w:sz w:val="20"/>
                <w:szCs w:val="20"/>
                <w:lang w:val="en-GB"/>
              </w:rPr>
            </w:pPr>
            <w:r w:rsidRPr="005D3251">
              <w:rPr>
                <w:sz w:val="20"/>
                <w:szCs w:val="20"/>
                <w:lang w:val="en-GB"/>
              </w:rPr>
              <w:t>24</w:t>
            </w:r>
            <w:r w:rsidR="005D3251" w:rsidRPr="005D3251">
              <w:rPr>
                <w:sz w:val="20"/>
                <w:szCs w:val="20"/>
                <w:lang w:val="en-GB"/>
              </w:rPr>
              <w:t>,</w:t>
            </w:r>
            <w:r w:rsidRPr="005D3251">
              <w:rPr>
                <w:sz w:val="20"/>
                <w:szCs w:val="20"/>
                <w:lang w:val="en-GB"/>
              </w:rPr>
              <w:t>417</w:t>
            </w:r>
            <w:r w:rsidR="005D3251" w:rsidRPr="005D3251">
              <w:rPr>
                <w:sz w:val="20"/>
                <w:szCs w:val="20"/>
                <w:lang w:val="en-GB"/>
              </w:rPr>
              <w:t>,</w:t>
            </w:r>
            <w:r w:rsidRPr="005D3251">
              <w:rPr>
                <w:sz w:val="20"/>
                <w:szCs w:val="20"/>
                <w:lang w:val="en-GB"/>
              </w:rPr>
              <w:t>200</w:t>
            </w:r>
            <w:r w:rsidR="005D3251" w:rsidRPr="005D3251">
              <w:rPr>
                <w:sz w:val="20"/>
                <w:szCs w:val="20"/>
                <w:lang w:val="en-GB"/>
              </w:rPr>
              <w:t>.</w:t>
            </w:r>
            <w:r w:rsidRPr="005D3251">
              <w:rPr>
                <w:sz w:val="20"/>
                <w:szCs w:val="20"/>
                <w:lang w:val="en-GB"/>
              </w:rPr>
              <w:t>00</w:t>
            </w:r>
          </w:p>
        </w:tc>
      </w:tr>
      <w:tr w:rsidR="00CA1D81" w:rsidRPr="005D3251" w14:paraId="3E94E515" w14:textId="77777777" w:rsidTr="00AD5BFF">
        <w:trPr>
          <w:trHeight w:val="107"/>
        </w:trPr>
        <w:tc>
          <w:tcPr>
            <w:tcW w:w="1696" w:type="dxa"/>
            <w:shd w:val="clear" w:color="auto" w:fill="auto"/>
            <w:vAlign w:val="center"/>
          </w:tcPr>
          <w:p w14:paraId="160F904B" w14:textId="77777777" w:rsidR="00CA1D81" w:rsidRPr="005D3251" w:rsidRDefault="005D3251" w:rsidP="00AD5BFF">
            <w:pPr>
              <w:spacing w:after="0" w:line="240" w:lineRule="auto"/>
              <w:rPr>
                <w:sz w:val="20"/>
                <w:szCs w:val="20"/>
                <w:lang w:val="en-GB"/>
              </w:rPr>
            </w:pPr>
            <w:r w:rsidRPr="005D3251">
              <w:rPr>
                <w:sz w:val="20"/>
                <w:szCs w:val="20"/>
                <w:lang w:val="en-GB"/>
              </w:rPr>
              <w:t xml:space="preserve">Macedonian </w:t>
            </w:r>
          </w:p>
        </w:tc>
        <w:tc>
          <w:tcPr>
            <w:tcW w:w="1560" w:type="dxa"/>
            <w:shd w:val="clear" w:color="auto" w:fill="auto"/>
            <w:vAlign w:val="center"/>
          </w:tcPr>
          <w:p w14:paraId="6E1F3E79" w14:textId="77777777" w:rsidR="00CA1D81" w:rsidRPr="005D3251" w:rsidRDefault="00CA1D81" w:rsidP="005D3251">
            <w:pPr>
              <w:spacing w:after="0" w:line="240" w:lineRule="auto"/>
              <w:ind w:left="-168" w:right="-77"/>
              <w:jc w:val="right"/>
              <w:rPr>
                <w:sz w:val="20"/>
                <w:szCs w:val="20"/>
                <w:lang w:val="en-GB"/>
              </w:rPr>
            </w:pPr>
            <w:r w:rsidRPr="005D3251">
              <w:rPr>
                <w:sz w:val="20"/>
                <w:szCs w:val="20"/>
                <w:lang w:val="en-GB"/>
              </w:rPr>
              <w:t>2</w:t>
            </w:r>
            <w:r w:rsidR="005D3251" w:rsidRPr="005D3251">
              <w:rPr>
                <w:sz w:val="20"/>
                <w:szCs w:val="20"/>
                <w:lang w:val="en-GB"/>
              </w:rPr>
              <w:t>,</w:t>
            </w:r>
            <w:r w:rsidRPr="005D3251">
              <w:rPr>
                <w:sz w:val="20"/>
                <w:szCs w:val="20"/>
                <w:lang w:val="en-GB"/>
              </w:rPr>
              <w:t>438</w:t>
            </w:r>
            <w:r w:rsidR="005D3251" w:rsidRPr="005D3251">
              <w:rPr>
                <w:sz w:val="20"/>
                <w:szCs w:val="20"/>
                <w:lang w:val="en-GB"/>
              </w:rPr>
              <w:t>,</w:t>
            </w:r>
            <w:r w:rsidRPr="005D3251">
              <w:rPr>
                <w:sz w:val="20"/>
                <w:szCs w:val="20"/>
                <w:lang w:val="en-GB"/>
              </w:rPr>
              <w:t>340</w:t>
            </w:r>
            <w:r w:rsidR="005D3251" w:rsidRPr="005D3251">
              <w:rPr>
                <w:sz w:val="20"/>
                <w:szCs w:val="20"/>
                <w:lang w:val="en-GB"/>
              </w:rPr>
              <w:t>.</w:t>
            </w:r>
            <w:r w:rsidRPr="005D3251">
              <w:rPr>
                <w:sz w:val="20"/>
                <w:szCs w:val="20"/>
                <w:lang w:val="en-GB"/>
              </w:rPr>
              <w:t>00</w:t>
            </w:r>
          </w:p>
        </w:tc>
        <w:tc>
          <w:tcPr>
            <w:tcW w:w="1417" w:type="dxa"/>
            <w:vAlign w:val="center"/>
          </w:tcPr>
          <w:p w14:paraId="3FAC8EC2" w14:textId="77777777" w:rsidR="00CA1D81" w:rsidRPr="005D3251" w:rsidRDefault="00CA1D81" w:rsidP="005D3251">
            <w:pPr>
              <w:spacing w:after="0" w:line="240" w:lineRule="auto"/>
              <w:ind w:left="-139"/>
              <w:jc w:val="right"/>
              <w:rPr>
                <w:sz w:val="20"/>
                <w:szCs w:val="20"/>
                <w:lang w:val="en-GB"/>
              </w:rPr>
            </w:pPr>
            <w:r w:rsidRPr="005D3251">
              <w:rPr>
                <w:sz w:val="20"/>
                <w:szCs w:val="20"/>
                <w:lang w:val="en-GB"/>
              </w:rPr>
              <w:t>2</w:t>
            </w:r>
            <w:r w:rsidR="005D3251" w:rsidRPr="005D3251">
              <w:rPr>
                <w:sz w:val="20"/>
                <w:szCs w:val="20"/>
                <w:lang w:val="en-GB"/>
              </w:rPr>
              <w:t>,</w:t>
            </w:r>
            <w:r w:rsidRPr="005D3251">
              <w:rPr>
                <w:sz w:val="20"/>
                <w:szCs w:val="20"/>
                <w:lang w:val="en-GB"/>
              </w:rPr>
              <w:t>456</w:t>
            </w:r>
            <w:r w:rsidR="005D3251" w:rsidRPr="005D3251">
              <w:rPr>
                <w:sz w:val="20"/>
                <w:szCs w:val="20"/>
                <w:lang w:val="en-GB"/>
              </w:rPr>
              <w:t>,</w:t>
            </w:r>
            <w:r w:rsidRPr="005D3251">
              <w:rPr>
                <w:sz w:val="20"/>
                <w:szCs w:val="20"/>
                <w:lang w:val="en-GB"/>
              </w:rPr>
              <w:t>220</w:t>
            </w:r>
            <w:r w:rsidR="005D3251" w:rsidRPr="005D3251">
              <w:rPr>
                <w:sz w:val="20"/>
                <w:szCs w:val="20"/>
                <w:lang w:val="en-GB"/>
              </w:rPr>
              <w:t>.</w:t>
            </w:r>
            <w:r w:rsidRPr="005D3251">
              <w:rPr>
                <w:sz w:val="20"/>
                <w:szCs w:val="20"/>
                <w:lang w:val="en-GB"/>
              </w:rPr>
              <w:t>00</w:t>
            </w:r>
          </w:p>
        </w:tc>
        <w:tc>
          <w:tcPr>
            <w:tcW w:w="1559" w:type="dxa"/>
            <w:vAlign w:val="center"/>
          </w:tcPr>
          <w:p w14:paraId="59ED8A68" w14:textId="77777777" w:rsidR="00CA1D81" w:rsidRPr="005D3251" w:rsidRDefault="00CA1D81" w:rsidP="005D3251">
            <w:pPr>
              <w:spacing w:after="0" w:line="240" w:lineRule="auto"/>
              <w:ind w:left="-139"/>
              <w:jc w:val="right"/>
              <w:rPr>
                <w:sz w:val="20"/>
                <w:szCs w:val="20"/>
                <w:lang w:val="en-GB"/>
              </w:rPr>
            </w:pPr>
            <w:r w:rsidRPr="005D3251">
              <w:rPr>
                <w:sz w:val="20"/>
                <w:szCs w:val="20"/>
                <w:lang w:val="en-GB"/>
              </w:rPr>
              <w:t>2</w:t>
            </w:r>
            <w:r w:rsidR="005D3251" w:rsidRPr="005D3251">
              <w:rPr>
                <w:sz w:val="20"/>
                <w:szCs w:val="20"/>
                <w:lang w:val="en-GB"/>
              </w:rPr>
              <w:t>,</w:t>
            </w:r>
            <w:r w:rsidRPr="005D3251">
              <w:rPr>
                <w:sz w:val="20"/>
                <w:szCs w:val="20"/>
                <w:lang w:val="en-GB"/>
              </w:rPr>
              <w:t>665</w:t>
            </w:r>
            <w:r w:rsidR="005D3251" w:rsidRPr="005D3251">
              <w:rPr>
                <w:sz w:val="20"/>
                <w:szCs w:val="20"/>
                <w:lang w:val="en-GB"/>
              </w:rPr>
              <w:t>,</w:t>
            </w:r>
            <w:r w:rsidRPr="005D3251">
              <w:rPr>
                <w:sz w:val="20"/>
                <w:szCs w:val="20"/>
                <w:lang w:val="en-GB"/>
              </w:rPr>
              <w:t>640</w:t>
            </w:r>
            <w:r w:rsidR="005D3251" w:rsidRPr="005D3251">
              <w:rPr>
                <w:sz w:val="20"/>
                <w:szCs w:val="20"/>
                <w:lang w:val="en-GB"/>
              </w:rPr>
              <w:t>.</w:t>
            </w:r>
            <w:r w:rsidRPr="005D3251">
              <w:rPr>
                <w:sz w:val="20"/>
                <w:szCs w:val="20"/>
                <w:lang w:val="en-GB"/>
              </w:rPr>
              <w:t>00</w:t>
            </w:r>
          </w:p>
        </w:tc>
        <w:tc>
          <w:tcPr>
            <w:tcW w:w="1430" w:type="dxa"/>
            <w:vAlign w:val="center"/>
          </w:tcPr>
          <w:p w14:paraId="08E3A122" w14:textId="77777777" w:rsidR="00CA1D81" w:rsidRPr="005D3251" w:rsidRDefault="00CA1D81" w:rsidP="005D3251">
            <w:pPr>
              <w:spacing w:after="0" w:line="240" w:lineRule="auto"/>
              <w:ind w:left="-139"/>
              <w:jc w:val="right"/>
              <w:rPr>
                <w:sz w:val="20"/>
                <w:szCs w:val="20"/>
                <w:lang w:val="en-GB"/>
              </w:rPr>
            </w:pPr>
            <w:r w:rsidRPr="005D3251">
              <w:rPr>
                <w:sz w:val="20"/>
                <w:szCs w:val="20"/>
                <w:lang w:val="en-GB"/>
              </w:rPr>
              <w:t>2</w:t>
            </w:r>
            <w:r w:rsidR="005D3251" w:rsidRPr="005D3251">
              <w:rPr>
                <w:sz w:val="20"/>
                <w:szCs w:val="20"/>
                <w:lang w:val="en-GB"/>
              </w:rPr>
              <w:t>,</w:t>
            </w:r>
            <w:r w:rsidRPr="005D3251">
              <w:rPr>
                <w:sz w:val="20"/>
                <w:szCs w:val="20"/>
                <w:lang w:val="en-GB"/>
              </w:rPr>
              <w:t>790</w:t>
            </w:r>
            <w:r w:rsidR="005D3251" w:rsidRPr="005D3251">
              <w:rPr>
                <w:sz w:val="20"/>
                <w:szCs w:val="20"/>
                <w:lang w:val="en-GB"/>
              </w:rPr>
              <w:t>,</w:t>
            </w:r>
            <w:r w:rsidRPr="005D3251">
              <w:rPr>
                <w:sz w:val="20"/>
                <w:szCs w:val="20"/>
                <w:lang w:val="en-GB"/>
              </w:rPr>
              <w:t>440</w:t>
            </w:r>
            <w:r w:rsidR="005D3251" w:rsidRPr="005D3251">
              <w:rPr>
                <w:sz w:val="20"/>
                <w:szCs w:val="20"/>
                <w:lang w:val="en-GB"/>
              </w:rPr>
              <w:t>.</w:t>
            </w:r>
            <w:r w:rsidRPr="005D3251">
              <w:rPr>
                <w:sz w:val="20"/>
                <w:szCs w:val="20"/>
                <w:lang w:val="en-GB"/>
              </w:rPr>
              <w:t>00</w:t>
            </w:r>
          </w:p>
        </w:tc>
        <w:tc>
          <w:tcPr>
            <w:tcW w:w="1447" w:type="dxa"/>
          </w:tcPr>
          <w:p w14:paraId="1FA957AA" w14:textId="77777777" w:rsidR="00CA1D81" w:rsidRPr="005D3251" w:rsidRDefault="00CA1D81" w:rsidP="005D3251">
            <w:pPr>
              <w:spacing w:after="0" w:line="240" w:lineRule="auto"/>
              <w:ind w:left="-139"/>
              <w:jc w:val="right"/>
              <w:rPr>
                <w:sz w:val="20"/>
                <w:szCs w:val="20"/>
                <w:lang w:val="en-GB"/>
              </w:rPr>
            </w:pPr>
            <w:r w:rsidRPr="005D3251">
              <w:rPr>
                <w:sz w:val="20"/>
                <w:szCs w:val="20"/>
                <w:lang w:val="en-GB"/>
              </w:rPr>
              <w:t>2</w:t>
            </w:r>
            <w:r w:rsidR="005D3251" w:rsidRPr="005D3251">
              <w:rPr>
                <w:sz w:val="20"/>
                <w:szCs w:val="20"/>
                <w:lang w:val="en-GB"/>
              </w:rPr>
              <w:t>,</w:t>
            </w:r>
            <w:r w:rsidRPr="005D3251">
              <w:rPr>
                <w:sz w:val="20"/>
                <w:szCs w:val="20"/>
                <w:lang w:val="en-GB"/>
              </w:rPr>
              <w:t>729</w:t>
            </w:r>
            <w:r w:rsidR="005D3251" w:rsidRPr="005D3251">
              <w:rPr>
                <w:sz w:val="20"/>
                <w:szCs w:val="20"/>
                <w:lang w:val="en-GB"/>
              </w:rPr>
              <w:t>,</w:t>
            </w:r>
            <w:r w:rsidRPr="005D3251">
              <w:rPr>
                <w:sz w:val="20"/>
                <w:szCs w:val="20"/>
                <w:lang w:val="en-GB"/>
              </w:rPr>
              <w:t>600</w:t>
            </w:r>
            <w:r w:rsidR="005D3251" w:rsidRPr="005D3251">
              <w:rPr>
                <w:sz w:val="20"/>
                <w:szCs w:val="20"/>
                <w:lang w:val="en-GB"/>
              </w:rPr>
              <w:t>.</w:t>
            </w:r>
            <w:r w:rsidRPr="005D3251">
              <w:rPr>
                <w:sz w:val="20"/>
                <w:szCs w:val="20"/>
                <w:lang w:val="en-GB"/>
              </w:rPr>
              <w:t>00</w:t>
            </w:r>
          </w:p>
        </w:tc>
      </w:tr>
      <w:tr w:rsidR="00CA1D81" w:rsidRPr="005D3251" w14:paraId="0FC3DC77" w14:textId="77777777" w:rsidTr="00AD5BFF">
        <w:trPr>
          <w:trHeight w:val="233"/>
        </w:trPr>
        <w:tc>
          <w:tcPr>
            <w:tcW w:w="1696" w:type="dxa"/>
            <w:shd w:val="clear" w:color="auto" w:fill="auto"/>
            <w:vAlign w:val="center"/>
          </w:tcPr>
          <w:p w14:paraId="712525AD" w14:textId="77777777" w:rsidR="00CA1D81" w:rsidRPr="005D3251" w:rsidRDefault="005D3251" w:rsidP="00AD5BFF">
            <w:pPr>
              <w:spacing w:after="0" w:line="240" w:lineRule="auto"/>
              <w:rPr>
                <w:sz w:val="20"/>
                <w:szCs w:val="20"/>
                <w:lang w:val="en-GB"/>
              </w:rPr>
            </w:pPr>
            <w:r w:rsidRPr="005D3251">
              <w:rPr>
                <w:sz w:val="20"/>
                <w:szCs w:val="20"/>
                <w:lang w:val="en-GB"/>
              </w:rPr>
              <w:t xml:space="preserve">German </w:t>
            </w:r>
          </w:p>
        </w:tc>
        <w:tc>
          <w:tcPr>
            <w:tcW w:w="1560" w:type="dxa"/>
            <w:shd w:val="clear" w:color="auto" w:fill="auto"/>
            <w:vAlign w:val="center"/>
          </w:tcPr>
          <w:p w14:paraId="39234FE4" w14:textId="77777777" w:rsidR="00CA1D81" w:rsidRPr="005D3251" w:rsidRDefault="00CA1D81" w:rsidP="005D3251">
            <w:pPr>
              <w:spacing w:after="0" w:line="240" w:lineRule="auto"/>
              <w:ind w:left="-168" w:right="-77"/>
              <w:jc w:val="right"/>
              <w:rPr>
                <w:sz w:val="20"/>
                <w:szCs w:val="20"/>
                <w:lang w:val="en-GB"/>
              </w:rPr>
            </w:pPr>
            <w:r w:rsidRPr="005D3251">
              <w:rPr>
                <w:sz w:val="20"/>
                <w:szCs w:val="20"/>
                <w:lang w:val="en-GB"/>
              </w:rPr>
              <w:t>1</w:t>
            </w:r>
            <w:r w:rsidR="005D3251" w:rsidRPr="005D3251">
              <w:rPr>
                <w:sz w:val="20"/>
                <w:szCs w:val="20"/>
                <w:lang w:val="en-GB"/>
              </w:rPr>
              <w:t>,</w:t>
            </w:r>
            <w:r w:rsidRPr="005D3251">
              <w:rPr>
                <w:sz w:val="20"/>
                <w:szCs w:val="20"/>
                <w:lang w:val="en-GB"/>
              </w:rPr>
              <w:t>807</w:t>
            </w:r>
            <w:r w:rsidR="005D3251" w:rsidRPr="005D3251">
              <w:rPr>
                <w:sz w:val="20"/>
                <w:szCs w:val="20"/>
                <w:lang w:val="en-GB"/>
              </w:rPr>
              <w:t>,</w:t>
            </w:r>
            <w:r w:rsidRPr="005D3251">
              <w:rPr>
                <w:sz w:val="20"/>
                <w:szCs w:val="20"/>
                <w:lang w:val="en-GB"/>
              </w:rPr>
              <w:t>084</w:t>
            </w:r>
            <w:r w:rsidR="005D3251" w:rsidRPr="005D3251">
              <w:rPr>
                <w:sz w:val="20"/>
                <w:szCs w:val="20"/>
                <w:lang w:val="en-GB"/>
              </w:rPr>
              <w:t>.</w:t>
            </w:r>
            <w:r w:rsidRPr="005D3251">
              <w:rPr>
                <w:sz w:val="20"/>
                <w:szCs w:val="20"/>
                <w:lang w:val="en-GB"/>
              </w:rPr>
              <w:t>00</w:t>
            </w:r>
          </w:p>
        </w:tc>
        <w:tc>
          <w:tcPr>
            <w:tcW w:w="1417" w:type="dxa"/>
            <w:vAlign w:val="center"/>
          </w:tcPr>
          <w:p w14:paraId="1ABCA2FD" w14:textId="77777777" w:rsidR="00CA1D81" w:rsidRPr="005D3251" w:rsidRDefault="00CA1D81" w:rsidP="005D3251">
            <w:pPr>
              <w:spacing w:after="0" w:line="240" w:lineRule="auto"/>
              <w:ind w:left="-139"/>
              <w:jc w:val="right"/>
              <w:rPr>
                <w:sz w:val="20"/>
                <w:szCs w:val="20"/>
                <w:lang w:val="en-GB"/>
              </w:rPr>
            </w:pPr>
            <w:r w:rsidRPr="005D3251">
              <w:rPr>
                <w:sz w:val="20"/>
                <w:szCs w:val="20"/>
                <w:lang w:val="en-GB"/>
              </w:rPr>
              <w:t>1</w:t>
            </w:r>
            <w:r w:rsidR="005D3251" w:rsidRPr="005D3251">
              <w:rPr>
                <w:sz w:val="20"/>
                <w:szCs w:val="20"/>
                <w:lang w:val="en-GB"/>
              </w:rPr>
              <w:t>,</w:t>
            </w:r>
            <w:r w:rsidRPr="005D3251">
              <w:rPr>
                <w:sz w:val="20"/>
                <w:szCs w:val="20"/>
                <w:lang w:val="en-GB"/>
              </w:rPr>
              <w:t>787</w:t>
            </w:r>
            <w:r w:rsidR="005D3251" w:rsidRPr="005D3251">
              <w:rPr>
                <w:sz w:val="20"/>
                <w:szCs w:val="20"/>
                <w:lang w:val="en-GB"/>
              </w:rPr>
              <w:t>,</w:t>
            </w:r>
            <w:r w:rsidRPr="005D3251">
              <w:rPr>
                <w:sz w:val="20"/>
                <w:szCs w:val="20"/>
                <w:lang w:val="en-GB"/>
              </w:rPr>
              <w:t>884</w:t>
            </w:r>
            <w:r w:rsidR="005D3251" w:rsidRPr="005D3251">
              <w:rPr>
                <w:sz w:val="20"/>
                <w:szCs w:val="20"/>
                <w:lang w:val="en-GB"/>
              </w:rPr>
              <w:t>.</w:t>
            </w:r>
            <w:r w:rsidRPr="005D3251">
              <w:rPr>
                <w:sz w:val="20"/>
                <w:szCs w:val="20"/>
                <w:lang w:val="en-GB"/>
              </w:rPr>
              <w:t>00</w:t>
            </w:r>
          </w:p>
        </w:tc>
        <w:tc>
          <w:tcPr>
            <w:tcW w:w="1559" w:type="dxa"/>
            <w:vAlign w:val="center"/>
          </w:tcPr>
          <w:p w14:paraId="51C5907C" w14:textId="77777777" w:rsidR="00CA1D81" w:rsidRPr="005D3251" w:rsidRDefault="00CA1D81" w:rsidP="005D3251">
            <w:pPr>
              <w:spacing w:after="0" w:line="240" w:lineRule="auto"/>
              <w:ind w:left="-139"/>
              <w:jc w:val="right"/>
              <w:rPr>
                <w:sz w:val="20"/>
                <w:szCs w:val="20"/>
                <w:lang w:val="en-GB"/>
              </w:rPr>
            </w:pPr>
            <w:r w:rsidRPr="005D3251">
              <w:rPr>
                <w:sz w:val="20"/>
                <w:szCs w:val="20"/>
                <w:lang w:val="en-GB"/>
              </w:rPr>
              <w:t>1</w:t>
            </w:r>
            <w:r w:rsidR="005D3251" w:rsidRPr="005D3251">
              <w:rPr>
                <w:sz w:val="20"/>
                <w:szCs w:val="20"/>
                <w:lang w:val="en-GB"/>
              </w:rPr>
              <w:t>,</w:t>
            </w:r>
            <w:r w:rsidRPr="005D3251">
              <w:rPr>
                <w:sz w:val="20"/>
                <w:szCs w:val="20"/>
                <w:lang w:val="en-GB"/>
              </w:rPr>
              <w:t>593</w:t>
            </w:r>
            <w:r w:rsidR="005D3251" w:rsidRPr="005D3251">
              <w:rPr>
                <w:sz w:val="20"/>
                <w:szCs w:val="20"/>
                <w:lang w:val="en-GB"/>
              </w:rPr>
              <w:t>,</w:t>
            </w:r>
            <w:r w:rsidRPr="005D3251">
              <w:rPr>
                <w:sz w:val="20"/>
                <w:szCs w:val="20"/>
                <w:lang w:val="en-GB"/>
              </w:rPr>
              <w:t>560</w:t>
            </w:r>
            <w:r w:rsidR="005D3251" w:rsidRPr="005D3251">
              <w:rPr>
                <w:sz w:val="20"/>
                <w:szCs w:val="20"/>
                <w:lang w:val="en-GB"/>
              </w:rPr>
              <w:t>.</w:t>
            </w:r>
            <w:r w:rsidRPr="005D3251">
              <w:rPr>
                <w:sz w:val="20"/>
                <w:szCs w:val="20"/>
                <w:lang w:val="en-GB"/>
              </w:rPr>
              <w:t>00</w:t>
            </w:r>
          </w:p>
        </w:tc>
        <w:tc>
          <w:tcPr>
            <w:tcW w:w="1430" w:type="dxa"/>
            <w:vAlign w:val="center"/>
          </w:tcPr>
          <w:p w14:paraId="2344D751" w14:textId="77777777" w:rsidR="00CA1D81" w:rsidRPr="005D3251" w:rsidRDefault="00CA1D81" w:rsidP="005D3251">
            <w:pPr>
              <w:spacing w:after="0" w:line="240" w:lineRule="auto"/>
              <w:ind w:left="-139"/>
              <w:jc w:val="right"/>
              <w:rPr>
                <w:sz w:val="20"/>
                <w:szCs w:val="20"/>
                <w:lang w:val="en-GB"/>
              </w:rPr>
            </w:pPr>
            <w:r w:rsidRPr="005D3251">
              <w:rPr>
                <w:sz w:val="20"/>
                <w:szCs w:val="20"/>
                <w:lang w:val="en-GB"/>
              </w:rPr>
              <w:t>1</w:t>
            </w:r>
            <w:r w:rsidR="005D3251" w:rsidRPr="005D3251">
              <w:rPr>
                <w:sz w:val="20"/>
                <w:szCs w:val="20"/>
                <w:lang w:val="en-GB"/>
              </w:rPr>
              <w:t>,</w:t>
            </w:r>
            <w:r w:rsidRPr="005D3251">
              <w:rPr>
                <w:sz w:val="20"/>
                <w:szCs w:val="20"/>
                <w:lang w:val="en-GB"/>
              </w:rPr>
              <w:t>764</w:t>
            </w:r>
            <w:r w:rsidR="005D3251" w:rsidRPr="005D3251">
              <w:rPr>
                <w:sz w:val="20"/>
                <w:szCs w:val="20"/>
                <w:lang w:val="en-GB"/>
              </w:rPr>
              <w:t>,</w:t>
            </w:r>
            <w:r w:rsidRPr="005D3251">
              <w:rPr>
                <w:sz w:val="20"/>
                <w:szCs w:val="20"/>
                <w:lang w:val="en-GB"/>
              </w:rPr>
              <w:t>360</w:t>
            </w:r>
            <w:r w:rsidR="005D3251" w:rsidRPr="005D3251">
              <w:rPr>
                <w:sz w:val="20"/>
                <w:szCs w:val="20"/>
                <w:lang w:val="en-GB"/>
              </w:rPr>
              <w:t>.</w:t>
            </w:r>
            <w:r w:rsidRPr="005D3251">
              <w:rPr>
                <w:sz w:val="20"/>
                <w:szCs w:val="20"/>
                <w:lang w:val="en-GB"/>
              </w:rPr>
              <w:t>00</w:t>
            </w:r>
          </w:p>
        </w:tc>
        <w:tc>
          <w:tcPr>
            <w:tcW w:w="1447" w:type="dxa"/>
          </w:tcPr>
          <w:p w14:paraId="2304F1FB" w14:textId="77777777" w:rsidR="00CA1D81" w:rsidRPr="005D3251" w:rsidRDefault="00CA1D81" w:rsidP="005D3251">
            <w:pPr>
              <w:spacing w:after="0" w:line="240" w:lineRule="auto"/>
              <w:ind w:left="-139"/>
              <w:jc w:val="right"/>
              <w:rPr>
                <w:sz w:val="20"/>
                <w:szCs w:val="20"/>
                <w:lang w:val="en-GB"/>
              </w:rPr>
            </w:pPr>
            <w:r w:rsidRPr="005D3251">
              <w:rPr>
                <w:sz w:val="20"/>
                <w:szCs w:val="20"/>
                <w:lang w:val="en-GB"/>
              </w:rPr>
              <w:t>1</w:t>
            </w:r>
            <w:r w:rsidR="005D3251" w:rsidRPr="005D3251">
              <w:rPr>
                <w:sz w:val="20"/>
                <w:szCs w:val="20"/>
                <w:lang w:val="en-GB"/>
              </w:rPr>
              <w:t>,</w:t>
            </w:r>
            <w:r w:rsidRPr="005D3251">
              <w:rPr>
                <w:sz w:val="20"/>
                <w:szCs w:val="20"/>
                <w:lang w:val="en-GB"/>
              </w:rPr>
              <w:t>754</w:t>
            </w:r>
            <w:r w:rsidR="005D3251" w:rsidRPr="005D3251">
              <w:rPr>
                <w:sz w:val="20"/>
                <w:szCs w:val="20"/>
                <w:lang w:val="en-GB"/>
              </w:rPr>
              <w:t>,</w:t>
            </w:r>
            <w:r w:rsidRPr="005D3251">
              <w:rPr>
                <w:sz w:val="20"/>
                <w:szCs w:val="20"/>
                <w:lang w:val="en-GB"/>
              </w:rPr>
              <w:t>800</w:t>
            </w:r>
            <w:r w:rsidR="005D3251" w:rsidRPr="005D3251">
              <w:rPr>
                <w:sz w:val="20"/>
                <w:szCs w:val="20"/>
                <w:lang w:val="en-GB"/>
              </w:rPr>
              <w:t>.</w:t>
            </w:r>
            <w:r w:rsidRPr="005D3251">
              <w:rPr>
                <w:sz w:val="20"/>
                <w:szCs w:val="20"/>
                <w:lang w:val="en-GB"/>
              </w:rPr>
              <w:t>00</w:t>
            </w:r>
          </w:p>
        </w:tc>
      </w:tr>
      <w:tr w:rsidR="00CA1D81" w:rsidRPr="00D62D04" w14:paraId="4AEDB480" w14:textId="77777777" w:rsidTr="00AD5BFF">
        <w:trPr>
          <w:trHeight w:val="233"/>
        </w:trPr>
        <w:tc>
          <w:tcPr>
            <w:tcW w:w="1696" w:type="dxa"/>
            <w:shd w:val="clear" w:color="auto" w:fill="auto"/>
            <w:vAlign w:val="center"/>
          </w:tcPr>
          <w:p w14:paraId="67ED7022" w14:textId="77777777" w:rsidR="00CA1D81" w:rsidRPr="005D3251" w:rsidRDefault="005D3251" w:rsidP="00AD5BFF">
            <w:pPr>
              <w:spacing w:after="0" w:line="240" w:lineRule="auto"/>
              <w:rPr>
                <w:sz w:val="20"/>
                <w:szCs w:val="20"/>
                <w:lang w:val="en-GB"/>
              </w:rPr>
            </w:pPr>
            <w:r w:rsidRPr="005D3251">
              <w:rPr>
                <w:sz w:val="20"/>
                <w:szCs w:val="20"/>
                <w:lang w:val="en-GB"/>
              </w:rPr>
              <w:t xml:space="preserve">Polish </w:t>
            </w:r>
          </w:p>
        </w:tc>
        <w:tc>
          <w:tcPr>
            <w:tcW w:w="1560" w:type="dxa"/>
            <w:shd w:val="clear" w:color="auto" w:fill="auto"/>
            <w:vAlign w:val="center"/>
          </w:tcPr>
          <w:p w14:paraId="1AF3BD51" w14:textId="77777777" w:rsidR="00CA1D81" w:rsidRPr="005D3251" w:rsidRDefault="00CA1D81" w:rsidP="00AD5BFF">
            <w:pPr>
              <w:spacing w:after="0" w:line="240" w:lineRule="auto"/>
              <w:ind w:left="-168" w:right="-77"/>
              <w:jc w:val="right"/>
              <w:rPr>
                <w:sz w:val="20"/>
                <w:szCs w:val="20"/>
                <w:lang w:val="en-GB"/>
              </w:rPr>
            </w:pPr>
          </w:p>
        </w:tc>
        <w:tc>
          <w:tcPr>
            <w:tcW w:w="1417" w:type="dxa"/>
            <w:vAlign w:val="center"/>
          </w:tcPr>
          <w:p w14:paraId="13B294A9" w14:textId="77777777" w:rsidR="00CA1D81" w:rsidRPr="005D3251" w:rsidRDefault="00CA1D81" w:rsidP="00AD5BFF">
            <w:pPr>
              <w:spacing w:after="0" w:line="240" w:lineRule="auto"/>
              <w:ind w:left="-139"/>
              <w:jc w:val="right"/>
              <w:rPr>
                <w:sz w:val="20"/>
                <w:szCs w:val="20"/>
                <w:lang w:val="en-GB"/>
              </w:rPr>
            </w:pPr>
          </w:p>
        </w:tc>
        <w:tc>
          <w:tcPr>
            <w:tcW w:w="1559" w:type="dxa"/>
            <w:vAlign w:val="center"/>
          </w:tcPr>
          <w:p w14:paraId="44FDCEC4" w14:textId="77777777" w:rsidR="00CA1D81" w:rsidRPr="005D3251" w:rsidRDefault="00CA1D81" w:rsidP="005D3251">
            <w:pPr>
              <w:spacing w:after="0" w:line="240" w:lineRule="auto"/>
              <w:ind w:left="-139"/>
              <w:jc w:val="right"/>
              <w:rPr>
                <w:sz w:val="20"/>
                <w:szCs w:val="20"/>
                <w:lang w:val="en-GB"/>
              </w:rPr>
            </w:pPr>
            <w:r w:rsidRPr="005D3251">
              <w:rPr>
                <w:sz w:val="20"/>
                <w:szCs w:val="20"/>
                <w:lang w:val="en-GB"/>
              </w:rPr>
              <w:t>1</w:t>
            </w:r>
            <w:r w:rsidR="005D3251" w:rsidRPr="005D3251">
              <w:rPr>
                <w:sz w:val="20"/>
                <w:szCs w:val="20"/>
                <w:lang w:val="en-GB"/>
              </w:rPr>
              <w:t>,</w:t>
            </w:r>
            <w:r w:rsidRPr="005D3251">
              <w:rPr>
                <w:sz w:val="20"/>
                <w:szCs w:val="20"/>
                <w:lang w:val="en-GB"/>
              </w:rPr>
              <w:t>282</w:t>
            </w:r>
            <w:r w:rsidR="005D3251" w:rsidRPr="005D3251">
              <w:rPr>
                <w:sz w:val="20"/>
                <w:szCs w:val="20"/>
                <w:lang w:val="en-GB"/>
              </w:rPr>
              <w:t>,</w:t>
            </w:r>
            <w:r w:rsidRPr="005D3251">
              <w:rPr>
                <w:sz w:val="20"/>
                <w:szCs w:val="20"/>
                <w:lang w:val="en-GB"/>
              </w:rPr>
              <w:t>920</w:t>
            </w:r>
            <w:r w:rsidR="005D3251" w:rsidRPr="005D3251">
              <w:rPr>
                <w:sz w:val="20"/>
                <w:szCs w:val="20"/>
                <w:lang w:val="en-GB"/>
              </w:rPr>
              <w:t>.</w:t>
            </w:r>
            <w:r w:rsidRPr="005D3251">
              <w:rPr>
                <w:sz w:val="20"/>
                <w:szCs w:val="20"/>
                <w:lang w:val="en-GB"/>
              </w:rPr>
              <w:t>00</w:t>
            </w:r>
          </w:p>
        </w:tc>
        <w:tc>
          <w:tcPr>
            <w:tcW w:w="1430" w:type="dxa"/>
            <w:vAlign w:val="center"/>
          </w:tcPr>
          <w:p w14:paraId="57F217F5" w14:textId="77777777" w:rsidR="00CA1D81" w:rsidRPr="005D3251" w:rsidRDefault="00CA1D81" w:rsidP="005D3251">
            <w:pPr>
              <w:spacing w:after="0" w:line="240" w:lineRule="auto"/>
              <w:ind w:left="-139"/>
              <w:jc w:val="right"/>
              <w:rPr>
                <w:sz w:val="20"/>
                <w:szCs w:val="20"/>
                <w:lang w:val="en-GB"/>
              </w:rPr>
            </w:pPr>
            <w:r w:rsidRPr="005D3251">
              <w:rPr>
                <w:sz w:val="20"/>
                <w:szCs w:val="20"/>
                <w:lang w:val="en-GB"/>
              </w:rPr>
              <w:t>1</w:t>
            </w:r>
            <w:r w:rsidR="005D3251" w:rsidRPr="005D3251">
              <w:rPr>
                <w:sz w:val="20"/>
                <w:szCs w:val="20"/>
                <w:lang w:val="en-GB"/>
              </w:rPr>
              <w:t>,</w:t>
            </w:r>
            <w:r w:rsidRPr="005D3251">
              <w:rPr>
                <w:sz w:val="20"/>
                <w:szCs w:val="20"/>
                <w:lang w:val="en-GB"/>
              </w:rPr>
              <w:t>315</w:t>
            </w:r>
            <w:r w:rsidR="005D3251" w:rsidRPr="005D3251">
              <w:rPr>
                <w:sz w:val="20"/>
                <w:szCs w:val="20"/>
                <w:lang w:val="en-GB"/>
              </w:rPr>
              <w:t>,</w:t>
            </w:r>
            <w:r w:rsidRPr="005D3251">
              <w:rPr>
                <w:sz w:val="20"/>
                <w:szCs w:val="20"/>
                <w:lang w:val="en-GB"/>
              </w:rPr>
              <w:t>160</w:t>
            </w:r>
            <w:r w:rsidR="005D3251" w:rsidRPr="005D3251">
              <w:rPr>
                <w:sz w:val="20"/>
                <w:szCs w:val="20"/>
                <w:lang w:val="en-GB"/>
              </w:rPr>
              <w:t>.</w:t>
            </w:r>
            <w:r w:rsidRPr="005D3251">
              <w:rPr>
                <w:sz w:val="20"/>
                <w:szCs w:val="20"/>
                <w:lang w:val="en-GB"/>
              </w:rPr>
              <w:t>00</w:t>
            </w:r>
          </w:p>
        </w:tc>
        <w:tc>
          <w:tcPr>
            <w:tcW w:w="1447" w:type="dxa"/>
          </w:tcPr>
          <w:p w14:paraId="7D8DFB46" w14:textId="77777777" w:rsidR="00CA1D81" w:rsidRPr="005D3251" w:rsidRDefault="00CA1D81" w:rsidP="005D3251">
            <w:pPr>
              <w:spacing w:after="0" w:line="240" w:lineRule="auto"/>
              <w:ind w:left="-139"/>
              <w:jc w:val="right"/>
              <w:rPr>
                <w:sz w:val="20"/>
                <w:szCs w:val="20"/>
                <w:lang w:val="en-GB"/>
              </w:rPr>
            </w:pPr>
            <w:r w:rsidRPr="005D3251">
              <w:rPr>
                <w:sz w:val="20"/>
                <w:szCs w:val="20"/>
                <w:lang w:val="en-GB"/>
              </w:rPr>
              <w:t>1</w:t>
            </w:r>
            <w:r w:rsidR="005D3251" w:rsidRPr="005D3251">
              <w:rPr>
                <w:sz w:val="20"/>
                <w:szCs w:val="20"/>
                <w:lang w:val="en-GB"/>
              </w:rPr>
              <w:t>,</w:t>
            </w:r>
            <w:r w:rsidRPr="005D3251">
              <w:rPr>
                <w:sz w:val="20"/>
                <w:szCs w:val="20"/>
                <w:lang w:val="en-GB"/>
              </w:rPr>
              <w:t>315</w:t>
            </w:r>
            <w:r w:rsidR="005D3251" w:rsidRPr="005D3251">
              <w:rPr>
                <w:sz w:val="20"/>
                <w:szCs w:val="20"/>
                <w:lang w:val="en-GB"/>
              </w:rPr>
              <w:t>,</w:t>
            </w:r>
            <w:r w:rsidRPr="005D3251">
              <w:rPr>
                <w:sz w:val="20"/>
                <w:szCs w:val="20"/>
                <w:lang w:val="en-GB"/>
              </w:rPr>
              <w:t>200</w:t>
            </w:r>
            <w:r w:rsidR="005D3251" w:rsidRPr="005D3251">
              <w:rPr>
                <w:sz w:val="20"/>
                <w:szCs w:val="20"/>
                <w:lang w:val="en-GB"/>
              </w:rPr>
              <w:t>.</w:t>
            </w:r>
            <w:r w:rsidRPr="005D3251">
              <w:rPr>
                <w:sz w:val="20"/>
                <w:szCs w:val="20"/>
                <w:lang w:val="en-GB"/>
              </w:rPr>
              <w:t>00</w:t>
            </w:r>
          </w:p>
        </w:tc>
      </w:tr>
      <w:tr w:rsidR="00CA1D81" w:rsidRPr="00823F1B" w14:paraId="642341C5" w14:textId="77777777" w:rsidTr="00AD5BFF">
        <w:trPr>
          <w:trHeight w:val="161"/>
        </w:trPr>
        <w:tc>
          <w:tcPr>
            <w:tcW w:w="1696" w:type="dxa"/>
            <w:shd w:val="clear" w:color="auto" w:fill="auto"/>
            <w:vAlign w:val="center"/>
          </w:tcPr>
          <w:p w14:paraId="1C3266F2" w14:textId="77777777" w:rsidR="00CA1D81" w:rsidRPr="00823F1B" w:rsidRDefault="000A1007" w:rsidP="00AD5BFF">
            <w:pPr>
              <w:spacing w:after="0" w:line="240" w:lineRule="auto"/>
              <w:rPr>
                <w:sz w:val="20"/>
                <w:szCs w:val="20"/>
                <w:lang w:val="en-GB"/>
              </w:rPr>
            </w:pPr>
            <w:r w:rsidRPr="00823F1B">
              <w:rPr>
                <w:sz w:val="20"/>
                <w:szCs w:val="20"/>
                <w:lang w:val="en-GB"/>
              </w:rPr>
              <w:t xml:space="preserve">Romani </w:t>
            </w:r>
          </w:p>
        </w:tc>
        <w:tc>
          <w:tcPr>
            <w:tcW w:w="1560" w:type="dxa"/>
            <w:shd w:val="clear" w:color="auto" w:fill="auto"/>
            <w:vAlign w:val="center"/>
          </w:tcPr>
          <w:p w14:paraId="54A42096" w14:textId="77777777" w:rsidR="00CA1D81" w:rsidRPr="00823F1B" w:rsidRDefault="00CA1D81" w:rsidP="00823F1B">
            <w:pPr>
              <w:spacing w:after="0" w:line="240" w:lineRule="auto"/>
              <w:ind w:left="-168" w:right="-77"/>
              <w:jc w:val="right"/>
              <w:rPr>
                <w:sz w:val="20"/>
                <w:szCs w:val="20"/>
                <w:lang w:val="en-GB"/>
              </w:rPr>
            </w:pPr>
            <w:r w:rsidRPr="00823F1B">
              <w:rPr>
                <w:sz w:val="20"/>
                <w:szCs w:val="20"/>
                <w:lang w:val="en-GB"/>
              </w:rPr>
              <w:t>3</w:t>
            </w:r>
            <w:r w:rsidR="00823F1B" w:rsidRPr="00823F1B">
              <w:rPr>
                <w:sz w:val="20"/>
                <w:szCs w:val="20"/>
                <w:lang w:val="en-GB"/>
              </w:rPr>
              <w:t>,</w:t>
            </w:r>
            <w:r w:rsidRPr="00823F1B">
              <w:rPr>
                <w:sz w:val="20"/>
                <w:szCs w:val="20"/>
                <w:lang w:val="en-GB"/>
              </w:rPr>
              <w:t>719</w:t>
            </w:r>
            <w:r w:rsidR="00823F1B" w:rsidRPr="00823F1B">
              <w:rPr>
                <w:sz w:val="20"/>
                <w:szCs w:val="20"/>
                <w:lang w:val="en-GB"/>
              </w:rPr>
              <w:t>,</w:t>
            </w:r>
            <w:r w:rsidRPr="00823F1B">
              <w:rPr>
                <w:sz w:val="20"/>
                <w:szCs w:val="20"/>
                <w:lang w:val="en-GB"/>
              </w:rPr>
              <w:t>928</w:t>
            </w:r>
            <w:r w:rsidR="00823F1B" w:rsidRPr="00823F1B">
              <w:rPr>
                <w:sz w:val="20"/>
                <w:szCs w:val="20"/>
                <w:lang w:val="en-GB"/>
              </w:rPr>
              <w:t>.</w:t>
            </w:r>
            <w:r w:rsidRPr="00823F1B">
              <w:rPr>
                <w:sz w:val="20"/>
                <w:szCs w:val="20"/>
                <w:lang w:val="en-GB"/>
              </w:rPr>
              <w:t>00</w:t>
            </w:r>
          </w:p>
        </w:tc>
        <w:tc>
          <w:tcPr>
            <w:tcW w:w="1417" w:type="dxa"/>
            <w:vAlign w:val="center"/>
          </w:tcPr>
          <w:p w14:paraId="3783100E" w14:textId="77777777" w:rsidR="00CA1D81" w:rsidRPr="00823F1B" w:rsidRDefault="00CA1D81" w:rsidP="00823F1B">
            <w:pPr>
              <w:spacing w:after="0" w:line="240" w:lineRule="auto"/>
              <w:ind w:left="-139"/>
              <w:jc w:val="right"/>
              <w:rPr>
                <w:sz w:val="20"/>
                <w:szCs w:val="20"/>
                <w:lang w:val="en-GB"/>
              </w:rPr>
            </w:pPr>
            <w:r w:rsidRPr="00823F1B">
              <w:rPr>
                <w:sz w:val="20"/>
                <w:szCs w:val="20"/>
                <w:lang w:val="en-GB"/>
              </w:rPr>
              <w:t>3</w:t>
            </w:r>
            <w:r w:rsidR="00823F1B" w:rsidRPr="00823F1B">
              <w:rPr>
                <w:sz w:val="20"/>
                <w:szCs w:val="20"/>
                <w:lang w:val="en-GB"/>
              </w:rPr>
              <w:t>,</w:t>
            </w:r>
            <w:r w:rsidRPr="00823F1B">
              <w:rPr>
                <w:sz w:val="20"/>
                <w:szCs w:val="20"/>
                <w:lang w:val="en-GB"/>
              </w:rPr>
              <w:t>802</w:t>
            </w:r>
            <w:r w:rsidR="00823F1B" w:rsidRPr="00823F1B">
              <w:rPr>
                <w:sz w:val="20"/>
                <w:szCs w:val="20"/>
                <w:lang w:val="en-GB"/>
              </w:rPr>
              <w:t>,</w:t>
            </w:r>
            <w:r w:rsidRPr="00823F1B">
              <w:rPr>
                <w:sz w:val="20"/>
                <w:szCs w:val="20"/>
                <w:lang w:val="en-GB"/>
              </w:rPr>
              <w:t>832</w:t>
            </w:r>
            <w:r w:rsidR="00823F1B" w:rsidRPr="00823F1B">
              <w:rPr>
                <w:sz w:val="20"/>
                <w:szCs w:val="20"/>
                <w:lang w:val="en-GB"/>
              </w:rPr>
              <w:t>.</w:t>
            </w:r>
            <w:r w:rsidRPr="00823F1B">
              <w:rPr>
                <w:sz w:val="20"/>
                <w:szCs w:val="20"/>
                <w:lang w:val="en-GB"/>
              </w:rPr>
              <w:t>00</w:t>
            </w:r>
          </w:p>
        </w:tc>
        <w:tc>
          <w:tcPr>
            <w:tcW w:w="1559" w:type="dxa"/>
            <w:vAlign w:val="center"/>
          </w:tcPr>
          <w:p w14:paraId="3A0BC2B3" w14:textId="77777777" w:rsidR="00CA1D81" w:rsidRPr="00823F1B" w:rsidRDefault="00CA1D81" w:rsidP="00823F1B">
            <w:pPr>
              <w:spacing w:after="0" w:line="240" w:lineRule="auto"/>
              <w:ind w:left="-139"/>
              <w:jc w:val="right"/>
              <w:rPr>
                <w:sz w:val="20"/>
                <w:szCs w:val="20"/>
                <w:lang w:val="en-GB"/>
              </w:rPr>
            </w:pPr>
            <w:r w:rsidRPr="00823F1B">
              <w:rPr>
                <w:sz w:val="20"/>
                <w:szCs w:val="20"/>
                <w:lang w:val="en-GB"/>
              </w:rPr>
              <w:t>3</w:t>
            </w:r>
            <w:r w:rsidR="00823F1B" w:rsidRPr="00823F1B">
              <w:rPr>
                <w:sz w:val="20"/>
                <w:szCs w:val="20"/>
                <w:lang w:val="en-GB"/>
              </w:rPr>
              <w:t>,</w:t>
            </w:r>
            <w:r w:rsidRPr="00823F1B">
              <w:rPr>
                <w:sz w:val="20"/>
                <w:szCs w:val="20"/>
                <w:lang w:val="en-GB"/>
              </w:rPr>
              <w:t>584</w:t>
            </w:r>
            <w:r w:rsidR="00823F1B" w:rsidRPr="00823F1B">
              <w:rPr>
                <w:sz w:val="20"/>
                <w:szCs w:val="20"/>
                <w:lang w:val="en-GB"/>
              </w:rPr>
              <w:t>,</w:t>
            </w:r>
            <w:r w:rsidRPr="00823F1B">
              <w:rPr>
                <w:sz w:val="20"/>
                <w:szCs w:val="20"/>
                <w:lang w:val="en-GB"/>
              </w:rPr>
              <w:t>560</w:t>
            </w:r>
            <w:r w:rsidR="00823F1B" w:rsidRPr="00823F1B">
              <w:rPr>
                <w:sz w:val="20"/>
                <w:szCs w:val="20"/>
                <w:lang w:val="en-GB"/>
              </w:rPr>
              <w:t>.</w:t>
            </w:r>
            <w:r w:rsidRPr="00823F1B">
              <w:rPr>
                <w:sz w:val="20"/>
                <w:szCs w:val="20"/>
                <w:lang w:val="en-GB"/>
              </w:rPr>
              <w:t>00</w:t>
            </w:r>
          </w:p>
        </w:tc>
        <w:tc>
          <w:tcPr>
            <w:tcW w:w="1430" w:type="dxa"/>
            <w:vAlign w:val="center"/>
          </w:tcPr>
          <w:p w14:paraId="70393028" w14:textId="77777777" w:rsidR="00CA1D81" w:rsidRPr="00823F1B" w:rsidRDefault="00CA1D81" w:rsidP="00823F1B">
            <w:pPr>
              <w:spacing w:after="0" w:line="240" w:lineRule="auto"/>
              <w:ind w:left="-139"/>
              <w:jc w:val="right"/>
              <w:rPr>
                <w:sz w:val="20"/>
                <w:szCs w:val="20"/>
                <w:lang w:val="en-GB"/>
              </w:rPr>
            </w:pPr>
            <w:r w:rsidRPr="00823F1B">
              <w:rPr>
                <w:sz w:val="20"/>
                <w:szCs w:val="20"/>
                <w:lang w:val="en-GB"/>
              </w:rPr>
              <w:t>3</w:t>
            </w:r>
            <w:r w:rsidR="00823F1B" w:rsidRPr="00823F1B">
              <w:rPr>
                <w:sz w:val="20"/>
                <w:szCs w:val="20"/>
                <w:lang w:val="en-GB"/>
              </w:rPr>
              <w:t>,</w:t>
            </w:r>
            <w:r w:rsidRPr="00823F1B">
              <w:rPr>
                <w:sz w:val="20"/>
                <w:szCs w:val="20"/>
                <w:lang w:val="en-GB"/>
              </w:rPr>
              <w:t>782</w:t>
            </w:r>
            <w:r w:rsidR="00823F1B" w:rsidRPr="00823F1B">
              <w:rPr>
                <w:sz w:val="20"/>
                <w:szCs w:val="20"/>
                <w:lang w:val="en-GB"/>
              </w:rPr>
              <w:t>,</w:t>
            </w:r>
            <w:r w:rsidRPr="00823F1B">
              <w:rPr>
                <w:sz w:val="20"/>
                <w:szCs w:val="20"/>
                <w:lang w:val="en-GB"/>
              </w:rPr>
              <w:t>080</w:t>
            </w:r>
            <w:r w:rsidR="00823F1B" w:rsidRPr="00823F1B">
              <w:rPr>
                <w:sz w:val="20"/>
                <w:szCs w:val="20"/>
                <w:lang w:val="en-GB"/>
              </w:rPr>
              <w:t>.</w:t>
            </w:r>
            <w:r w:rsidRPr="00823F1B">
              <w:rPr>
                <w:sz w:val="20"/>
                <w:szCs w:val="20"/>
                <w:lang w:val="en-GB"/>
              </w:rPr>
              <w:t>00</w:t>
            </w:r>
          </w:p>
        </w:tc>
        <w:tc>
          <w:tcPr>
            <w:tcW w:w="1447" w:type="dxa"/>
          </w:tcPr>
          <w:p w14:paraId="5CF95448" w14:textId="77777777" w:rsidR="00CA1D81" w:rsidRPr="00823F1B" w:rsidRDefault="00CA1D81" w:rsidP="00823F1B">
            <w:pPr>
              <w:spacing w:after="0" w:line="240" w:lineRule="auto"/>
              <w:ind w:left="-139"/>
              <w:jc w:val="right"/>
              <w:rPr>
                <w:sz w:val="20"/>
                <w:szCs w:val="20"/>
                <w:lang w:val="en-GB"/>
              </w:rPr>
            </w:pPr>
            <w:r w:rsidRPr="00823F1B">
              <w:rPr>
                <w:sz w:val="20"/>
                <w:szCs w:val="20"/>
                <w:lang w:val="en-GB"/>
              </w:rPr>
              <w:t>3</w:t>
            </w:r>
            <w:r w:rsidR="00823F1B" w:rsidRPr="00823F1B">
              <w:rPr>
                <w:sz w:val="20"/>
                <w:szCs w:val="20"/>
                <w:lang w:val="en-GB"/>
              </w:rPr>
              <w:t>,</w:t>
            </w:r>
            <w:r w:rsidRPr="00823F1B">
              <w:rPr>
                <w:sz w:val="20"/>
                <w:szCs w:val="20"/>
                <w:lang w:val="en-GB"/>
              </w:rPr>
              <w:t>771</w:t>
            </w:r>
            <w:r w:rsidR="00823F1B" w:rsidRPr="00823F1B">
              <w:rPr>
                <w:sz w:val="20"/>
                <w:szCs w:val="20"/>
                <w:lang w:val="en-GB"/>
              </w:rPr>
              <w:t>,</w:t>
            </w:r>
            <w:r w:rsidRPr="00823F1B">
              <w:rPr>
                <w:sz w:val="20"/>
                <w:szCs w:val="20"/>
                <w:lang w:val="en-GB"/>
              </w:rPr>
              <w:t>600</w:t>
            </w:r>
            <w:r w:rsidR="00823F1B" w:rsidRPr="00823F1B">
              <w:rPr>
                <w:sz w:val="20"/>
                <w:szCs w:val="20"/>
                <w:lang w:val="en-GB"/>
              </w:rPr>
              <w:t>.</w:t>
            </w:r>
            <w:r w:rsidRPr="00823F1B">
              <w:rPr>
                <w:sz w:val="20"/>
                <w:szCs w:val="20"/>
                <w:lang w:val="en-GB"/>
              </w:rPr>
              <w:t>00</w:t>
            </w:r>
          </w:p>
        </w:tc>
      </w:tr>
      <w:tr w:rsidR="00CA1D81" w:rsidRPr="00823F1B" w14:paraId="1DBA83E0" w14:textId="77777777" w:rsidTr="00AD5BFF">
        <w:trPr>
          <w:trHeight w:val="98"/>
        </w:trPr>
        <w:tc>
          <w:tcPr>
            <w:tcW w:w="1696" w:type="dxa"/>
            <w:shd w:val="clear" w:color="auto" w:fill="auto"/>
            <w:vAlign w:val="center"/>
          </w:tcPr>
          <w:p w14:paraId="379F06D2" w14:textId="77777777" w:rsidR="00CA1D81" w:rsidRPr="00823F1B" w:rsidRDefault="000A1007" w:rsidP="00AD5BFF">
            <w:pPr>
              <w:spacing w:after="0" w:line="240" w:lineRule="auto"/>
              <w:rPr>
                <w:sz w:val="20"/>
                <w:szCs w:val="20"/>
                <w:lang w:val="en-GB"/>
              </w:rPr>
            </w:pPr>
            <w:r w:rsidRPr="00823F1B">
              <w:rPr>
                <w:sz w:val="20"/>
                <w:szCs w:val="20"/>
                <w:lang w:val="en-GB"/>
              </w:rPr>
              <w:t xml:space="preserve">Romanian </w:t>
            </w:r>
          </w:p>
        </w:tc>
        <w:tc>
          <w:tcPr>
            <w:tcW w:w="1560" w:type="dxa"/>
            <w:shd w:val="clear" w:color="auto" w:fill="auto"/>
            <w:vAlign w:val="center"/>
          </w:tcPr>
          <w:p w14:paraId="6AD58179" w14:textId="77777777" w:rsidR="00CA1D81" w:rsidRPr="00823F1B" w:rsidRDefault="00CA1D81" w:rsidP="00823F1B">
            <w:pPr>
              <w:spacing w:after="0" w:line="240" w:lineRule="auto"/>
              <w:ind w:left="-168" w:right="-77"/>
              <w:jc w:val="right"/>
              <w:rPr>
                <w:sz w:val="20"/>
                <w:szCs w:val="20"/>
                <w:lang w:val="en-GB"/>
              </w:rPr>
            </w:pPr>
            <w:r w:rsidRPr="00823F1B">
              <w:rPr>
                <w:sz w:val="20"/>
                <w:szCs w:val="20"/>
                <w:lang w:val="en-GB"/>
              </w:rPr>
              <w:t>4</w:t>
            </w:r>
            <w:r w:rsidR="00823F1B" w:rsidRPr="00823F1B">
              <w:rPr>
                <w:sz w:val="20"/>
                <w:szCs w:val="20"/>
                <w:lang w:val="en-GB"/>
              </w:rPr>
              <w:t>,</w:t>
            </w:r>
            <w:r w:rsidRPr="00823F1B">
              <w:rPr>
                <w:sz w:val="20"/>
                <w:szCs w:val="20"/>
                <w:lang w:val="en-GB"/>
              </w:rPr>
              <w:t>942</w:t>
            </w:r>
            <w:r w:rsidR="00823F1B" w:rsidRPr="00823F1B">
              <w:rPr>
                <w:sz w:val="20"/>
                <w:szCs w:val="20"/>
                <w:lang w:val="en-GB"/>
              </w:rPr>
              <w:t>,</w:t>
            </w:r>
            <w:r w:rsidRPr="00823F1B">
              <w:rPr>
                <w:sz w:val="20"/>
                <w:szCs w:val="20"/>
                <w:lang w:val="en-GB"/>
              </w:rPr>
              <w:t>824</w:t>
            </w:r>
            <w:r w:rsidR="00823F1B" w:rsidRPr="00823F1B">
              <w:rPr>
                <w:sz w:val="20"/>
                <w:szCs w:val="20"/>
                <w:lang w:val="en-GB"/>
              </w:rPr>
              <w:t>.</w:t>
            </w:r>
            <w:r w:rsidRPr="00823F1B">
              <w:rPr>
                <w:sz w:val="20"/>
                <w:szCs w:val="20"/>
                <w:lang w:val="en-GB"/>
              </w:rPr>
              <w:t>00</w:t>
            </w:r>
          </w:p>
        </w:tc>
        <w:tc>
          <w:tcPr>
            <w:tcW w:w="1417" w:type="dxa"/>
            <w:vAlign w:val="center"/>
          </w:tcPr>
          <w:p w14:paraId="1BD50156" w14:textId="77777777" w:rsidR="00CA1D81" w:rsidRPr="00823F1B" w:rsidRDefault="00CA1D81" w:rsidP="00823F1B">
            <w:pPr>
              <w:spacing w:after="0" w:line="240" w:lineRule="auto"/>
              <w:ind w:left="-139"/>
              <w:jc w:val="right"/>
              <w:rPr>
                <w:sz w:val="20"/>
                <w:szCs w:val="20"/>
                <w:lang w:val="en-GB"/>
              </w:rPr>
            </w:pPr>
            <w:r w:rsidRPr="00823F1B">
              <w:rPr>
                <w:sz w:val="20"/>
                <w:szCs w:val="20"/>
                <w:lang w:val="en-GB"/>
              </w:rPr>
              <w:t>4</w:t>
            </w:r>
            <w:r w:rsidR="00823F1B" w:rsidRPr="00823F1B">
              <w:rPr>
                <w:sz w:val="20"/>
                <w:szCs w:val="20"/>
                <w:lang w:val="en-GB"/>
              </w:rPr>
              <w:t>,</w:t>
            </w:r>
            <w:r w:rsidRPr="00823F1B">
              <w:rPr>
                <w:sz w:val="20"/>
                <w:szCs w:val="20"/>
                <w:lang w:val="en-GB"/>
              </w:rPr>
              <w:t>636</w:t>
            </w:r>
            <w:r w:rsidR="00823F1B" w:rsidRPr="00823F1B">
              <w:rPr>
                <w:sz w:val="20"/>
                <w:szCs w:val="20"/>
                <w:lang w:val="en-GB"/>
              </w:rPr>
              <w:t>,</w:t>
            </w:r>
            <w:r w:rsidRPr="00823F1B">
              <w:rPr>
                <w:sz w:val="20"/>
                <w:szCs w:val="20"/>
                <w:lang w:val="en-GB"/>
              </w:rPr>
              <w:t>376</w:t>
            </w:r>
            <w:r w:rsidR="00823F1B" w:rsidRPr="00823F1B">
              <w:rPr>
                <w:sz w:val="20"/>
                <w:szCs w:val="20"/>
                <w:lang w:val="en-GB"/>
              </w:rPr>
              <w:t>.</w:t>
            </w:r>
            <w:r w:rsidRPr="00823F1B">
              <w:rPr>
                <w:sz w:val="20"/>
                <w:szCs w:val="20"/>
                <w:lang w:val="en-GB"/>
              </w:rPr>
              <w:t>00</w:t>
            </w:r>
          </w:p>
        </w:tc>
        <w:tc>
          <w:tcPr>
            <w:tcW w:w="1559" w:type="dxa"/>
            <w:vAlign w:val="center"/>
          </w:tcPr>
          <w:p w14:paraId="55A0F5D1" w14:textId="77777777" w:rsidR="00CA1D81" w:rsidRPr="00823F1B" w:rsidRDefault="00CA1D81" w:rsidP="00823F1B">
            <w:pPr>
              <w:spacing w:after="0" w:line="240" w:lineRule="auto"/>
              <w:ind w:left="-139"/>
              <w:jc w:val="right"/>
              <w:rPr>
                <w:sz w:val="20"/>
                <w:szCs w:val="20"/>
                <w:lang w:val="en-GB"/>
              </w:rPr>
            </w:pPr>
            <w:r w:rsidRPr="00823F1B">
              <w:rPr>
                <w:sz w:val="20"/>
                <w:szCs w:val="20"/>
                <w:lang w:val="en-GB"/>
              </w:rPr>
              <w:t>4</w:t>
            </w:r>
            <w:r w:rsidR="00823F1B" w:rsidRPr="00823F1B">
              <w:rPr>
                <w:sz w:val="20"/>
                <w:szCs w:val="20"/>
                <w:lang w:val="en-GB"/>
              </w:rPr>
              <w:t>,</w:t>
            </w:r>
            <w:r w:rsidRPr="00823F1B">
              <w:rPr>
                <w:sz w:val="20"/>
                <w:szCs w:val="20"/>
                <w:lang w:val="en-GB"/>
              </w:rPr>
              <w:t>174</w:t>
            </w:r>
            <w:r w:rsidR="00823F1B" w:rsidRPr="00823F1B">
              <w:rPr>
                <w:sz w:val="20"/>
                <w:szCs w:val="20"/>
                <w:lang w:val="en-GB"/>
              </w:rPr>
              <w:t>,</w:t>
            </w:r>
            <w:r w:rsidRPr="00823F1B">
              <w:rPr>
                <w:sz w:val="20"/>
                <w:szCs w:val="20"/>
                <w:lang w:val="en-GB"/>
              </w:rPr>
              <w:t>360</w:t>
            </w:r>
            <w:r w:rsidR="00823F1B" w:rsidRPr="00823F1B">
              <w:rPr>
                <w:sz w:val="20"/>
                <w:szCs w:val="20"/>
                <w:lang w:val="en-GB"/>
              </w:rPr>
              <w:t>.</w:t>
            </w:r>
            <w:r w:rsidRPr="00823F1B">
              <w:rPr>
                <w:sz w:val="20"/>
                <w:szCs w:val="20"/>
                <w:lang w:val="en-GB"/>
              </w:rPr>
              <w:t>00</w:t>
            </w:r>
          </w:p>
        </w:tc>
        <w:tc>
          <w:tcPr>
            <w:tcW w:w="1430" w:type="dxa"/>
            <w:vAlign w:val="center"/>
          </w:tcPr>
          <w:p w14:paraId="1B0327E6" w14:textId="77777777" w:rsidR="00CA1D81" w:rsidRPr="00823F1B" w:rsidRDefault="00CA1D81" w:rsidP="00823F1B">
            <w:pPr>
              <w:spacing w:after="0" w:line="240" w:lineRule="auto"/>
              <w:ind w:left="-139"/>
              <w:jc w:val="right"/>
              <w:rPr>
                <w:sz w:val="20"/>
                <w:szCs w:val="20"/>
                <w:lang w:val="en-GB"/>
              </w:rPr>
            </w:pPr>
            <w:r w:rsidRPr="00823F1B">
              <w:rPr>
                <w:sz w:val="20"/>
                <w:szCs w:val="20"/>
                <w:lang w:val="en-GB"/>
              </w:rPr>
              <w:t>4</w:t>
            </w:r>
            <w:r w:rsidR="00823F1B" w:rsidRPr="00823F1B">
              <w:rPr>
                <w:sz w:val="20"/>
                <w:szCs w:val="20"/>
                <w:lang w:val="en-GB"/>
              </w:rPr>
              <w:t>,</w:t>
            </w:r>
            <w:r w:rsidRPr="00823F1B">
              <w:rPr>
                <w:sz w:val="20"/>
                <w:szCs w:val="20"/>
                <w:lang w:val="en-GB"/>
              </w:rPr>
              <w:t>238</w:t>
            </w:r>
            <w:r w:rsidR="00823F1B" w:rsidRPr="00823F1B">
              <w:rPr>
                <w:sz w:val="20"/>
                <w:szCs w:val="20"/>
                <w:lang w:val="en-GB"/>
              </w:rPr>
              <w:t>,</w:t>
            </w:r>
            <w:r w:rsidRPr="00823F1B">
              <w:rPr>
                <w:sz w:val="20"/>
                <w:szCs w:val="20"/>
                <w:lang w:val="en-GB"/>
              </w:rPr>
              <w:t>600</w:t>
            </w:r>
            <w:r w:rsidR="00823F1B" w:rsidRPr="00823F1B">
              <w:rPr>
                <w:sz w:val="20"/>
                <w:szCs w:val="20"/>
                <w:lang w:val="en-GB"/>
              </w:rPr>
              <w:t>.</w:t>
            </w:r>
            <w:r w:rsidRPr="00823F1B">
              <w:rPr>
                <w:sz w:val="20"/>
                <w:szCs w:val="20"/>
                <w:lang w:val="en-GB"/>
              </w:rPr>
              <w:t>00</w:t>
            </w:r>
          </w:p>
        </w:tc>
        <w:tc>
          <w:tcPr>
            <w:tcW w:w="1447" w:type="dxa"/>
          </w:tcPr>
          <w:p w14:paraId="631E5548" w14:textId="77777777" w:rsidR="00CA1D81" w:rsidRPr="00823F1B" w:rsidRDefault="00CA1D81" w:rsidP="00823F1B">
            <w:pPr>
              <w:spacing w:after="0" w:line="240" w:lineRule="auto"/>
              <w:ind w:left="-139"/>
              <w:jc w:val="right"/>
              <w:rPr>
                <w:sz w:val="20"/>
                <w:szCs w:val="20"/>
                <w:lang w:val="en-GB"/>
              </w:rPr>
            </w:pPr>
            <w:r w:rsidRPr="00823F1B">
              <w:rPr>
                <w:sz w:val="20"/>
                <w:szCs w:val="20"/>
                <w:lang w:val="en-GB"/>
              </w:rPr>
              <w:t>4</w:t>
            </w:r>
            <w:r w:rsidR="00823F1B" w:rsidRPr="00823F1B">
              <w:rPr>
                <w:sz w:val="20"/>
                <w:szCs w:val="20"/>
                <w:lang w:val="en-GB"/>
              </w:rPr>
              <w:t>,</w:t>
            </w:r>
            <w:r w:rsidRPr="00823F1B">
              <w:rPr>
                <w:sz w:val="20"/>
                <w:szCs w:val="20"/>
                <w:lang w:val="en-GB"/>
              </w:rPr>
              <w:t>314</w:t>
            </w:r>
            <w:r w:rsidR="00823F1B" w:rsidRPr="00823F1B">
              <w:rPr>
                <w:sz w:val="20"/>
                <w:szCs w:val="20"/>
                <w:lang w:val="en-GB"/>
              </w:rPr>
              <w:t>,</w:t>
            </w:r>
            <w:r w:rsidRPr="00823F1B">
              <w:rPr>
                <w:sz w:val="20"/>
                <w:szCs w:val="20"/>
                <w:lang w:val="en-GB"/>
              </w:rPr>
              <w:t>400</w:t>
            </w:r>
            <w:r w:rsidR="00823F1B" w:rsidRPr="00823F1B">
              <w:rPr>
                <w:sz w:val="20"/>
                <w:szCs w:val="20"/>
                <w:lang w:val="en-GB"/>
              </w:rPr>
              <w:t>.</w:t>
            </w:r>
            <w:r w:rsidRPr="00823F1B">
              <w:rPr>
                <w:sz w:val="20"/>
                <w:szCs w:val="20"/>
                <w:lang w:val="en-GB"/>
              </w:rPr>
              <w:t>00</w:t>
            </w:r>
          </w:p>
        </w:tc>
      </w:tr>
      <w:tr w:rsidR="00CA1D81" w:rsidRPr="00823F1B" w14:paraId="49DCA57A" w14:textId="77777777" w:rsidTr="00AD5BFF">
        <w:trPr>
          <w:trHeight w:val="134"/>
        </w:trPr>
        <w:tc>
          <w:tcPr>
            <w:tcW w:w="1696" w:type="dxa"/>
            <w:shd w:val="clear" w:color="auto" w:fill="auto"/>
            <w:vAlign w:val="center"/>
          </w:tcPr>
          <w:p w14:paraId="1761DE40" w14:textId="77777777" w:rsidR="00CA1D81" w:rsidRPr="00823F1B" w:rsidRDefault="000A1007" w:rsidP="00AD5BFF">
            <w:pPr>
              <w:spacing w:after="0" w:line="240" w:lineRule="auto"/>
              <w:rPr>
                <w:sz w:val="20"/>
                <w:szCs w:val="20"/>
                <w:lang w:val="en-GB"/>
              </w:rPr>
            </w:pPr>
            <w:proofErr w:type="spellStart"/>
            <w:r w:rsidRPr="00823F1B">
              <w:rPr>
                <w:sz w:val="20"/>
                <w:szCs w:val="20"/>
                <w:lang w:val="en-GB"/>
              </w:rPr>
              <w:t>Ruthenian</w:t>
            </w:r>
            <w:proofErr w:type="spellEnd"/>
            <w:r w:rsidRPr="00823F1B">
              <w:rPr>
                <w:sz w:val="20"/>
                <w:szCs w:val="20"/>
                <w:lang w:val="en-GB"/>
              </w:rPr>
              <w:t xml:space="preserve"> </w:t>
            </w:r>
          </w:p>
        </w:tc>
        <w:tc>
          <w:tcPr>
            <w:tcW w:w="1560" w:type="dxa"/>
            <w:shd w:val="clear" w:color="auto" w:fill="auto"/>
            <w:vAlign w:val="center"/>
          </w:tcPr>
          <w:p w14:paraId="209807BB" w14:textId="77777777" w:rsidR="00CA1D81" w:rsidRPr="00823F1B" w:rsidRDefault="00CA1D81" w:rsidP="00823F1B">
            <w:pPr>
              <w:spacing w:after="0" w:line="240" w:lineRule="auto"/>
              <w:ind w:left="-168" w:right="-77"/>
              <w:jc w:val="right"/>
              <w:rPr>
                <w:sz w:val="20"/>
                <w:szCs w:val="20"/>
                <w:lang w:val="en-GB"/>
              </w:rPr>
            </w:pPr>
            <w:r w:rsidRPr="00823F1B">
              <w:rPr>
                <w:sz w:val="20"/>
                <w:szCs w:val="20"/>
                <w:lang w:val="en-GB"/>
              </w:rPr>
              <w:t>3</w:t>
            </w:r>
            <w:r w:rsidR="00823F1B" w:rsidRPr="00823F1B">
              <w:rPr>
                <w:sz w:val="20"/>
                <w:szCs w:val="20"/>
                <w:lang w:val="en-GB"/>
              </w:rPr>
              <w:t>,</w:t>
            </w:r>
            <w:r w:rsidRPr="00823F1B">
              <w:rPr>
                <w:sz w:val="20"/>
                <w:szCs w:val="20"/>
                <w:lang w:val="en-GB"/>
              </w:rPr>
              <w:t>185</w:t>
            </w:r>
            <w:r w:rsidR="00823F1B" w:rsidRPr="00823F1B">
              <w:rPr>
                <w:sz w:val="20"/>
                <w:szCs w:val="20"/>
                <w:lang w:val="en-GB"/>
              </w:rPr>
              <w:t>,</w:t>
            </w:r>
            <w:r w:rsidRPr="00823F1B">
              <w:rPr>
                <w:sz w:val="20"/>
                <w:szCs w:val="20"/>
                <w:lang w:val="en-GB"/>
              </w:rPr>
              <w:t>804</w:t>
            </w:r>
            <w:r w:rsidR="00823F1B" w:rsidRPr="00823F1B">
              <w:rPr>
                <w:sz w:val="20"/>
                <w:szCs w:val="20"/>
                <w:lang w:val="en-GB"/>
              </w:rPr>
              <w:t>.</w:t>
            </w:r>
            <w:r w:rsidRPr="00823F1B">
              <w:rPr>
                <w:sz w:val="20"/>
                <w:szCs w:val="20"/>
                <w:lang w:val="en-GB"/>
              </w:rPr>
              <w:t>00</w:t>
            </w:r>
          </w:p>
        </w:tc>
        <w:tc>
          <w:tcPr>
            <w:tcW w:w="1417" w:type="dxa"/>
            <w:vAlign w:val="center"/>
          </w:tcPr>
          <w:p w14:paraId="036D598B" w14:textId="77777777" w:rsidR="00CA1D81" w:rsidRPr="00823F1B" w:rsidRDefault="00CA1D81" w:rsidP="00823F1B">
            <w:pPr>
              <w:spacing w:after="0" w:line="240" w:lineRule="auto"/>
              <w:ind w:left="-139"/>
              <w:jc w:val="right"/>
              <w:rPr>
                <w:sz w:val="20"/>
                <w:szCs w:val="20"/>
                <w:lang w:val="en-GB"/>
              </w:rPr>
            </w:pPr>
            <w:r w:rsidRPr="00823F1B">
              <w:rPr>
                <w:sz w:val="20"/>
                <w:szCs w:val="20"/>
                <w:lang w:val="en-GB"/>
              </w:rPr>
              <w:t>3</w:t>
            </w:r>
            <w:r w:rsidR="00823F1B" w:rsidRPr="00823F1B">
              <w:rPr>
                <w:sz w:val="20"/>
                <w:szCs w:val="20"/>
                <w:lang w:val="en-GB"/>
              </w:rPr>
              <w:t>,</w:t>
            </w:r>
            <w:r w:rsidRPr="00823F1B">
              <w:rPr>
                <w:sz w:val="20"/>
                <w:szCs w:val="20"/>
                <w:lang w:val="en-GB"/>
              </w:rPr>
              <w:t>244</w:t>
            </w:r>
            <w:r w:rsidR="00823F1B" w:rsidRPr="00823F1B">
              <w:rPr>
                <w:sz w:val="20"/>
                <w:szCs w:val="20"/>
                <w:lang w:val="en-GB"/>
              </w:rPr>
              <w:t>,</w:t>
            </w:r>
            <w:r w:rsidRPr="00823F1B">
              <w:rPr>
                <w:sz w:val="20"/>
                <w:szCs w:val="20"/>
                <w:lang w:val="en-GB"/>
              </w:rPr>
              <w:t>592</w:t>
            </w:r>
            <w:r w:rsidR="00823F1B" w:rsidRPr="00823F1B">
              <w:rPr>
                <w:sz w:val="20"/>
                <w:szCs w:val="20"/>
                <w:lang w:val="en-GB"/>
              </w:rPr>
              <w:t>.</w:t>
            </w:r>
            <w:r w:rsidRPr="00823F1B">
              <w:rPr>
                <w:sz w:val="20"/>
                <w:szCs w:val="20"/>
                <w:lang w:val="en-GB"/>
              </w:rPr>
              <w:t>00</w:t>
            </w:r>
          </w:p>
        </w:tc>
        <w:tc>
          <w:tcPr>
            <w:tcW w:w="1559" w:type="dxa"/>
            <w:vAlign w:val="center"/>
          </w:tcPr>
          <w:p w14:paraId="1510DD59" w14:textId="77777777" w:rsidR="00CA1D81" w:rsidRPr="00823F1B" w:rsidRDefault="00CA1D81" w:rsidP="00823F1B">
            <w:pPr>
              <w:spacing w:after="0" w:line="240" w:lineRule="auto"/>
              <w:ind w:left="-139"/>
              <w:jc w:val="right"/>
              <w:rPr>
                <w:sz w:val="20"/>
                <w:szCs w:val="20"/>
                <w:lang w:val="en-GB"/>
              </w:rPr>
            </w:pPr>
            <w:r w:rsidRPr="00823F1B">
              <w:rPr>
                <w:sz w:val="20"/>
                <w:szCs w:val="20"/>
                <w:lang w:val="en-GB"/>
              </w:rPr>
              <w:t>3</w:t>
            </w:r>
            <w:r w:rsidR="00823F1B" w:rsidRPr="00823F1B">
              <w:rPr>
                <w:sz w:val="20"/>
                <w:szCs w:val="20"/>
                <w:lang w:val="en-GB"/>
              </w:rPr>
              <w:t>,</w:t>
            </w:r>
            <w:r w:rsidRPr="00823F1B">
              <w:rPr>
                <w:sz w:val="20"/>
                <w:szCs w:val="20"/>
                <w:lang w:val="en-GB"/>
              </w:rPr>
              <w:t>073</w:t>
            </w:r>
            <w:r w:rsidR="00823F1B" w:rsidRPr="00823F1B">
              <w:rPr>
                <w:sz w:val="20"/>
                <w:szCs w:val="20"/>
                <w:lang w:val="en-GB"/>
              </w:rPr>
              <w:t>,</w:t>
            </w:r>
            <w:r w:rsidRPr="00823F1B">
              <w:rPr>
                <w:sz w:val="20"/>
                <w:szCs w:val="20"/>
                <w:lang w:val="en-GB"/>
              </w:rPr>
              <w:t>000</w:t>
            </w:r>
            <w:r w:rsidR="00823F1B" w:rsidRPr="00823F1B">
              <w:rPr>
                <w:sz w:val="20"/>
                <w:szCs w:val="20"/>
                <w:lang w:val="en-GB"/>
              </w:rPr>
              <w:t>.</w:t>
            </w:r>
            <w:r w:rsidRPr="00823F1B">
              <w:rPr>
                <w:sz w:val="20"/>
                <w:szCs w:val="20"/>
                <w:lang w:val="en-GB"/>
              </w:rPr>
              <w:t>00</w:t>
            </w:r>
          </w:p>
        </w:tc>
        <w:tc>
          <w:tcPr>
            <w:tcW w:w="1430" w:type="dxa"/>
          </w:tcPr>
          <w:p w14:paraId="43086D7B" w14:textId="77777777" w:rsidR="00CA1D81" w:rsidRPr="00823F1B" w:rsidRDefault="00CA1D81" w:rsidP="00823F1B">
            <w:pPr>
              <w:spacing w:after="0" w:line="240" w:lineRule="auto"/>
              <w:ind w:left="-139"/>
              <w:jc w:val="right"/>
              <w:rPr>
                <w:sz w:val="20"/>
                <w:szCs w:val="20"/>
                <w:lang w:val="en-GB"/>
              </w:rPr>
            </w:pPr>
            <w:r w:rsidRPr="00823F1B">
              <w:rPr>
                <w:sz w:val="20"/>
                <w:szCs w:val="20"/>
                <w:lang w:val="en-GB"/>
              </w:rPr>
              <w:t>3</w:t>
            </w:r>
            <w:r w:rsidR="00823F1B" w:rsidRPr="00823F1B">
              <w:rPr>
                <w:sz w:val="20"/>
                <w:szCs w:val="20"/>
                <w:lang w:val="en-GB"/>
              </w:rPr>
              <w:t>,</w:t>
            </w:r>
            <w:r w:rsidRPr="00823F1B">
              <w:rPr>
                <w:sz w:val="20"/>
                <w:szCs w:val="20"/>
                <w:lang w:val="en-GB"/>
              </w:rPr>
              <w:t>114</w:t>
            </w:r>
            <w:r w:rsidR="00823F1B" w:rsidRPr="00823F1B">
              <w:rPr>
                <w:sz w:val="20"/>
                <w:szCs w:val="20"/>
                <w:lang w:val="en-GB"/>
              </w:rPr>
              <w:t>,</w:t>
            </w:r>
            <w:r w:rsidRPr="00823F1B">
              <w:rPr>
                <w:sz w:val="20"/>
                <w:szCs w:val="20"/>
                <w:lang w:val="en-GB"/>
              </w:rPr>
              <w:t>200</w:t>
            </w:r>
            <w:r w:rsidR="00823F1B" w:rsidRPr="00823F1B">
              <w:rPr>
                <w:sz w:val="20"/>
                <w:szCs w:val="20"/>
                <w:lang w:val="en-GB"/>
              </w:rPr>
              <w:t>.</w:t>
            </w:r>
            <w:r w:rsidRPr="00823F1B">
              <w:rPr>
                <w:sz w:val="20"/>
                <w:szCs w:val="20"/>
                <w:lang w:val="en-GB"/>
              </w:rPr>
              <w:t>00</w:t>
            </w:r>
          </w:p>
        </w:tc>
        <w:tc>
          <w:tcPr>
            <w:tcW w:w="1447" w:type="dxa"/>
          </w:tcPr>
          <w:p w14:paraId="355CF2D5" w14:textId="77777777" w:rsidR="00CA1D81" w:rsidRPr="00823F1B" w:rsidRDefault="00CA1D81" w:rsidP="00823F1B">
            <w:pPr>
              <w:spacing w:after="0" w:line="240" w:lineRule="auto"/>
              <w:ind w:left="-139"/>
              <w:jc w:val="right"/>
              <w:rPr>
                <w:sz w:val="20"/>
                <w:szCs w:val="20"/>
                <w:lang w:val="en-GB"/>
              </w:rPr>
            </w:pPr>
            <w:r w:rsidRPr="00823F1B">
              <w:rPr>
                <w:sz w:val="20"/>
                <w:szCs w:val="20"/>
                <w:lang w:val="en-GB"/>
              </w:rPr>
              <w:t>3</w:t>
            </w:r>
            <w:r w:rsidR="00823F1B" w:rsidRPr="00823F1B">
              <w:rPr>
                <w:sz w:val="20"/>
                <w:szCs w:val="20"/>
                <w:lang w:val="en-GB"/>
              </w:rPr>
              <w:t>,</w:t>
            </w:r>
            <w:r w:rsidRPr="00823F1B">
              <w:rPr>
                <w:sz w:val="20"/>
                <w:szCs w:val="20"/>
                <w:lang w:val="en-GB"/>
              </w:rPr>
              <w:t>071</w:t>
            </w:r>
            <w:r w:rsidR="00823F1B" w:rsidRPr="00823F1B">
              <w:rPr>
                <w:sz w:val="20"/>
                <w:szCs w:val="20"/>
                <w:lang w:val="en-GB"/>
              </w:rPr>
              <w:t>,</w:t>
            </w:r>
            <w:r w:rsidRPr="00823F1B">
              <w:rPr>
                <w:sz w:val="20"/>
                <w:szCs w:val="20"/>
                <w:lang w:val="en-GB"/>
              </w:rPr>
              <w:t>600</w:t>
            </w:r>
            <w:r w:rsidR="00823F1B" w:rsidRPr="00823F1B">
              <w:rPr>
                <w:sz w:val="20"/>
                <w:szCs w:val="20"/>
                <w:lang w:val="en-GB"/>
              </w:rPr>
              <w:t>.</w:t>
            </w:r>
            <w:r w:rsidRPr="00823F1B">
              <w:rPr>
                <w:sz w:val="20"/>
                <w:szCs w:val="20"/>
                <w:lang w:val="en-GB"/>
              </w:rPr>
              <w:t>00</w:t>
            </w:r>
          </w:p>
        </w:tc>
      </w:tr>
      <w:tr w:rsidR="00CA1D81" w:rsidRPr="00D62D04" w14:paraId="792704FE" w14:textId="77777777" w:rsidTr="00AD5BFF">
        <w:trPr>
          <w:trHeight w:val="134"/>
        </w:trPr>
        <w:tc>
          <w:tcPr>
            <w:tcW w:w="1696" w:type="dxa"/>
            <w:shd w:val="clear" w:color="auto" w:fill="auto"/>
            <w:vAlign w:val="center"/>
          </w:tcPr>
          <w:p w14:paraId="30C519D4" w14:textId="77777777" w:rsidR="00CA1D81" w:rsidRPr="00823F1B" w:rsidRDefault="000A1007" w:rsidP="00AD5BFF">
            <w:pPr>
              <w:spacing w:after="0" w:line="240" w:lineRule="auto"/>
              <w:rPr>
                <w:sz w:val="20"/>
                <w:szCs w:val="20"/>
                <w:lang w:val="en-GB"/>
              </w:rPr>
            </w:pPr>
            <w:r w:rsidRPr="00823F1B">
              <w:rPr>
                <w:sz w:val="20"/>
                <w:szCs w:val="20"/>
                <w:lang w:val="en-GB"/>
              </w:rPr>
              <w:t xml:space="preserve">Russian </w:t>
            </w:r>
          </w:p>
        </w:tc>
        <w:tc>
          <w:tcPr>
            <w:tcW w:w="1560" w:type="dxa"/>
            <w:shd w:val="clear" w:color="auto" w:fill="auto"/>
            <w:vAlign w:val="center"/>
          </w:tcPr>
          <w:p w14:paraId="147CB20F" w14:textId="77777777" w:rsidR="00CA1D81" w:rsidRPr="00823F1B" w:rsidRDefault="00CA1D81" w:rsidP="00AD5BFF">
            <w:pPr>
              <w:spacing w:after="0" w:line="240" w:lineRule="auto"/>
              <w:ind w:left="-168" w:right="-77"/>
              <w:jc w:val="right"/>
              <w:rPr>
                <w:sz w:val="20"/>
                <w:szCs w:val="20"/>
                <w:lang w:val="en-GB"/>
              </w:rPr>
            </w:pPr>
          </w:p>
        </w:tc>
        <w:tc>
          <w:tcPr>
            <w:tcW w:w="1417" w:type="dxa"/>
            <w:vAlign w:val="center"/>
          </w:tcPr>
          <w:p w14:paraId="0EC7AD56" w14:textId="77777777" w:rsidR="00CA1D81" w:rsidRPr="00823F1B" w:rsidRDefault="00CA1D81" w:rsidP="00AD5BFF">
            <w:pPr>
              <w:spacing w:after="0" w:line="240" w:lineRule="auto"/>
              <w:ind w:left="-139"/>
              <w:jc w:val="right"/>
              <w:rPr>
                <w:sz w:val="20"/>
                <w:szCs w:val="20"/>
                <w:lang w:val="en-GB"/>
              </w:rPr>
            </w:pPr>
          </w:p>
        </w:tc>
        <w:tc>
          <w:tcPr>
            <w:tcW w:w="1559" w:type="dxa"/>
            <w:vAlign w:val="center"/>
          </w:tcPr>
          <w:p w14:paraId="1D518573" w14:textId="77777777" w:rsidR="00CA1D81" w:rsidRPr="00823F1B" w:rsidRDefault="00CA1D81" w:rsidP="00823F1B">
            <w:pPr>
              <w:spacing w:after="0" w:line="240" w:lineRule="auto"/>
              <w:ind w:left="-139"/>
              <w:jc w:val="right"/>
              <w:rPr>
                <w:sz w:val="20"/>
                <w:szCs w:val="20"/>
                <w:lang w:val="en-GB"/>
              </w:rPr>
            </w:pPr>
            <w:r w:rsidRPr="00823F1B">
              <w:rPr>
                <w:sz w:val="20"/>
                <w:szCs w:val="20"/>
                <w:lang w:val="en-GB"/>
              </w:rPr>
              <w:t>100</w:t>
            </w:r>
            <w:r w:rsidR="00823F1B" w:rsidRPr="00823F1B">
              <w:rPr>
                <w:sz w:val="20"/>
                <w:szCs w:val="20"/>
                <w:lang w:val="en-GB"/>
              </w:rPr>
              <w:t>,</w:t>
            </w:r>
            <w:r w:rsidRPr="00823F1B">
              <w:rPr>
                <w:sz w:val="20"/>
                <w:szCs w:val="20"/>
                <w:lang w:val="en-GB"/>
              </w:rPr>
              <w:t>000</w:t>
            </w:r>
            <w:r w:rsidR="00823F1B" w:rsidRPr="00823F1B">
              <w:rPr>
                <w:sz w:val="20"/>
                <w:szCs w:val="20"/>
                <w:lang w:val="en-GB"/>
              </w:rPr>
              <w:t>.</w:t>
            </w:r>
            <w:r w:rsidRPr="00823F1B">
              <w:rPr>
                <w:sz w:val="20"/>
                <w:szCs w:val="20"/>
                <w:lang w:val="en-GB"/>
              </w:rPr>
              <w:t>00</w:t>
            </w:r>
          </w:p>
        </w:tc>
        <w:tc>
          <w:tcPr>
            <w:tcW w:w="1430" w:type="dxa"/>
          </w:tcPr>
          <w:p w14:paraId="5B795202" w14:textId="77777777" w:rsidR="00CA1D81" w:rsidRPr="00823F1B" w:rsidRDefault="00CA1D81" w:rsidP="00823F1B">
            <w:pPr>
              <w:spacing w:after="0" w:line="240" w:lineRule="auto"/>
              <w:ind w:left="-139"/>
              <w:jc w:val="right"/>
              <w:rPr>
                <w:sz w:val="20"/>
                <w:szCs w:val="20"/>
                <w:lang w:val="en-GB"/>
              </w:rPr>
            </w:pPr>
            <w:r w:rsidRPr="00823F1B">
              <w:rPr>
                <w:sz w:val="20"/>
                <w:szCs w:val="20"/>
                <w:lang w:val="en-GB"/>
              </w:rPr>
              <w:t>100</w:t>
            </w:r>
            <w:r w:rsidR="00823F1B" w:rsidRPr="00823F1B">
              <w:rPr>
                <w:sz w:val="20"/>
                <w:szCs w:val="20"/>
                <w:lang w:val="en-GB"/>
              </w:rPr>
              <w:t>,</w:t>
            </w:r>
            <w:r w:rsidRPr="00823F1B">
              <w:rPr>
                <w:sz w:val="20"/>
                <w:szCs w:val="20"/>
                <w:lang w:val="en-GB"/>
              </w:rPr>
              <w:t>000</w:t>
            </w:r>
            <w:r w:rsidR="00823F1B" w:rsidRPr="00823F1B">
              <w:rPr>
                <w:sz w:val="20"/>
                <w:szCs w:val="20"/>
                <w:lang w:val="en-GB"/>
              </w:rPr>
              <w:t>.</w:t>
            </w:r>
            <w:r w:rsidRPr="00823F1B">
              <w:rPr>
                <w:sz w:val="20"/>
                <w:szCs w:val="20"/>
                <w:lang w:val="en-GB"/>
              </w:rPr>
              <w:t>00</w:t>
            </w:r>
          </w:p>
        </w:tc>
        <w:tc>
          <w:tcPr>
            <w:tcW w:w="1447" w:type="dxa"/>
          </w:tcPr>
          <w:p w14:paraId="584C10A2" w14:textId="77777777" w:rsidR="00CA1D81" w:rsidRPr="00823F1B" w:rsidRDefault="00CA1D81" w:rsidP="00823F1B">
            <w:pPr>
              <w:spacing w:after="0" w:line="240" w:lineRule="auto"/>
              <w:ind w:left="-139"/>
              <w:jc w:val="right"/>
              <w:rPr>
                <w:sz w:val="20"/>
                <w:szCs w:val="20"/>
                <w:lang w:val="en-GB"/>
              </w:rPr>
            </w:pPr>
            <w:r w:rsidRPr="00823F1B">
              <w:rPr>
                <w:sz w:val="20"/>
                <w:szCs w:val="20"/>
                <w:lang w:val="en-GB"/>
              </w:rPr>
              <w:t>100</w:t>
            </w:r>
            <w:r w:rsidR="00823F1B" w:rsidRPr="00823F1B">
              <w:rPr>
                <w:sz w:val="20"/>
                <w:szCs w:val="20"/>
                <w:lang w:val="en-GB"/>
              </w:rPr>
              <w:t>,</w:t>
            </w:r>
            <w:r w:rsidRPr="00823F1B">
              <w:rPr>
                <w:sz w:val="20"/>
                <w:szCs w:val="20"/>
                <w:lang w:val="en-GB"/>
              </w:rPr>
              <w:t>000</w:t>
            </w:r>
            <w:r w:rsidR="00823F1B" w:rsidRPr="00823F1B">
              <w:rPr>
                <w:sz w:val="20"/>
                <w:szCs w:val="20"/>
                <w:lang w:val="en-GB"/>
              </w:rPr>
              <w:t>.</w:t>
            </w:r>
            <w:r w:rsidRPr="00823F1B">
              <w:rPr>
                <w:sz w:val="20"/>
                <w:szCs w:val="20"/>
                <w:lang w:val="en-GB"/>
              </w:rPr>
              <w:t>00</w:t>
            </w:r>
          </w:p>
        </w:tc>
      </w:tr>
      <w:tr w:rsidR="00CA1D81" w:rsidRPr="00D62D04" w14:paraId="3DE6DBFE" w14:textId="77777777" w:rsidTr="00AD5BFF">
        <w:trPr>
          <w:trHeight w:val="161"/>
        </w:trPr>
        <w:tc>
          <w:tcPr>
            <w:tcW w:w="1696" w:type="dxa"/>
            <w:shd w:val="clear" w:color="auto" w:fill="auto"/>
            <w:vAlign w:val="center"/>
          </w:tcPr>
          <w:p w14:paraId="68F784EC" w14:textId="77777777" w:rsidR="00CA1D81" w:rsidRPr="008A4008" w:rsidRDefault="00B36A0F" w:rsidP="00AD5BFF">
            <w:pPr>
              <w:spacing w:after="0" w:line="240" w:lineRule="auto"/>
              <w:rPr>
                <w:sz w:val="20"/>
                <w:szCs w:val="20"/>
                <w:lang w:val="en-GB"/>
              </w:rPr>
            </w:pPr>
            <w:r w:rsidRPr="008A4008">
              <w:rPr>
                <w:sz w:val="20"/>
                <w:szCs w:val="20"/>
                <w:lang w:val="en-GB"/>
              </w:rPr>
              <w:t xml:space="preserve">Slovak </w:t>
            </w:r>
          </w:p>
        </w:tc>
        <w:tc>
          <w:tcPr>
            <w:tcW w:w="1560" w:type="dxa"/>
            <w:shd w:val="clear" w:color="auto" w:fill="auto"/>
            <w:vAlign w:val="center"/>
          </w:tcPr>
          <w:p w14:paraId="7AB34D4A" w14:textId="77777777" w:rsidR="00CA1D81" w:rsidRPr="008A4008" w:rsidRDefault="00CA1D81" w:rsidP="008A4008">
            <w:pPr>
              <w:spacing w:after="0" w:line="240" w:lineRule="auto"/>
              <w:ind w:left="-168" w:right="-77"/>
              <w:jc w:val="right"/>
              <w:rPr>
                <w:sz w:val="20"/>
                <w:szCs w:val="20"/>
                <w:lang w:val="en-GB"/>
              </w:rPr>
            </w:pPr>
            <w:r w:rsidRPr="008A4008">
              <w:rPr>
                <w:sz w:val="20"/>
                <w:szCs w:val="20"/>
                <w:lang w:val="en-GB"/>
              </w:rPr>
              <w:t>6</w:t>
            </w:r>
            <w:r w:rsidR="008A4008" w:rsidRPr="008A4008">
              <w:rPr>
                <w:sz w:val="20"/>
                <w:szCs w:val="20"/>
                <w:lang w:val="en-GB"/>
              </w:rPr>
              <w:t>,</w:t>
            </w:r>
            <w:r w:rsidRPr="008A4008">
              <w:rPr>
                <w:sz w:val="20"/>
                <w:szCs w:val="20"/>
                <w:lang w:val="en-GB"/>
              </w:rPr>
              <w:t>635</w:t>
            </w:r>
            <w:r w:rsidR="008A4008" w:rsidRPr="008A4008">
              <w:rPr>
                <w:sz w:val="20"/>
                <w:szCs w:val="20"/>
                <w:lang w:val="en-GB"/>
              </w:rPr>
              <w:t>,</w:t>
            </w:r>
            <w:r w:rsidRPr="008A4008">
              <w:rPr>
                <w:sz w:val="20"/>
                <w:szCs w:val="20"/>
                <w:lang w:val="en-GB"/>
              </w:rPr>
              <w:t>876</w:t>
            </w:r>
            <w:r w:rsidR="008A4008" w:rsidRPr="008A4008">
              <w:rPr>
                <w:sz w:val="20"/>
                <w:szCs w:val="20"/>
                <w:lang w:val="en-GB"/>
              </w:rPr>
              <w:t>.</w:t>
            </w:r>
            <w:r w:rsidRPr="008A4008">
              <w:rPr>
                <w:sz w:val="20"/>
                <w:szCs w:val="20"/>
                <w:lang w:val="en-GB"/>
              </w:rPr>
              <w:t>00</w:t>
            </w:r>
          </w:p>
        </w:tc>
        <w:tc>
          <w:tcPr>
            <w:tcW w:w="1417" w:type="dxa"/>
            <w:vAlign w:val="center"/>
          </w:tcPr>
          <w:p w14:paraId="4BA8FDE1" w14:textId="77777777" w:rsidR="00CA1D81" w:rsidRPr="008A4008" w:rsidRDefault="00CA1D81" w:rsidP="008A4008">
            <w:pPr>
              <w:spacing w:after="0" w:line="240" w:lineRule="auto"/>
              <w:ind w:left="-139"/>
              <w:jc w:val="right"/>
              <w:rPr>
                <w:sz w:val="20"/>
                <w:szCs w:val="20"/>
                <w:lang w:val="en-GB"/>
              </w:rPr>
            </w:pPr>
            <w:r w:rsidRPr="008A4008">
              <w:rPr>
                <w:sz w:val="20"/>
                <w:szCs w:val="20"/>
                <w:lang w:val="en-GB"/>
              </w:rPr>
              <w:t>6</w:t>
            </w:r>
            <w:r w:rsidR="008A4008" w:rsidRPr="008A4008">
              <w:rPr>
                <w:sz w:val="20"/>
                <w:szCs w:val="20"/>
                <w:lang w:val="en-GB"/>
              </w:rPr>
              <w:t>,</w:t>
            </w:r>
            <w:r w:rsidRPr="008A4008">
              <w:rPr>
                <w:sz w:val="20"/>
                <w:szCs w:val="20"/>
                <w:lang w:val="en-GB"/>
              </w:rPr>
              <w:t>779</w:t>
            </w:r>
            <w:r w:rsidR="008A4008" w:rsidRPr="008A4008">
              <w:rPr>
                <w:sz w:val="20"/>
                <w:szCs w:val="20"/>
                <w:lang w:val="en-GB"/>
              </w:rPr>
              <w:t>,</w:t>
            </w:r>
            <w:r w:rsidRPr="008A4008">
              <w:rPr>
                <w:sz w:val="20"/>
                <w:szCs w:val="20"/>
                <w:lang w:val="en-GB"/>
              </w:rPr>
              <w:t>072</w:t>
            </w:r>
            <w:r w:rsidR="008A4008" w:rsidRPr="008A4008">
              <w:rPr>
                <w:sz w:val="20"/>
                <w:szCs w:val="20"/>
                <w:lang w:val="en-GB"/>
              </w:rPr>
              <w:t>.</w:t>
            </w:r>
            <w:r w:rsidRPr="008A4008">
              <w:rPr>
                <w:sz w:val="20"/>
                <w:szCs w:val="20"/>
                <w:lang w:val="en-GB"/>
              </w:rPr>
              <w:t>00</w:t>
            </w:r>
          </w:p>
        </w:tc>
        <w:tc>
          <w:tcPr>
            <w:tcW w:w="1559" w:type="dxa"/>
            <w:vAlign w:val="center"/>
          </w:tcPr>
          <w:p w14:paraId="2D206D17" w14:textId="77777777" w:rsidR="00CA1D81" w:rsidRPr="008A4008" w:rsidRDefault="00CA1D81" w:rsidP="008A4008">
            <w:pPr>
              <w:spacing w:after="0" w:line="240" w:lineRule="auto"/>
              <w:ind w:left="-139"/>
              <w:jc w:val="right"/>
              <w:rPr>
                <w:sz w:val="20"/>
                <w:szCs w:val="20"/>
                <w:lang w:val="en-GB"/>
              </w:rPr>
            </w:pPr>
            <w:r w:rsidRPr="008A4008">
              <w:rPr>
                <w:sz w:val="20"/>
                <w:szCs w:val="20"/>
                <w:lang w:val="en-GB"/>
              </w:rPr>
              <w:t>6</w:t>
            </w:r>
            <w:r w:rsidR="008A4008" w:rsidRPr="008A4008">
              <w:rPr>
                <w:sz w:val="20"/>
                <w:szCs w:val="20"/>
                <w:lang w:val="en-GB"/>
              </w:rPr>
              <w:t>,</w:t>
            </w:r>
            <w:r w:rsidRPr="008A4008">
              <w:rPr>
                <w:sz w:val="20"/>
                <w:szCs w:val="20"/>
                <w:lang w:val="en-GB"/>
              </w:rPr>
              <w:t>430</w:t>
            </w:r>
            <w:r w:rsidR="008A4008" w:rsidRPr="008A4008">
              <w:rPr>
                <w:sz w:val="20"/>
                <w:szCs w:val="20"/>
                <w:lang w:val="en-GB"/>
              </w:rPr>
              <w:t>,</w:t>
            </w:r>
            <w:r w:rsidRPr="008A4008">
              <w:rPr>
                <w:sz w:val="20"/>
                <w:szCs w:val="20"/>
                <w:lang w:val="en-GB"/>
              </w:rPr>
              <w:t>760</w:t>
            </w:r>
            <w:r w:rsidR="008A4008" w:rsidRPr="008A4008">
              <w:rPr>
                <w:sz w:val="20"/>
                <w:szCs w:val="20"/>
                <w:lang w:val="en-GB"/>
              </w:rPr>
              <w:t>.</w:t>
            </w:r>
            <w:r w:rsidRPr="008A4008">
              <w:rPr>
                <w:sz w:val="20"/>
                <w:szCs w:val="20"/>
                <w:lang w:val="en-GB"/>
              </w:rPr>
              <w:t>00</w:t>
            </w:r>
          </w:p>
        </w:tc>
        <w:tc>
          <w:tcPr>
            <w:tcW w:w="1430" w:type="dxa"/>
            <w:vAlign w:val="center"/>
          </w:tcPr>
          <w:p w14:paraId="5005E8B7" w14:textId="77777777" w:rsidR="00CA1D81" w:rsidRPr="008A4008" w:rsidRDefault="00CA1D81" w:rsidP="008A4008">
            <w:pPr>
              <w:spacing w:after="0" w:line="240" w:lineRule="auto"/>
              <w:ind w:left="-139"/>
              <w:jc w:val="right"/>
              <w:rPr>
                <w:sz w:val="20"/>
                <w:szCs w:val="20"/>
                <w:lang w:val="en-GB"/>
              </w:rPr>
            </w:pPr>
            <w:r w:rsidRPr="008A4008">
              <w:rPr>
                <w:sz w:val="20"/>
                <w:szCs w:val="20"/>
                <w:lang w:val="en-GB"/>
              </w:rPr>
              <w:t>6</w:t>
            </w:r>
            <w:r w:rsidR="008A4008" w:rsidRPr="008A4008">
              <w:rPr>
                <w:sz w:val="20"/>
                <w:szCs w:val="20"/>
                <w:lang w:val="en-GB"/>
              </w:rPr>
              <w:t>,</w:t>
            </w:r>
            <w:r w:rsidRPr="008A4008">
              <w:rPr>
                <w:sz w:val="20"/>
                <w:szCs w:val="20"/>
                <w:lang w:val="en-GB"/>
              </w:rPr>
              <w:t>445</w:t>
            </w:r>
            <w:r w:rsidR="008A4008" w:rsidRPr="008A4008">
              <w:rPr>
                <w:sz w:val="20"/>
                <w:szCs w:val="20"/>
                <w:lang w:val="en-GB"/>
              </w:rPr>
              <w:t>,</w:t>
            </w:r>
            <w:r w:rsidRPr="008A4008">
              <w:rPr>
                <w:sz w:val="20"/>
                <w:szCs w:val="20"/>
                <w:lang w:val="en-GB"/>
              </w:rPr>
              <w:t>960</w:t>
            </w:r>
            <w:r w:rsidR="008A4008" w:rsidRPr="008A4008">
              <w:rPr>
                <w:sz w:val="20"/>
                <w:szCs w:val="20"/>
                <w:lang w:val="en-GB"/>
              </w:rPr>
              <w:t>.</w:t>
            </w:r>
            <w:r w:rsidRPr="008A4008">
              <w:rPr>
                <w:sz w:val="20"/>
                <w:szCs w:val="20"/>
                <w:lang w:val="en-GB"/>
              </w:rPr>
              <w:t>00</w:t>
            </w:r>
          </w:p>
        </w:tc>
        <w:tc>
          <w:tcPr>
            <w:tcW w:w="1447" w:type="dxa"/>
          </w:tcPr>
          <w:p w14:paraId="0DBD9AC3" w14:textId="77777777" w:rsidR="00CA1D81" w:rsidRPr="008A4008" w:rsidRDefault="00CA1D81" w:rsidP="008A4008">
            <w:pPr>
              <w:spacing w:after="0" w:line="240" w:lineRule="auto"/>
              <w:ind w:left="-139"/>
              <w:jc w:val="right"/>
              <w:rPr>
                <w:sz w:val="20"/>
                <w:szCs w:val="20"/>
                <w:lang w:val="en-GB"/>
              </w:rPr>
            </w:pPr>
            <w:r w:rsidRPr="008A4008">
              <w:rPr>
                <w:sz w:val="20"/>
                <w:szCs w:val="20"/>
                <w:lang w:val="en-GB"/>
              </w:rPr>
              <w:t>6</w:t>
            </w:r>
            <w:r w:rsidR="008A4008" w:rsidRPr="008A4008">
              <w:rPr>
                <w:sz w:val="20"/>
                <w:szCs w:val="20"/>
                <w:lang w:val="en-GB"/>
              </w:rPr>
              <w:t>,</w:t>
            </w:r>
            <w:r w:rsidRPr="008A4008">
              <w:rPr>
                <w:sz w:val="20"/>
                <w:szCs w:val="20"/>
                <w:lang w:val="en-GB"/>
              </w:rPr>
              <w:t>391</w:t>
            </w:r>
            <w:r w:rsidR="008A4008" w:rsidRPr="008A4008">
              <w:rPr>
                <w:sz w:val="20"/>
                <w:szCs w:val="20"/>
                <w:lang w:val="en-GB"/>
              </w:rPr>
              <w:t>,</w:t>
            </w:r>
            <w:r w:rsidRPr="008A4008">
              <w:rPr>
                <w:sz w:val="20"/>
                <w:szCs w:val="20"/>
                <w:lang w:val="en-GB"/>
              </w:rPr>
              <w:t>600</w:t>
            </w:r>
            <w:r w:rsidR="008A4008" w:rsidRPr="008A4008">
              <w:rPr>
                <w:sz w:val="20"/>
                <w:szCs w:val="20"/>
                <w:lang w:val="en-GB"/>
              </w:rPr>
              <w:t>.</w:t>
            </w:r>
            <w:r w:rsidRPr="008A4008">
              <w:rPr>
                <w:sz w:val="20"/>
                <w:szCs w:val="20"/>
                <w:lang w:val="en-GB"/>
              </w:rPr>
              <w:t>00</w:t>
            </w:r>
          </w:p>
        </w:tc>
      </w:tr>
      <w:tr w:rsidR="00CA1D81" w:rsidRPr="00D62D04" w14:paraId="3A61C8A3" w14:textId="77777777" w:rsidTr="00AD5BFF">
        <w:trPr>
          <w:trHeight w:val="260"/>
        </w:trPr>
        <w:tc>
          <w:tcPr>
            <w:tcW w:w="1696" w:type="dxa"/>
            <w:shd w:val="clear" w:color="auto" w:fill="auto"/>
            <w:vAlign w:val="center"/>
          </w:tcPr>
          <w:p w14:paraId="5C927F1B" w14:textId="77777777" w:rsidR="00CA1D81" w:rsidRPr="008A4008" w:rsidRDefault="00B36A0F" w:rsidP="00AD5BFF">
            <w:pPr>
              <w:spacing w:after="0" w:line="240" w:lineRule="auto"/>
              <w:rPr>
                <w:sz w:val="20"/>
                <w:szCs w:val="20"/>
                <w:lang w:val="en-GB"/>
              </w:rPr>
            </w:pPr>
            <w:r w:rsidRPr="008A4008">
              <w:rPr>
                <w:sz w:val="20"/>
                <w:szCs w:val="20"/>
                <w:lang w:val="en-GB"/>
              </w:rPr>
              <w:t xml:space="preserve">Ukrainian </w:t>
            </w:r>
          </w:p>
        </w:tc>
        <w:tc>
          <w:tcPr>
            <w:tcW w:w="1560" w:type="dxa"/>
            <w:shd w:val="clear" w:color="auto" w:fill="auto"/>
            <w:vAlign w:val="center"/>
          </w:tcPr>
          <w:p w14:paraId="7B2314DC" w14:textId="77777777" w:rsidR="00CA1D81" w:rsidRPr="008A4008" w:rsidRDefault="00CA1D81" w:rsidP="008A4008">
            <w:pPr>
              <w:spacing w:after="0" w:line="240" w:lineRule="auto"/>
              <w:ind w:left="-168" w:right="-77"/>
              <w:jc w:val="right"/>
              <w:rPr>
                <w:sz w:val="20"/>
                <w:szCs w:val="20"/>
                <w:lang w:val="en-GB"/>
              </w:rPr>
            </w:pPr>
            <w:r w:rsidRPr="008A4008">
              <w:rPr>
                <w:sz w:val="20"/>
                <w:szCs w:val="20"/>
                <w:lang w:val="en-GB"/>
              </w:rPr>
              <w:t>1</w:t>
            </w:r>
            <w:r w:rsidR="008A4008" w:rsidRPr="008A4008">
              <w:rPr>
                <w:sz w:val="20"/>
                <w:szCs w:val="20"/>
                <w:lang w:val="en-GB"/>
              </w:rPr>
              <w:t>,</w:t>
            </w:r>
            <w:r w:rsidRPr="008A4008">
              <w:rPr>
                <w:sz w:val="20"/>
                <w:szCs w:val="20"/>
                <w:lang w:val="en-GB"/>
              </w:rPr>
              <w:t>821</w:t>
            </w:r>
            <w:r w:rsidR="008A4008" w:rsidRPr="008A4008">
              <w:rPr>
                <w:sz w:val="20"/>
                <w:szCs w:val="20"/>
                <w:lang w:val="en-GB"/>
              </w:rPr>
              <w:t>,</w:t>
            </w:r>
            <w:r w:rsidRPr="008A4008">
              <w:rPr>
                <w:sz w:val="20"/>
                <w:szCs w:val="20"/>
                <w:lang w:val="en-GB"/>
              </w:rPr>
              <w:t>564</w:t>
            </w:r>
            <w:r w:rsidR="008A4008" w:rsidRPr="008A4008">
              <w:rPr>
                <w:sz w:val="20"/>
                <w:szCs w:val="20"/>
                <w:lang w:val="en-GB"/>
              </w:rPr>
              <w:t>.</w:t>
            </w:r>
            <w:r w:rsidRPr="008A4008">
              <w:rPr>
                <w:sz w:val="20"/>
                <w:szCs w:val="20"/>
                <w:lang w:val="en-GB"/>
              </w:rPr>
              <w:t>00</w:t>
            </w:r>
          </w:p>
        </w:tc>
        <w:tc>
          <w:tcPr>
            <w:tcW w:w="1417" w:type="dxa"/>
            <w:vAlign w:val="center"/>
          </w:tcPr>
          <w:p w14:paraId="0BE424E6" w14:textId="77777777" w:rsidR="00CA1D81" w:rsidRPr="008A4008" w:rsidRDefault="00CA1D81" w:rsidP="008A4008">
            <w:pPr>
              <w:spacing w:after="0" w:line="240" w:lineRule="auto"/>
              <w:ind w:left="-139"/>
              <w:jc w:val="right"/>
              <w:rPr>
                <w:sz w:val="20"/>
                <w:szCs w:val="20"/>
                <w:lang w:val="en-GB"/>
              </w:rPr>
            </w:pPr>
            <w:r w:rsidRPr="008A4008">
              <w:rPr>
                <w:sz w:val="20"/>
                <w:szCs w:val="20"/>
                <w:lang w:val="en-GB"/>
              </w:rPr>
              <w:t>1</w:t>
            </w:r>
            <w:r w:rsidR="008A4008" w:rsidRPr="008A4008">
              <w:rPr>
                <w:sz w:val="20"/>
                <w:szCs w:val="20"/>
                <w:lang w:val="en-GB"/>
              </w:rPr>
              <w:t>,</w:t>
            </w:r>
            <w:r w:rsidRPr="008A4008">
              <w:rPr>
                <w:sz w:val="20"/>
                <w:szCs w:val="20"/>
                <w:lang w:val="en-GB"/>
              </w:rPr>
              <w:t>823</w:t>
            </w:r>
            <w:r w:rsidR="008A4008" w:rsidRPr="008A4008">
              <w:rPr>
                <w:sz w:val="20"/>
                <w:szCs w:val="20"/>
                <w:lang w:val="en-GB"/>
              </w:rPr>
              <w:t>,</w:t>
            </w:r>
            <w:r w:rsidRPr="008A4008">
              <w:rPr>
                <w:sz w:val="20"/>
                <w:szCs w:val="20"/>
                <w:lang w:val="en-GB"/>
              </w:rPr>
              <w:t>120</w:t>
            </w:r>
            <w:r w:rsidR="008A4008" w:rsidRPr="008A4008">
              <w:rPr>
                <w:sz w:val="20"/>
                <w:szCs w:val="20"/>
                <w:lang w:val="en-GB"/>
              </w:rPr>
              <w:t>.</w:t>
            </w:r>
            <w:r w:rsidRPr="008A4008">
              <w:rPr>
                <w:sz w:val="20"/>
                <w:szCs w:val="20"/>
                <w:lang w:val="en-GB"/>
              </w:rPr>
              <w:t>00</w:t>
            </w:r>
          </w:p>
        </w:tc>
        <w:tc>
          <w:tcPr>
            <w:tcW w:w="1559" w:type="dxa"/>
            <w:vAlign w:val="center"/>
          </w:tcPr>
          <w:p w14:paraId="4A685176" w14:textId="77777777" w:rsidR="00CA1D81" w:rsidRPr="008A4008" w:rsidRDefault="00CA1D81" w:rsidP="008A4008">
            <w:pPr>
              <w:spacing w:after="0" w:line="240" w:lineRule="auto"/>
              <w:ind w:left="-139"/>
              <w:jc w:val="right"/>
              <w:rPr>
                <w:sz w:val="20"/>
                <w:szCs w:val="20"/>
                <w:lang w:val="en-GB"/>
              </w:rPr>
            </w:pPr>
            <w:r w:rsidRPr="008A4008">
              <w:rPr>
                <w:sz w:val="20"/>
                <w:szCs w:val="20"/>
                <w:lang w:val="en-GB"/>
              </w:rPr>
              <w:t>1</w:t>
            </w:r>
            <w:r w:rsidR="008A4008" w:rsidRPr="008A4008">
              <w:rPr>
                <w:sz w:val="20"/>
                <w:szCs w:val="20"/>
                <w:lang w:val="en-GB"/>
              </w:rPr>
              <w:t>,</w:t>
            </w:r>
            <w:r w:rsidRPr="008A4008">
              <w:rPr>
                <w:sz w:val="20"/>
                <w:szCs w:val="20"/>
                <w:lang w:val="en-GB"/>
              </w:rPr>
              <w:t>653</w:t>
            </w:r>
            <w:r w:rsidR="008A4008" w:rsidRPr="008A4008">
              <w:rPr>
                <w:sz w:val="20"/>
                <w:szCs w:val="20"/>
                <w:lang w:val="en-GB"/>
              </w:rPr>
              <w:t>,</w:t>
            </w:r>
            <w:r w:rsidRPr="008A4008">
              <w:rPr>
                <w:sz w:val="20"/>
                <w:szCs w:val="20"/>
                <w:lang w:val="en-GB"/>
              </w:rPr>
              <w:t>640</w:t>
            </w:r>
            <w:r w:rsidR="008A4008" w:rsidRPr="008A4008">
              <w:rPr>
                <w:sz w:val="20"/>
                <w:szCs w:val="20"/>
                <w:lang w:val="en-GB"/>
              </w:rPr>
              <w:t>.</w:t>
            </w:r>
            <w:r w:rsidRPr="008A4008">
              <w:rPr>
                <w:sz w:val="20"/>
                <w:szCs w:val="20"/>
                <w:lang w:val="en-GB"/>
              </w:rPr>
              <w:t>00</w:t>
            </w:r>
          </w:p>
        </w:tc>
        <w:tc>
          <w:tcPr>
            <w:tcW w:w="1430" w:type="dxa"/>
            <w:vAlign w:val="center"/>
          </w:tcPr>
          <w:p w14:paraId="1F0A07C4" w14:textId="77777777" w:rsidR="00CA1D81" w:rsidRPr="008A4008" w:rsidRDefault="00CA1D81" w:rsidP="008A4008">
            <w:pPr>
              <w:spacing w:after="0" w:line="240" w:lineRule="auto"/>
              <w:ind w:left="-139"/>
              <w:jc w:val="right"/>
              <w:rPr>
                <w:sz w:val="20"/>
                <w:szCs w:val="20"/>
                <w:lang w:val="en-GB"/>
              </w:rPr>
            </w:pPr>
            <w:r w:rsidRPr="008A4008">
              <w:rPr>
                <w:sz w:val="20"/>
                <w:szCs w:val="20"/>
                <w:lang w:val="en-GB"/>
              </w:rPr>
              <w:t>1</w:t>
            </w:r>
            <w:r w:rsidR="008A4008" w:rsidRPr="008A4008">
              <w:rPr>
                <w:sz w:val="20"/>
                <w:szCs w:val="20"/>
                <w:lang w:val="en-GB"/>
              </w:rPr>
              <w:t>,</w:t>
            </w:r>
            <w:r w:rsidRPr="008A4008">
              <w:rPr>
                <w:sz w:val="20"/>
                <w:szCs w:val="20"/>
                <w:lang w:val="en-GB"/>
              </w:rPr>
              <w:t>683</w:t>
            </w:r>
            <w:r w:rsidR="008A4008" w:rsidRPr="008A4008">
              <w:rPr>
                <w:sz w:val="20"/>
                <w:szCs w:val="20"/>
                <w:lang w:val="en-GB"/>
              </w:rPr>
              <w:t>,</w:t>
            </w:r>
            <w:r w:rsidRPr="008A4008">
              <w:rPr>
                <w:sz w:val="20"/>
                <w:szCs w:val="20"/>
                <w:lang w:val="en-GB"/>
              </w:rPr>
              <w:t>840</w:t>
            </w:r>
            <w:r w:rsidR="008A4008" w:rsidRPr="008A4008">
              <w:rPr>
                <w:sz w:val="20"/>
                <w:szCs w:val="20"/>
                <w:lang w:val="en-GB"/>
              </w:rPr>
              <w:t>.</w:t>
            </w:r>
            <w:r w:rsidRPr="008A4008">
              <w:rPr>
                <w:sz w:val="20"/>
                <w:szCs w:val="20"/>
                <w:lang w:val="en-GB"/>
              </w:rPr>
              <w:t>00</w:t>
            </w:r>
          </w:p>
        </w:tc>
        <w:tc>
          <w:tcPr>
            <w:tcW w:w="1447" w:type="dxa"/>
          </w:tcPr>
          <w:p w14:paraId="5ED8B342" w14:textId="77777777" w:rsidR="00CA1D81" w:rsidRPr="008A4008" w:rsidRDefault="00CA1D81" w:rsidP="008A4008">
            <w:pPr>
              <w:spacing w:after="0" w:line="240" w:lineRule="auto"/>
              <w:ind w:left="-139"/>
              <w:jc w:val="right"/>
              <w:rPr>
                <w:sz w:val="20"/>
                <w:szCs w:val="20"/>
                <w:lang w:val="en-GB"/>
              </w:rPr>
            </w:pPr>
            <w:r w:rsidRPr="008A4008">
              <w:rPr>
                <w:sz w:val="20"/>
                <w:szCs w:val="20"/>
                <w:lang w:val="en-GB"/>
              </w:rPr>
              <w:t>1</w:t>
            </w:r>
            <w:r w:rsidR="008A4008" w:rsidRPr="008A4008">
              <w:rPr>
                <w:sz w:val="20"/>
                <w:szCs w:val="20"/>
                <w:lang w:val="en-GB"/>
              </w:rPr>
              <w:t>,</w:t>
            </w:r>
            <w:r w:rsidRPr="008A4008">
              <w:rPr>
                <w:sz w:val="20"/>
                <w:szCs w:val="20"/>
                <w:lang w:val="en-GB"/>
              </w:rPr>
              <w:t>674</w:t>
            </w:r>
            <w:r w:rsidR="008A4008" w:rsidRPr="008A4008">
              <w:rPr>
                <w:sz w:val="20"/>
                <w:szCs w:val="20"/>
                <w:lang w:val="en-GB"/>
              </w:rPr>
              <w:t>,</w:t>
            </w:r>
            <w:r w:rsidRPr="008A4008">
              <w:rPr>
                <w:sz w:val="20"/>
                <w:szCs w:val="20"/>
                <w:lang w:val="en-GB"/>
              </w:rPr>
              <w:t>400</w:t>
            </w:r>
            <w:r w:rsidR="008A4008" w:rsidRPr="008A4008">
              <w:rPr>
                <w:sz w:val="20"/>
                <w:szCs w:val="20"/>
                <w:lang w:val="en-GB"/>
              </w:rPr>
              <w:t>.</w:t>
            </w:r>
            <w:r w:rsidRPr="008A4008">
              <w:rPr>
                <w:sz w:val="20"/>
                <w:szCs w:val="20"/>
                <w:lang w:val="en-GB"/>
              </w:rPr>
              <w:t>00</w:t>
            </w:r>
          </w:p>
        </w:tc>
      </w:tr>
      <w:tr w:rsidR="00CA1D81" w:rsidRPr="008A4008" w14:paraId="255144A1" w14:textId="77777777" w:rsidTr="00AD5BFF">
        <w:trPr>
          <w:trHeight w:val="260"/>
        </w:trPr>
        <w:tc>
          <w:tcPr>
            <w:tcW w:w="1696" w:type="dxa"/>
            <w:shd w:val="clear" w:color="auto" w:fill="auto"/>
            <w:vAlign w:val="center"/>
          </w:tcPr>
          <w:p w14:paraId="545AF100" w14:textId="77777777" w:rsidR="00CA1D81" w:rsidRPr="008A4008" w:rsidRDefault="00B36A0F" w:rsidP="00AD5BFF">
            <w:pPr>
              <w:spacing w:after="0" w:line="240" w:lineRule="auto"/>
              <w:rPr>
                <w:sz w:val="20"/>
                <w:szCs w:val="20"/>
                <w:lang w:val="en-GB"/>
              </w:rPr>
            </w:pPr>
            <w:r w:rsidRPr="008A4008">
              <w:rPr>
                <w:sz w:val="20"/>
                <w:szCs w:val="20"/>
                <w:lang w:val="en-GB"/>
              </w:rPr>
              <w:t xml:space="preserve">Croatian </w:t>
            </w:r>
          </w:p>
        </w:tc>
        <w:tc>
          <w:tcPr>
            <w:tcW w:w="1560" w:type="dxa"/>
            <w:shd w:val="clear" w:color="auto" w:fill="auto"/>
            <w:vAlign w:val="center"/>
          </w:tcPr>
          <w:p w14:paraId="3FDC7A65" w14:textId="77777777" w:rsidR="00CA1D81" w:rsidRPr="008A4008" w:rsidRDefault="00CA1D81" w:rsidP="008A4008">
            <w:pPr>
              <w:spacing w:after="0" w:line="240" w:lineRule="auto"/>
              <w:ind w:left="-168" w:right="-77"/>
              <w:jc w:val="right"/>
              <w:rPr>
                <w:sz w:val="20"/>
                <w:szCs w:val="20"/>
                <w:lang w:val="en-GB"/>
              </w:rPr>
            </w:pPr>
            <w:r w:rsidRPr="008A4008">
              <w:rPr>
                <w:sz w:val="20"/>
                <w:szCs w:val="20"/>
                <w:lang w:val="en-GB"/>
              </w:rPr>
              <w:t>4</w:t>
            </w:r>
            <w:r w:rsidR="008A4008" w:rsidRPr="008A4008">
              <w:rPr>
                <w:sz w:val="20"/>
                <w:szCs w:val="20"/>
                <w:lang w:val="en-GB"/>
              </w:rPr>
              <w:t>,</w:t>
            </w:r>
            <w:r w:rsidRPr="008A4008">
              <w:rPr>
                <w:sz w:val="20"/>
                <w:szCs w:val="20"/>
                <w:lang w:val="en-GB"/>
              </w:rPr>
              <w:t>151</w:t>
            </w:r>
            <w:r w:rsidR="008A4008" w:rsidRPr="008A4008">
              <w:rPr>
                <w:sz w:val="20"/>
                <w:szCs w:val="20"/>
                <w:lang w:val="en-GB"/>
              </w:rPr>
              <w:t>,</w:t>
            </w:r>
            <w:r w:rsidRPr="008A4008">
              <w:rPr>
                <w:sz w:val="20"/>
                <w:szCs w:val="20"/>
                <w:lang w:val="en-GB"/>
              </w:rPr>
              <w:t>996</w:t>
            </w:r>
            <w:r w:rsidR="008A4008" w:rsidRPr="008A4008">
              <w:rPr>
                <w:sz w:val="20"/>
                <w:szCs w:val="20"/>
                <w:lang w:val="en-GB"/>
              </w:rPr>
              <w:t>.</w:t>
            </w:r>
            <w:r w:rsidRPr="008A4008">
              <w:rPr>
                <w:sz w:val="20"/>
                <w:szCs w:val="20"/>
                <w:lang w:val="en-GB"/>
              </w:rPr>
              <w:t>00</w:t>
            </w:r>
          </w:p>
        </w:tc>
        <w:tc>
          <w:tcPr>
            <w:tcW w:w="1417" w:type="dxa"/>
            <w:vAlign w:val="center"/>
          </w:tcPr>
          <w:p w14:paraId="08505607" w14:textId="77777777" w:rsidR="00CA1D81" w:rsidRPr="008A4008" w:rsidRDefault="00CA1D81" w:rsidP="008A4008">
            <w:pPr>
              <w:spacing w:after="0" w:line="240" w:lineRule="auto"/>
              <w:ind w:left="-139"/>
              <w:jc w:val="right"/>
              <w:rPr>
                <w:sz w:val="20"/>
                <w:szCs w:val="20"/>
                <w:lang w:val="en-GB"/>
              </w:rPr>
            </w:pPr>
            <w:r w:rsidRPr="008A4008">
              <w:rPr>
                <w:sz w:val="20"/>
                <w:szCs w:val="20"/>
                <w:lang w:val="en-GB"/>
              </w:rPr>
              <w:t>4</w:t>
            </w:r>
            <w:r w:rsidR="008A4008" w:rsidRPr="008A4008">
              <w:rPr>
                <w:sz w:val="20"/>
                <w:szCs w:val="20"/>
                <w:lang w:val="en-GB"/>
              </w:rPr>
              <w:t>,</w:t>
            </w:r>
            <w:r w:rsidRPr="008A4008">
              <w:rPr>
                <w:sz w:val="20"/>
                <w:szCs w:val="20"/>
                <w:lang w:val="en-GB"/>
              </w:rPr>
              <w:t>124</w:t>
            </w:r>
            <w:r w:rsidR="008A4008" w:rsidRPr="008A4008">
              <w:rPr>
                <w:sz w:val="20"/>
                <w:szCs w:val="20"/>
                <w:lang w:val="en-GB"/>
              </w:rPr>
              <w:t>,</w:t>
            </w:r>
            <w:r w:rsidRPr="008A4008">
              <w:rPr>
                <w:sz w:val="20"/>
                <w:szCs w:val="20"/>
                <w:lang w:val="en-GB"/>
              </w:rPr>
              <w:t>264</w:t>
            </w:r>
            <w:r w:rsidR="008A4008" w:rsidRPr="008A4008">
              <w:rPr>
                <w:sz w:val="20"/>
                <w:szCs w:val="20"/>
                <w:lang w:val="en-GB"/>
              </w:rPr>
              <w:t>.</w:t>
            </w:r>
            <w:r w:rsidRPr="008A4008">
              <w:rPr>
                <w:sz w:val="20"/>
                <w:szCs w:val="20"/>
                <w:lang w:val="en-GB"/>
              </w:rPr>
              <w:t>00</w:t>
            </w:r>
          </w:p>
        </w:tc>
        <w:tc>
          <w:tcPr>
            <w:tcW w:w="1559" w:type="dxa"/>
            <w:vAlign w:val="center"/>
          </w:tcPr>
          <w:p w14:paraId="0D00FC26" w14:textId="77777777" w:rsidR="00CA1D81" w:rsidRPr="008A4008" w:rsidRDefault="00CA1D81" w:rsidP="008A4008">
            <w:pPr>
              <w:spacing w:after="0" w:line="240" w:lineRule="auto"/>
              <w:ind w:left="-139"/>
              <w:jc w:val="right"/>
              <w:rPr>
                <w:sz w:val="20"/>
                <w:szCs w:val="20"/>
                <w:lang w:val="en-GB"/>
              </w:rPr>
            </w:pPr>
            <w:r w:rsidRPr="008A4008">
              <w:rPr>
                <w:sz w:val="20"/>
                <w:szCs w:val="20"/>
                <w:lang w:val="en-GB"/>
              </w:rPr>
              <w:t>4</w:t>
            </w:r>
            <w:r w:rsidR="008A4008" w:rsidRPr="008A4008">
              <w:rPr>
                <w:sz w:val="20"/>
                <w:szCs w:val="20"/>
                <w:lang w:val="en-GB"/>
              </w:rPr>
              <w:t>,</w:t>
            </w:r>
            <w:r w:rsidRPr="008A4008">
              <w:rPr>
                <w:sz w:val="20"/>
                <w:szCs w:val="20"/>
                <w:lang w:val="en-GB"/>
              </w:rPr>
              <w:t>145</w:t>
            </w:r>
            <w:r w:rsidR="008A4008" w:rsidRPr="008A4008">
              <w:rPr>
                <w:sz w:val="20"/>
                <w:szCs w:val="20"/>
                <w:lang w:val="en-GB"/>
              </w:rPr>
              <w:t>,</w:t>
            </w:r>
            <w:r w:rsidRPr="008A4008">
              <w:rPr>
                <w:sz w:val="20"/>
                <w:szCs w:val="20"/>
                <w:lang w:val="en-GB"/>
              </w:rPr>
              <w:t>800</w:t>
            </w:r>
            <w:r w:rsidR="008A4008" w:rsidRPr="008A4008">
              <w:rPr>
                <w:sz w:val="20"/>
                <w:szCs w:val="20"/>
                <w:lang w:val="en-GB"/>
              </w:rPr>
              <w:t>.</w:t>
            </w:r>
            <w:r w:rsidRPr="008A4008">
              <w:rPr>
                <w:sz w:val="20"/>
                <w:szCs w:val="20"/>
                <w:lang w:val="en-GB"/>
              </w:rPr>
              <w:t>00</w:t>
            </w:r>
          </w:p>
        </w:tc>
        <w:tc>
          <w:tcPr>
            <w:tcW w:w="1430" w:type="dxa"/>
            <w:vAlign w:val="center"/>
          </w:tcPr>
          <w:p w14:paraId="79D5FAB8" w14:textId="77777777" w:rsidR="00CA1D81" w:rsidRPr="008A4008" w:rsidRDefault="00CA1D81" w:rsidP="008A4008">
            <w:pPr>
              <w:spacing w:after="0" w:line="240" w:lineRule="auto"/>
              <w:ind w:left="-139"/>
              <w:jc w:val="right"/>
              <w:rPr>
                <w:sz w:val="20"/>
                <w:szCs w:val="20"/>
                <w:lang w:val="en-GB"/>
              </w:rPr>
            </w:pPr>
            <w:r w:rsidRPr="008A4008">
              <w:rPr>
                <w:sz w:val="20"/>
                <w:szCs w:val="20"/>
                <w:lang w:val="en-GB"/>
              </w:rPr>
              <w:t>4</w:t>
            </w:r>
            <w:r w:rsidR="008A4008" w:rsidRPr="008A4008">
              <w:rPr>
                <w:sz w:val="20"/>
                <w:szCs w:val="20"/>
                <w:lang w:val="en-GB"/>
              </w:rPr>
              <w:t>,</w:t>
            </w:r>
            <w:r w:rsidRPr="008A4008">
              <w:rPr>
                <w:sz w:val="20"/>
                <w:szCs w:val="20"/>
                <w:lang w:val="en-GB"/>
              </w:rPr>
              <w:t>437</w:t>
            </w:r>
            <w:r w:rsidR="008A4008" w:rsidRPr="008A4008">
              <w:rPr>
                <w:sz w:val="20"/>
                <w:szCs w:val="20"/>
                <w:lang w:val="en-GB"/>
              </w:rPr>
              <w:t>,</w:t>
            </w:r>
            <w:r w:rsidRPr="008A4008">
              <w:rPr>
                <w:sz w:val="20"/>
                <w:szCs w:val="20"/>
                <w:lang w:val="en-GB"/>
              </w:rPr>
              <w:t>000</w:t>
            </w:r>
            <w:r w:rsidR="008A4008" w:rsidRPr="008A4008">
              <w:rPr>
                <w:sz w:val="20"/>
                <w:szCs w:val="20"/>
                <w:lang w:val="en-GB"/>
              </w:rPr>
              <w:t>.</w:t>
            </w:r>
            <w:r w:rsidRPr="008A4008">
              <w:rPr>
                <w:sz w:val="20"/>
                <w:szCs w:val="20"/>
                <w:lang w:val="en-GB"/>
              </w:rPr>
              <w:t>00</w:t>
            </w:r>
          </w:p>
        </w:tc>
        <w:tc>
          <w:tcPr>
            <w:tcW w:w="1447" w:type="dxa"/>
          </w:tcPr>
          <w:p w14:paraId="21005889" w14:textId="77777777" w:rsidR="00CA1D81" w:rsidRPr="008A4008" w:rsidRDefault="00CA1D81" w:rsidP="008A4008">
            <w:pPr>
              <w:spacing w:after="0" w:line="240" w:lineRule="auto"/>
              <w:ind w:left="-139"/>
              <w:jc w:val="right"/>
              <w:rPr>
                <w:sz w:val="20"/>
                <w:szCs w:val="20"/>
                <w:lang w:val="en-GB"/>
              </w:rPr>
            </w:pPr>
            <w:r w:rsidRPr="008A4008">
              <w:rPr>
                <w:sz w:val="20"/>
                <w:szCs w:val="20"/>
                <w:lang w:val="en-GB"/>
              </w:rPr>
              <w:t>4</w:t>
            </w:r>
            <w:r w:rsidR="008A4008" w:rsidRPr="008A4008">
              <w:rPr>
                <w:sz w:val="20"/>
                <w:szCs w:val="20"/>
                <w:lang w:val="en-GB"/>
              </w:rPr>
              <w:t>,</w:t>
            </w:r>
            <w:r w:rsidRPr="008A4008">
              <w:rPr>
                <w:sz w:val="20"/>
                <w:szCs w:val="20"/>
                <w:lang w:val="en-GB"/>
              </w:rPr>
              <w:t>741</w:t>
            </w:r>
            <w:r w:rsidR="008A4008" w:rsidRPr="008A4008">
              <w:rPr>
                <w:sz w:val="20"/>
                <w:szCs w:val="20"/>
                <w:lang w:val="en-GB"/>
              </w:rPr>
              <w:t>,</w:t>
            </w:r>
            <w:r w:rsidRPr="008A4008">
              <w:rPr>
                <w:sz w:val="20"/>
                <w:szCs w:val="20"/>
                <w:lang w:val="en-GB"/>
              </w:rPr>
              <w:t>600</w:t>
            </w:r>
            <w:r w:rsidR="008A4008" w:rsidRPr="008A4008">
              <w:rPr>
                <w:sz w:val="20"/>
                <w:szCs w:val="20"/>
                <w:lang w:val="en-GB"/>
              </w:rPr>
              <w:t>.</w:t>
            </w:r>
            <w:r w:rsidRPr="008A4008">
              <w:rPr>
                <w:sz w:val="20"/>
                <w:szCs w:val="20"/>
                <w:lang w:val="en-GB"/>
              </w:rPr>
              <w:t>00</w:t>
            </w:r>
          </w:p>
        </w:tc>
      </w:tr>
      <w:tr w:rsidR="00CA1D81" w:rsidRPr="008A4008" w14:paraId="351E88CF" w14:textId="77777777" w:rsidTr="00AD5BFF">
        <w:trPr>
          <w:trHeight w:val="170"/>
        </w:trPr>
        <w:tc>
          <w:tcPr>
            <w:tcW w:w="1696" w:type="dxa"/>
            <w:shd w:val="clear" w:color="auto" w:fill="auto"/>
            <w:vAlign w:val="center"/>
          </w:tcPr>
          <w:p w14:paraId="39C2AB8E" w14:textId="77777777" w:rsidR="00CA1D81" w:rsidRPr="008A4008" w:rsidRDefault="00B36A0F" w:rsidP="00AD5BFF">
            <w:pPr>
              <w:spacing w:after="0" w:line="240" w:lineRule="auto"/>
              <w:rPr>
                <w:sz w:val="20"/>
                <w:szCs w:val="20"/>
                <w:lang w:val="en-GB"/>
              </w:rPr>
            </w:pPr>
            <w:r w:rsidRPr="008A4008">
              <w:rPr>
                <w:sz w:val="20"/>
                <w:szCs w:val="20"/>
                <w:lang w:val="en-GB"/>
              </w:rPr>
              <w:t xml:space="preserve">Montenegrin </w:t>
            </w:r>
          </w:p>
        </w:tc>
        <w:tc>
          <w:tcPr>
            <w:tcW w:w="1560" w:type="dxa"/>
            <w:shd w:val="clear" w:color="auto" w:fill="auto"/>
            <w:vAlign w:val="center"/>
          </w:tcPr>
          <w:p w14:paraId="7C3C42F8" w14:textId="77777777" w:rsidR="00CA1D81" w:rsidRPr="008A4008" w:rsidRDefault="00CA1D81" w:rsidP="008A4008">
            <w:pPr>
              <w:spacing w:after="0" w:line="240" w:lineRule="auto"/>
              <w:ind w:left="-168" w:right="-77"/>
              <w:jc w:val="right"/>
              <w:rPr>
                <w:sz w:val="20"/>
                <w:szCs w:val="20"/>
                <w:lang w:val="en-GB"/>
              </w:rPr>
            </w:pPr>
            <w:r w:rsidRPr="008A4008">
              <w:rPr>
                <w:sz w:val="20"/>
                <w:szCs w:val="20"/>
                <w:lang w:val="en-GB"/>
              </w:rPr>
              <w:t>2</w:t>
            </w:r>
            <w:r w:rsidR="008A4008" w:rsidRPr="008A4008">
              <w:rPr>
                <w:sz w:val="20"/>
                <w:szCs w:val="20"/>
                <w:lang w:val="en-GB"/>
              </w:rPr>
              <w:t>,</w:t>
            </w:r>
            <w:r w:rsidRPr="008A4008">
              <w:rPr>
                <w:sz w:val="20"/>
                <w:szCs w:val="20"/>
                <w:lang w:val="en-GB"/>
              </w:rPr>
              <w:t>502</w:t>
            </w:r>
            <w:r w:rsidR="008A4008" w:rsidRPr="008A4008">
              <w:rPr>
                <w:sz w:val="20"/>
                <w:szCs w:val="20"/>
                <w:lang w:val="en-GB"/>
              </w:rPr>
              <w:t>,</w:t>
            </w:r>
            <w:r w:rsidRPr="008A4008">
              <w:rPr>
                <w:sz w:val="20"/>
                <w:szCs w:val="20"/>
                <w:lang w:val="en-GB"/>
              </w:rPr>
              <w:t>840</w:t>
            </w:r>
            <w:r w:rsidR="008A4008" w:rsidRPr="008A4008">
              <w:rPr>
                <w:sz w:val="20"/>
                <w:szCs w:val="20"/>
                <w:lang w:val="en-GB"/>
              </w:rPr>
              <w:t>.</w:t>
            </w:r>
            <w:r w:rsidRPr="008A4008">
              <w:rPr>
                <w:sz w:val="20"/>
                <w:szCs w:val="20"/>
                <w:lang w:val="en-GB"/>
              </w:rPr>
              <w:t>00</w:t>
            </w:r>
          </w:p>
        </w:tc>
        <w:tc>
          <w:tcPr>
            <w:tcW w:w="1417" w:type="dxa"/>
            <w:vAlign w:val="center"/>
          </w:tcPr>
          <w:p w14:paraId="2EE222E0" w14:textId="77777777" w:rsidR="00CA1D81" w:rsidRPr="008A4008" w:rsidRDefault="00CA1D81" w:rsidP="008A4008">
            <w:pPr>
              <w:spacing w:after="0" w:line="240" w:lineRule="auto"/>
              <w:ind w:left="-139"/>
              <w:jc w:val="right"/>
              <w:rPr>
                <w:sz w:val="20"/>
                <w:szCs w:val="20"/>
                <w:lang w:val="en-GB"/>
              </w:rPr>
            </w:pPr>
            <w:r w:rsidRPr="008A4008">
              <w:rPr>
                <w:sz w:val="20"/>
                <w:szCs w:val="20"/>
                <w:lang w:val="en-GB"/>
              </w:rPr>
              <w:t>2</w:t>
            </w:r>
            <w:r w:rsidR="008A4008" w:rsidRPr="008A4008">
              <w:rPr>
                <w:sz w:val="20"/>
                <w:szCs w:val="20"/>
                <w:lang w:val="en-GB"/>
              </w:rPr>
              <w:t>,</w:t>
            </w:r>
            <w:r w:rsidRPr="008A4008">
              <w:rPr>
                <w:sz w:val="20"/>
                <w:szCs w:val="20"/>
                <w:lang w:val="en-GB"/>
              </w:rPr>
              <w:t>490</w:t>
            </w:r>
            <w:r w:rsidR="008A4008" w:rsidRPr="008A4008">
              <w:rPr>
                <w:sz w:val="20"/>
                <w:szCs w:val="20"/>
                <w:lang w:val="en-GB"/>
              </w:rPr>
              <w:t>,</w:t>
            </w:r>
            <w:r w:rsidRPr="008A4008">
              <w:rPr>
                <w:sz w:val="20"/>
                <w:szCs w:val="20"/>
                <w:lang w:val="en-GB"/>
              </w:rPr>
              <w:t>132</w:t>
            </w:r>
            <w:r w:rsidR="008A4008" w:rsidRPr="008A4008">
              <w:rPr>
                <w:sz w:val="20"/>
                <w:szCs w:val="20"/>
                <w:lang w:val="en-GB"/>
              </w:rPr>
              <w:t>.</w:t>
            </w:r>
            <w:r w:rsidRPr="008A4008">
              <w:rPr>
                <w:sz w:val="20"/>
                <w:szCs w:val="20"/>
                <w:lang w:val="en-GB"/>
              </w:rPr>
              <w:t>00</w:t>
            </w:r>
          </w:p>
        </w:tc>
        <w:tc>
          <w:tcPr>
            <w:tcW w:w="1559" w:type="dxa"/>
            <w:vAlign w:val="center"/>
          </w:tcPr>
          <w:p w14:paraId="3460ABBD" w14:textId="77777777" w:rsidR="00CA1D81" w:rsidRPr="008A4008" w:rsidRDefault="00CA1D81" w:rsidP="008A4008">
            <w:pPr>
              <w:spacing w:after="0" w:line="240" w:lineRule="auto"/>
              <w:ind w:left="-139"/>
              <w:jc w:val="right"/>
              <w:rPr>
                <w:sz w:val="20"/>
                <w:szCs w:val="20"/>
                <w:lang w:val="en-GB"/>
              </w:rPr>
            </w:pPr>
            <w:r w:rsidRPr="008A4008">
              <w:rPr>
                <w:sz w:val="20"/>
                <w:szCs w:val="20"/>
                <w:lang w:val="en-GB"/>
              </w:rPr>
              <w:t>2</w:t>
            </w:r>
            <w:r w:rsidR="008A4008" w:rsidRPr="008A4008">
              <w:rPr>
                <w:sz w:val="20"/>
                <w:szCs w:val="20"/>
                <w:lang w:val="en-GB"/>
              </w:rPr>
              <w:t>,</w:t>
            </w:r>
            <w:r w:rsidRPr="008A4008">
              <w:rPr>
                <w:sz w:val="20"/>
                <w:szCs w:val="20"/>
                <w:lang w:val="en-GB"/>
              </w:rPr>
              <w:t>601</w:t>
            </w:r>
            <w:r w:rsidR="008A4008" w:rsidRPr="008A4008">
              <w:rPr>
                <w:sz w:val="20"/>
                <w:szCs w:val="20"/>
                <w:lang w:val="en-GB"/>
              </w:rPr>
              <w:t>,</w:t>
            </w:r>
            <w:r w:rsidRPr="008A4008">
              <w:rPr>
                <w:sz w:val="20"/>
                <w:szCs w:val="20"/>
                <w:lang w:val="en-GB"/>
              </w:rPr>
              <w:t>680</w:t>
            </w:r>
            <w:r w:rsidR="008A4008" w:rsidRPr="008A4008">
              <w:rPr>
                <w:sz w:val="20"/>
                <w:szCs w:val="20"/>
                <w:lang w:val="en-GB"/>
              </w:rPr>
              <w:t>.</w:t>
            </w:r>
            <w:r w:rsidRPr="008A4008">
              <w:rPr>
                <w:sz w:val="20"/>
                <w:szCs w:val="20"/>
                <w:lang w:val="en-GB"/>
              </w:rPr>
              <w:t>00</w:t>
            </w:r>
          </w:p>
        </w:tc>
        <w:tc>
          <w:tcPr>
            <w:tcW w:w="1430" w:type="dxa"/>
            <w:vAlign w:val="center"/>
          </w:tcPr>
          <w:p w14:paraId="7BA94C9F" w14:textId="77777777" w:rsidR="00CA1D81" w:rsidRPr="008A4008" w:rsidRDefault="00CA1D81" w:rsidP="008A4008">
            <w:pPr>
              <w:spacing w:after="0" w:line="240" w:lineRule="auto"/>
              <w:ind w:left="-139"/>
              <w:jc w:val="right"/>
              <w:rPr>
                <w:sz w:val="20"/>
                <w:szCs w:val="20"/>
                <w:lang w:val="en-GB"/>
              </w:rPr>
            </w:pPr>
            <w:r w:rsidRPr="008A4008">
              <w:rPr>
                <w:sz w:val="20"/>
                <w:szCs w:val="20"/>
                <w:lang w:val="en-GB"/>
              </w:rPr>
              <w:t>2</w:t>
            </w:r>
            <w:r w:rsidR="008A4008" w:rsidRPr="008A4008">
              <w:rPr>
                <w:sz w:val="20"/>
                <w:szCs w:val="20"/>
                <w:lang w:val="en-GB"/>
              </w:rPr>
              <w:t>,</w:t>
            </w:r>
            <w:r w:rsidRPr="008A4008">
              <w:rPr>
                <w:sz w:val="20"/>
                <w:szCs w:val="20"/>
                <w:lang w:val="en-GB"/>
              </w:rPr>
              <w:t>645</w:t>
            </w:r>
            <w:r w:rsidR="008A4008" w:rsidRPr="008A4008">
              <w:rPr>
                <w:sz w:val="20"/>
                <w:szCs w:val="20"/>
                <w:lang w:val="en-GB"/>
              </w:rPr>
              <w:t>,</w:t>
            </w:r>
            <w:r w:rsidRPr="008A4008">
              <w:rPr>
                <w:sz w:val="20"/>
                <w:szCs w:val="20"/>
                <w:lang w:val="en-GB"/>
              </w:rPr>
              <w:t>680</w:t>
            </w:r>
            <w:r w:rsidR="008A4008" w:rsidRPr="008A4008">
              <w:rPr>
                <w:sz w:val="20"/>
                <w:szCs w:val="20"/>
                <w:lang w:val="en-GB"/>
              </w:rPr>
              <w:t>.</w:t>
            </w:r>
            <w:r w:rsidRPr="008A4008">
              <w:rPr>
                <w:sz w:val="20"/>
                <w:szCs w:val="20"/>
                <w:lang w:val="en-GB"/>
              </w:rPr>
              <w:t>00</w:t>
            </w:r>
          </w:p>
        </w:tc>
        <w:tc>
          <w:tcPr>
            <w:tcW w:w="1447" w:type="dxa"/>
          </w:tcPr>
          <w:p w14:paraId="28ED5D3C" w14:textId="77777777" w:rsidR="00CA1D81" w:rsidRPr="008A4008" w:rsidRDefault="00CA1D81" w:rsidP="008A4008">
            <w:pPr>
              <w:spacing w:after="0" w:line="240" w:lineRule="auto"/>
              <w:ind w:left="-139"/>
              <w:jc w:val="right"/>
              <w:rPr>
                <w:sz w:val="20"/>
                <w:szCs w:val="20"/>
                <w:lang w:val="en-GB"/>
              </w:rPr>
            </w:pPr>
            <w:r w:rsidRPr="008A4008">
              <w:rPr>
                <w:sz w:val="20"/>
                <w:szCs w:val="20"/>
                <w:lang w:val="en-GB"/>
              </w:rPr>
              <w:t>2</w:t>
            </w:r>
            <w:r w:rsidR="008A4008" w:rsidRPr="008A4008">
              <w:rPr>
                <w:sz w:val="20"/>
                <w:szCs w:val="20"/>
                <w:lang w:val="en-GB"/>
              </w:rPr>
              <w:t>,</w:t>
            </w:r>
            <w:r w:rsidRPr="008A4008">
              <w:rPr>
                <w:sz w:val="20"/>
                <w:szCs w:val="20"/>
                <w:lang w:val="en-GB"/>
              </w:rPr>
              <w:t>731</w:t>
            </w:r>
            <w:r w:rsidR="008A4008" w:rsidRPr="008A4008">
              <w:rPr>
                <w:sz w:val="20"/>
                <w:szCs w:val="20"/>
                <w:lang w:val="en-GB"/>
              </w:rPr>
              <w:t>,</w:t>
            </w:r>
            <w:r w:rsidRPr="008A4008">
              <w:rPr>
                <w:sz w:val="20"/>
                <w:szCs w:val="20"/>
                <w:lang w:val="en-GB"/>
              </w:rPr>
              <w:t>200</w:t>
            </w:r>
            <w:r w:rsidR="008A4008" w:rsidRPr="008A4008">
              <w:rPr>
                <w:sz w:val="20"/>
                <w:szCs w:val="20"/>
                <w:lang w:val="en-GB"/>
              </w:rPr>
              <w:t>.</w:t>
            </w:r>
            <w:r w:rsidRPr="008A4008">
              <w:rPr>
                <w:sz w:val="20"/>
                <w:szCs w:val="20"/>
                <w:lang w:val="en-GB"/>
              </w:rPr>
              <w:t>00</w:t>
            </w:r>
          </w:p>
        </w:tc>
      </w:tr>
      <w:tr w:rsidR="00CA1D81" w:rsidRPr="008A4008" w14:paraId="5EADB199" w14:textId="77777777" w:rsidTr="00AD5BFF">
        <w:trPr>
          <w:trHeight w:val="170"/>
        </w:trPr>
        <w:tc>
          <w:tcPr>
            <w:tcW w:w="1696" w:type="dxa"/>
            <w:shd w:val="clear" w:color="auto" w:fill="auto"/>
            <w:vAlign w:val="center"/>
          </w:tcPr>
          <w:p w14:paraId="6F734802" w14:textId="77777777" w:rsidR="00CA1D81" w:rsidRPr="008A4008" w:rsidRDefault="00B36A0F" w:rsidP="00AD5BFF">
            <w:pPr>
              <w:spacing w:after="0" w:line="240" w:lineRule="auto"/>
              <w:rPr>
                <w:sz w:val="20"/>
                <w:szCs w:val="20"/>
                <w:lang w:val="en-GB"/>
              </w:rPr>
            </w:pPr>
            <w:r w:rsidRPr="008A4008">
              <w:rPr>
                <w:sz w:val="20"/>
                <w:szCs w:val="20"/>
                <w:lang w:val="en-GB"/>
              </w:rPr>
              <w:t xml:space="preserve">Czech </w:t>
            </w:r>
          </w:p>
        </w:tc>
        <w:tc>
          <w:tcPr>
            <w:tcW w:w="1560" w:type="dxa"/>
            <w:shd w:val="clear" w:color="auto" w:fill="auto"/>
            <w:vAlign w:val="center"/>
          </w:tcPr>
          <w:p w14:paraId="349E7AA0" w14:textId="77777777" w:rsidR="00CA1D81" w:rsidRPr="008A4008" w:rsidRDefault="00CA1D81" w:rsidP="008A4008">
            <w:pPr>
              <w:spacing w:after="0" w:line="240" w:lineRule="auto"/>
              <w:ind w:left="-168" w:right="-77"/>
              <w:jc w:val="right"/>
              <w:rPr>
                <w:sz w:val="20"/>
                <w:szCs w:val="20"/>
                <w:lang w:val="en-GB"/>
              </w:rPr>
            </w:pPr>
            <w:r w:rsidRPr="008A4008">
              <w:rPr>
                <w:sz w:val="20"/>
                <w:szCs w:val="20"/>
                <w:lang w:val="en-GB"/>
              </w:rPr>
              <w:t>1</w:t>
            </w:r>
            <w:r w:rsidR="008A4008" w:rsidRPr="008A4008">
              <w:rPr>
                <w:sz w:val="20"/>
                <w:szCs w:val="20"/>
                <w:lang w:val="en-GB"/>
              </w:rPr>
              <w:t>,</w:t>
            </w:r>
            <w:r w:rsidRPr="008A4008">
              <w:rPr>
                <w:sz w:val="20"/>
                <w:szCs w:val="20"/>
                <w:lang w:val="en-GB"/>
              </w:rPr>
              <w:t>813</w:t>
            </w:r>
            <w:r w:rsidR="008A4008" w:rsidRPr="008A4008">
              <w:rPr>
                <w:sz w:val="20"/>
                <w:szCs w:val="20"/>
                <w:lang w:val="en-GB"/>
              </w:rPr>
              <w:t>,</w:t>
            </w:r>
            <w:r w:rsidRPr="008A4008">
              <w:rPr>
                <w:sz w:val="20"/>
                <w:szCs w:val="20"/>
                <w:lang w:val="en-GB"/>
              </w:rPr>
              <w:t>480</w:t>
            </w:r>
            <w:r w:rsidR="008A4008" w:rsidRPr="008A4008">
              <w:rPr>
                <w:sz w:val="20"/>
                <w:szCs w:val="20"/>
                <w:lang w:val="en-GB"/>
              </w:rPr>
              <w:t>.</w:t>
            </w:r>
            <w:r w:rsidRPr="008A4008">
              <w:rPr>
                <w:sz w:val="20"/>
                <w:szCs w:val="20"/>
                <w:lang w:val="en-GB"/>
              </w:rPr>
              <w:t>00</w:t>
            </w:r>
          </w:p>
        </w:tc>
        <w:tc>
          <w:tcPr>
            <w:tcW w:w="1417" w:type="dxa"/>
            <w:vAlign w:val="center"/>
          </w:tcPr>
          <w:p w14:paraId="3ED31661" w14:textId="77777777" w:rsidR="00CA1D81" w:rsidRPr="008A4008" w:rsidRDefault="00CA1D81" w:rsidP="008A4008">
            <w:pPr>
              <w:spacing w:after="0" w:line="240" w:lineRule="auto"/>
              <w:ind w:left="-139"/>
              <w:jc w:val="right"/>
              <w:rPr>
                <w:sz w:val="20"/>
                <w:szCs w:val="20"/>
                <w:lang w:val="en-GB"/>
              </w:rPr>
            </w:pPr>
            <w:r w:rsidRPr="008A4008">
              <w:rPr>
                <w:sz w:val="20"/>
                <w:szCs w:val="20"/>
                <w:lang w:val="en-GB"/>
              </w:rPr>
              <w:t>1</w:t>
            </w:r>
            <w:r w:rsidR="008A4008" w:rsidRPr="008A4008">
              <w:rPr>
                <w:sz w:val="20"/>
                <w:szCs w:val="20"/>
                <w:lang w:val="en-GB"/>
              </w:rPr>
              <w:t>,</w:t>
            </w:r>
            <w:r w:rsidRPr="008A4008">
              <w:rPr>
                <w:sz w:val="20"/>
                <w:szCs w:val="20"/>
                <w:lang w:val="en-GB"/>
              </w:rPr>
              <w:t>800</w:t>
            </w:r>
            <w:r w:rsidR="008A4008" w:rsidRPr="008A4008">
              <w:rPr>
                <w:sz w:val="20"/>
                <w:szCs w:val="20"/>
                <w:lang w:val="en-GB"/>
              </w:rPr>
              <w:t>,</w:t>
            </w:r>
            <w:r w:rsidRPr="008A4008">
              <w:rPr>
                <w:sz w:val="20"/>
                <w:szCs w:val="20"/>
                <w:lang w:val="en-GB"/>
              </w:rPr>
              <w:t>932</w:t>
            </w:r>
            <w:r w:rsidR="008A4008" w:rsidRPr="008A4008">
              <w:rPr>
                <w:sz w:val="20"/>
                <w:szCs w:val="20"/>
                <w:lang w:val="en-GB"/>
              </w:rPr>
              <w:t>.</w:t>
            </w:r>
            <w:r w:rsidRPr="008A4008">
              <w:rPr>
                <w:sz w:val="20"/>
                <w:szCs w:val="20"/>
                <w:lang w:val="en-GB"/>
              </w:rPr>
              <w:t>00</w:t>
            </w:r>
          </w:p>
        </w:tc>
        <w:tc>
          <w:tcPr>
            <w:tcW w:w="1559" w:type="dxa"/>
            <w:vAlign w:val="center"/>
          </w:tcPr>
          <w:p w14:paraId="430E614D" w14:textId="77777777" w:rsidR="00CA1D81" w:rsidRPr="008A4008" w:rsidRDefault="00CA1D81" w:rsidP="008A4008">
            <w:pPr>
              <w:spacing w:after="0" w:line="240" w:lineRule="auto"/>
              <w:ind w:left="-139"/>
              <w:jc w:val="right"/>
              <w:rPr>
                <w:sz w:val="20"/>
                <w:szCs w:val="20"/>
                <w:lang w:val="en-GB"/>
              </w:rPr>
            </w:pPr>
            <w:r w:rsidRPr="008A4008">
              <w:rPr>
                <w:sz w:val="20"/>
                <w:szCs w:val="20"/>
                <w:lang w:val="en-GB"/>
              </w:rPr>
              <w:t>1</w:t>
            </w:r>
            <w:r w:rsidR="008A4008" w:rsidRPr="008A4008">
              <w:rPr>
                <w:sz w:val="20"/>
                <w:szCs w:val="20"/>
                <w:lang w:val="en-GB"/>
              </w:rPr>
              <w:t>,</w:t>
            </w:r>
            <w:r w:rsidRPr="008A4008">
              <w:rPr>
                <w:sz w:val="20"/>
                <w:szCs w:val="20"/>
                <w:lang w:val="en-GB"/>
              </w:rPr>
              <w:t>730</w:t>
            </w:r>
            <w:r w:rsidR="008A4008" w:rsidRPr="008A4008">
              <w:rPr>
                <w:sz w:val="20"/>
                <w:szCs w:val="20"/>
                <w:lang w:val="en-GB"/>
              </w:rPr>
              <w:t>,</w:t>
            </w:r>
            <w:r w:rsidRPr="008A4008">
              <w:rPr>
                <w:sz w:val="20"/>
                <w:szCs w:val="20"/>
                <w:lang w:val="en-GB"/>
              </w:rPr>
              <w:t>080</w:t>
            </w:r>
            <w:r w:rsidR="008A4008" w:rsidRPr="008A4008">
              <w:rPr>
                <w:sz w:val="20"/>
                <w:szCs w:val="20"/>
                <w:lang w:val="en-GB"/>
              </w:rPr>
              <w:t>.</w:t>
            </w:r>
            <w:r w:rsidRPr="008A4008">
              <w:rPr>
                <w:sz w:val="20"/>
                <w:szCs w:val="20"/>
                <w:lang w:val="en-GB"/>
              </w:rPr>
              <w:t>00</w:t>
            </w:r>
          </w:p>
        </w:tc>
        <w:tc>
          <w:tcPr>
            <w:tcW w:w="1430" w:type="dxa"/>
            <w:vAlign w:val="center"/>
          </w:tcPr>
          <w:p w14:paraId="19B7AD8D" w14:textId="77777777" w:rsidR="00CA1D81" w:rsidRPr="008A4008" w:rsidRDefault="00CA1D81" w:rsidP="008A4008">
            <w:pPr>
              <w:spacing w:after="0" w:line="240" w:lineRule="auto"/>
              <w:ind w:left="-139"/>
              <w:jc w:val="right"/>
              <w:rPr>
                <w:sz w:val="20"/>
                <w:szCs w:val="20"/>
                <w:lang w:val="en-GB"/>
              </w:rPr>
            </w:pPr>
            <w:r w:rsidRPr="008A4008">
              <w:rPr>
                <w:sz w:val="20"/>
                <w:szCs w:val="20"/>
                <w:lang w:val="en-GB"/>
              </w:rPr>
              <w:t>1</w:t>
            </w:r>
            <w:r w:rsidR="008A4008" w:rsidRPr="008A4008">
              <w:rPr>
                <w:sz w:val="20"/>
                <w:szCs w:val="20"/>
                <w:lang w:val="en-GB"/>
              </w:rPr>
              <w:t>,</w:t>
            </w:r>
            <w:r w:rsidRPr="008A4008">
              <w:rPr>
                <w:sz w:val="20"/>
                <w:szCs w:val="20"/>
                <w:lang w:val="en-GB"/>
              </w:rPr>
              <w:t>769</w:t>
            </w:r>
            <w:r w:rsidR="008A4008" w:rsidRPr="008A4008">
              <w:rPr>
                <w:sz w:val="20"/>
                <w:szCs w:val="20"/>
                <w:lang w:val="en-GB"/>
              </w:rPr>
              <w:t>,</w:t>
            </w:r>
            <w:r w:rsidRPr="008A4008">
              <w:rPr>
                <w:sz w:val="20"/>
                <w:szCs w:val="20"/>
                <w:lang w:val="en-GB"/>
              </w:rPr>
              <w:t>400</w:t>
            </w:r>
            <w:r w:rsidR="008A4008" w:rsidRPr="008A4008">
              <w:rPr>
                <w:sz w:val="20"/>
                <w:szCs w:val="20"/>
                <w:lang w:val="en-GB"/>
              </w:rPr>
              <w:t>.</w:t>
            </w:r>
            <w:r w:rsidRPr="008A4008">
              <w:rPr>
                <w:sz w:val="20"/>
                <w:szCs w:val="20"/>
                <w:lang w:val="en-GB"/>
              </w:rPr>
              <w:t>00</w:t>
            </w:r>
          </w:p>
        </w:tc>
        <w:tc>
          <w:tcPr>
            <w:tcW w:w="1447" w:type="dxa"/>
          </w:tcPr>
          <w:p w14:paraId="3689C740" w14:textId="77777777" w:rsidR="00CA1D81" w:rsidRPr="008A4008" w:rsidRDefault="00CA1D81" w:rsidP="008A4008">
            <w:pPr>
              <w:spacing w:after="0" w:line="240" w:lineRule="auto"/>
              <w:ind w:left="-139"/>
              <w:jc w:val="right"/>
              <w:rPr>
                <w:sz w:val="20"/>
                <w:szCs w:val="20"/>
                <w:lang w:val="en-GB"/>
              </w:rPr>
            </w:pPr>
            <w:r w:rsidRPr="008A4008">
              <w:rPr>
                <w:sz w:val="20"/>
                <w:szCs w:val="20"/>
                <w:lang w:val="en-GB"/>
              </w:rPr>
              <w:t>1</w:t>
            </w:r>
            <w:r w:rsidR="008A4008" w:rsidRPr="008A4008">
              <w:rPr>
                <w:sz w:val="20"/>
                <w:szCs w:val="20"/>
                <w:lang w:val="en-GB"/>
              </w:rPr>
              <w:t>,</w:t>
            </w:r>
            <w:r w:rsidRPr="008A4008">
              <w:rPr>
                <w:sz w:val="20"/>
                <w:szCs w:val="20"/>
                <w:lang w:val="en-GB"/>
              </w:rPr>
              <w:t>753</w:t>
            </w:r>
            <w:r w:rsidR="008A4008" w:rsidRPr="008A4008">
              <w:rPr>
                <w:sz w:val="20"/>
                <w:szCs w:val="20"/>
                <w:lang w:val="en-GB"/>
              </w:rPr>
              <w:t>,</w:t>
            </w:r>
            <w:r w:rsidRPr="008A4008">
              <w:rPr>
                <w:sz w:val="20"/>
                <w:szCs w:val="20"/>
                <w:lang w:val="en-GB"/>
              </w:rPr>
              <w:t>600</w:t>
            </w:r>
            <w:r w:rsidR="008A4008" w:rsidRPr="008A4008">
              <w:rPr>
                <w:sz w:val="20"/>
                <w:szCs w:val="20"/>
                <w:lang w:val="en-GB"/>
              </w:rPr>
              <w:t>.</w:t>
            </w:r>
            <w:r w:rsidRPr="008A4008">
              <w:rPr>
                <w:sz w:val="20"/>
                <w:szCs w:val="20"/>
                <w:lang w:val="en-GB"/>
              </w:rPr>
              <w:t>00</w:t>
            </w:r>
          </w:p>
        </w:tc>
      </w:tr>
      <w:tr w:rsidR="00CA1D81" w:rsidRPr="00D62D04" w14:paraId="6929230E" w14:textId="77777777" w:rsidTr="00AD5BFF">
        <w:trPr>
          <w:trHeight w:val="80"/>
        </w:trPr>
        <w:tc>
          <w:tcPr>
            <w:tcW w:w="1696" w:type="dxa"/>
            <w:shd w:val="clear" w:color="auto" w:fill="auto"/>
            <w:vAlign w:val="center"/>
          </w:tcPr>
          <w:p w14:paraId="48832222" w14:textId="77777777" w:rsidR="00CA1D81" w:rsidRPr="008A4008" w:rsidRDefault="00B36A0F" w:rsidP="00AD5BFF">
            <w:pPr>
              <w:spacing w:after="0" w:line="240" w:lineRule="auto"/>
              <w:rPr>
                <w:b/>
                <w:sz w:val="20"/>
                <w:szCs w:val="20"/>
                <w:lang w:val="en-GB"/>
              </w:rPr>
            </w:pPr>
            <w:r w:rsidRPr="008A4008">
              <w:rPr>
                <w:b/>
                <w:sz w:val="20"/>
                <w:szCs w:val="20"/>
                <w:lang w:val="en-GB"/>
              </w:rPr>
              <w:t xml:space="preserve">Total </w:t>
            </w:r>
          </w:p>
        </w:tc>
        <w:tc>
          <w:tcPr>
            <w:tcW w:w="1560" w:type="dxa"/>
            <w:shd w:val="clear" w:color="auto" w:fill="auto"/>
            <w:vAlign w:val="center"/>
          </w:tcPr>
          <w:p w14:paraId="69C14D3D" w14:textId="77777777" w:rsidR="00CA1D81" w:rsidRPr="008A4008" w:rsidRDefault="00CA1D81" w:rsidP="008A4008">
            <w:pPr>
              <w:spacing w:after="0" w:line="240" w:lineRule="auto"/>
              <w:ind w:left="-168" w:right="-77"/>
              <w:jc w:val="right"/>
              <w:rPr>
                <w:b/>
                <w:sz w:val="20"/>
                <w:szCs w:val="20"/>
                <w:lang w:val="en-GB"/>
              </w:rPr>
            </w:pPr>
            <w:r w:rsidRPr="008A4008">
              <w:rPr>
                <w:b/>
                <w:sz w:val="20"/>
                <w:szCs w:val="20"/>
                <w:lang w:val="en-GB"/>
              </w:rPr>
              <w:t>60</w:t>
            </w:r>
            <w:r w:rsidR="008A4008" w:rsidRPr="008A4008">
              <w:rPr>
                <w:b/>
                <w:sz w:val="20"/>
                <w:szCs w:val="20"/>
                <w:lang w:val="en-GB"/>
              </w:rPr>
              <w:t>,</w:t>
            </w:r>
            <w:r w:rsidRPr="008A4008">
              <w:rPr>
                <w:b/>
                <w:sz w:val="20"/>
                <w:szCs w:val="20"/>
                <w:lang w:val="en-GB"/>
              </w:rPr>
              <w:t>100</w:t>
            </w:r>
            <w:r w:rsidR="008A4008" w:rsidRPr="008A4008">
              <w:rPr>
                <w:b/>
                <w:sz w:val="20"/>
                <w:szCs w:val="20"/>
                <w:lang w:val="en-GB"/>
              </w:rPr>
              <w:t>,</w:t>
            </w:r>
            <w:r w:rsidRPr="008A4008">
              <w:rPr>
                <w:b/>
                <w:sz w:val="20"/>
                <w:szCs w:val="20"/>
                <w:lang w:val="en-GB"/>
              </w:rPr>
              <w:t>000</w:t>
            </w:r>
            <w:r w:rsidR="008A4008" w:rsidRPr="008A4008">
              <w:rPr>
                <w:b/>
                <w:sz w:val="20"/>
                <w:szCs w:val="20"/>
                <w:lang w:val="en-GB"/>
              </w:rPr>
              <w:t>.</w:t>
            </w:r>
            <w:r w:rsidRPr="008A4008">
              <w:rPr>
                <w:b/>
                <w:sz w:val="20"/>
                <w:szCs w:val="20"/>
                <w:lang w:val="en-GB"/>
              </w:rPr>
              <w:t>00</w:t>
            </w:r>
          </w:p>
        </w:tc>
        <w:tc>
          <w:tcPr>
            <w:tcW w:w="1417" w:type="dxa"/>
            <w:vAlign w:val="center"/>
          </w:tcPr>
          <w:p w14:paraId="37BD03AA" w14:textId="77777777" w:rsidR="00CA1D81" w:rsidRPr="008A4008" w:rsidRDefault="00CA1D81" w:rsidP="008A4008">
            <w:pPr>
              <w:spacing w:after="0" w:line="240" w:lineRule="auto"/>
              <w:ind w:left="-139"/>
              <w:jc w:val="right"/>
              <w:rPr>
                <w:b/>
                <w:sz w:val="20"/>
                <w:szCs w:val="20"/>
                <w:lang w:val="en-GB"/>
              </w:rPr>
            </w:pPr>
            <w:r w:rsidRPr="008A4008">
              <w:rPr>
                <w:b/>
                <w:sz w:val="20"/>
                <w:szCs w:val="20"/>
                <w:lang w:val="en-GB"/>
              </w:rPr>
              <w:t>60</w:t>
            </w:r>
            <w:r w:rsidR="008A4008" w:rsidRPr="008A4008">
              <w:rPr>
                <w:b/>
                <w:sz w:val="20"/>
                <w:szCs w:val="20"/>
                <w:lang w:val="en-GB"/>
              </w:rPr>
              <w:t>,</w:t>
            </w:r>
            <w:r w:rsidRPr="008A4008">
              <w:rPr>
                <w:b/>
                <w:sz w:val="20"/>
                <w:szCs w:val="20"/>
                <w:lang w:val="en-GB"/>
              </w:rPr>
              <w:t>100</w:t>
            </w:r>
            <w:r w:rsidR="008A4008" w:rsidRPr="008A4008">
              <w:rPr>
                <w:b/>
                <w:sz w:val="20"/>
                <w:szCs w:val="20"/>
                <w:lang w:val="en-GB"/>
              </w:rPr>
              <w:t>,</w:t>
            </w:r>
            <w:r w:rsidRPr="008A4008">
              <w:rPr>
                <w:b/>
                <w:sz w:val="20"/>
                <w:szCs w:val="20"/>
                <w:lang w:val="en-GB"/>
              </w:rPr>
              <w:t>000</w:t>
            </w:r>
            <w:r w:rsidR="008A4008" w:rsidRPr="008A4008">
              <w:rPr>
                <w:b/>
                <w:sz w:val="20"/>
                <w:szCs w:val="20"/>
                <w:lang w:val="en-GB"/>
              </w:rPr>
              <w:t>.</w:t>
            </w:r>
            <w:r w:rsidRPr="008A4008">
              <w:rPr>
                <w:b/>
                <w:sz w:val="20"/>
                <w:szCs w:val="20"/>
                <w:lang w:val="en-GB"/>
              </w:rPr>
              <w:t>00</w:t>
            </w:r>
          </w:p>
        </w:tc>
        <w:tc>
          <w:tcPr>
            <w:tcW w:w="1559" w:type="dxa"/>
            <w:vAlign w:val="center"/>
          </w:tcPr>
          <w:p w14:paraId="694256D0" w14:textId="77777777" w:rsidR="00CA1D81" w:rsidRPr="008A4008" w:rsidRDefault="00CA1D81" w:rsidP="008A4008">
            <w:pPr>
              <w:spacing w:after="0" w:line="240" w:lineRule="auto"/>
              <w:ind w:left="-139"/>
              <w:jc w:val="right"/>
              <w:rPr>
                <w:b/>
                <w:sz w:val="20"/>
                <w:szCs w:val="20"/>
                <w:lang w:val="en-GB"/>
              </w:rPr>
            </w:pPr>
            <w:r w:rsidRPr="008A4008">
              <w:rPr>
                <w:b/>
                <w:sz w:val="20"/>
                <w:szCs w:val="20"/>
                <w:lang w:val="en-GB"/>
              </w:rPr>
              <w:t>60</w:t>
            </w:r>
            <w:r w:rsidR="008A4008" w:rsidRPr="008A4008">
              <w:rPr>
                <w:b/>
                <w:sz w:val="20"/>
                <w:szCs w:val="20"/>
                <w:lang w:val="en-GB"/>
              </w:rPr>
              <w:t>,</w:t>
            </w:r>
            <w:r w:rsidRPr="008A4008">
              <w:rPr>
                <w:b/>
                <w:sz w:val="20"/>
                <w:szCs w:val="20"/>
                <w:lang w:val="en-GB"/>
              </w:rPr>
              <w:t>100</w:t>
            </w:r>
            <w:r w:rsidR="008A4008" w:rsidRPr="008A4008">
              <w:rPr>
                <w:b/>
                <w:sz w:val="20"/>
                <w:szCs w:val="20"/>
                <w:lang w:val="en-GB"/>
              </w:rPr>
              <w:t>,</w:t>
            </w:r>
            <w:r w:rsidRPr="008A4008">
              <w:rPr>
                <w:b/>
                <w:sz w:val="20"/>
                <w:szCs w:val="20"/>
                <w:lang w:val="en-GB"/>
              </w:rPr>
              <w:t>000</w:t>
            </w:r>
            <w:r w:rsidR="008A4008" w:rsidRPr="008A4008">
              <w:rPr>
                <w:b/>
                <w:sz w:val="20"/>
                <w:szCs w:val="20"/>
                <w:lang w:val="en-GB"/>
              </w:rPr>
              <w:t>.</w:t>
            </w:r>
            <w:r w:rsidRPr="008A4008">
              <w:rPr>
                <w:b/>
                <w:sz w:val="20"/>
                <w:szCs w:val="20"/>
                <w:lang w:val="en-GB"/>
              </w:rPr>
              <w:t>00</w:t>
            </w:r>
          </w:p>
        </w:tc>
        <w:tc>
          <w:tcPr>
            <w:tcW w:w="1430" w:type="dxa"/>
            <w:vAlign w:val="center"/>
          </w:tcPr>
          <w:p w14:paraId="31096366" w14:textId="77777777" w:rsidR="00CA1D81" w:rsidRPr="008A4008" w:rsidRDefault="00CA1D81" w:rsidP="008A4008">
            <w:pPr>
              <w:spacing w:after="0" w:line="240" w:lineRule="auto"/>
              <w:ind w:left="-139"/>
              <w:jc w:val="right"/>
              <w:rPr>
                <w:b/>
                <w:sz w:val="20"/>
                <w:szCs w:val="20"/>
                <w:lang w:val="en-GB"/>
              </w:rPr>
            </w:pPr>
            <w:r w:rsidRPr="008A4008">
              <w:rPr>
                <w:b/>
                <w:sz w:val="20"/>
                <w:szCs w:val="20"/>
                <w:lang w:val="en-GB"/>
              </w:rPr>
              <w:t>61</w:t>
            </w:r>
            <w:r w:rsidR="008A4008" w:rsidRPr="008A4008">
              <w:rPr>
                <w:b/>
                <w:sz w:val="20"/>
                <w:szCs w:val="20"/>
                <w:lang w:val="en-GB"/>
              </w:rPr>
              <w:t>,</w:t>
            </w:r>
            <w:r w:rsidRPr="008A4008">
              <w:rPr>
                <w:b/>
                <w:sz w:val="20"/>
                <w:szCs w:val="20"/>
                <w:lang w:val="en-GB"/>
              </w:rPr>
              <w:t>600</w:t>
            </w:r>
            <w:r w:rsidR="008A4008" w:rsidRPr="008A4008">
              <w:rPr>
                <w:b/>
                <w:sz w:val="20"/>
                <w:szCs w:val="20"/>
                <w:lang w:val="en-GB"/>
              </w:rPr>
              <w:t>,</w:t>
            </w:r>
            <w:r w:rsidRPr="008A4008">
              <w:rPr>
                <w:b/>
                <w:sz w:val="20"/>
                <w:szCs w:val="20"/>
                <w:lang w:val="en-GB"/>
              </w:rPr>
              <w:t>000</w:t>
            </w:r>
            <w:r w:rsidR="008A4008" w:rsidRPr="008A4008">
              <w:rPr>
                <w:b/>
                <w:sz w:val="20"/>
                <w:szCs w:val="20"/>
                <w:lang w:val="en-GB"/>
              </w:rPr>
              <w:t>.</w:t>
            </w:r>
            <w:r w:rsidRPr="008A4008">
              <w:rPr>
                <w:b/>
                <w:sz w:val="20"/>
                <w:szCs w:val="20"/>
                <w:lang w:val="en-GB"/>
              </w:rPr>
              <w:t>00</w:t>
            </w:r>
          </w:p>
        </w:tc>
        <w:tc>
          <w:tcPr>
            <w:tcW w:w="1447" w:type="dxa"/>
          </w:tcPr>
          <w:p w14:paraId="503700DE" w14:textId="77777777" w:rsidR="00CA1D81" w:rsidRPr="008A4008" w:rsidRDefault="00CA1D81" w:rsidP="008A4008">
            <w:pPr>
              <w:spacing w:after="0" w:line="240" w:lineRule="auto"/>
              <w:ind w:left="-139"/>
              <w:jc w:val="right"/>
              <w:rPr>
                <w:b/>
                <w:sz w:val="20"/>
                <w:szCs w:val="20"/>
                <w:lang w:val="en-GB"/>
              </w:rPr>
            </w:pPr>
            <w:r w:rsidRPr="008A4008">
              <w:rPr>
                <w:b/>
                <w:sz w:val="20"/>
                <w:szCs w:val="20"/>
                <w:lang w:val="en-GB"/>
              </w:rPr>
              <w:t>61</w:t>
            </w:r>
            <w:r w:rsidR="008A4008" w:rsidRPr="008A4008">
              <w:rPr>
                <w:b/>
                <w:sz w:val="20"/>
                <w:szCs w:val="20"/>
                <w:lang w:val="en-GB"/>
              </w:rPr>
              <w:t>,</w:t>
            </w:r>
            <w:r w:rsidRPr="008A4008">
              <w:rPr>
                <w:b/>
                <w:sz w:val="20"/>
                <w:szCs w:val="20"/>
                <w:lang w:val="en-GB"/>
              </w:rPr>
              <w:t>600</w:t>
            </w:r>
            <w:r w:rsidR="008A4008" w:rsidRPr="008A4008">
              <w:rPr>
                <w:b/>
                <w:sz w:val="20"/>
                <w:szCs w:val="20"/>
                <w:lang w:val="en-GB"/>
              </w:rPr>
              <w:t>,</w:t>
            </w:r>
            <w:r w:rsidRPr="008A4008">
              <w:rPr>
                <w:b/>
                <w:sz w:val="20"/>
                <w:szCs w:val="20"/>
                <w:lang w:val="en-GB"/>
              </w:rPr>
              <w:t>000</w:t>
            </w:r>
            <w:r w:rsidR="008A4008" w:rsidRPr="008A4008">
              <w:rPr>
                <w:b/>
                <w:sz w:val="20"/>
                <w:szCs w:val="20"/>
                <w:lang w:val="en-GB"/>
              </w:rPr>
              <w:t>.</w:t>
            </w:r>
            <w:r w:rsidRPr="008A4008">
              <w:rPr>
                <w:b/>
                <w:sz w:val="20"/>
                <w:szCs w:val="20"/>
                <w:lang w:val="en-GB"/>
              </w:rPr>
              <w:t>00</w:t>
            </w:r>
          </w:p>
        </w:tc>
      </w:tr>
    </w:tbl>
    <w:p w14:paraId="6A32CB31" w14:textId="77777777" w:rsidR="00741176" w:rsidRPr="00D62D04" w:rsidRDefault="00741176" w:rsidP="00A475C5">
      <w:pPr>
        <w:spacing w:after="0"/>
        <w:jc w:val="both"/>
        <w:rPr>
          <w:sz w:val="24"/>
          <w:szCs w:val="24"/>
          <w:highlight w:val="cyan"/>
          <w:lang w:val="en-GB"/>
        </w:rPr>
      </w:pPr>
    </w:p>
    <w:p w14:paraId="39AA0159" w14:textId="77777777" w:rsidR="000659A5" w:rsidRPr="00D62D04" w:rsidRDefault="000659A5" w:rsidP="00A475C5">
      <w:pPr>
        <w:spacing w:after="0"/>
        <w:jc w:val="both"/>
        <w:rPr>
          <w:sz w:val="24"/>
          <w:szCs w:val="24"/>
          <w:highlight w:val="cyan"/>
          <w:lang w:val="en-GB"/>
        </w:rPr>
      </w:pPr>
    </w:p>
    <w:p w14:paraId="4A029869" w14:textId="77777777" w:rsidR="005A6E59" w:rsidRPr="00611C37" w:rsidRDefault="00611C37" w:rsidP="00F333CD">
      <w:pPr>
        <w:pStyle w:val="Heading2"/>
        <w:jc w:val="center"/>
        <w:rPr>
          <w:rFonts w:ascii="Times New Roman" w:hAnsi="Times New Roman" w:cs="Times New Roman"/>
          <w:b/>
          <w:sz w:val="24"/>
          <w:szCs w:val="24"/>
          <w:lang w:val="en-GB"/>
        </w:rPr>
      </w:pPr>
      <w:bookmarkStart w:id="17" w:name="_Toc112932718"/>
      <w:r w:rsidRPr="00611C37">
        <w:rPr>
          <w:rFonts w:ascii="Times New Roman" w:hAnsi="Times New Roman" w:cs="Times New Roman"/>
          <w:b/>
          <w:color w:val="auto"/>
          <w:sz w:val="24"/>
          <w:szCs w:val="24"/>
          <w:lang w:val="en-GB"/>
        </w:rPr>
        <w:t xml:space="preserve">Article </w:t>
      </w:r>
      <w:proofErr w:type="gramStart"/>
      <w:r w:rsidRPr="00611C37">
        <w:rPr>
          <w:rFonts w:ascii="Times New Roman" w:hAnsi="Times New Roman" w:cs="Times New Roman"/>
          <w:b/>
          <w:color w:val="auto"/>
          <w:sz w:val="24"/>
          <w:szCs w:val="24"/>
          <w:lang w:val="en-GB"/>
        </w:rPr>
        <w:t>6</w:t>
      </w:r>
      <w:r w:rsidR="005A6E59" w:rsidRPr="00611C37">
        <w:rPr>
          <w:rFonts w:ascii="Times New Roman" w:hAnsi="Times New Roman" w:cs="Times New Roman"/>
          <w:b/>
          <w:color w:val="auto"/>
          <w:sz w:val="24"/>
          <w:szCs w:val="24"/>
          <w:lang w:val="en-GB"/>
        </w:rPr>
        <w:t xml:space="preserve"> </w:t>
      </w:r>
      <w:r w:rsidRPr="00611C37">
        <w:rPr>
          <w:rFonts w:ascii="Times New Roman" w:hAnsi="Times New Roman" w:cs="Times New Roman"/>
          <w:b/>
          <w:color w:val="auto"/>
          <w:sz w:val="24"/>
          <w:szCs w:val="24"/>
          <w:lang w:val="en-GB"/>
        </w:rPr>
        <w:t xml:space="preserve"> of</w:t>
      </w:r>
      <w:proofErr w:type="gramEnd"/>
      <w:r w:rsidRPr="00611C37">
        <w:rPr>
          <w:rFonts w:ascii="Times New Roman" w:hAnsi="Times New Roman" w:cs="Times New Roman"/>
          <w:b/>
          <w:color w:val="auto"/>
          <w:sz w:val="24"/>
          <w:szCs w:val="24"/>
          <w:lang w:val="en-GB"/>
        </w:rPr>
        <w:t xml:space="preserve"> the Framework Convention</w:t>
      </w:r>
      <w:bookmarkEnd w:id="17"/>
      <w:r w:rsidRPr="00611C37">
        <w:rPr>
          <w:rFonts w:ascii="Times New Roman" w:hAnsi="Times New Roman" w:cs="Times New Roman"/>
          <w:b/>
          <w:color w:val="auto"/>
          <w:sz w:val="24"/>
          <w:szCs w:val="24"/>
          <w:lang w:val="en-GB"/>
        </w:rPr>
        <w:t xml:space="preserve"> </w:t>
      </w:r>
    </w:p>
    <w:p w14:paraId="609DCF41" w14:textId="77777777" w:rsidR="005A6E59" w:rsidRPr="00D62D04" w:rsidRDefault="00611C37" w:rsidP="00F333CD">
      <w:pPr>
        <w:pStyle w:val="Heading3"/>
        <w:jc w:val="center"/>
        <w:rPr>
          <w:rFonts w:ascii="Times New Roman" w:hAnsi="Times New Roman" w:cs="Times New Roman"/>
          <w:b/>
          <w:highlight w:val="cyan"/>
          <w:lang w:val="en-GB"/>
        </w:rPr>
      </w:pPr>
      <w:bookmarkStart w:id="18" w:name="_Toc112932719"/>
      <w:r w:rsidRPr="00611C37">
        <w:rPr>
          <w:rFonts w:ascii="Times New Roman" w:hAnsi="Times New Roman" w:cs="Times New Roman"/>
          <w:b/>
          <w:color w:val="auto"/>
          <w:lang w:val="en-GB"/>
        </w:rPr>
        <w:t>Tolerance and intercultural dialogue</w:t>
      </w:r>
      <w:bookmarkEnd w:id="18"/>
    </w:p>
    <w:p w14:paraId="2124EC06" w14:textId="77777777" w:rsidR="005A6E59" w:rsidRPr="00D62D04" w:rsidRDefault="005A6E59" w:rsidP="00A475C5">
      <w:pPr>
        <w:spacing w:after="0"/>
        <w:jc w:val="both"/>
        <w:rPr>
          <w:sz w:val="24"/>
          <w:szCs w:val="24"/>
          <w:highlight w:val="cyan"/>
          <w:lang w:val="en-GB"/>
        </w:rPr>
      </w:pPr>
    </w:p>
    <w:p w14:paraId="207F5BE0" w14:textId="77777777" w:rsidR="00EF1E1D" w:rsidRDefault="005A6E59" w:rsidP="00A475C5">
      <w:pPr>
        <w:spacing w:after="0"/>
        <w:jc w:val="both"/>
        <w:rPr>
          <w:i/>
          <w:sz w:val="24"/>
          <w:szCs w:val="24"/>
          <w:lang w:val="en-GB"/>
        </w:rPr>
      </w:pPr>
      <w:r w:rsidRPr="00EF1E1D">
        <w:rPr>
          <w:i/>
          <w:sz w:val="24"/>
          <w:szCs w:val="24"/>
          <w:lang w:val="en-GB"/>
        </w:rPr>
        <w:t xml:space="preserve">57. </w:t>
      </w:r>
      <w:r w:rsidR="00EF1E1D" w:rsidRPr="00EF1E1D">
        <w:rPr>
          <w:i/>
          <w:sz w:val="24"/>
          <w:szCs w:val="24"/>
          <w:lang w:val="en-GB"/>
        </w:rPr>
        <w:t>The Advisory Committee calls on the authorities to strongly support the development of independent qualitative and quantitative research that shows the level and nature of inter-ethnic relations, including relations between members of national minorities and members of the majority</w:t>
      </w:r>
      <w:r w:rsidR="00EF1E1D">
        <w:rPr>
          <w:i/>
          <w:sz w:val="24"/>
          <w:szCs w:val="24"/>
          <w:lang w:val="en-GB"/>
        </w:rPr>
        <w:t xml:space="preserve"> population</w:t>
      </w:r>
      <w:r w:rsidR="00EF1E1D" w:rsidRPr="00EF1E1D">
        <w:rPr>
          <w:i/>
          <w:sz w:val="24"/>
          <w:szCs w:val="24"/>
          <w:lang w:val="en-GB"/>
        </w:rPr>
        <w:t>.</w:t>
      </w:r>
    </w:p>
    <w:p w14:paraId="50F474F8" w14:textId="77777777" w:rsidR="005A6E59" w:rsidRPr="00D62D04" w:rsidRDefault="005A6E59" w:rsidP="00A475C5">
      <w:pPr>
        <w:spacing w:after="0"/>
        <w:jc w:val="both"/>
        <w:rPr>
          <w:i/>
          <w:sz w:val="24"/>
          <w:szCs w:val="24"/>
          <w:highlight w:val="cyan"/>
          <w:lang w:val="en-GB"/>
        </w:rPr>
      </w:pPr>
    </w:p>
    <w:p w14:paraId="4D382AB4" w14:textId="77777777" w:rsidR="008C0353" w:rsidRDefault="005A6E59" w:rsidP="00A475C5">
      <w:pPr>
        <w:spacing w:after="0"/>
        <w:jc w:val="both"/>
        <w:rPr>
          <w:i/>
          <w:sz w:val="24"/>
          <w:szCs w:val="24"/>
          <w:lang w:val="en-GB"/>
        </w:rPr>
      </w:pPr>
      <w:r w:rsidRPr="008C0353">
        <w:rPr>
          <w:i/>
          <w:sz w:val="24"/>
          <w:szCs w:val="24"/>
          <w:lang w:val="en-GB"/>
        </w:rPr>
        <w:t xml:space="preserve">58. </w:t>
      </w:r>
      <w:r w:rsidR="008C0353" w:rsidRPr="008C0353">
        <w:rPr>
          <w:i/>
          <w:sz w:val="24"/>
          <w:szCs w:val="24"/>
          <w:lang w:val="en-GB"/>
        </w:rPr>
        <w:t>The Advisory Committee calls on the authorities to, based on such research, establish, implement, monitor and periodically review a comprehensive strategy aimed at revitali</w:t>
      </w:r>
      <w:r w:rsidR="008C0353">
        <w:rPr>
          <w:i/>
          <w:sz w:val="24"/>
          <w:szCs w:val="24"/>
          <w:lang w:val="en-GB"/>
        </w:rPr>
        <w:t>s</w:t>
      </w:r>
      <w:r w:rsidR="008C0353" w:rsidRPr="008C0353">
        <w:rPr>
          <w:i/>
          <w:sz w:val="24"/>
          <w:szCs w:val="24"/>
          <w:lang w:val="en-GB"/>
        </w:rPr>
        <w:t>ing inter-ethnic relations, in consultation with members of national minorities and local self-government units. This strategy should clearly take into account the need to include the majority in integration and the inclusion of national minorities in Serbian society.</w:t>
      </w:r>
    </w:p>
    <w:p w14:paraId="7ECB28B5" w14:textId="77777777" w:rsidR="005A6E59" w:rsidRPr="00D62D04" w:rsidRDefault="005A6E59" w:rsidP="00A475C5">
      <w:pPr>
        <w:spacing w:after="0"/>
        <w:jc w:val="both"/>
        <w:rPr>
          <w:i/>
          <w:sz w:val="24"/>
          <w:szCs w:val="24"/>
          <w:highlight w:val="cyan"/>
          <w:lang w:val="en-GB"/>
        </w:rPr>
      </w:pPr>
    </w:p>
    <w:p w14:paraId="52E5A87B" w14:textId="000F20A4" w:rsidR="00A54E11" w:rsidRDefault="00D54FE5" w:rsidP="00C623CC">
      <w:pPr>
        <w:spacing w:after="0"/>
        <w:jc w:val="both"/>
        <w:rPr>
          <w:sz w:val="24"/>
          <w:szCs w:val="24"/>
          <w:lang w:val="en-GB"/>
        </w:rPr>
      </w:pPr>
      <w:r w:rsidRPr="00A54E11">
        <w:rPr>
          <w:sz w:val="24"/>
          <w:szCs w:val="24"/>
          <w:lang w:val="en-GB"/>
        </w:rPr>
        <w:tab/>
      </w:r>
      <w:r w:rsidR="00A54E11" w:rsidRPr="00A54E11">
        <w:rPr>
          <w:sz w:val="24"/>
          <w:szCs w:val="24"/>
          <w:lang w:val="en-GB"/>
        </w:rPr>
        <w:t xml:space="preserve">Apart from the research </w:t>
      </w:r>
      <w:r w:rsidR="00A54E11">
        <w:rPr>
          <w:sz w:val="24"/>
          <w:szCs w:val="24"/>
          <w:lang w:val="en-GB"/>
        </w:rPr>
        <w:t xml:space="preserve">referring to </w:t>
      </w:r>
      <w:r w:rsidR="00A54E11" w:rsidRPr="00A54E11">
        <w:rPr>
          <w:sz w:val="24"/>
          <w:szCs w:val="24"/>
          <w:lang w:val="en-GB"/>
        </w:rPr>
        <w:t xml:space="preserve">the implementation of recommendation 3 </w:t>
      </w:r>
      <w:r w:rsidR="00A54E11">
        <w:rPr>
          <w:sz w:val="24"/>
          <w:szCs w:val="24"/>
          <w:lang w:val="en-GB"/>
        </w:rPr>
        <w:t>of</w:t>
      </w:r>
      <w:r w:rsidR="00A54E11" w:rsidRPr="00A54E11">
        <w:rPr>
          <w:sz w:val="24"/>
          <w:szCs w:val="24"/>
          <w:lang w:val="en-GB"/>
        </w:rPr>
        <w:t xml:space="preserve"> the </w:t>
      </w:r>
      <w:r w:rsidR="00AC33C4">
        <w:rPr>
          <w:sz w:val="24"/>
          <w:szCs w:val="24"/>
          <w:lang w:val="en-GB"/>
        </w:rPr>
        <w:t>Committee of Ministers Resolution</w:t>
      </w:r>
      <w:r w:rsidR="00A54E11" w:rsidRPr="00A54E11">
        <w:rPr>
          <w:sz w:val="24"/>
          <w:szCs w:val="24"/>
          <w:lang w:val="en-GB"/>
        </w:rPr>
        <w:t>, it is important</w:t>
      </w:r>
      <w:r w:rsidR="00A54E11">
        <w:rPr>
          <w:sz w:val="24"/>
          <w:szCs w:val="24"/>
          <w:lang w:val="en-GB"/>
        </w:rPr>
        <w:t xml:space="preserve"> to note that various </w:t>
      </w:r>
      <w:proofErr w:type="spellStart"/>
      <w:r w:rsidR="00A54E11">
        <w:rPr>
          <w:sz w:val="24"/>
          <w:szCs w:val="24"/>
          <w:lang w:val="en-GB"/>
        </w:rPr>
        <w:t>researche</w:t>
      </w:r>
      <w:proofErr w:type="spellEnd"/>
      <w:r w:rsidR="00A54E11" w:rsidRPr="00A54E11">
        <w:rPr>
          <w:sz w:val="24"/>
          <w:szCs w:val="24"/>
          <w:lang w:val="en-GB"/>
        </w:rPr>
        <w:t xml:space="preserve"> w</w:t>
      </w:r>
      <w:r w:rsidR="00A54E11">
        <w:rPr>
          <w:sz w:val="24"/>
          <w:szCs w:val="24"/>
          <w:lang w:val="en-GB"/>
        </w:rPr>
        <w:t>as</w:t>
      </w:r>
      <w:r w:rsidR="00A54E11" w:rsidRPr="00A54E11">
        <w:rPr>
          <w:sz w:val="24"/>
          <w:szCs w:val="24"/>
          <w:lang w:val="en-GB"/>
        </w:rPr>
        <w:t xml:space="preserve"> supported and implemented in the reporting period in order to see the implementation of these recommendations of the Advisory Committee. Certainly the most important research in the context of these recommendations is the research </w:t>
      </w:r>
      <w:r w:rsidR="00A54E11">
        <w:rPr>
          <w:sz w:val="24"/>
          <w:szCs w:val="24"/>
          <w:lang w:val="en-GB"/>
        </w:rPr>
        <w:t xml:space="preserve">entitled </w:t>
      </w:r>
      <w:r w:rsidR="00A54E11" w:rsidRPr="00A54E11">
        <w:rPr>
          <w:sz w:val="24"/>
          <w:szCs w:val="24"/>
          <w:lang w:val="en-GB"/>
        </w:rPr>
        <w:t xml:space="preserve">"Social </w:t>
      </w:r>
      <w:r w:rsidR="00A54E11">
        <w:rPr>
          <w:sz w:val="24"/>
          <w:szCs w:val="24"/>
          <w:lang w:val="en-GB"/>
        </w:rPr>
        <w:t>R</w:t>
      </w:r>
      <w:r w:rsidR="00A54E11" w:rsidRPr="00A54E11">
        <w:rPr>
          <w:sz w:val="24"/>
          <w:szCs w:val="24"/>
          <w:lang w:val="en-GB"/>
        </w:rPr>
        <w:t xml:space="preserve">elations </w:t>
      </w:r>
      <w:r w:rsidR="00A54E11">
        <w:rPr>
          <w:sz w:val="24"/>
          <w:szCs w:val="24"/>
          <w:lang w:val="en-GB"/>
        </w:rPr>
        <w:t>B</w:t>
      </w:r>
      <w:r w:rsidR="00A54E11" w:rsidRPr="00A54E11">
        <w:rPr>
          <w:sz w:val="24"/>
          <w:szCs w:val="24"/>
          <w:lang w:val="en-GB"/>
        </w:rPr>
        <w:t xml:space="preserve">etween </w:t>
      </w:r>
      <w:r w:rsidR="00A54E11">
        <w:rPr>
          <w:sz w:val="24"/>
          <w:szCs w:val="24"/>
          <w:lang w:val="en-GB"/>
        </w:rPr>
        <w:t>E</w:t>
      </w:r>
      <w:r w:rsidR="00A54E11" w:rsidRPr="00A54E11">
        <w:rPr>
          <w:sz w:val="24"/>
          <w:szCs w:val="24"/>
          <w:lang w:val="en-GB"/>
        </w:rPr>
        <w:t xml:space="preserve">thnic </w:t>
      </w:r>
      <w:r w:rsidR="00A54E11">
        <w:rPr>
          <w:sz w:val="24"/>
          <w:szCs w:val="24"/>
          <w:lang w:val="en-GB"/>
        </w:rPr>
        <w:t>C</w:t>
      </w:r>
      <w:r w:rsidR="00A54E11" w:rsidRPr="00A54E11">
        <w:rPr>
          <w:sz w:val="24"/>
          <w:szCs w:val="24"/>
          <w:lang w:val="en-GB"/>
        </w:rPr>
        <w:t xml:space="preserve">ommunities in Serbia" </w:t>
      </w:r>
      <w:r w:rsidR="00A54E11">
        <w:rPr>
          <w:sz w:val="24"/>
          <w:szCs w:val="24"/>
          <w:lang w:val="en-GB"/>
        </w:rPr>
        <w:t xml:space="preserve">conducted </w:t>
      </w:r>
      <w:r w:rsidR="00A54E11" w:rsidRPr="00A54E11">
        <w:rPr>
          <w:sz w:val="24"/>
          <w:szCs w:val="24"/>
          <w:lang w:val="en-GB"/>
        </w:rPr>
        <w:t>by the Cent</w:t>
      </w:r>
      <w:r w:rsidR="00A54E11">
        <w:rPr>
          <w:sz w:val="24"/>
          <w:szCs w:val="24"/>
          <w:lang w:val="en-GB"/>
        </w:rPr>
        <w:t>re</w:t>
      </w:r>
      <w:r w:rsidR="00A54E11" w:rsidRPr="00A54E11">
        <w:rPr>
          <w:sz w:val="24"/>
          <w:szCs w:val="24"/>
          <w:lang w:val="en-GB"/>
        </w:rPr>
        <w:t xml:space="preserve"> for Ethnicity Research and the State Scientific Institute of Social Sciences, with the support of the Open Society Foundation. Also, at the request of the Foundation for Freedom of the Press, which publishes the weekly newspaper "</w:t>
      </w:r>
      <w:proofErr w:type="spellStart"/>
      <w:r w:rsidR="00A54E11" w:rsidRPr="00A54E11">
        <w:rPr>
          <w:sz w:val="24"/>
          <w:szCs w:val="24"/>
          <w:lang w:val="en-GB"/>
        </w:rPr>
        <w:t>Családi</w:t>
      </w:r>
      <w:proofErr w:type="spellEnd"/>
      <w:r w:rsidR="00A54E11" w:rsidRPr="00A54E11">
        <w:rPr>
          <w:sz w:val="24"/>
          <w:szCs w:val="24"/>
          <w:lang w:val="en-GB"/>
        </w:rPr>
        <w:t xml:space="preserve"> </w:t>
      </w:r>
      <w:proofErr w:type="spellStart"/>
      <w:r w:rsidR="00A54E11" w:rsidRPr="00A54E11">
        <w:rPr>
          <w:sz w:val="24"/>
          <w:szCs w:val="24"/>
          <w:lang w:val="en-GB"/>
        </w:rPr>
        <w:t>Kör</w:t>
      </w:r>
      <w:proofErr w:type="spellEnd"/>
      <w:r w:rsidR="00A54E11" w:rsidRPr="00A54E11">
        <w:rPr>
          <w:sz w:val="24"/>
          <w:szCs w:val="24"/>
          <w:lang w:val="en-GB"/>
        </w:rPr>
        <w:t>" and the news portal "</w:t>
      </w:r>
      <w:proofErr w:type="spellStart"/>
      <w:r w:rsidR="00A54E11" w:rsidRPr="00A54E11">
        <w:rPr>
          <w:sz w:val="24"/>
          <w:szCs w:val="24"/>
          <w:lang w:val="en-GB"/>
        </w:rPr>
        <w:t>Szabad</w:t>
      </w:r>
      <w:proofErr w:type="spellEnd"/>
      <w:r w:rsidR="00A54E11" w:rsidRPr="00A54E11">
        <w:rPr>
          <w:sz w:val="24"/>
          <w:szCs w:val="24"/>
          <w:lang w:val="en-GB"/>
        </w:rPr>
        <w:t xml:space="preserve"> Magyar </w:t>
      </w:r>
      <w:proofErr w:type="spellStart"/>
      <w:r w:rsidR="00A54E11" w:rsidRPr="00A54E11">
        <w:rPr>
          <w:sz w:val="24"/>
          <w:szCs w:val="24"/>
          <w:lang w:val="en-GB"/>
        </w:rPr>
        <w:t>Szó</w:t>
      </w:r>
      <w:proofErr w:type="spellEnd"/>
      <w:r w:rsidR="00A54E11" w:rsidRPr="00A54E11">
        <w:rPr>
          <w:sz w:val="24"/>
          <w:szCs w:val="24"/>
          <w:lang w:val="en-GB"/>
        </w:rPr>
        <w:t xml:space="preserve">", the Workshop for the Research of Minority Identity in </w:t>
      </w:r>
      <w:proofErr w:type="spellStart"/>
      <w:r w:rsidR="00A54E11" w:rsidRPr="00A54E11">
        <w:rPr>
          <w:sz w:val="24"/>
          <w:szCs w:val="24"/>
          <w:lang w:val="en-GB"/>
        </w:rPr>
        <w:t>Senča</w:t>
      </w:r>
      <w:proofErr w:type="spellEnd"/>
      <w:r w:rsidR="00A54E11" w:rsidRPr="00A54E11">
        <w:rPr>
          <w:sz w:val="24"/>
          <w:szCs w:val="24"/>
          <w:lang w:val="en-GB"/>
        </w:rPr>
        <w:t xml:space="preserve"> conducted a survey of public opinion</w:t>
      </w:r>
      <w:r w:rsidR="00A05217">
        <w:rPr>
          <w:sz w:val="24"/>
          <w:szCs w:val="24"/>
          <w:lang w:val="en-GB"/>
        </w:rPr>
        <w:t xml:space="preserve"> on Serbian-Hungarian relations</w:t>
      </w:r>
      <w:r w:rsidR="00A54E11" w:rsidRPr="00A54E11">
        <w:rPr>
          <w:sz w:val="24"/>
          <w:szCs w:val="24"/>
          <w:lang w:val="en-GB"/>
        </w:rPr>
        <w:t xml:space="preserve">, as well as about friendly and </w:t>
      </w:r>
      <w:r w:rsidR="00A05217">
        <w:rPr>
          <w:sz w:val="24"/>
          <w:szCs w:val="24"/>
          <w:lang w:val="en-GB"/>
        </w:rPr>
        <w:t>family</w:t>
      </w:r>
      <w:r w:rsidR="00A54E11" w:rsidRPr="00A54E11">
        <w:rPr>
          <w:sz w:val="24"/>
          <w:szCs w:val="24"/>
          <w:lang w:val="en-GB"/>
        </w:rPr>
        <w:t xml:space="preserve"> relationships between members of different </w:t>
      </w:r>
      <w:r w:rsidR="00A54E11" w:rsidRPr="00A05217">
        <w:rPr>
          <w:sz w:val="24"/>
          <w:szCs w:val="24"/>
          <w:lang w:val="en-GB"/>
        </w:rPr>
        <w:t>communities.</w:t>
      </w:r>
      <w:r w:rsidR="00A05217" w:rsidRPr="00A05217">
        <w:rPr>
          <w:rStyle w:val="FootnoteReference"/>
          <w:sz w:val="24"/>
          <w:szCs w:val="24"/>
          <w:lang w:val="en-GB"/>
        </w:rPr>
        <w:footnoteReference w:id="88"/>
      </w:r>
      <w:r w:rsidR="00A54E11" w:rsidRPr="00A05217">
        <w:rPr>
          <w:sz w:val="24"/>
          <w:szCs w:val="24"/>
          <w:lang w:val="en-GB"/>
        </w:rPr>
        <w:t xml:space="preserve"> In addition </w:t>
      </w:r>
      <w:r w:rsidR="00A05217">
        <w:rPr>
          <w:sz w:val="24"/>
          <w:szCs w:val="24"/>
          <w:lang w:val="en-GB"/>
        </w:rPr>
        <w:t>to the aforementioned research</w:t>
      </w:r>
      <w:r w:rsidR="00A54E11" w:rsidRPr="00A05217">
        <w:rPr>
          <w:sz w:val="24"/>
          <w:szCs w:val="24"/>
          <w:lang w:val="en-GB"/>
        </w:rPr>
        <w:t xml:space="preserve"> entirely devoted to</w:t>
      </w:r>
      <w:r w:rsidR="00A54E11" w:rsidRPr="00A54E11">
        <w:rPr>
          <w:sz w:val="24"/>
          <w:szCs w:val="24"/>
          <w:lang w:val="en-GB"/>
        </w:rPr>
        <w:t xml:space="preserve"> inter-ethnic </w:t>
      </w:r>
      <w:r w:rsidR="00A54E11" w:rsidRPr="00A54E11">
        <w:rPr>
          <w:sz w:val="24"/>
          <w:szCs w:val="24"/>
          <w:lang w:val="en-GB"/>
        </w:rPr>
        <w:lastRenderedPageBreak/>
        <w:t xml:space="preserve">relations, in </w:t>
      </w:r>
      <w:r w:rsidR="00A05217">
        <w:rPr>
          <w:sz w:val="24"/>
          <w:szCs w:val="24"/>
          <w:lang w:val="en-GB"/>
        </w:rPr>
        <w:t>the reporting period, research</w:t>
      </w:r>
      <w:r w:rsidR="00A54E11" w:rsidRPr="00A54E11">
        <w:rPr>
          <w:sz w:val="24"/>
          <w:szCs w:val="24"/>
          <w:lang w:val="en-GB"/>
        </w:rPr>
        <w:t xml:space="preserve"> on the nationalist orientation of the population w</w:t>
      </w:r>
      <w:r w:rsidR="00A05217">
        <w:rPr>
          <w:sz w:val="24"/>
          <w:szCs w:val="24"/>
          <w:lang w:val="en-GB"/>
        </w:rPr>
        <w:t>as</w:t>
      </w:r>
      <w:r w:rsidR="00A54E11" w:rsidRPr="00A54E11">
        <w:rPr>
          <w:sz w:val="24"/>
          <w:szCs w:val="24"/>
          <w:lang w:val="en-GB"/>
        </w:rPr>
        <w:t xml:space="preserve"> also carried out as part of the broader research </w:t>
      </w:r>
      <w:r w:rsidR="00A05217">
        <w:rPr>
          <w:sz w:val="24"/>
          <w:szCs w:val="24"/>
          <w:lang w:val="en-GB"/>
        </w:rPr>
        <w:t xml:space="preserve">entitled </w:t>
      </w:r>
      <w:r w:rsidR="00A54E11" w:rsidRPr="00A54E11">
        <w:rPr>
          <w:sz w:val="24"/>
          <w:szCs w:val="24"/>
          <w:lang w:val="en-GB"/>
        </w:rPr>
        <w:t xml:space="preserve">"Stratification </w:t>
      </w:r>
      <w:r w:rsidR="00A05217">
        <w:rPr>
          <w:sz w:val="24"/>
          <w:szCs w:val="24"/>
          <w:lang w:val="en-GB"/>
        </w:rPr>
        <w:t>C</w:t>
      </w:r>
      <w:r w:rsidR="00A54E11" w:rsidRPr="00A54E11">
        <w:rPr>
          <w:sz w:val="24"/>
          <w:szCs w:val="24"/>
          <w:lang w:val="en-GB"/>
        </w:rPr>
        <w:t xml:space="preserve">hanges in the </w:t>
      </w:r>
      <w:r w:rsidR="00A05217">
        <w:rPr>
          <w:sz w:val="24"/>
          <w:szCs w:val="24"/>
          <w:lang w:val="en-GB"/>
        </w:rPr>
        <w:t>P</w:t>
      </w:r>
      <w:r w:rsidR="00A54E11" w:rsidRPr="00A54E11">
        <w:rPr>
          <w:sz w:val="24"/>
          <w:szCs w:val="24"/>
          <w:lang w:val="en-GB"/>
        </w:rPr>
        <w:t xml:space="preserve">eriod of </w:t>
      </w:r>
      <w:r w:rsidR="00A05217" w:rsidRPr="00A05217">
        <w:rPr>
          <w:sz w:val="24"/>
          <w:szCs w:val="24"/>
          <w:lang w:val="en-GB"/>
        </w:rPr>
        <w:t>C</w:t>
      </w:r>
      <w:r w:rsidR="00A54E11" w:rsidRPr="00A05217">
        <w:rPr>
          <w:sz w:val="24"/>
          <w:szCs w:val="24"/>
          <w:lang w:val="en-GB"/>
        </w:rPr>
        <w:t xml:space="preserve">onsolidation of </w:t>
      </w:r>
      <w:r w:rsidR="00A05217" w:rsidRPr="00A05217">
        <w:rPr>
          <w:sz w:val="24"/>
          <w:szCs w:val="24"/>
          <w:lang w:val="en-GB"/>
        </w:rPr>
        <w:t>C</w:t>
      </w:r>
      <w:r w:rsidR="00A54E11" w:rsidRPr="00A05217">
        <w:rPr>
          <w:sz w:val="24"/>
          <w:szCs w:val="24"/>
          <w:lang w:val="en-GB"/>
        </w:rPr>
        <w:t>apitalism in Serbia"</w:t>
      </w:r>
      <w:r w:rsidR="00A05217" w:rsidRPr="00A05217">
        <w:rPr>
          <w:rStyle w:val="FootnoteReference"/>
          <w:sz w:val="24"/>
          <w:szCs w:val="24"/>
          <w:lang w:val="en-GB"/>
        </w:rPr>
        <w:footnoteReference w:id="89"/>
      </w:r>
      <w:r w:rsidR="00A54E11" w:rsidRPr="00A05217">
        <w:rPr>
          <w:sz w:val="24"/>
          <w:szCs w:val="24"/>
          <w:lang w:val="en-GB"/>
        </w:rPr>
        <w:t xml:space="preserve"> conducted by the Institute for Sociological Research</w:t>
      </w:r>
      <w:r w:rsidR="00A54E11" w:rsidRPr="00A54E11">
        <w:rPr>
          <w:sz w:val="24"/>
          <w:szCs w:val="24"/>
          <w:lang w:val="en-GB"/>
        </w:rPr>
        <w:t xml:space="preserve"> of the Faculty of Philosoph</w:t>
      </w:r>
      <w:r w:rsidR="00A05217">
        <w:rPr>
          <w:sz w:val="24"/>
          <w:szCs w:val="24"/>
          <w:lang w:val="en-GB"/>
        </w:rPr>
        <w:t>y of the University of Belgrade</w:t>
      </w:r>
      <w:r w:rsidR="00A54E11" w:rsidRPr="00A54E11">
        <w:rPr>
          <w:sz w:val="24"/>
          <w:szCs w:val="24"/>
          <w:lang w:val="en-GB"/>
        </w:rPr>
        <w:t xml:space="preserve"> </w:t>
      </w:r>
      <w:r w:rsidR="00A05217">
        <w:rPr>
          <w:sz w:val="24"/>
          <w:szCs w:val="24"/>
          <w:lang w:val="en-GB"/>
        </w:rPr>
        <w:t>which builds on</w:t>
      </w:r>
      <w:r w:rsidR="00A54E11" w:rsidRPr="00A54E11">
        <w:rPr>
          <w:sz w:val="24"/>
          <w:szCs w:val="24"/>
          <w:lang w:val="en-GB"/>
        </w:rPr>
        <w:t xml:space="preserve"> similar research conducted in 2003 and 2012.</w:t>
      </w:r>
    </w:p>
    <w:p w14:paraId="4F7D52EB" w14:textId="77777777" w:rsidR="009A43DA" w:rsidRDefault="009A43DA" w:rsidP="009A43DA">
      <w:pPr>
        <w:spacing w:after="0"/>
        <w:ind w:firstLine="720"/>
        <w:jc w:val="both"/>
        <w:rPr>
          <w:sz w:val="24"/>
          <w:szCs w:val="24"/>
          <w:lang w:val="en-GB"/>
        </w:rPr>
      </w:pPr>
      <w:r w:rsidRPr="009A43DA">
        <w:rPr>
          <w:sz w:val="24"/>
          <w:szCs w:val="24"/>
          <w:lang w:val="en-GB"/>
        </w:rPr>
        <w:t>In a study by the Cent</w:t>
      </w:r>
      <w:r>
        <w:rPr>
          <w:sz w:val="24"/>
          <w:szCs w:val="24"/>
          <w:lang w:val="en-GB"/>
        </w:rPr>
        <w:t>re</w:t>
      </w:r>
      <w:r w:rsidRPr="009A43DA">
        <w:rPr>
          <w:sz w:val="24"/>
          <w:szCs w:val="24"/>
          <w:lang w:val="en-GB"/>
        </w:rPr>
        <w:t xml:space="preserve"> for Research on Ethnicity and the Institute of Social Sciences, the social distance between ethnic communities in Serbia was measured based on the expressed views of respondents of Serbian nationality and respondents of the Albanian, </w:t>
      </w:r>
      <w:proofErr w:type="spellStart"/>
      <w:r w:rsidRPr="009A43DA">
        <w:rPr>
          <w:sz w:val="24"/>
          <w:szCs w:val="24"/>
          <w:lang w:val="en-GB"/>
        </w:rPr>
        <w:t>Bosniak</w:t>
      </w:r>
      <w:proofErr w:type="spellEnd"/>
      <w:r w:rsidRPr="009A43DA">
        <w:rPr>
          <w:sz w:val="24"/>
          <w:szCs w:val="24"/>
          <w:lang w:val="en-GB"/>
        </w:rPr>
        <w:t>, Croatian, Hungarian, Roma, Romanian and Slovak national minorities. Social distance was measured based on three groups of questions. The first group of questions re</w:t>
      </w:r>
      <w:r>
        <w:rPr>
          <w:sz w:val="24"/>
          <w:szCs w:val="24"/>
          <w:lang w:val="en-GB"/>
        </w:rPr>
        <w:t>ferred</w:t>
      </w:r>
      <w:r w:rsidRPr="009A43DA">
        <w:rPr>
          <w:sz w:val="24"/>
          <w:szCs w:val="24"/>
          <w:lang w:val="en-GB"/>
        </w:rPr>
        <w:t xml:space="preserve"> to mutual social contacts, that is, existing social and kinship ties between members of different nationalities. The second group of questions re</w:t>
      </w:r>
      <w:r>
        <w:rPr>
          <w:sz w:val="24"/>
          <w:szCs w:val="24"/>
          <w:lang w:val="en-GB"/>
        </w:rPr>
        <w:t>ferred</w:t>
      </w:r>
      <w:r w:rsidRPr="009A43DA">
        <w:rPr>
          <w:sz w:val="24"/>
          <w:szCs w:val="24"/>
          <w:lang w:val="en-GB"/>
        </w:rPr>
        <w:t xml:space="preserve"> to the personal and assumed attitudes of close members of one's own ethnic group about "others" - co</w:t>
      </w:r>
      <w:r>
        <w:rPr>
          <w:sz w:val="24"/>
          <w:szCs w:val="24"/>
          <w:lang w:val="en-GB"/>
        </w:rPr>
        <w:t>habitation</w:t>
      </w:r>
      <w:r w:rsidRPr="009A43DA">
        <w:rPr>
          <w:sz w:val="24"/>
          <w:szCs w:val="24"/>
          <w:lang w:val="en-GB"/>
        </w:rPr>
        <w:t xml:space="preserve"> in a common </w:t>
      </w:r>
      <w:r>
        <w:rPr>
          <w:sz w:val="24"/>
          <w:szCs w:val="24"/>
          <w:lang w:val="en-GB"/>
        </w:rPr>
        <w:t>country</w:t>
      </w:r>
      <w:r w:rsidRPr="009A43DA">
        <w:rPr>
          <w:sz w:val="24"/>
          <w:szCs w:val="24"/>
          <w:lang w:val="en-GB"/>
        </w:rPr>
        <w:t xml:space="preserve"> and neighbo</w:t>
      </w:r>
      <w:r>
        <w:rPr>
          <w:sz w:val="24"/>
          <w:szCs w:val="24"/>
          <w:lang w:val="en-GB"/>
        </w:rPr>
        <w:t>u</w:t>
      </w:r>
      <w:r w:rsidRPr="009A43DA">
        <w:rPr>
          <w:sz w:val="24"/>
          <w:szCs w:val="24"/>
          <w:lang w:val="en-GB"/>
        </w:rPr>
        <w:t>rhood, acceptance of acquaintance and friendship, work collegiality and, finally, marital relationships. Finally, the third group of questions re</w:t>
      </w:r>
      <w:r>
        <w:rPr>
          <w:sz w:val="24"/>
          <w:szCs w:val="24"/>
          <w:lang w:val="en-GB"/>
        </w:rPr>
        <w:t>ferred</w:t>
      </w:r>
      <w:r w:rsidRPr="009A43DA">
        <w:rPr>
          <w:sz w:val="24"/>
          <w:szCs w:val="24"/>
          <w:lang w:val="en-GB"/>
        </w:rPr>
        <w:t xml:space="preserve"> to respondents' trust in members of other ethnic groups to perform social roles - president of the state, prime minister, minister, mayor, teacher and elected doctor. According to the results of that survey, members of national minorities have the strongest friendships with Serbs (Albanians 77.6%; </w:t>
      </w:r>
      <w:proofErr w:type="spellStart"/>
      <w:r w:rsidRPr="009A43DA">
        <w:rPr>
          <w:sz w:val="24"/>
          <w:szCs w:val="24"/>
          <w:lang w:val="en-GB"/>
        </w:rPr>
        <w:t>Bosniaks</w:t>
      </w:r>
      <w:proofErr w:type="spellEnd"/>
      <w:r w:rsidRPr="009A43DA">
        <w:rPr>
          <w:sz w:val="24"/>
          <w:szCs w:val="24"/>
          <w:lang w:val="en-GB"/>
        </w:rPr>
        <w:t xml:space="preserve"> 96.2%; Hungarians 97.2%; Croats 89.6%; Roma 97.7%; Romanians 98%; Slovaks 99.1%), but members of the Serbian nationality have a lower degree of friendly relations with members of the same national minorities (Albanians 39.6%; </w:t>
      </w:r>
      <w:proofErr w:type="spellStart"/>
      <w:r w:rsidRPr="009A43DA">
        <w:rPr>
          <w:sz w:val="24"/>
          <w:szCs w:val="24"/>
          <w:lang w:val="en-GB"/>
        </w:rPr>
        <w:t>Bosniaks</w:t>
      </w:r>
      <w:proofErr w:type="spellEnd"/>
      <w:r w:rsidRPr="009A43DA">
        <w:rPr>
          <w:sz w:val="24"/>
          <w:szCs w:val="24"/>
          <w:lang w:val="en-GB"/>
        </w:rPr>
        <w:t xml:space="preserve"> 71.8; Croats 80.7; Hungarians 65.4%; Roma 67.4%; Romanians 41.3%; Slovaks 50.9%).</w:t>
      </w:r>
    </w:p>
    <w:p w14:paraId="15E2F237" w14:textId="5189BC91" w:rsidR="00260212" w:rsidRDefault="00260212" w:rsidP="000B1337">
      <w:pPr>
        <w:spacing w:after="0"/>
        <w:ind w:firstLine="720"/>
        <w:jc w:val="both"/>
        <w:rPr>
          <w:sz w:val="24"/>
          <w:szCs w:val="24"/>
          <w:lang w:val="en-GB"/>
        </w:rPr>
      </w:pPr>
      <w:r w:rsidRPr="00260212">
        <w:rPr>
          <w:sz w:val="24"/>
          <w:szCs w:val="24"/>
          <w:lang w:val="en-GB"/>
        </w:rPr>
        <w:t xml:space="preserve">Data on mutual friendships between members of national minorities indicate </w:t>
      </w:r>
      <w:proofErr w:type="spellStart"/>
      <w:r w:rsidRPr="00260212">
        <w:rPr>
          <w:sz w:val="24"/>
          <w:szCs w:val="24"/>
          <w:lang w:val="en-GB"/>
        </w:rPr>
        <w:t>closedness</w:t>
      </w:r>
      <w:proofErr w:type="spellEnd"/>
      <w:r w:rsidRPr="00260212">
        <w:rPr>
          <w:sz w:val="24"/>
          <w:szCs w:val="24"/>
          <w:lang w:val="en-GB"/>
        </w:rPr>
        <w:t xml:space="preserve"> towards members of the Albanian and Roma communities. 53.1% of Albanians have friendly relations with members of the Croatian community, 56.7% maintain friendship with Roma, 30.4% with Croats, 17% with Hungarians, 15.8% with Romanians and 9.5% with Slovaks. The most common friendship of Roma, 57.4%, is with </w:t>
      </w:r>
      <w:proofErr w:type="spellStart"/>
      <w:r w:rsidRPr="00260212">
        <w:rPr>
          <w:sz w:val="24"/>
          <w:szCs w:val="24"/>
          <w:lang w:val="en-GB"/>
        </w:rPr>
        <w:t>Bosniaks</w:t>
      </w:r>
      <w:proofErr w:type="spellEnd"/>
      <w:r w:rsidRPr="00260212">
        <w:rPr>
          <w:sz w:val="24"/>
          <w:szCs w:val="24"/>
          <w:lang w:val="en-GB"/>
        </w:rPr>
        <w:t xml:space="preserve"> and Croats - 53.6%; Half of the 50% of respondents of Roma nationality have friendships with Albanians, 45% with Romanians, 40.8% with Hungarians and 27.1% with Slovaks. Among members of other national minorities, friendships are more common and comprise between 70 and 80 percent of respondents. Family ties are even rarer, although 28% of respondents of Serbian nationality answered that, in addition to their ethnic identity being Serbian, they belong to at least one other "minority" identity. According to the statements of respondents of Serbian nationality, they most often have family ties with members of the Croatian national minority 33.8%, then with members of the Hungarian (17.4%) and </w:t>
      </w:r>
      <w:proofErr w:type="spellStart"/>
      <w:r w:rsidRPr="00260212">
        <w:rPr>
          <w:sz w:val="24"/>
          <w:szCs w:val="24"/>
          <w:lang w:val="en-GB"/>
        </w:rPr>
        <w:t>Bosniak</w:t>
      </w:r>
      <w:proofErr w:type="spellEnd"/>
      <w:r w:rsidRPr="00260212">
        <w:rPr>
          <w:sz w:val="24"/>
          <w:szCs w:val="24"/>
          <w:lang w:val="en-GB"/>
        </w:rPr>
        <w:t xml:space="preserve"> (14.6%) national minorities; 5.5% of Serbs are related to Romanians, 4.8% to Slovaks, 3.3% to Roma, and 1.8% to Albanians. On the other hand, 8.7% of respondents of Albanian nationality have family ties with members of the Serbian nation, as well as 42.8% of members of the Roma and 80% of the Croat national minorities. Apart from members of the </w:t>
      </w:r>
      <w:proofErr w:type="spellStart"/>
      <w:r w:rsidRPr="00260212">
        <w:rPr>
          <w:sz w:val="24"/>
          <w:szCs w:val="24"/>
          <w:lang w:val="en-GB"/>
        </w:rPr>
        <w:t>Bosniak</w:t>
      </w:r>
      <w:proofErr w:type="spellEnd"/>
      <w:r w:rsidRPr="00260212">
        <w:rPr>
          <w:sz w:val="24"/>
          <w:szCs w:val="24"/>
          <w:lang w:val="en-GB"/>
        </w:rPr>
        <w:t xml:space="preserve"> national minority, with whom 12.2% of respondents are related, Albanians do not have many relatives among members of other national minorities. The situation is similar in </w:t>
      </w:r>
      <w:r w:rsidR="00DB2D91">
        <w:rPr>
          <w:sz w:val="24"/>
          <w:szCs w:val="24"/>
          <w:lang w:val="en-GB"/>
        </w:rPr>
        <w:t>terms of</w:t>
      </w:r>
      <w:r w:rsidRPr="00260212">
        <w:rPr>
          <w:sz w:val="24"/>
          <w:szCs w:val="24"/>
          <w:lang w:val="en-GB"/>
        </w:rPr>
        <w:t xml:space="preserve"> the kinship ties of Roma with members </w:t>
      </w:r>
      <w:r w:rsidRPr="00260212">
        <w:rPr>
          <w:sz w:val="24"/>
          <w:szCs w:val="24"/>
          <w:lang w:val="en-GB"/>
        </w:rPr>
        <w:lastRenderedPageBreak/>
        <w:t xml:space="preserve">of other ethnic groups. Among members of other ethnic groups, family ties are more frequent, but with rare exceptions, their percentage does not exceed 30%. For 63.9% of respondents of Serbian nationality, coexistence in the same country with Albanians is acceptable. Marriage with members of Albanian nationality is acceptable for 31.1% of respondents of Serbian nationality. 65.5% of respondents of Serbian nationality would live in the </w:t>
      </w:r>
      <w:r w:rsidR="00DB2D91">
        <w:rPr>
          <w:sz w:val="24"/>
          <w:szCs w:val="24"/>
          <w:lang w:val="en-GB"/>
        </w:rPr>
        <w:t xml:space="preserve">same </w:t>
      </w:r>
      <w:r w:rsidRPr="00260212">
        <w:rPr>
          <w:sz w:val="24"/>
          <w:szCs w:val="24"/>
          <w:lang w:val="en-GB"/>
        </w:rPr>
        <w:t>neighbo</w:t>
      </w:r>
      <w:r w:rsidR="00DB2D91">
        <w:rPr>
          <w:sz w:val="24"/>
          <w:szCs w:val="24"/>
          <w:lang w:val="en-GB"/>
        </w:rPr>
        <w:t>u</w:t>
      </w:r>
      <w:r w:rsidRPr="00260212">
        <w:rPr>
          <w:sz w:val="24"/>
          <w:szCs w:val="24"/>
          <w:lang w:val="en-GB"/>
        </w:rPr>
        <w:t xml:space="preserve">rhood with Roma. 54.9% of Serbian respondents would marry a member of Croatian nationality. 26.4% of members of the Albanian national minority would marry members of the Serbian nationality. According to personal statements, 80.6% of </w:t>
      </w:r>
      <w:proofErr w:type="spellStart"/>
      <w:r w:rsidRPr="00260212">
        <w:rPr>
          <w:sz w:val="24"/>
          <w:szCs w:val="24"/>
          <w:lang w:val="en-GB"/>
        </w:rPr>
        <w:t>Bosniaks</w:t>
      </w:r>
      <w:proofErr w:type="spellEnd"/>
      <w:r w:rsidRPr="00260212">
        <w:rPr>
          <w:sz w:val="24"/>
          <w:szCs w:val="24"/>
          <w:lang w:val="en-GB"/>
        </w:rPr>
        <w:t xml:space="preserve"> would be friends with members of the Slovak national minority. 69.7% of Roma would accept </w:t>
      </w:r>
      <w:proofErr w:type="spellStart"/>
      <w:r w:rsidRPr="00260212">
        <w:rPr>
          <w:sz w:val="24"/>
          <w:szCs w:val="24"/>
          <w:lang w:val="en-GB"/>
        </w:rPr>
        <w:t>Bosniaks</w:t>
      </w:r>
      <w:proofErr w:type="spellEnd"/>
      <w:r w:rsidRPr="00260212">
        <w:rPr>
          <w:sz w:val="24"/>
          <w:szCs w:val="24"/>
          <w:lang w:val="en-GB"/>
        </w:rPr>
        <w:t xml:space="preserve"> as neighbo</w:t>
      </w:r>
      <w:r w:rsidR="008F2EE4">
        <w:rPr>
          <w:sz w:val="24"/>
          <w:szCs w:val="24"/>
          <w:lang w:val="en-GB"/>
        </w:rPr>
        <w:t>u</w:t>
      </w:r>
      <w:r w:rsidRPr="00260212">
        <w:rPr>
          <w:sz w:val="24"/>
          <w:szCs w:val="24"/>
          <w:lang w:val="en-GB"/>
        </w:rPr>
        <w:t xml:space="preserve">rs. More than half of the surveyed (50.5%) Slovaks would start a marriage union with members of the Romanian nationality. The results indicate the social distance between ethnic groups in Serbia. Social distance is greatest in personal relationships - marriage and </w:t>
      </w:r>
      <w:r w:rsidR="00295A11">
        <w:rPr>
          <w:sz w:val="24"/>
          <w:szCs w:val="24"/>
          <w:lang w:val="en-GB"/>
        </w:rPr>
        <w:t>cohabitation</w:t>
      </w:r>
      <w:r w:rsidRPr="00260212">
        <w:rPr>
          <w:sz w:val="24"/>
          <w:szCs w:val="24"/>
          <w:lang w:val="en-GB"/>
        </w:rPr>
        <w:t xml:space="preserve">, but it is </w:t>
      </w:r>
      <w:r w:rsidR="00295A11">
        <w:rPr>
          <w:sz w:val="24"/>
          <w:szCs w:val="24"/>
          <w:lang w:val="en-GB"/>
        </w:rPr>
        <w:t>evident</w:t>
      </w:r>
      <w:r w:rsidRPr="00260212">
        <w:rPr>
          <w:sz w:val="24"/>
          <w:szCs w:val="24"/>
          <w:lang w:val="en-GB"/>
        </w:rPr>
        <w:t xml:space="preserve"> in other social relationships as well. The greatest social distance is towards Albanians and Roma, and it is variable between members of other nationalities. Members of national minorities who have traditionally settled in the area of </w:t>
      </w:r>
      <w:proofErr w:type="spellStart"/>
      <w:r w:rsidRPr="00260212">
        <w:rPr>
          <w:sz w:val="24"/>
          <w:szCs w:val="24"/>
          <w:lang w:val="en-GB"/>
        </w:rPr>
        <w:t>Vojvodina</w:t>
      </w:r>
      <w:proofErr w:type="spellEnd"/>
      <w:r w:rsidRPr="00260212">
        <w:rPr>
          <w:sz w:val="24"/>
          <w:szCs w:val="24"/>
          <w:lang w:val="en-GB"/>
        </w:rPr>
        <w:t xml:space="preserve"> have more stable social relations.</w:t>
      </w:r>
    </w:p>
    <w:p w14:paraId="3E72F096" w14:textId="77777777" w:rsidR="00BE2572" w:rsidRDefault="009909AB" w:rsidP="009909AB">
      <w:pPr>
        <w:spacing w:after="0"/>
        <w:jc w:val="both"/>
        <w:rPr>
          <w:sz w:val="24"/>
          <w:szCs w:val="24"/>
          <w:lang w:val="en-GB"/>
        </w:rPr>
      </w:pPr>
      <w:r w:rsidRPr="00BE2572">
        <w:rPr>
          <w:sz w:val="24"/>
          <w:szCs w:val="24"/>
          <w:lang w:val="en-GB"/>
        </w:rPr>
        <w:tab/>
      </w:r>
      <w:r w:rsidR="00BE2572" w:rsidRPr="00BE2572">
        <w:rPr>
          <w:sz w:val="24"/>
          <w:szCs w:val="24"/>
          <w:lang w:val="en-GB"/>
        </w:rPr>
        <w:t>The research results of the Minority Identity Research Workshop are similar. According to those results, 35.2% of the surveyed members of the Hungarian national minority believe that their relationship with members of other nationalities has improved over the past ten years, and only 7.6% of them believe that it has worsened. The respondents perceive relations between Serbs and Hungarians as stable and do not see that the relationship between the two peoples is in danger: 5.3% of them think that relations will worsen, 23.3% think that they will improve, and 61.1% think that remain unchanged for the next ten years.</w:t>
      </w:r>
    </w:p>
    <w:p w14:paraId="5A8484B4" w14:textId="77777777" w:rsidR="00B61917" w:rsidRPr="00B61917" w:rsidRDefault="001E18BB" w:rsidP="00B61917">
      <w:pPr>
        <w:spacing w:after="0"/>
        <w:jc w:val="both"/>
        <w:rPr>
          <w:sz w:val="24"/>
          <w:szCs w:val="24"/>
          <w:lang w:val="en-GB"/>
        </w:rPr>
      </w:pPr>
      <w:r w:rsidRPr="00B61917">
        <w:rPr>
          <w:sz w:val="24"/>
          <w:szCs w:val="24"/>
          <w:lang w:val="en-GB"/>
        </w:rPr>
        <w:tab/>
      </w:r>
      <w:r w:rsidR="00B61917" w:rsidRPr="00B61917">
        <w:rPr>
          <w:sz w:val="24"/>
          <w:szCs w:val="24"/>
          <w:lang w:val="en-GB"/>
        </w:rPr>
        <w:t>The research of the Institute for Sociological Research of the Faculty of Philosophy of the University of Belgrade indicates, on the one hand, a clear strengthening of the value of organic nationalism, which implies the emphasis of respondents and their overemphasis on the importance of tradition, history and the common origin of members of their own nation, while, on the other hand, it notes a decline of ethnocentric nationalism, more precisely that the respondents had less extreme attitudes when it c</w:t>
      </w:r>
      <w:r w:rsidR="00B61917">
        <w:rPr>
          <w:sz w:val="24"/>
          <w:szCs w:val="24"/>
          <w:lang w:val="en-GB"/>
        </w:rPr>
        <w:t>ame</w:t>
      </w:r>
      <w:r w:rsidR="00B61917" w:rsidRPr="00B61917">
        <w:rPr>
          <w:sz w:val="24"/>
          <w:szCs w:val="24"/>
          <w:lang w:val="en-GB"/>
        </w:rPr>
        <w:t xml:space="preserve"> to inter-ethnic relations. </w:t>
      </w:r>
      <w:r w:rsidR="00B61917">
        <w:rPr>
          <w:sz w:val="24"/>
          <w:szCs w:val="24"/>
          <w:lang w:val="en-GB"/>
        </w:rPr>
        <w:t>In fact</w:t>
      </w:r>
      <w:r w:rsidR="00B61917" w:rsidRPr="00B61917">
        <w:rPr>
          <w:sz w:val="24"/>
          <w:szCs w:val="24"/>
          <w:lang w:val="en-GB"/>
        </w:rPr>
        <w:t>, the average values ​​obtained on the individual statements used to analy</w:t>
      </w:r>
      <w:r w:rsidR="00B61917">
        <w:rPr>
          <w:sz w:val="24"/>
          <w:szCs w:val="24"/>
          <w:lang w:val="en-GB"/>
        </w:rPr>
        <w:t>s</w:t>
      </w:r>
      <w:r w:rsidR="00B61917" w:rsidRPr="00B61917">
        <w:rPr>
          <w:sz w:val="24"/>
          <w:szCs w:val="24"/>
          <w:lang w:val="en-GB"/>
        </w:rPr>
        <w:t xml:space="preserve">e ethnocentric nationalism in all three time points (2003, 2012 and 2018) were below 3, which clearly indicates that a larger number of respondents rejected nationalist attitudes more often than accepted them. Minor changes in the degree of acceptance of ethnocentric statements are observed. According to that research, a more complete insight into the structure of this dimension of nationalism is provided by the analysis of the intensity of acceptance of three statements by which ethnocentric nationalism was measured. In all three years, the lowest degree of agreement is recorded in the case of the statement according to which ethnically mixed marriages are a factor of marriage instability (2003 - 16.6%; 2012 - 13.4%; 2018 - 18.2%), while a slightly higher </w:t>
      </w:r>
      <w:r w:rsidR="0030107C" w:rsidRPr="00B61917">
        <w:rPr>
          <w:sz w:val="24"/>
          <w:szCs w:val="24"/>
          <w:lang w:val="en-GB"/>
        </w:rPr>
        <w:t xml:space="preserve">agreement </w:t>
      </w:r>
      <w:r w:rsidR="00B61917" w:rsidRPr="00B61917">
        <w:rPr>
          <w:sz w:val="24"/>
          <w:szCs w:val="24"/>
          <w:lang w:val="en-GB"/>
        </w:rPr>
        <w:t xml:space="preserve">percentage is recorded in the case of statements related to trust towards other nations (2003 – 51.7%; 2012 – 40.8%; 2018 – 45.1%), or in the case of statements related to </w:t>
      </w:r>
      <w:r w:rsidR="0030107C">
        <w:rPr>
          <w:sz w:val="24"/>
          <w:szCs w:val="24"/>
          <w:lang w:val="en-GB"/>
        </w:rPr>
        <w:t>enclosure</w:t>
      </w:r>
      <w:r w:rsidR="00B61917" w:rsidRPr="00B61917">
        <w:rPr>
          <w:sz w:val="24"/>
          <w:szCs w:val="24"/>
          <w:lang w:val="en-GB"/>
        </w:rPr>
        <w:t xml:space="preserve"> in nationally clean environments ( 2003 – 34.1%; 2012 – 34.1%; 2018 – 37.4%).</w:t>
      </w:r>
    </w:p>
    <w:p w14:paraId="28E3E1E8" w14:textId="77777777" w:rsidR="00B61917" w:rsidRDefault="00B61917" w:rsidP="00B61917">
      <w:pPr>
        <w:spacing w:after="0"/>
        <w:jc w:val="both"/>
        <w:rPr>
          <w:sz w:val="24"/>
          <w:szCs w:val="24"/>
          <w:lang w:val="en-GB"/>
        </w:rPr>
      </w:pPr>
      <w:r w:rsidRPr="00B61917">
        <w:rPr>
          <w:sz w:val="24"/>
          <w:szCs w:val="24"/>
          <w:lang w:val="en-GB"/>
        </w:rPr>
        <w:t>All the mentioned research results are carefully considered and taken into account by the competent authorities of the Republic of Serbia when predicting their actions.</w:t>
      </w:r>
    </w:p>
    <w:p w14:paraId="495E4611" w14:textId="77777777" w:rsidR="00DB226F" w:rsidRPr="00D62D04" w:rsidRDefault="00DB226F" w:rsidP="00A475C5">
      <w:pPr>
        <w:spacing w:after="0"/>
        <w:jc w:val="both"/>
        <w:rPr>
          <w:sz w:val="24"/>
          <w:szCs w:val="24"/>
          <w:highlight w:val="cyan"/>
          <w:lang w:val="en-GB"/>
        </w:rPr>
      </w:pPr>
    </w:p>
    <w:p w14:paraId="40B2CA46" w14:textId="77777777" w:rsidR="00DC23D1" w:rsidRDefault="00B453FD" w:rsidP="00B453FD">
      <w:pPr>
        <w:spacing w:after="0"/>
        <w:jc w:val="both"/>
        <w:rPr>
          <w:i/>
          <w:sz w:val="24"/>
          <w:szCs w:val="24"/>
          <w:lang w:val="en-GB"/>
        </w:rPr>
      </w:pPr>
      <w:r w:rsidRPr="00DC23D1">
        <w:rPr>
          <w:i/>
          <w:sz w:val="24"/>
          <w:szCs w:val="24"/>
          <w:lang w:val="en-GB"/>
        </w:rPr>
        <w:lastRenderedPageBreak/>
        <w:t xml:space="preserve">59. </w:t>
      </w:r>
      <w:r w:rsidR="00DC23D1" w:rsidRPr="00DC23D1">
        <w:rPr>
          <w:i/>
          <w:sz w:val="24"/>
          <w:szCs w:val="24"/>
          <w:lang w:val="en-GB"/>
        </w:rPr>
        <w:t>The Advisory Committee calls on the authorities to implement without delay the recommendations of the Protector of Citizens of the Republic of Serbia stated in the special report on councils for inter-ethnic relations and to conduct an independent qualitative study as soon as possible, and at the latest before the date of the fifth state report, in order to assess the functionality of the council for international relations.</w:t>
      </w:r>
    </w:p>
    <w:p w14:paraId="2606BFF0" w14:textId="77777777" w:rsidR="00B453FD" w:rsidRPr="00D62D04" w:rsidRDefault="00B453FD" w:rsidP="00B453FD">
      <w:pPr>
        <w:spacing w:after="0"/>
        <w:jc w:val="both"/>
        <w:rPr>
          <w:i/>
          <w:sz w:val="24"/>
          <w:szCs w:val="24"/>
          <w:highlight w:val="cyan"/>
          <w:lang w:val="en-GB"/>
        </w:rPr>
      </w:pPr>
    </w:p>
    <w:p w14:paraId="6BFE323A" w14:textId="180E0578" w:rsidR="00A51CE6" w:rsidRPr="00D62D04" w:rsidRDefault="000657B6" w:rsidP="000657B6">
      <w:pPr>
        <w:spacing w:after="0"/>
        <w:ind w:firstLine="720"/>
        <w:jc w:val="both"/>
        <w:rPr>
          <w:sz w:val="24"/>
          <w:szCs w:val="24"/>
          <w:highlight w:val="cyan"/>
          <w:lang w:val="en-GB"/>
        </w:rPr>
      </w:pPr>
      <w:r w:rsidRPr="000657B6">
        <w:rPr>
          <w:sz w:val="24"/>
          <w:szCs w:val="24"/>
          <w:lang w:val="en-GB"/>
        </w:rPr>
        <w:t xml:space="preserve">The </w:t>
      </w:r>
      <w:r w:rsidR="008B23D1">
        <w:rPr>
          <w:sz w:val="24"/>
          <w:szCs w:val="24"/>
          <w:lang w:val="en-GB"/>
        </w:rPr>
        <w:t>response</w:t>
      </w:r>
      <w:r w:rsidRPr="000657B6">
        <w:rPr>
          <w:sz w:val="24"/>
          <w:szCs w:val="24"/>
          <w:lang w:val="en-GB"/>
        </w:rPr>
        <w:t xml:space="preserve"> to this recommendation is </w:t>
      </w:r>
      <w:r>
        <w:rPr>
          <w:sz w:val="24"/>
          <w:szCs w:val="24"/>
          <w:lang w:val="en-GB"/>
        </w:rPr>
        <w:t>given</w:t>
      </w:r>
      <w:r w:rsidRPr="000657B6">
        <w:rPr>
          <w:sz w:val="24"/>
          <w:szCs w:val="24"/>
          <w:lang w:val="en-GB"/>
        </w:rPr>
        <w:t xml:space="preserve"> in the </w:t>
      </w:r>
      <w:r w:rsidR="008B23D1">
        <w:rPr>
          <w:sz w:val="24"/>
          <w:szCs w:val="24"/>
          <w:lang w:val="en-GB"/>
        </w:rPr>
        <w:t>response</w:t>
      </w:r>
      <w:r w:rsidRPr="000657B6">
        <w:rPr>
          <w:sz w:val="24"/>
          <w:szCs w:val="24"/>
          <w:lang w:val="en-GB"/>
        </w:rPr>
        <w:t xml:space="preserve"> to recommendation 3 </w:t>
      </w:r>
      <w:r>
        <w:rPr>
          <w:sz w:val="24"/>
          <w:szCs w:val="24"/>
          <w:lang w:val="en-GB"/>
        </w:rPr>
        <w:t>of</w:t>
      </w:r>
      <w:r w:rsidRPr="000657B6">
        <w:rPr>
          <w:sz w:val="24"/>
          <w:szCs w:val="24"/>
          <w:lang w:val="en-GB"/>
        </w:rPr>
        <w:t xml:space="preserve"> the </w:t>
      </w:r>
      <w:r w:rsidR="00AC33C4">
        <w:rPr>
          <w:sz w:val="24"/>
          <w:szCs w:val="24"/>
          <w:lang w:val="en-GB"/>
        </w:rPr>
        <w:t>Committee of Ministers Resolution</w:t>
      </w:r>
      <w:r w:rsidRPr="000657B6">
        <w:rPr>
          <w:sz w:val="24"/>
          <w:szCs w:val="24"/>
          <w:lang w:val="en-GB"/>
        </w:rPr>
        <w:t>.</w:t>
      </w:r>
    </w:p>
    <w:p w14:paraId="11D9C552" w14:textId="77777777" w:rsidR="000659A5" w:rsidRPr="00D62D04" w:rsidRDefault="000659A5" w:rsidP="00A51CE6">
      <w:pPr>
        <w:spacing w:after="0"/>
        <w:jc w:val="both"/>
        <w:rPr>
          <w:sz w:val="24"/>
          <w:szCs w:val="24"/>
          <w:highlight w:val="cyan"/>
          <w:lang w:val="en-GB"/>
        </w:rPr>
      </w:pPr>
    </w:p>
    <w:p w14:paraId="6A73A424" w14:textId="77777777" w:rsidR="000659A5" w:rsidRPr="00D62D04" w:rsidRDefault="000659A5" w:rsidP="00A51CE6">
      <w:pPr>
        <w:spacing w:after="0"/>
        <w:jc w:val="both"/>
        <w:rPr>
          <w:sz w:val="24"/>
          <w:szCs w:val="24"/>
          <w:highlight w:val="cyan"/>
          <w:lang w:val="en-GB"/>
        </w:rPr>
      </w:pPr>
    </w:p>
    <w:p w14:paraId="716CF29C" w14:textId="77777777" w:rsidR="00A51CE6" w:rsidRPr="00D62D04" w:rsidRDefault="00D37370" w:rsidP="00F333CD">
      <w:pPr>
        <w:pStyle w:val="Heading3"/>
        <w:jc w:val="center"/>
        <w:rPr>
          <w:rFonts w:ascii="Times New Roman" w:hAnsi="Times New Roman" w:cs="Times New Roman"/>
          <w:b/>
          <w:highlight w:val="cyan"/>
          <w:lang w:val="en-GB"/>
        </w:rPr>
      </w:pPr>
      <w:bookmarkStart w:id="19" w:name="_Toc112932720"/>
      <w:r w:rsidRPr="00D37370">
        <w:rPr>
          <w:rFonts w:ascii="Times New Roman" w:hAnsi="Times New Roman" w:cs="Times New Roman"/>
          <w:b/>
          <w:color w:val="auto"/>
          <w:lang w:val="en-GB"/>
        </w:rPr>
        <w:t>Protection against hate crimes and hate speech</w:t>
      </w:r>
      <w:bookmarkEnd w:id="19"/>
    </w:p>
    <w:p w14:paraId="7BA43C56" w14:textId="77777777" w:rsidR="00A51CE6" w:rsidRPr="00D62D04" w:rsidRDefault="00A51CE6" w:rsidP="00A51CE6">
      <w:pPr>
        <w:spacing w:after="0"/>
        <w:rPr>
          <w:b/>
          <w:sz w:val="24"/>
          <w:szCs w:val="24"/>
          <w:highlight w:val="cyan"/>
          <w:lang w:val="en-GB"/>
        </w:rPr>
      </w:pPr>
    </w:p>
    <w:p w14:paraId="66AB9E35" w14:textId="77777777" w:rsidR="00773C35" w:rsidRDefault="00A51CE6" w:rsidP="00A51CE6">
      <w:pPr>
        <w:spacing w:after="0"/>
        <w:jc w:val="both"/>
        <w:rPr>
          <w:i/>
          <w:sz w:val="24"/>
          <w:szCs w:val="24"/>
          <w:lang w:val="en-GB"/>
        </w:rPr>
      </w:pPr>
      <w:r w:rsidRPr="00773C35">
        <w:rPr>
          <w:i/>
          <w:sz w:val="24"/>
          <w:szCs w:val="24"/>
          <w:lang w:val="en-GB"/>
        </w:rPr>
        <w:t xml:space="preserve">65. </w:t>
      </w:r>
      <w:r w:rsidR="00773C35" w:rsidRPr="00773C35">
        <w:rPr>
          <w:i/>
          <w:sz w:val="24"/>
          <w:szCs w:val="24"/>
          <w:lang w:val="en-GB"/>
        </w:rPr>
        <w:t>The Advisory Committee calls on the authorities to further align their criminal law with ECRI standards. It also calls on the authorities, at all levels, to systematically and promptly condemn all cases of intolerance, especially in public discourse, and to systematically investigate and, when relevant, prosecute statements of hate speech.</w:t>
      </w:r>
    </w:p>
    <w:p w14:paraId="60E157E7" w14:textId="77777777" w:rsidR="00A51CE6" w:rsidRPr="00D62D04" w:rsidRDefault="00A51CE6" w:rsidP="00A51CE6">
      <w:pPr>
        <w:spacing w:after="0"/>
        <w:jc w:val="both"/>
        <w:rPr>
          <w:i/>
          <w:sz w:val="24"/>
          <w:szCs w:val="24"/>
          <w:highlight w:val="cyan"/>
          <w:lang w:val="en-GB"/>
        </w:rPr>
      </w:pPr>
    </w:p>
    <w:p w14:paraId="3FF63466" w14:textId="77777777" w:rsidR="00B60BAE" w:rsidRDefault="00277799" w:rsidP="00277799">
      <w:pPr>
        <w:spacing w:after="0"/>
        <w:jc w:val="both"/>
        <w:rPr>
          <w:sz w:val="24"/>
          <w:szCs w:val="24"/>
          <w:lang w:val="en-GB"/>
        </w:rPr>
      </w:pPr>
      <w:r w:rsidRPr="00B60BAE">
        <w:rPr>
          <w:sz w:val="24"/>
          <w:szCs w:val="24"/>
          <w:lang w:val="en-GB"/>
        </w:rPr>
        <w:tab/>
      </w:r>
      <w:r w:rsidR="00B60BAE" w:rsidRPr="00B60BAE">
        <w:rPr>
          <w:sz w:val="24"/>
          <w:szCs w:val="24"/>
          <w:lang w:val="en-GB"/>
        </w:rPr>
        <w:t>The criminal law of the Republic of Serbia provides comprehensive protection against discrimination, intolerance and hate speech, which was discussed in previous state reports. As stated in previous state reports, hate speech is not specifically criminali</w:t>
      </w:r>
      <w:r w:rsidR="00B60BAE">
        <w:rPr>
          <w:sz w:val="24"/>
          <w:szCs w:val="24"/>
          <w:lang w:val="en-GB"/>
        </w:rPr>
        <w:t>s</w:t>
      </w:r>
      <w:r w:rsidR="00B60BAE" w:rsidRPr="00B60BAE">
        <w:rPr>
          <w:sz w:val="24"/>
          <w:szCs w:val="24"/>
          <w:lang w:val="en-GB"/>
        </w:rPr>
        <w:t>ed by the Criminal Code, but is prohibited in national legislation by the Constitution, the Law on Prohibition of Discrimination, the Law on Public Information and the Media</w:t>
      </w:r>
      <w:r w:rsidR="00B60BAE" w:rsidRPr="00B60BAE">
        <w:rPr>
          <w:rStyle w:val="FootnoteReference"/>
          <w:sz w:val="24"/>
          <w:szCs w:val="24"/>
          <w:lang w:val="en-GB"/>
        </w:rPr>
        <w:footnoteReference w:id="90"/>
      </w:r>
      <w:r w:rsidR="00B60BAE" w:rsidRPr="00B60BAE">
        <w:rPr>
          <w:sz w:val="24"/>
          <w:szCs w:val="24"/>
          <w:lang w:val="en-GB"/>
        </w:rPr>
        <w:t>, and the Law on Electronic Media.</w:t>
      </w:r>
      <w:r w:rsidR="00B60BAE" w:rsidRPr="00B60BAE">
        <w:rPr>
          <w:rStyle w:val="FootnoteReference"/>
          <w:sz w:val="24"/>
          <w:szCs w:val="24"/>
          <w:lang w:val="en-GB"/>
        </w:rPr>
        <w:footnoteReference w:id="91"/>
      </w:r>
    </w:p>
    <w:p w14:paraId="63451414" w14:textId="77777777" w:rsidR="007A00F0" w:rsidRPr="007A00F0" w:rsidRDefault="007A00F0" w:rsidP="007A00F0">
      <w:pPr>
        <w:spacing w:after="0"/>
        <w:ind w:firstLine="720"/>
        <w:jc w:val="both"/>
        <w:rPr>
          <w:sz w:val="24"/>
          <w:szCs w:val="24"/>
          <w:lang w:val="en-GB"/>
        </w:rPr>
      </w:pPr>
      <w:r w:rsidRPr="007A00F0">
        <w:rPr>
          <w:sz w:val="24"/>
          <w:szCs w:val="24"/>
          <w:lang w:val="en-GB"/>
        </w:rPr>
        <w:t xml:space="preserve">Criminal </w:t>
      </w:r>
      <w:r>
        <w:rPr>
          <w:sz w:val="24"/>
          <w:szCs w:val="24"/>
          <w:lang w:val="en-GB"/>
        </w:rPr>
        <w:t>offences</w:t>
      </w:r>
      <w:r w:rsidRPr="007A00F0">
        <w:rPr>
          <w:sz w:val="24"/>
          <w:szCs w:val="24"/>
          <w:lang w:val="en-GB"/>
        </w:rPr>
        <w:t xml:space="preserve"> that contain elements of discrimination, incitement to violence and hate speech, includ</w:t>
      </w:r>
      <w:r w:rsidR="00620F60">
        <w:rPr>
          <w:sz w:val="24"/>
          <w:szCs w:val="24"/>
          <w:lang w:val="en-GB"/>
        </w:rPr>
        <w:t>e</w:t>
      </w:r>
      <w:r w:rsidRPr="007A00F0">
        <w:rPr>
          <w:sz w:val="24"/>
          <w:szCs w:val="24"/>
          <w:lang w:val="en-GB"/>
        </w:rPr>
        <w:t xml:space="preserve"> criminal </w:t>
      </w:r>
      <w:r>
        <w:rPr>
          <w:sz w:val="24"/>
          <w:szCs w:val="24"/>
          <w:lang w:val="en-GB"/>
        </w:rPr>
        <w:t>offences</w:t>
      </w:r>
      <w:r w:rsidRPr="007A00F0">
        <w:rPr>
          <w:sz w:val="24"/>
          <w:szCs w:val="24"/>
          <w:lang w:val="en-GB"/>
        </w:rPr>
        <w:t xml:space="preserve"> of damage to reputation due to racial, religious, national or other affiliation </w:t>
      </w:r>
      <w:r>
        <w:rPr>
          <w:sz w:val="24"/>
          <w:szCs w:val="24"/>
          <w:lang w:val="en-GB"/>
        </w:rPr>
        <w:t>referred to in</w:t>
      </w:r>
      <w:r w:rsidRPr="007A00F0">
        <w:rPr>
          <w:sz w:val="24"/>
          <w:szCs w:val="24"/>
          <w:lang w:val="en-GB"/>
        </w:rPr>
        <w:t xml:space="preserve"> Article 174 of the Criminal Code, causing national, racial and religious hatred and intolerance </w:t>
      </w:r>
      <w:r>
        <w:rPr>
          <w:sz w:val="24"/>
          <w:szCs w:val="24"/>
          <w:lang w:val="en-GB"/>
        </w:rPr>
        <w:t>referred to in</w:t>
      </w:r>
      <w:r w:rsidRPr="007A00F0">
        <w:rPr>
          <w:sz w:val="24"/>
          <w:szCs w:val="24"/>
          <w:lang w:val="en-GB"/>
        </w:rPr>
        <w:t xml:space="preserve"> A</w:t>
      </w:r>
      <w:r>
        <w:rPr>
          <w:sz w:val="24"/>
          <w:szCs w:val="24"/>
          <w:lang w:val="en-GB"/>
        </w:rPr>
        <w:t>rticle 317 of the Criminal Code</w:t>
      </w:r>
      <w:r w:rsidRPr="007A00F0">
        <w:rPr>
          <w:sz w:val="24"/>
          <w:szCs w:val="24"/>
          <w:lang w:val="en-GB"/>
        </w:rPr>
        <w:t>, violent behavio</w:t>
      </w:r>
      <w:r>
        <w:rPr>
          <w:sz w:val="24"/>
          <w:szCs w:val="24"/>
          <w:lang w:val="en-GB"/>
        </w:rPr>
        <w:t>u</w:t>
      </w:r>
      <w:r w:rsidRPr="007A00F0">
        <w:rPr>
          <w:sz w:val="24"/>
          <w:szCs w:val="24"/>
          <w:lang w:val="en-GB"/>
        </w:rPr>
        <w:t xml:space="preserve">r at a sports event or public gathering </w:t>
      </w:r>
      <w:r>
        <w:rPr>
          <w:sz w:val="24"/>
          <w:szCs w:val="24"/>
          <w:lang w:val="en-GB"/>
        </w:rPr>
        <w:t>referred to in</w:t>
      </w:r>
      <w:r w:rsidRPr="007A00F0">
        <w:rPr>
          <w:sz w:val="24"/>
          <w:szCs w:val="24"/>
          <w:lang w:val="en-GB"/>
        </w:rPr>
        <w:t xml:space="preserve"> Article 344a of the Criminal Code, criminal offen</w:t>
      </w:r>
      <w:r>
        <w:rPr>
          <w:sz w:val="24"/>
          <w:szCs w:val="24"/>
          <w:lang w:val="en-GB"/>
        </w:rPr>
        <w:t>c</w:t>
      </w:r>
      <w:r w:rsidRPr="007A00F0">
        <w:rPr>
          <w:sz w:val="24"/>
          <w:szCs w:val="24"/>
          <w:lang w:val="en-GB"/>
        </w:rPr>
        <w:t xml:space="preserve">e of racial and other discrimination </w:t>
      </w:r>
      <w:r>
        <w:rPr>
          <w:sz w:val="24"/>
          <w:szCs w:val="24"/>
          <w:lang w:val="en-GB"/>
        </w:rPr>
        <w:t>referred to in</w:t>
      </w:r>
      <w:r w:rsidRPr="007A00F0">
        <w:rPr>
          <w:sz w:val="24"/>
          <w:szCs w:val="24"/>
          <w:lang w:val="en-GB"/>
        </w:rPr>
        <w:t xml:space="preserve"> Article 387 of the Criminal Code, but also other crimes if they were committed out of hatred (Article 54a of the Criminal Code).</w:t>
      </w:r>
    </w:p>
    <w:p w14:paraId="6C203A19" w14:textId="77777777" w:rsidR="007A00F0" w:rsidRDefault="007A00F0" w:rsidP="007A00F0">
      <w:pPr>
        <w:spacing w:after="0"/>
        <w:ind w:firstLine="720"/>
        <w:jc w:val="both"/>
        <w:rPr>
          <w:sz w:val="24"/>
          <w:szCs w:val="24"/>
          <w:lang w:val="en-GB"/>
        </w:rPr>
      </w:pPr>
      <w:r w:rsidRPr="007A00F0">
        <w:rPr>
          <w:sz w:val="24"/>
          <w:szCs w:val="24"/>
          <w:lang w:val="en-GB"/>
        </w:rPr>
        <w:t xml:space="preserve">The criminal prosecution of the perpetrators of the aforementioned criminal acts is undertaken </w:t>
      </w:r>
      <w:r w:rsidRPr="00A70A00">
        <w:rPr>
          <w:i/>
          <w:sz w:val="24"/>
          <w:szCs w:val="24"/>
          <w:lang w:val="en-GB"/>
        </w:rPr>
        <w:t>ex officio</w:t>
      </w:r>
      <w:r w:rsidRPr="007A00F0">
        <w:rPr>
          <w:sz w:val="24"/>
          <w:szCs w:val="24"/>
          <w:lang w:val="en-GB"/>
        </w:rPr>
        <w:t xml:space="preserve">, which means that the public prosecutor is obliged to initiate criminal prosecution whenever </w:t>
      </w:r>
      <w:r w:rsidR="00A70A00">
        <w:rPr>
          <w:sz w:val="24"/>
          <w:szCs w:val="24"/>
          <w:lang w:val="en-GB"/>
        </w:rPr>
        <w:t>they</w:t>
      </w:r>
      <w:r w:rsidRPr="007A00F0">
        <w:rPr>
          <w:sz w:val="24"/>
          <w:szCs w:val="24"/>
          <w:lang w:val="en-GB"/>
        </w:rPr>
        <w:t xml:space="preserve"> ha</w:t>
      </w:r>
      <w:r w:rsidR="00A70A00">
        <w:rPr>
          <w:sz w:val="24"/>
          <w:szCs w:val="24"/>
          <w:lang w:val="en-GB"/>
        </w:rPr>
        <w:t>ve</w:t>
      </w:r>
      <w:r w:rsidRPr="007A00F0">
        <w:rPr>
          <w:sz w:val="24"/>
          <w:szCs w:val="24"/>
          <w:lang w:val="en-GB"/>
        </w:rPr>
        <w:t xml:space="preserve"> grounds to suspect that a criminal offen</w:t>
      </w:r>
      <w:r w:rsidR="00A70A00">
        <w:rPr>
          <w:sz w:val="24"/>
          <w:szCs w:val="24"/>
          <w:lang w:val="en-GB"/>
        </w:rPr>
        <w:t>c</w:t>
      </w:r>
      <w:r w:rsidRPr="007A00F0">
        <w:rPr>
          <w:sz w:val="24"/>
          <w:szCs w:val="24"/>
          <w:lang w:val="en-GB"/>
        </w:rPr>
        <w:t xml:space="preserve">e has been committed, in accordance with the principle of legality. Accordingly, the public prosecutor's offices undertake all measures within their </w:t>
      </w:r>
      <w:r w:rsidR="00F743D5">
        <w:rPr>
          <w:sz w:val="24"/>
          <w:szCs w:val="24"/>
          <w:lang w:val="en-GB"/>
        </w:rPr>
        <w:t>competences</w:t>
      </w:r>
      <w:r w:rsidRPr="007A00F0">
        <w:rPr>
          <w:sz w:val="24"/>
          <w:szCs w:val="24"/>
          <w:lang w:val="en-GB"/>
        </w:rPr>
        <w:t xml:space="preserve"> with the aim of prosecuting the perpetrators of the aforementioned criminal </w:t>
      </w:r>
      <w:r w:rsidR="00974192">
        <w:rPr>
          <w:sz w:val="24"/>
          <w:szCs w:val="24"/>
          <w:lang w:val="en-GB"/>
        </w:rPr>
        <w:t>offences</w:t>
      </w:r>
      <w:r w:rsidRPr="007A00F0">
        <w:rPr>
          <w:sz w:val="24"/>
          <w:szCs w:val="24"/>
          <w:lang w:val="en-GB"/>
        </w:rPr>
        <w:t>, by conducting effective investigations and submitting indictments to the competent court.</w:t>
      </w:r>
    </w:p>
    <w:p w14:paraId="2B61D46F" w14:textId="77777777" w:rsidR="00760EFB" w:rsidRDefault="00760EFB" w:rsidP="00AB0F66">
      <w:pPr>
        <w:spacing w:after="0"/>
        <w:ind w:firstLine="720"/>
        <w:jc w:val="both"/>
        <w:rPr>
          <w:sz w:val="24"/>
          <w:szCs w:val="24"/>
          <w:lang w:val="en-GB"/>
        </w:rPr>
      </w:pPr>
      <w:r w:rsidRPr="00760EFB">
        <w:rPr>
          <w:sz w:val="24"/>
          <w:szCs w:val="24"/>
          <w:lang w:val="en-GB"/>
        </w:rPr>
        <w:t>Amendments to the Criminal Code from 2012, in Article 54a of the Criminal Code, introduced a special circumstance for sentencing for a criminal offen</w:t>
      </w:r>
      <w:r w:rsidR="00F83081">
        <w:rPr>
          <w:sz w:val="24"/>
          <w:szCs w:val="24"/>
          <w:lang w:val="en-GB"/>
        </w:rPr>
        <w:t>c</w:t>
      </w:r>
      <w:r w:rsidRPr="00760EFB">
        <w:rPr>
          <w:sz w:val="24"/>
          <w:szCs w:val="24"/>
          <w:lang w:val="en-GB"/>
        </w:rPr>
        <w:t>e committed out of hatred, insofar as it is prescribed that if the criminal offen</w:t>
      </w:r>
      <w:r w:rsidR="00F83081">
        <w:rPr>
          <w:sz w:val="24"/>
          <w:szCs w:val="24"/>
          <w:lang w:val="en-GB"/>
        </w:rPr>
        <w:t>c</w:t>
      </w:r>
      <w:r w:rsidRPr="00760EFB">
        <w:rPr>
          <w:sz w:val="24"/>
          <w:szCs w:val="24"/>
          <w:lang w:val="en-GB"/>
        </w:rPr>
        <w:t xml:space="preserve">e was committed out of hatred due </w:t>
      </w:r>
      <w:r w:rsidRPr="00760EFB">
        <w:rPr>
          <w:sz w:val="24"/>
          <w:szCs w:val="24"/>
          <w:lang w:val="en-GB"/>
        </w:rPr>
        <w:lastRenderedPageBreak/>
        <w:t>to race and religion, national or ethnicity, sex, sexual orientation or gender identity of another person, the court will appreciate that circumstance as an aggravating circumstance, unless it is prescribed as a feature of the criminal offen</w:t>
      </w:r>
      <w:r w:rsidR="00F83081">
        <w:rPr>
          <w:sz w:val="24"/>
          <w:szCs w:val="24"/>
          <w:lang w:val="en-GB"/>
        </w:rPr>
        <w:t>c</w:t>
      </w:r>
      <w:r w:rsidRPr="00760EFB">
        <w:rPr>
          <w:sz w:val="24"/>
          <w:szCs w:val="24"/>
          <w:lang w:val="en-GB"/>
        </w:rPr>
        <w:t xml:space="preserve">e. According to the special records established on the basis of the Instructions of the Public Prosecutor </w:t>
      </w:r>
      <w:r w:rsidR="00F83081">
        <w:rPr>
          <w:sz w:val="24"/>
          <w:szCs w:val="24"/>
          <w:lang w:val="en-GB"/>
        </w:rPr>
        <w:t xml:space="preserve">of the Republic of Serbia from </w:t>
      </w:r>
      <w:r w:rsidRPr="00760EFB">
        <w:rPr>
          <w:sz w:val="24"/>
          <w:szCs w:val="24"/>
          <w:lang w:val="en-GB"/>
        </w:rPr>
        <w:t xml:space="preserve">December 2015, the public prosecutor's offices applied Article 54a of the Criminal Code in a total of 30 cases until </w:t>
      </w:r>
      <w:r w:rsidR="0009596D">
        <w:rPr>
          <w:sz w:val="24"/>
          <w:szCs w:val="24"/>
          <w:lang w:val="en-GB"/>
        </w:rPr>
        <w:t xml:space="preserve">15 </w:t>
      </w:r>
      <w:r w:rsidRPr="00760EFB">
        <w:rPr>
          <w:sz w:val="24"/>
          <w:szCs w:val="24"/>
          <w:lang w:val="en-GB"/>
        </w:rPr>
        <w:t>June 2021, of which in 14 cases the motive for the commission of the criminal offen</w:t>
      </w:r>
      <w:r w:rsidR="0009596D">
        <w:rPr>
          <w:sz w:val="24"/>
          <w:szCs w:val="24"/>
          <w:lang w:val="en-GB"/>
        </w:rPr>
        <w:t>c</w:t>
      </w:r>
      <w:r w:rsidRPr="00760EFB">
        <w:rPr>
          <w:sz w:val="24"/>
          <w:szCs w:val="24"/>
          <w:lang w:val="en-GB"/>
        </w:rPr>
        <w:t>e was ethnic, national or religious affiliation of the injured person.</w:t>
      </w:r>
    </w:p>
    <w:p w14:paraId="631F69D5" w14:textId="77777777" w:rsidR="006D7CF9" w:rsidRPr="006D7CF9" w:rsidRDefault="006D7CF9" w:rsidP="006D7CF9">
      <w:pPr>
        <w:spacing w:after="0"/>
        <w:ind w:firstLine="720"/>
        <w:jc w:val="both"/>
        <w:rPr>
          <w:sz w:val="24"/>
          <w:szCs w:val="24"/>
          <w:lang w:val="en-GB"/>
        </w:rPr>
      </w:pPr>
      <w:r w:rsidRPr="006D7CF9">
        <w:rPr>
          <w:sz w:val="24"/>
          <w:szCs w:val="24"/>
          <w:lang w:val="en-GB"/>
        </w:rPr>
        <w:t xml:space="preserve">In May 2019, the Criminal Code was amended </w:t>
      </w:r>
      <w:r>
        <w:rPr>
          <w:sz w:val="24"/>
          <w:szCs w:val="24"/>
          <w:lang w:val="en-GB"/>
        </w:rPr>
        <w:t>pertaining to</w:t>
      </w:r>
      <w:r w:rsidRPr="006D7CF9">
        <w:rPr>
          <w:sz w:val="24"/>
          <w:szCs w:val="24"/>
          <w:lang w:val="en-GB"/>
        </w:rPr>
        <w:t xml:space="preserve"> Article 344a, which increased the prison sentence, from one to five years, for those who </w:t>
      </w:r>
      <w:r>
        <w:rPr>
          <w:sz w:val="24"/>
          <w:szCs w:val="24"/>
          <w:lang w:val="en-GB"/>
        </w:rPr>
        <w:t>provoke</w:t>
      </w:r>
      <w:r w:rsidRPr="006D7CF9">
        <w:rPr>
          <w:sz w:val="24"/>
          <w:szCs w:val="24"/>
          <w:lang w:val="en-GB"/>
        </w:rPr>
        <w:t xml:space="preserve"> national, racial, religious or other hatred by their behavio</w:t>
      </w:r>
      <w:r>
        <w:rPr>
          <w:sz w:val="24"/>
          <w:szCs w:val="24"/>
          <w:lang w:val="en-GB"/>
        </w:rPr>
        <w:t>u</w:t>
      </w:r>
      <w:r w:rsidRPr="006D7CF9">
        <w:rPr>
          <w:sz w:val="24"/>
          <w:szCs w:val="24"/>
          <w:lang w:val="en-GB"/>
        </w:rPr>
        <w:t>r at a sports event or public gathering, or intolerance based on some discriminatory basis, resulting in violence or physical confrontation with the participants.</w:t>
      </w:r>
    </w:p>
    <w:p w14:paraId="472C0378" w14:textId="77777777" w:rsidR="006D7CF9" w:rsidRDefault="006D7CF9" w:rsidP="006D7CF9">
      <w:pPr>
        <w:spacing w:after="0"/>
        <w:ind w:firstLine="720"/>
        <w:jc w:val="both"/>
        <w:rPr>
          <w:sz w:val="24"/>
          <w:szCs w:val="24"/>
          <w:lang w:val="en-GB"/>
        </w:rPr>
      </w:pPr>
      <w:r w:rsidRPr="006D7CF9">
        <w:rPr>
          <w:sz w:val="24"/>
          <w:szCs w:val="24"/>
          <w:lang w:val="en-GB"/>
        </w:rPr>
        <w:t>In the period from 2016 to 2019, the Ministry of Inter</w:t>
      </w:r>
      <w:r>
        <w:rPr>
          <w:sz w:val="24"/>
          <w:szCs w:val="24"/>
          <w:lang w:val="en-GB"/>
        </w:rPr>
        <w:t xml:space="preserve">ior </w:t>
      </w:r>
      <w:r w:rsidRPr="006D7CF9">
        <w:rPr>
          <w:sz w:val="24"/>
          <w:szCs w:val="24"/>
          <w:lang w:val="en-GB"/>
        </w:rPr>
        <w:t>filed criminal charges against 39 persons for 57 criminal offen</w:t>
      </w:r>
      <w:r>
        <w:rPr>
          <w:sz w:val="24"/>
          <w:szCs w:val="24"/>
          <w:lang w:val="en-GB"/>
        </w:rPr>
        <w:t>c</w:t>
      </w:r>
      <w:r w:rsidRPr="006D7CF9">
        <w:rPr>
          <w:sz w:val="24"/>
          <w:szCs w:val="24"/>
          <w:lang w:val="en-GB"/>
        </w:rPr>
        <w:t>es that incriminated any form of discrimination, of which 38 persons were charged with the criminal offen</w:t>
      </w:r>
      <w:r>
        <w:rPr>
          <w:sz w:val="24"/>
          <w:szCs w:val="24"/>
          <w:lang w:val="en-GB"/>
        </w:rPr>
        <w:t>c</w:t>
      </w:r>
      <w:r w:rsidRPr="006D7CF9">
        <w:rPr>
          <w:sz w:val="24"/>
          <w:szCs w:val="24"/>
          <w:lang w:val="en-GB"/>
        </w:rPr>
        <w:t xml:space="preserve">e under Article 317 of the Criminal Code - inciting national, racial and religious hatred and intolerance. In </w:t>
      </w:r>
      <w:r>
        <w:rPr>
          <w:sz w:val="24"/>
          <w:szCs w:val="24"/>
          <w:lang w:val="en-GB"/>
        </w:rPr>
        <w:t>terms of</w:t>
      </w:r>
      <w:r w:rsidRPr="006D7CF9">
        <w:rPr>
          <w:sz w:val="24"/>
          <w:szCs w:val="24"/>
          <w:lang w:val="en-GB"/>
        </w:rPr>
        <w:t xml:space="preserve"> nationality, 34 persons are of Serbian nationality, two of Croat, one of Roma and one of Albanian nationality. In the same period, two physical attacks were carried out on a national basis (both </w:t>
      </w:r>
      <w:r w:rsidR="003C1FA5">
        <w:rPr>
          <w:sz w:val="24"/>
          <w:szCs w:val="24"/>
          <w:lang w:val="en-GB"/>
        </w:rPr>
        <w:t>re</w:t>
      </w:r>
      <w:r>
        <w:rPr>
          <w:sz w:val="24"/>
          <w:szCs w:val="24"/>
          <w:lang w:val="en-GB"/>
        </w:rPr>
        <w:t>solved</w:t>
      </w:r>
      <w:r w:rsidRPr="006D7CF9">
        <w:rPr>
          <w:sz w:val="24"/>
          <w:szCs w:val="24"/>
          <w:lang w:val="en-GB"/>
        </w:rPr>
        <w:t xml:space="preserve">), </w:t>
      </w:r>
      <w:r>
        <w:rPr>
          <w:sz w:val="24"/>
          <w:szCs w:val="24"/>
          <w:lang w:val="en-GB"/>
        </w:rPr>
        <w:t>as follows</w:t>
      </w:r>
      <w:r w:rsidRPr="006D7CF9">
        <w:rPr>
          <w:sz w:val="24"/>
          <w:szCs w:val="24"/>
          <w:lang w:val="en-GB"/>
        </w:rPr>
        <w:t>:</w:t>
      </w:r>
      <w:r w:rsidRPr="006D7CF9">
        <w:t xml:space="preserve"> </w:t>
      </w:r>
      <w:r w:rsidRPr="006D7CF9">
        <w:rPr>
          <w:sz w:val="24"/>
          <w:szCs w:val="24"/>
          <w:lang w:val="en-GB"/>
        </w:rPr>
        <w:t>to the detriment of persons of Albanian nationality and Islamic religion. Criminal charges were filed against two persons of Serbian nationality.</w:t>
      </w:r>
    </w:p>
    <w:p w14:paraId="7E8DEC6E" w14:textId="77777777" w:rsidR="003C1FA5" w:rsidRPr="003C1FA5" w:rsidRDefault="003C1FA5" w:rsidP="003C1FA5">
      <w:pPr>
        <w:spacing w:after="0"/>
        <w:ind w:firstLine="720"/>
        <w:jc w:val="both"/>
        <w:rPr>
          <w:sz w:val="24"/>
          <w:szCs w:val="24"/>
          <w:lang w:val="en-GB"/>
        </w:rPr>
      </w:pPr>
      <w:r w:rsidRPr="003C1FA5">
        <w:rPr>
          <w:sz w:val="24"/>
          <w:szCs w:val="24"/>
          <w:lang w:val="en-GB"/>
        </w:rPr>
        <w:t>In that period, the Ministry of Inter</w:t>
      </w:r>
      <w:r>
        <w:rPr>
          <w:sz w:val="24"/>
          <w:szCs w:val="24"/>
          <w:lang w:val="en-GB"/>
        </w:rPr>
        <w:t xml:space="preserve">ior </w:t>
      </w:r>
      <w:r w:rsidRPr="003C1FA5">
        <w:rPr>
          <w:sz w:val="24"/>
          <w:szCs w:val="24"/>
          <w:lang w:val="en-GB"/>
        </w:rPr>
        <w:t xml:space="preserve">filed criminal charges for seven anonymous threats (five were resolved), 21 verbal conflicts (20 were resolved), and 21 cases of writing slogans and graffiti (6 were resolved), directed against: Albanians – 6, Hungarians – 3, Roma – 2, and one of the Islamic </w:t>
      </w:r>
      <w:r>
        <w:rPr>
          <w:sz w:val="24"/>
          <w:szCs w:val="24"/>
          <w:lang w:val="en-GB"/>
        </w:rPr>
        <w:t>confession</w:t>
      </w:r>
      <w:r w:rsidRPr="003C1FA5">
        <w:rPr>
          <w:sz w:val="24"/>
          <w:szCs w:val="24"/>
          <w:lang w:val="en-GB"/>
        </w:rPr>
        <w:t xml:space="preserve">, </w:t>
      </w:r>
      <w:r>
        <w:rPr>
          <w:sz w:val="24"/>
          <w:szCs w:val="24"/>
          <w:lang w:val="en-GB"/>
        </w:rPr>
        <w:t xml:space="preserve">a </w:t>
      </w:r>
      <w:r w:rsidRPr="003C1FA5">
        <w:rPr>
          <w:sz w:val="24"/>
          <w:szCs w:val="24"/>
          <w:lang w:val="en-GB"/>
        </w:rPr>
        <w:t>Serb and</w:t>
      </w:r>
      <w:r>
        <w:rPr>
          <w:sz w:val="24"/>
          <w:szCs w:val="24"/>
          <w:lang w:val="en-GB"/>
        </w:rPr>
        <w:t xml:space="preserve"> a</w:t>
      </w:r>
      <w:r w:rsidRPr="003C1FA5">
        <w:rPr>
          <w:sz w:val="24"/>
          <w:szCs w:val="24"/>
          <w:lang w:val="en-GB"/>
        </w:rPr>
        <w:t xml:space="preserve"> Croat and at the same time against Bulgarians and Albanians. Also, five Nazi symbols and one slogan were written.</w:t>
      </w:r>
    </w:p>
    <w:p w14:paraId="25B42FFF" w14:textId="77777777" w:rsidR="003C1FA5" w:rsidRDefault="003C1FA5" w:rsidP="003C1FA5">
      <w:pPr>
        <w:spacing w:after="0"/>
        <w:ind w:firstLine="720"/>
        <w:jc w:val="both"/>
        <w:rPr>
          <w:sz w:val="24"/>
          <w:szCs w:val="24"/>
          <w:lang w:val="en-GB"/>
        </w:rPr>
      </w:pPr>
      <w:r w:rsidRPr="003C1FA5">
        <w:rPr>
          <w:sz w:val="24"/>
          <w:szCs w:val="24"/>
          <w:lang w:val="en-GB"/>
        </w:rPr>
        <w:t>In the period from 2016 to 2019, the Ministry of the Interior recorded a total of 308 incidents that could be characteri</w:t>
      </w:r>
      <w:r w:rsidR="00EC4262">
        <w:rPr>
          <w:sz w:val="24"/>
          <w:szCs w:val="24"/>
          <w:lang w:val="en-GB"/>
        </w:rPr>
        <w:t>s</w:t>
      </w:r>
      <w:r w:rsidRPr="003C1FA5">
        <w:rPr>
          <w:sz w:val="24"/>
          <w:szCs w:val="24"/>
          <w:lang w:val="en-GB"/>
        </w:rPr>
        <w:t>ed as transnational in the broadest sense. The fact that the state authorities react, discover the perpetrators, prosecute and punish the perpetrators and instigators of inter-ethnic incidents, speaks in favo</w:t>
      </w:r>
      <w:r w:rsidR="00EC4262">
        <w:rPr>
          <w:sz w:val="24"/>
          <w:szCs w:val="24"/>
          <w:lang w:val="en-GB"/>
        </w:rPr>
        <w:t>u</w:t>
      </w:r>
      <w:r w:rsidRPr="003C1FA5">
        <w:rPr>
          <w:sz w:val="24"/>
          <w:szCs w:val="24"/>
          <w:lang w:val="en-GB"/>
        </w:rPr>
        <w:t>r of the readiness of the state and other authorities to quickly and effectively suppress such phenomena.</w:t>
      </w:r>
    </w:p>
    <w:p w14:paraId="0CA2232E" w14:textId="77777777" w:rsidR="00EC4262" w:rsidRPr="00EC4262" w:rsidRDefault="00EC4262" w:rsidP="00EC4262">
      <w:pPr>
        <w:spacing w:after="0"/>
        <w:ind w:firstLine="720"/>
        <w:jc w:val="both"/>
        <w:rPr>
          <w:sz w:val="24"/>
          <w:szCs w:val="24"/>
          <w:lang w:val="en-GB"/>
        </w:rPr>
      </w:pPr>
      <w:r w:rsidRPr="00EC4262">
        <w:rPr>
          <w:sz w:val="24"/>
          <w:szCs w:val="24"/>
          <w:lang w:val="en-GB"/>
        </w:rPr>
        <w:t xml:space="preserve">In the period from January to July 2021, out of a total of 39 incidents, criminal charges were filed for 16 criminal </w:t>
      </w:r>
      <w:r>
        <w:rPr>
          <w:sz w:val="24"/>
          <w:szCs w:val="24"/>
          <w:lang w:val="en-GB"/>
        </w:rPr>
        <w:t>offences</w:t>
      </w:r>
      <w:r w:rsidRPr="00EC4262">
        <w:rPr>
          <w:sz w:val="24"/>
          <w:szCs w:val="24"/>
          <w:lang w:val="en-GB"/>
        </w:rPr>
        <w:t xml:space="preserve">, namely: 10 criminal </w:t>
      </w:r>
      <w:r w:rsidR="00187048">
        <w:rPr>
          <w:sz w:val="24"/>
          <w:szCs w:val="24"/>
          <w:lang w:val="en-GB"/>
        </w:rPr>
        <w:t>offences</w:t>
      </w:r>
      <w:r w:rsidRPr="00EC4262">
        <w:rPr>
          <w:sz w:val="24"/>
          <w:szCs w:val="24"/>
          <w:lang w:val="en-GB"/>
        </w:rPr>
        <w:t xml:space="preserve"> of inciting national, racial and religious hatred and intolerance; 3 criminal </w:t>
      </w:r>
      <w:r w:rsidR="00187048">
        <w:rPr>
          <w:sz w:val="24"/>
          <w:szCs w:val="24"/>
          <w:lang w:val="en-GB"/>
        </w:rPr>
        <w:t>offences</w:t>
      </w:r>
      <w:r w:rsidRPr="00EC4262">
        <w:rPr>
          <w:sz w:val="24"/>
          <w:szCs w:val="24"/>
          <w:lang w:val="en-GB"/>
        </w:rPr>
        <w:t xml:space="preserve"> </w:t>
      </w:r>
      <w:r w:rsidR="003A283B">
        <w:rPr>
          <w:sz w:val="24"/>
          <w:szCs w:val="24"/>
          <w:lang w:val="en-GB"/>
        </w:rPr>
        <w:t xml:space="preserve">of </w:t>
      </w:r>
      <w:r w:rsidRPr="00EC4262">
        <w:rPr>
          <w:sz w:val="24"/>
          <w:szCs w:val="24"/>
          <w:lang w:val="en-GB"/>
        </w:rPr>
        <w:t>endangering safety; one criminal offen</w:t>
      </w:r>
      <w:r w:rsidR="003A283B">
        <w:rPr>
          <w:sz w:val="24"/>
          <w:szCs w:val="24"/>
          <w:lang w:val="en-GB"/>
        </w:rPr>
        <w:t>c</w:t>
      </w:r>
      <w:r w:rsidRPr="00EC4262">
        <w:rPr>
          <w:sz w:val="24"/>
          <w:szCs w:val="24"/>
          <w:lang w:val="en-GB"/>
        </w:rPr>
        <w:t xml:space="preserve">e of light bodily harm; destruction and damage of other people's property and violation of freedom of expression of national or ethnic affiliation. 12 criminal </w:t>
      </w:r>
      <w:r w:rsidR="003A283B">
        <w:rPr>
          <w:sz w:val="24"/>
          <w:szCs w:val="24"/>
          <w:lang w:val="en-GB"/>
        </w:rPr>
        <w:t>offences</w:t>
      </w:r>
      <w:r w:rsidRPr="00EC4262">
        <w:rPr>
          <w:sz w:val="24"/>
          <w:szCs w:val="24"/>
          <w:lang w:val="en-GB"/>
        </w:rPr>
        <w:t xml:space="preserve"> were </w:t>
      </w:r>
      <w:r w:rsidR="003A283B">
        <w:rPr>
          <w:sz w:val="24"/>
          <w:szCs w:val="24"/>
          <w:lang w:val="en-GB"/>
        </w:rPr>
        <w:t>re</w:t>
      </w:r>
      <w:r w:rsidRPr="00EC4262">
        <w:rPr>
          <w:sz w:val="24"/>
          <w:szCs w:val="24"/>
          <w:lang w:val="en-GB"/>
        </w:rPr>
        <w:t>solved and criminal charges were filed against 12 persons.</w:t>
      </w:r>
    </w:p>
    <w:p w14:paraId="432C5182" w14:textId="77777777" w:rsidR="00EC4262" w:rsidRDefault="00EC4262" w:rsidP="00EC4262">
      <w:pPr>
        <w:spacing w:after="0"/>
        <w:ind w:firstLine="720"/>
        <w:jc w:val="both"/>
        <w:rPr>
          <w:sz w:val="24"/>
          <w:szCs w:val="24"/>
          <w:lang w:val="en-GB"/>
        </w:rPr>
      </w:pPr>
      <w:r w:rsidRPr="00EC4262">
        <w:rPr>
          <w:sz w:val="24"/>
          <w:szCs w:val="24"/>
          <w:lang w:val="en-GB"/>
        </w:rPr>
        <w:t>Statistical data on the criminal offen</w:t>
      </w:r>
      <w:r w:rsidR="00A957AD">
        <w:rPr>
          <w:sz w:val="24"/>
          <w:szCs w:val="24"/>
          <w:lang w:val="en-GB"/>
        </w:rPr>
        <w:t>c</w:t>
      </w:r>
      <w:r w:rsidRPr="00EC4262">
        <w:rPr>
          <w:sz w:val="24"/>
          <w:szCs w:val="24"/>
          <w:lang w:val="en-GB"/>
        </w:rPr>
        <w:t xml:space="preserve">e </w:t>
      </w:r>
      <w:r w:rsidR="00A957AD">
        <w:rPr>
          <w:sz w:val="24"/>
          <w:szCs w:val="24"/>
          <w:lang w:val="en-GB"/>
        </w:rPr>
        <w:t>referred to in</w:t>
      </w:r>
      <w:r w:rsidRPr="00EC4262">
        <w:rPr>
          <w:sz w:val="24"/>
          <w:szCs w:val="24"/>
          <w:lang w:val="en-GB"/>
        </w:rPr>
        <w:t xml:space="preserve"> Article 317 of the Criminal Code (causing national, racial and religious hatred and intolerance) for the period 2017 to 2021 are given in the table below.</w:t>
      </w:r>
    </w:p>
    <w:p w14:paraId="163FD21A" w14:textId="77777777" w:rsidR="008C4849" w:rsidRPr="00D62D04" w:rsidRDefault="008C4849" w:rsidP="00A957AD">
      <w:pPr>
        <w:spacing w:after="0"/>
        <w:jc w:val="both"/>
        <w:rPr>
          <w:sz w:val="24"/>
          <w:szCs w:val="24"/>
          <w:highlight w:val="cyan"/>
          <w:lang w:val="en-GB"/>
        </w:rPr>
      </w:pPr>
    </w:p>
    <w:p w14:paraId="296BFC2C" w14:textId="77777777" w:rsidR="00A51CE6" w:rsidRPr="00D62D04" w:rsidRDefault="00A51CE6" w:rsidP="00A51CE6">
      <w:pPr>
        <w:spacing w:after="0"/>
        <w:jc w:val="both"/>
        <w:rPr>
          <w:sz w:val="24"/>
          <w:szCs w:val="24"/>
          <w:highlight w:val="cyan"/>
          <w:lang w:val="en-GB"/>
        </w:rPr>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
        <w:gridCol w:w="393"/>
        <w:gridCol w:w="393"/>
        <w:gridCol w:w="393"/>
        <w:gridCol w:w="421"/>
        <w:gridCol w:w="421"/>
        <w:gridCol w:w="393"/>
        <w:gridCol w:w="392"/>
        <w:gridCol w:w="392"/>
        <w:gridCol w:w="392"/>
        <w:gridCol w:w="392"/>
        <w:gridCol w:w="392"/>
        <w:gridCol w:w="392"/>
        <w:gridCol w:w="392"/>
        <w:gridCol w:w="392"/>
        <w:gridCol w:w="392"/>
        <w:gridCol w:w="392"/>
        <w:gridCol w:w="392"/>
        <w:gridCol w:w="392"/>
        <w:gridCol w:w="392"/>
        <w:gridCol w:w="392"/>
        <w:gridCol w:w="392"/>
      </w:tblGrid>
      <w:tr w:rsidR="00683806" w:rsidRPr="00D62D04" w14:paraId="460584FB" w14:textId="77777777" w:rsidTr="008F1860">
        <w:trPr>
          <w:trHeight w:val="1309"/>
        </w:trPr>
        <w:tc>
          <w:tcPr>
            <w:tcW w:w="826" w:type="dxa"/>
            <w:vMerge w:val="restart"/>
            <w:shd w:val="clear" w:color="auto" w:fill="auto"/>
            <w:noWrap/>
            <w:vAlign w:val="center"/>
            <w:hideMark/>
          </w:tcPr>
          <w:p w14:paraId="2EB5FDD3" w14:textId="77777777" w:rsidR="0070631C" w:rsidRPr="00CF4DEE" w:rsidRDefault="0070631C" w:rsidP="00967EB6">
            <w:pPr>
              <w:spacing w:after="0" w:line="240" w:lineRule="auto"/>
              <w:jc w:val="center"/>
              <w:rPr>
                <w:rFonts w:eastAsia="Times New Roman"/>
                <w:sz w:val="18"/>
                <w:szCs w:val="18"/>
                <w:lang w:val="en-GB" w:eastAsia="en-GB"/>
              </w:rPr>
            </w:pPr>
          </w:p>
        </w:tc>
        <w:tc>
          <w:tcPr>
            <w:tcW w:w="387" w:type="dxa"/>
            <w:vMerge w:val="restart"/>
            <w:shd w:val="clear" w:color="auto" w:fill="auto"/>
            <w:textDirection w:val="btLr"/>
            <w:vAlign w:val="bottom"/>
            <w:hideMark/>
          </w:tcPr>
          <w:p w14:paraId="16D75954" w14:textId="77777777" w:rsidR="0070631C" w:rsidRPr="00CF4DEE" w:rsidRDefault="00FF1CD4" w:rsidP="00FF1CD4">
            <w:pPr>
              <w:spacing w:after="0" w:line="240" w:lineRule="auto"/>
              <w:jc w:val="center"/>
              <w:rPr>
                <w:rFonts w:eastAsia="Times New Roman"/>
                <w:b/>
                <w:bCs/>
                <w:sz w:val="18"/>
                <w:szCs w:val="18"/>
                <w:lang w:val="en-GB" w:eastAsia="en-GB"/>
              </w:rPr>
            </w:pPr>
            <w:r w:rsidRPr="00CF4DEE">
              <w:rPr>
                <w:rFonts w:eastAsia="Times New Roman"/>
                <w:b/>
                <w:bCs/>
                <w:sz w:val="18"/>
                <w:szCs w:val="18"/>
                <w:lang w:val="en-GB" w:eastAsia="en-GB"/>
              </w:rPr>
              <w:t>total number of pending charges from the previous period</w:t>
            </w:r>
            <w:r w:rsidR="0070631C" w:rsidRPr="00CF4DEE">
              <w:rPr>
                <w:rFonts w:eastAsia="Times New Roman"/>
                <w:b/>
                <w:bCs/>
                <w:sz w:val="18"/>
                <w:szCs w:val="18"/>
                <w:lang w:val="en-GB" w:eastAsia="en-GB"/>
              </w:rPr>
              <w:t xml:space="preserve">                                      </w:t>
            </w:r>
          </w:p>
        </w:tc>
        <w:tc>
          <w:tcPr>
            <w:tcW w:w="387" w:type="dxa"/>
            <w:vMerge w:val="restart"/>
            <w:shd w:val="clear" w:color="auto" w:fill="auto"/>
            <w:textDirection w:val="btLr"/>
            <w:vAlign w:val="bottom"/>
            <w:hideMark/>
          </w:tcPr>
          <w:p w14:paraId="5E8A9E8A" w14:textId="77777777" w:rsidR="0070631C" w:rsidRPr="00CF4DEE" w:rsidRDefault="008F1860" w:rsidP="008F1860">
            <w:pPr>
              <w:spacing w:after="0" w:line="240" w:lineRule="auto"/>
              <w:jc w:val="center"/>
              <w:rPr>
                <w:rFonts w:eastAsia="Times New Roman"/>
                <w:b/>
                <w:bCs/>
                <w:sz w:val="18"/>
                <w:szCs w:val="18"/>
                <w:lang w:val="en-GB" w:eastAsia="en-GB"/>
              </w:rPr>
            </w:pPr>
            <w:r w:rsidRPr="00CF4DEE">
              <w:rPr>
                <w:rFonts w:eastAsia="Times New Roman"/>
                <w:b/>
                <w:bCs/>
                <w:sz w:val="18"/>
                <w:szCs w:val="18"/>
                <w:lang w:val="en-GB" w:eastAsia="en-GB"/>
              </w:rPr>
              <w:t>total charges received in the reporting period</w:t>
            </w:r>
            <w:r w:rsidR="0070631C" w:rsidRPr="00CF4DEE">
              <w:rPr>
                <w:rFonts w:eastAsia="Times New Roman"/>
                <w:b/>
                <w:bCs/>
                <w:sz w:val="18"/>
                <w:szCs w:val="18"/>
                <w:lang w:val="en-GB" w:eastAsia="en-GB"/>
              </w:rPr>
              <w:t xml:space="preserve"> </w:t>
            </w:r>
          </w:p>
        </w:tc>
        <w:tc>
          <w:tcPr>
            <w:tcW w:w="387" w:type="dxa"/>
            <w:vMerge w:val="restart"/>
            <w:shd w:val="clear" w:color="auto" w:fill="auto"/>
            <w:textDirection w:val="btLr"/>
            <w:vAlign w:val="bottom"/>
            <w:hideMark/>
          </w:tcPr>
          <w:p w14:paraId="06F108BA" w14:textId="77777777" w:rsidR="0070631C" w:rsidRPr="00CF4DEE" w:rsidRDefault="008F1860" w:rsidP="008F1860">
            <w:pPr>
              <w:spacing w:after="0" w:line="240" w:lineRule="auto"/>
              <w:jc w:val="center"/>
              <w:rPr>
                <w:rFonts w:eastAsia="Times New Roman"/>
                <w:b/>
                <w:bCs/>
                <w:sz w:val="18"/>
                <w:szCs w:val="18"/>
                <w:lang w:val="en-GB" w:eastAsia="en-GB"/>
              </w:rPr>
            </w:pPr>
            <w:r w:rsidRPr="00CF4DEE">
              <w:rPr>
                <w:rFonts w:eastAsia="Times New Roman"/>
                <w:b/>
                <w:bCs/>
                <w:sz w:val="18"/>
                <w:szCs w:val="18"/>
                <w:lang w:val="en-GB" w:eastAsia="en-GB"/>
              </w:rPr>
              <w:t>total charges in progress</w:t>
            </w:r>
          </w:p>
        </w:tc>
        <w:tc>
          <w:tcPr>
            <w:tcW w:w="847" w:type="dxa"/>
            <w:gridSpan w:val="2"/>
            <w:vMerge w:val="restart"/>
            <w:shd w:val="clear" w:color="auto" w:fill="auto"/>
            <w:vAlign w:val="center"/>
            <w:hideMark/>
          </w:tcPr>
          <w:p w14:paraId="67E86CF5" w14:textId="77777777" w:rsidR="0070631C" w:rsidRPr="00CF4DEE" w:rsidRDefault="00782004" w:rsidP="00967EB6">
            <w:pPr>
              <w:spacing w:after="0" w:line="240" w:lineRule="auto"/>
              <w:jc w:val="center"/>
              <w:rPr>
                <w:rFonts w:eastAsia="Times New Roman"/>
                <w:sz w:val="18"/>
                <w:szCs w:val="18"/>
                <w:lang w:val="en-GB" w:eastAsia="en-GB"/>
              </w:rPr>
            </w:pPr>
            <w:r w:rsidRPr="00CF4DEE">
              <w:rPr>
                <w:rFonts w:eastAsia="Times New Roman"/>
                <w:sz w:val="18"/>
                <w:szCs w:val="18"/>
                <w:lang w:val="en-GB" w:eastAsia="en-GB"/>
              </w:rPr>
              <w:t>Gender of registered persons</w:t>
            </w:r>
          </w:p>
        </w:tc>
        <w:tc>
          <w:tcPr>
            <w:tcW w:w="386" w:type="dxa"/>
            <w:vMerge w:val="restart"/>
            <w:shd w:val="clear" w:color="auto" w:fill="auto"/>
            <w:textDirection w:val="btLr"/>
            <w:vAlign w:val="bottom"/>
            <w:hideMark/>
          </w:tcPr>
          <w:p w14:paraId="5AA8E558" w14:textId="77777777" w:rsidR="0070631C" w:rsidRPr="00CF4DEE" w:rsidRDefault="0070631C" w:rsidP="00683806">
            <w:pPr>
              <w:spacing w:after="0" w:line="240" w:lineRule="auto"/>
              <w:jc w:val="center"/>
              <w:rPr>
                <w:rFonts w:eastAsia="Times New Roman"/>
                <w:b/>
                <w:bCs/>
                <w:sz w:val="18"/>
                <w:szCs w:val="18"/>
                <w:lang w:val="en-GB" w:eastAsia="en-GB"/>
              </w:rPr>
            </w:pPr>
            <w:r w:rsidRPr="00CF4DEE">
              <w:rPr>
                <w:rFonts w:eastAsia="Times New Roman"/>
                <w:b/>
                <w:bCs/>
                <w:sz w:val="18"/>
                <w:szCs w:val="18"/>
                <w:lang w:val="en-GB" w:eastAsia="en-GB"/>
              </w:rPr>
              <w:t xml:space="preserve"> </w:t>
            </w:r>
            <w:r w:rsidR="00683806" w:rsidRPr="00CF4DEE">
              <w:rPr>
                <w:rFonts w:eastAsia="Times New Roman"/>
                <w:b/>
                <w:bCs/>
                <w:sz w:val="18"/>
                <w:szCs w:val="18"/>
                <w:lang w:val="en-GB" w:eastAsia="en-GB"/>
              </w:rPr>
              <w:t>TOTAL DISMISSED CHARGES</w:t>
            </w:r>
          </w:p>
        </w:tc>
        <w:tc>
          <w:tcPr>
            <w:tcW w:w="2316" w:type="dxa"/>
            <w:gridSpan w:val="6"/>
            <w:shd w:val="clear" w:color="auto" w:fill="auto"/>
            <w:vAlign w:val="center"/>
            <w:hideMark/>
          </w:tcPr>
          <w:p w14:paraId="1C7341DB" w14:textId="77777777" w:rsidR="0070631C" w:rsidRPr="00CF4DEE" w:rsidRDefault="00FF1CD4" w:rsidP="00FF1CD4">
            <w:pPr>
              <w:spacing w:after="0" w:line="240" w:lineRule="auto"/>
              <w:jc w:val="center"/>
              <w:rPr>
                <w:rFonts w:eastAsia="Times New Roman"/>
                <w:sz w:val="18"/>
                <w:szCs w:val="18"/>
                <w:lang w:val="en-GB" w:eastAsia="en-GB"/>
              </w:rPr>
            </w:pPr>
            <w:r w:rsidRPr="00CF4DEE">
              <w:rPr>
                <w:rFonts w:eastAsia="Times New Roman"/>
                <w:sz w:val="18"/>
                <w:szCs w:val="18"/>
                <w:lang w:val="en-GB" w:eastAsia="en-GB"/>
              </w:rPr>
              <w:t>FILERS OF CRIMINAL CHARGES</w:t>
            </w:r>
          </w:p>
        </w:tc>
        <w:tc>
          <w:tcPr>
            <w:tcW w:w="386" w:type="dxa"/>
            <w:vMerge w:val="restart"/>
            <w:shd w:val="clear" w:color="auto" w:fill="auto"/>
            <w:textDirection w:val="btLr"/>
            <w:vAlign w:val="bottom"/>
            <w:hideMark/>
          </w:tcPr>
          <w:p w14:paraId="0CB21CB8" w14:textId="77777777" w:rsidR="0070631C" w:rsidRPr="00CF4DEE" w:rsidRDefault="00CF4DEE" w:rsidP="00CF4DEE">
            <w:pPr>
              <w:spacing w:after="0" w:line="240" w:lineRule="auto"/>
              <w:jc w:val="center"/>
              <w:rPr>
                <w:rFonts w:eastAsia="Times New Roman"/>
                <w:b/>
                <w:bCs/>
                <w:sz w:val="18"/>
                <w:szCs w:val="18"/>
                <w:lang w:val="en-GB" w:eastAsia="en-GB"/>
              </w:rPr>
            </w:pPr>
            <w:r w:rsidRPr="00CF4DEE">
              <w:rPr>
                <w:rFonts w:eastAsia="Times New Roman"/>
                <w:b/>
                <w:bCs/>
                <w:sz w:val="18"/>
                <w:szCs w:val="18"/>
                <w:lang w:val="en-GB" w:eastAsia="en-GB"/>
              </w:rPr>
              <w:t xml:space="preserve">ORDERS ON THE CONDUCT OF THE INVESTIGATION </w:t>
            </w:r>
          </w:p>
        </w:tc>
        <w:tc>
          <w:tcPr>
            <w:tcW w:w="386" w:type="dxa"/>
            <w:vMerge w:val="restart"/>
            <w:shd w:val="clear" w:color="auto" w:fill="auto"/>
            <w:textDirection w:val="btLr"/>
            <w:vAlign w:val="bottom"/>
            <w:hideMark/>
          </w:tcPr>
          <w:p w14:paraId="28046E20" w14:textId="77777777" w:rsidR="0070631C" w:rsidRPr="00CF4DEE" w:rsidRDefault="00CF4DEE" w:rsidP="00967EB6">
            <w:pPr>
              <w:spacing w:after="0" w:line="240" w:lineRule="auto"/>
              <w:jc w:val="center"/>
              <w:rPr>
                <w:rFonts w:eastAsia="Times New Roman"/>
                <w:b/>
                <w:bCs/>
                <w:sz w:val="18"/>
                <w:szCs w:val="18"/>
                <w:lang w:val="en-GB" w:eastAsia="en-GB"/>
              </w:rPr>
            </w:pPr>
            <w:r w:rsidRPr="00CF4DEE">
              <w:rPr>
                <w:rFonts w:eastAsia="Times New Roman"/>
                <w:b/>
                <w:bCs/>
                <w:sz w:val="18"/>
                <w:szCs w:val="18"/>
                <w:lang w:val="en-GB" w:eastAsia="en-GB"/>
              </w:rPr>
              <w:t>CHARGES (immediate indictment + indictment proposal + indictment)</w:t>
            </w:r>
          </w:p>
        </w:tc>
        <w:tc>
          <w:tcPr>
            <w:tcW w:w="772" w:type="dxa"/>
            <w:gridSpan w:val="2"/>
            <w:vMerge w:val="restart"/>
            <w:shd w:val="clear" w:color="auto" w:fill="auto"/>
            <w:vAlign w:val="center"/>
            <w:hideMark/>
          </w:tcPr>
          <w:p w14:paraId="4D018CB4" w14:textId="77777777" w:rsidR="0070631C" w:rsidRPr="00CF4DEE" w:rsidRDefault="00FF1CD4" w:rsidP="00967EB6">
            <w:pPr>
              <w:spacing w:after="0" w:line="240" w:lineRule="auto"/>
              <w:jc w:val="center"/>
              <w:rPr>
                <w:rFonts w:eastAsia="Times New Roman"/>
                <w:sz w:val="18"/>
                <w:szCs w:val="18"/>
                <w:lang w:val="en-GB" w:eastAsia="en-GB"/>
              </w:rPr>
            </w:pPr>
            <w:r w:rsidRPr="00CF4DEE">
              <w:rPr>
                <w:rFonts w:eastAsia="Times New Roman"/>
                <w:sz w:val="18"/>
                <w:szCs w:val="18"/>
                <w:lang w:val="en-GB" w:eastAsia="en-GB"/>
              </w:rPr>
              <w:t>Sex of accused persons</w:t>
            </w:r>
          </w:p>
        </w:tc>
        <w:tc>
          <w:tcPr>
            <w:tcW w:w="1547" w:type="dxa"/>
            <w:gridSpan w:val="4"/>
            <w:shd w:val="clear" w:color="auto" w:fill="auto"/>
            <w:noWrap/>
            <w:vAlign w:val="center"/>
            <w:hideMark/>
          </w:tcPr>
          <w:p w14:paraId="4F7FAF61" w14:textId="77777777" w:rsidR="0070631C" w:rsidRPr="00CF4DEE" w:rsidRDefault="00FF1CD4" w:rsidP="00967EB6">
            <w:pPr>
              <w:spacing w:after="0" w:line="240" w:lineRule="auto"/>
              <w:jc w:val="center"/>
              <w:rPr>
                <w:rFonts w:eastAsia="Times New Roman"/>
                <w:b/>
                <w:bCs/>
                <w:color w:val="000000"/>
                <w:sz w:val="18"/>
                <w:szCs w:val="18"/>
                <w:lang w:val="en-GB" w:eastAsia="en-GB"/>
              </w:rPr>
            </w:pPr>
            <w:r w:rsidRPr="00CF4DEE">
              <w:rPr>
                <w:rFonts w:eastAsia="Times New Roman"/>
                <w:b/>
                <w:bCs/>
                <w:color w:val="000000"/>
                <w:sz w:val="18"/>
                <w:szCs w:val="18"/>
                <w:lang w:val="en-GB" w:eastAsia="en-GB"/>
              </w:rPr>
              <w:t xml:space="preserve">VERDICTS </w:t>
            </w:r>
          </w:p>
        </w:tc>
        <w:tc>
          <w:tcPr>
            <w:tcW w:w="389" w:type="dxa"/>
            <w:vMerge w:val="restart"/>
            <w:shd w:val="clear" w:color="auto" w:fill="auto"/>
            <w:textDirection w:val="btLr"/>
            <w:vAlign w:val="bottom"/>
            <w:hideMark/>
          </w:tcPr>
          <w:p w14:paraId="7077FBD8" w14:textId="77777777" w:rsidR="0070631C" w:rsidRPr="00CF4DEE" w:rsidRDefault="00CF4DEE" w:rsidP="00CF4DEE">
            <w:pPr>
              <w:spacing w:after="0" w:line="240" w:lineRule="auto"/>
              <w:jc w:val="center"/>
              <w:rPr>
                <w:rFonts w:eastAsia="Times New Roman"/>
                <w:b/>
                <w:bCs/>
                <w:sz w:val="18"/>
                <w:szCs w:val="18"/>
                <w:lang w:val="en-GB" w:eastAsia="en-GB"/>
              </w:rPr>
            </w:pPr>
            <w:r w:rsidRPr="00CF4DEE">
              <w:rPr>
                <w:rFonts w:eastAsia="Times New Roman"/>
                <w:b/>
                <w:bCs/>
                <w:sz w:val="18"/>
                <w:szCs w:val="18"/>
                <w:lang w:val="en-GB" w:eastAsia="en-GB"/>
              </w:rPr>
              <w:t>total custody</w:t>
            </w:r>
          </w:p>
        </w:tc>
      </w:tr>
      <w:tr w:rsidR="00683806" w:rsidRPr="00D62D04" w14:paraId="3D8E6227" w14:textId="77777777" w:rsidTr="008F1860">
        <w:trPr>
          <w:trHeight w:val="1050"/>
        </w:trPr>
        <w:tc>
          <w:tcPr>
            <w:tcW w:w="826" w:type="dxa"/>
            <w:vMerge/>
            <w:vAlign w:val="center"/>
            <w:hideMark/>
          </w:tcPr>
          <w:p w14:paraId="5CCB603B" w14:textId="77777777" w:rsidR="0070631C" w:rsidRPr="00D62D04" w:rsidRDefault="0070631C" w:rsidP="00967EB6">
            <w:pPr>
              <w:spacing w:after="0" w:line="240" w:lineRule="auto"/>
              <w:rPr>
                <w:rFonts w:eastAsia="Times New Roman"/>
                <w:sz w:val="18"/>
                <w:szCs w:val="18"/>
                <w:highlight w:val="cyan"/>
                <w:lang w:val="en-GB" w:eastAsia="en-GB"/>
              </w:rPr>
            </w:pPr>
          </w:p>
        </w:tc>
        <w:tc>
          <w:tcPr>
            <w:tcW w:w="387" w:type="dxa"/>
            <w:vMerge/>
            <w:vAlign w:val="center"/>
            <w:hideMark/>
          </w:tcPr>
          <w:p w14:paraId="0137A97B" w14:textId="77777777" w:rsidR="0070631C" w:rsidRPr="00D62D04" w:rsidRDefault="0070631C" w:rsidP="00967EB6">
            <w:pPr>
              <w:spacing w:after="0" w:line="240" w:lineRule="auto"/>
              <w:rPr>
                <w:rFonts w:eastAsia="Times New Roman"/>
                <w:b/>
                <w:bCs/>
                <w:sz w:val="18"/>
                <w:szCs w:val="18"/>
                <w:highlight w:val="cyan"/>
                <w:lang w:val="en-GB" w:eastAsia="en-GB"/>
              </w:rPr>
            </w:pPr>
          </w:p>
        </w:tc>
        <w:tc>
          <w:tcPr>
            <w:tcW w:w="387" w:type="dxa"/>
            <w:vMerge/>
            <w:vAlign w:val="center"/>
            <w:hideMark/>
          </w:tcPr>
          <w:p w14:paraId="4F6D7254" w14:textId="77777777" w:rsidR="0070631C" w:rsidRPr="00D62D04" w:rsidRDefault="0070631C" w:rsidP="00967EB6">
            <w:pPr>
              <w:spacing w:after="0" w:line="240" w:lineRule="auto"/>
              <w:rPr>
                <w:rFonts w:eastAsia="Times New Roman"/>
                <w:b/>
                <w:bCs/>
                <w:sz w:val="18"/>
                <w:szCs w:val="18"/>
                <w:highlight w:val="cyan"/>
                <w:lang w:val="en-GB" w:eastAsia="en-GB"/>
              </w:rPr>
            </w:pPr>
          </w:p>
        </w:tc>
        <w:tc>
          <w:tcPr>
            <w:tcW w:w="387" w:type="dxa"/>
            <w:vMerge/>
            <w:vAlign w:val="center"/>
            <w:hideMark/>
          </w:tcPr>
          <w:p w14:paraId="34C7E585" w14:textId="77777777" w:rsidR="0070631C" w:rsidRPr="00D62D04" w:rsidRDefault="0070631C" w:rsidP="00967EB6">
            <w:pPr>
              <w:spacing w:after="0" w:line="240" w:lineRule="auto"/>
              <w:rPr>
                <w:rFonts w:eastAsia="Times New Roman"/>
                <w:b/>
                <w:bCs/>
                <w:sz w:val="18"/>
                <w:szCs w:val="18"/>
                <w:highlight w:val="cyan"/>
                <w:lang w:val="en-GB" w:eastAsia="en-GB"/>
              </w:rPr>
            </w:pPr>
          </w:p>
        </w:tc>
        <w:tc>
          <w:tcPr>
            <w:tcW w:w="847" w:type="dxa"/>
            <w:gridSpan w:val="2"/>
            <w:vMerge/>
            <w:vAlign w:val="center"/>
            <w:hideMark/>
          </w:tcPr>
          <w:p w14:paraId="73BCFEEC" w14:textId="77777777" w:rsidR="0070631C" w:rsidRPr="00D62D04" w:rsidRDefault="0070631C" w:rsidP="00967EB6">
            <w:pPr>
              <w:spacing w:after="0" w:line="240" w:lineRule="auto"/>
              <w:rPr>
                <w:rFonts w:eastAsia="Times New Roman"/>
                <w:sz w:val="18"/>
                <w:szCs w:val="18"/>
                <w:highlight w:val="cyan"/>
                <w:lang w:val="en-GB" w:eastAsia="en-GB"/>
              </w:rPr>
            </w:pPr>
          </w:p>
        </w:tc>
        <w:tc>
          <w:tcPr>
            <w:tcW w:w="386" w:type="dxa"/>
            <w:vMerge/>
            <w:vAlign w:val="center"/>
            <w:hideMark/>
          </w:tcPr>
          <w:p w14:paraId="348C9B3F" w14:textId="77777777" w:rsidR="0070631C" w:rsidRPr="00D62D04" w:rsidRDefault="0070631C" w:rsidP="00967EB6">
            <w:pPr>
              <w:spacing w:after="0" w:line="240" w:lineRule="auto"/>
              <w:rPr>
                <w:rFonts w:eastAsia="Times New Roman"/>
                <w:b/>
                <w:bCs/>
                <w:sz w:val="18"/>
                <w:szCs w:val="18"/>
                <w:highlight w:val="cyan"/>
                <w:lang w:val="en-GB" w:eastAsia="en-GB"/>
              </w:rPr>
            </w:pPr>
          </w:p>
        </w:tc>
        <w:tc>
          <w:tcPr>
            <w:tcW w:w="386" w:type="dxa"/>
            <w:vMerge w:val="restart"/>
            <w:shd w:val="clear" w:color="auto" w:fill="auto"/>
            <w:textDirection w:val="btLr"/>
            <w:vAlign w:val="bottom"/>
            <w:hideMark/>
          </w:tcPr>
          <w:p w14:paraId="112C8EF0" w14:textId="77777777" w:rsidR="0070631C" w:rsidRPr="007E3643" w:rsidRDefault="00683806" w:rsidP="00683806">
            <w:pPr>
              <w:spacing w:after="0" w:line="240" w:lineRule="auto"/>
              <w:jc w:val="center"/>
              <w:rPr>
                <w:rFonts w:eastAsia="Times New Roman"/>
                <w:sz w:val="18"/>
                <w:szCs w:val="18"/>
                <w:lang w:val="en-GB" w:eastAsia="en-GB"/>
              </w:rPr>
            </w:pPr>
            <w:r w:rsidRPr="007E3643">
              <w:rPr>
                <w:rFonts w:eastAsia="Times New Roman"/>
                <w:sz w:val="18"/>
                <w:szCs w:val="18"/>
                <w:lang w:val="en-GB" w:eastAsia="en-GB"/>
              </w:rPr>
              <w:t>Police</w:t>
            </w:r>
            <w:r w:rsidR="0070631C" w:rsidRPr="007E3643">
              <w:rPr>
                <w:rFonts w:eastAsia="Times New Roman"/>
                <w:sz w:val="18"/>
                <w:szCs w:val="18"/>
                <w:lang w:val="en-GB" w:eastAsia="en-GB"/>
              </w:rPr>
              <w:t xml:space="preserve"> (</w:t>
            </w:r>
            <w:proofErr w:type="spellStart"/>
            <w:r w:rsidRPr="007E3643">
              <w:rPr>
                <w:rFonts w:eastAsia="Times New Roman"/>
                <w:sz w:val="18"/>
                <w:szCs w:val="18"/>
                <w:lang w:val="en-GB" w:eastAsia="en-GB"/>
              </w:rPr>
              <w:t>MoI</w:t>
            </w:r>
            <w:proofErr w:type="spellEnd"/>
            <w:r w:rsidR="0070631C" w:rsidRPr="007E3643">
              <w:rPr>
                <w:rFonts w:eastAsia="Times New Roman"/>
                <w:sz w:val="18"/>
                <w:szCs w:val="18"/>
                <w:lang w:val="en-GB" w:eastAsia="en-GB"/>
              </w:rPr>
              <w:t>)</w:t>
            </w:r>
          </w:p>
        </w:tc>
        <w:tc>
          <w:tcPr>
            <w:tcW w:w="386" w:type="dxa"/>
            <w:vMerge w:val="restart"/>
            <w:shd w:val="clear" w:color="auto" w:fill="auto"/>
            <w:textDirection w:val="btLr"/>
            <w:vAlign w:val="bottom"/>
            <w:hideMark/>
          </w:tcPr>
          <w:p w14:paraId="757458DD" w14:textId="77777777" w:rsidR="0070631C" w:rsidRPr="007E3643" w:rsidRDefault="00683806" w:rsidP="00967EB6">
            <w:pPr>
              <w:spacing w:after="0" w:line="240" w:lineRule="auto"/>
              <w:jc w:val="center"/>
              <w:rPr>
                <w:rFonts w:eastAsia="Times New Roman"/>
                <w:sz w:val="18"/>
                <w:szCs w:val="18"/>
                <w:lang w:val="en-GB" w:eastAsia="en-GB"/>
              </w:rPr>
            </w:pPr>
            <w:r w:rsidRPr="007E3643">
              <w:rPr>
                <w:rFonts w:eastAsia="Times New Roman"/>
                <w:sz w:val="18"/>
                <w:szCs w:val="18"/>
                <w:lang w:val="en-GB" w:eastAsia="en-GB"/>
              </w:rPr>
              <w:t>Other state authorities</w:t>
            </w:r>
          </w:p>
        </w:tc>
        <w:tc>
          <w:tcPr>
            <w:tcW w:w="386" w:type="dxa"/>
            <w:vMerge w:val="restart"/>
            <w:shd w:val="clear" w:color="auto" w:fill="auto"/>
            <w:textDirection w:val="btLr"/>
            <w:vAlign w:val="bottom"/>
            <w:hideMark/>
          </w:tcPr>
          <w:p w14:paraId="0B8201A9" w14:textId="77777777" w:rsidR="0070631C" w:rsidRPr="007E3643" w:rsidRDefault="00683806" w:rsidP="00967EB6">
            <w:pPr>
              <w:spacing w:after="0" w:line="240" w:lineRule="auto"/>
              <w:jc w:val="center"/>
              <w:rPr>
                <w:rFonts w:eastAsia="Times New Roman"/>
                <w:sz w:val="18"/>
                <w:szCs w:val="18"/>
                <w:lang w:val="en-GB" w:eastAsia="en-GB"/>
              </w:rPr>
            </w:pPr>
            <w:r w:rsidRPr="007E3643">
              <w:rPr>
                <w:rFonts w:eastAsia="Times New Roman"/>
                <w:sz w:val="18"/>
                <w:szCs w:val="18"/>
                <w:lang w:val="en-GB" w:eastAsia="en-GB"/>
              </w:rPr>
              <w:t xml:space="preserve">Injured parties </w:t>
            </w:r>
          </w:p>
        </w:tc>
        <w:tc>
          <w:tcPr>
            <w:tcW w:w="386" w:type="dxa"/>
            <w:vMerge w:val="restart"/>
            <w:shd w:val="clear" w:color="auto" w:fill="auto"/>
            <w:textDirection w:val="btLr"/>
            <w:vAlign w:val="bottom"/>
            <w:hideMark/>
          </w:tcPr>
          <w:p w14:paraId="15866F1D" w14:textId="77777777" w:rsidR="0070631C" w:rsidRPr="00D62D04" w:rsidRDefault="007E3643" w:rsidP="00967EB6">
            <w:pPr>
              <w:spacing w:after="0" w:line="240" w:lineRule="auto"/>
              <w:jc w:val="center"/>
              <w:rPr>
                <w:rFonts w:eastAsia="Times New Roman"/>
                <w:sz w:val="18"/>
                <w:szCs w:val="18"/>
                <w:highlight w:val="cyan"/>
                <w:lang w:val="en-GB" w:eastAsia="en-GB"/>
              </w:rPr>
            </w:pPr>
            <w:r w:rsidRPr="007E3643">
              <w:rPr>
                <w:rFonts w:eastAsia="Times New Roman"/>
                <w:sz w:val="18"/>
                <w:szCs w:val="18"/>
                <w:lang w:val="en-GB" w:eastAsia="en-GB"/>
              </w:rPr>
              <w:t xml:space="preserve">procedure initiated </w:t>
            </w:r>
            <w:r w:rsidRPr="007E3643">
              <w:rPr>
                <w:rFonts w:eastAsia="Times New Roman"/>
                <w:i/>
                <w:sz w:val="18"/>
                <w:szCs w:val="18"/>
                <w:lang w:val="en-GB" w:eastAsia="en-GB"/>
              </w:rPr>
              <w:t>ex officio</w:t>
            </w:r>
          </w:p>
        </w:tc>
        <w:tc>
          <w:tcPr>
            <w:tcW w:w="386" w:type="dxa"/>
            <w:vMerge w:val="restart"/>
            <w:shd w:val="clear" w:color="auto" w:fill="auto"/>
            <w:noWrap/>
            <w:textDirection w:val="btLr"/>
            <w:vAlign w:val="bottom"/>
            <w:hideMark/>
          </w:tcPr>
          <w:p w14:paraId="61616048" w14:textId="77777777" w:rsidR="0070631C" w:rsidRPr="00683806" w:rsidRDefault="00683806" w:rsidP="00967EB6">
            <w:pPr>
              <w:spacing w:after="0" w:line="240" w:lineRule="auto"/>
              <w:jc w:val="center"/>
              <w:rPr>
                <w:rFonts w:eastAsia="Times New Roman"/>
                <w:sz w:val="18"/>
                <w:szCs w:val="18"/>
                <w:lang w:val="en-GB" w:eastAsia="en-GB"/>
              </w:rPr>
            </w:pPr>
            <w:r w:rsidRPr="00683806">
              <w:rPr>
                <w:rFonts w:eastAsia="Times New Roman"/>
                <w:sz w:val="18"/>
                <w:szCs w:val="18"/>
                <w:lang w:val="en-GB" w:eastAsia="en-GB"/>
              </w:rPr>
              <w:t>other</w:t>
            </w:r>
          </w:p>
        </w:tc>
        <w:tc>
          <w:tcPr>
            <w:tcW w:w="386" w:type="dxa"/>
            <w:vMerge w:val="restart"/>
            <w:shd w:val="clear" w:color="auto" w:fill="auto"/>
            <w:textDirection w:val="btLr"/>
            <w:vAlign w:val="bottom"/>
            <w:hideMark/>
          </w:tcPr>
          <w:p w14:paraId="6FB7A590" w14:textId="77777777" w:rsidR="0070631C" w:rsidRPr="00683806" w:rsidRDefault="00683806" w:rsidP="00967EB6">
            <w:pPr>
              <w:spacing w:after="0" w:line="240" w:lineRule="auto"/>
              <w:jc w:val="center"/>
              <w:rPr>
                <w:rFonts w:eastAsia="Times New Roman"/>
                <w:b/>
                <w:bCs/>
                <w:sz w:val="18"/>
                <w:szCs w:val="18"/>
                <w:lang w:val="en-GB" w:eastAsia="en-GB"/>
              </w:rPr>
            </w:pPr>
            <w:r w:rsidRPr="00683806">
              <w:rPr>
                <w:rFonts w:eastAsia="Times New Roman"/>
                <w:b/>
                <w:bCs/>
                <w:sz w:val="18"/>
                <w:szCs w:val="18"/>
                <w:lang w:val="en-GB" w:eastAsia="en-GB"/>
              </w:rPr>
              <w:t>TOTAL</w:t>
            </w:r>
          </w:p>
        </w:tc>
        <w:tc>
          <w:tcPr>
            <w:tcW w:w="386" w:type="dxa"/>
            <w:vMerge/>
            <w:vAlign w:val="center"/>
            <w:hideMark/>
          </w:tcPr>
          <w:p w14:paraId="7357655E" w14:textId="77777777" w:rsidR="0070631C" w:rsidRPr="00D62D04" w:rsidRDefault="0070631C" w:rsidP="00967EB6">
            <w:pPr>
              <w:spacing w:after="0" w:line="240" w:lineRule="auto"/>
              <w:rPr>
                <w:rFonts w:eastAsia="Times New Roman"/>
                <w:b/>
                <w:bCs/>
                <w:sz w:val="18"/>
                <w:szCs w:val="18"/>
                <w:highlight w:val="cyan"/>
                <w:lang w:val="en-GB" w:eastAsia="en-GB"/>
              </w:rPr>
            </w:pPr>
          </w:p>
        </w:tc>
        <w:tc>
          <w:tcPr>
            <w:tcW w:w="386" w:type="dxa"/>
            <w:vMerge/>
            <w:vAlign w:val="center"/>
            <w:hideMark/>
          </w:tcPr>
          <w:p w14:paraId="7AD8C241" w14:textId="77777777" w:rsidR="0070631C" w:rsidRPr="00D62D04" w:rsidRDefault="0070631C" w:rsidP="00967EB6">
            <w:pPr>
              <w:spacing w:after="0" w:line="240" w:lineRule="auto"/>
              <w:rPr>
                <w:rFonts w:eastAsia="Times New Roman"/>
                <w:b/>
                <w:bCs/>
                <w:sz w:val="18"/>
                <w:szCs w:val="18"/>
                <w:highlight w:val="cyan"/>
                <w:lang w:val="en-GB" w:eastAsia="en-GB"/>
              </w:rPr>
            </w:pPr>
          </w:p>
        </w:tc>
        <w:tc>
          <w:tcPr>
            <w:tcW w:w="772" w:type="dxa"/>
            <w:gridSpan w:val="2"/>
            <w:vMerge/>
            <w:vAlign w:val="center"/>
            <w:hideMark/>
          </w:tcPr>
          <w:p w14:paraId="68A1223C" w14:textId="77777777" w:rsidR="0070631C" w:rsidRPr="00D62D04" w:rsidRDefault="0070631C" w:rsidP="00967EB6">
            <w:pPr>
              <w:spacing w:after="0" w:line="240" w:lineRule="auto"/>
              <w:rPr>
                <w:rFonts w:eastAsia="Times New Roman"/>
                <w:sz w:val="18"/>
                <w:szCs w:val="18"/>
                <w:highlight w:val="cyan"/>
                <w:lang w:val="en-GB" w:eastAsia="en-GB"/>
              </w:rPr>
            </w:pPr>
          </w:p>
        </w:tc>
        <w:tc>
          <w:tcPr>
            <w:tcW w:w="386" w:type="dxa"/>
            <w:vMerge w:val="restart"/>
            <w:shd w:val="clear" w:color="auto" w:fill="auto"/>
            <w:textDirection w:val="btLr"/>
            <w:vAlign w:val="bottom"/>
            <w:hideMark/>
          </w:tcPr>
          <w:p w14:paraId="08AB43EC" w14:textId="77777777" w:rsidR="0070631C" w:rsidRPr="00CF4DEE" w:rsidRDefault="00CF4DEE" w:rsidP="00967EB6">
            <w:pPr>
              <w:spacing w:after="0" w:line="240" w:lineRule="auto"/>
              <w:jc w:val="center"/>
              <w:rPr>
                <w:rFonts w:eastAsia="Times New Roman"/>
                <w:b/>
                <w:bCs/>
                <w:sz w:val="18"/>
                <w:szCs w:val="18"/>
                <w:lang w:val="en-GB" w:eastAsia="en-GB"/>
              </w:rPr>
            </w:pPr>
            <w:r w:rsidRPr="00CF4DEE">
              <w:rPr>
                <w:rFonts w:eastAsia="Times New Roman"/>
                <w:b/>
                <w:bCs/>
                <w:sz w:val="18"/>
                <w:szCs w:val="18"/>
                <w:lang w:val="en-GB" w:eastAsia="en-GB"/>
              </w:rPr>
              <w:t>CONVICTIONS</w:t>
            </w:r>
          </w:p>
        </w:tc>
        <w:tc>
          <w:tcPr>
            <w:tcW w:w="386" w:type="dxa"/>
            <w:vMerge w:val="restart"/>
            <w:shd w:val="clear" w:color="auto" w:fill="auto"/>
            <w:textDirection w:val="btLr"/>
            <w:vAlign w:val="bottom"/>
            <w:hideMark/>
          </w:tcPr>
          <w:p w14:paraId="2D596C55" w14:textId="77777777" w:rsidR="0070631C" w:rsidRPr="00CF4DEE" w:rsidRDefault="00CF4DEE" w:rsidP="00967EB6">
            <w:pPr>
              <w:spacing w:after="0" w:line="240" w:lineRule="auto"/>
              <w:jc w:val="center"/>
              <w:rPr>
                <w:rFonts w:eastAsia="Times New Roman"/>
                <w:b/>
                <w:bCs/>
                <w:sz w:val="18"/>
                <w:szCs w:val="18"/>
                <w:lang w:val="en-GB" w:eastAsia="en-GB"/>
              </w:rPr>
            </w:pPr>
            <w:r w:rsidRPr="00CF4DEE">
              <w:rPr>
                <w:rFonts w:eastAsia="Times New Roman"/>
                <w:b/>
                <w:bCs/>
                <w:sz w:val="18"/>
                <w:szCs w:val="18"/>
                <w:lang w:val="en-GB" w:eastAsia="en-GB"/>
              </w:rPr>
              <w:t>of which a prison sentence</w:t>
            </w:r>
          </w:p>
        </w:tc>
        <w:tc>
          <w:tcPr>
            <w:tcW w:w="386" w:type="dxa"/>
            <w:vMerge w:val="restart"/>
            <w:shd w:val="clear" w:color="auto" w:fill="auto"/>
            <w:textDirection w:val="btLr"/>
            <w:vAlign w:val="bottom"/>
            <w:hideMark/>
          </w:tcPr>
          <w:p w14:paraId="5A9DCA2D" w14:textId="77777777" w:rsidR="0070631C" w:rsidRPr="00CF4DEE" w:rsidRDefault="00CF4DEE" w:rsidP="00967EB6">
            <w:pPr>
              <w:spacing w:after="0" w:line="240" w:lineRule="auto"/>
              <w:jc w:val="center"/>
              <w:rPr>
                <w:rFonts w:eastAsia="Times New Roman"/>
                <w:b/>
                <w:bCs/>
                <w:sz w:val="18"/>
                <w:szCs w:val="18"/>
                <w:lang w:val="en-GB" w:eastAsia="en-GB"/>
              </w:rPr>
            </w:pPr>
            <w:r w:rsidRPr="00CF4DEE">
              <w:rPr>
                <w:rFonts w:eastAsia="Times New Roman"/>
                <w:b/>
                <w:bCs/>
                <w:sz w:val="18"/>
                <w:szCs w:val="18"/>
                <w:lang w:val="en-GB" w:eastAsia="en-GB"/>
              </w:rPr>
              <w:t>Acquittals</w:t>
            </w:r>
          </w:p>
        </w:tc>
        <w:tc>
          <w:tcPr>
            <w:tcW w:w="389" w:type="dxa"/>
            <w:vMerge w:val="restart"/>
            <w:shd w:val="clear" w:color="auto" w:fill="auto"/>
            <w:textDirection w:val="btLr"/>
            <w:vAlign w:val="bottom"/>
            <w:hideMark/>
          </w:tcPr>
          <w:p w14:paraId="7261FD42" w14:textId="77777777" w:rsidR="0070631C" w:rsidRPr="00CF4DEE" w:rsidRDefault="00CF4DEE" w:rsidP="00967EB6">
            <w:pPr>
              <w:spacing w:after="0" w:line="240" w:lineRule="auto"/>
              <w:jc w:val="center"/>
              <w:rPr>
                <w:rFonts w:eastAsia="Times New Roman"/>
                <w:b/>
                <w:bCs/>
                <w:sz w:val="18"/>
                <w:szCs w:val="18"/>
                <w:lang w:val="en-GB" w:eastAsia="en-GB"/>
              </w:rPr>
            </w:pPr>
            <w:r w:rsidRPr="00CF4DEE">
              <w:rPr>
                <w:rFonts w:eastAsia="Times New Roman"/>
                <w:b/>
                <w:bCs/>
                <w:sz w:val="18"/>
                <w:szCs w:val="18"/>
                <w:lang w:val="en-GB" w:eastAsia="en-GB"/>
              </w:rPr>
              <w:t>Dismissals</w:t>
            </w:r>
          </w:p>
        </w:tc>
        <w:tc>
          <w:tcPr>
            <w:tcW w:w="389" w:type="dxa"/>
            <w:vMerge/>
            <w:vAlign w:val="center"/>
            <w:hideMark/>
          </w:tcPr>
          <w:p w14:paraId="343DAFCF" w14:textId="77777777" w:rsidR="0070631C" w:rsidRPr="00D62D04" w:rsidRDefault="0070631C" w:rsidP="00967EB6">
            <w:pPr>
              <w:spacing w:after="0" w:line="240" w:lineRule="auto"/>
              <w:rPr>
                <w:rFonts w:eastAsia="Times New Roman"/>
                <w:b/>
                <w:bCs/>
                <w:sz w:val="18"/>
                <w:szCs w:val="18"/>
                <w:highlight w:val="cyan"/>
                <w:lang w:val="en-GB" w:eastAsia="en-GB"/>
              </w:rPr>
            </w:pPr>
          </w:p>
        </w:tc>
      </w:tr>
      <w:tr w:rsidR="008F1860" w:rsidRPr="00D62D04" w14:paraId="3803834A" w14:textId="77777777" w:rsidTr="008F1860">
        <w:trPr>
          <w:trHeight w:val="3992"/>
        </w:trPr>
        <w:tc>
          <w:tcPr>
            <w:tcW w:w="826" w:type="dxa"/>
            <w:vMerge/>
            <w:vAlign w:val="center"/>
            <w:hideMark/>
          </w:tcPr>
          <w:p w14:paraId="1A5856B9" w14:textId="77777777" w:rsidR="008F1860" w:rsidRPr="00D62D04" w:rsidRDefault="008F1860" w:rsidP="008F1860">
            <w:pPr>
              <w:spacing w:after="0" w:line="240" w:lineRule="auto"/>
              <w:rPr>
                <w:rFonts w:eastAsia="Times New Roman"/>
                <w:sz w:val="18"/>
                <w:szCs w:val="18"/>
                <w:highlight w:val="cyan"/>
                <w:lang w:val="en-GB" w:eastAsia="en-GB"/>
              </w:rPr>
            </w:pPr>
          </w:p>
        </w:tc>
        <w:tc>
          <w:tcPr>
            <w:tcW w:w="387" w:type="dxa"/>
            <w:vMerge/>
            <w:vAlign w:val="center"/>
            <w:hideMark/>
          </w:tcPr>
          <w:p w14:paraId="4A03C7E8" w14:textId="77777777" w:rsidR="008F1860" w:rsidRPr="00D62D04" w:rsidRDefault="008F1860" w:rsidP="008F1860">
            <w:pPr>
              <w:spacing w:after="0" w:line="240" w:lineRule="auto"/>
              <w:rPr>
                <w:rFonts w:eastAsia="Times New Roman"/>
                <w:b/>
                <w:bCs/>
                <w:sz w:val="18"/>
                <w:szCs w:val="18"/>
                <w:highlight w:val="cyan"/>
                <w:lang w:val="en-GB" w:eastAsia="en-GB"/>
              </w:rPr>
            </w:pPr>
          </w:p>
        </w:tc>
        <w:tc>
          <w:tcPr>
            <w:tcW w:w="387" w:type="dxa"/>
            <w:vMerge/>
            <w:vAlign w:val="center"/>
            <w:hideMark/>
          </w:tcPr>
          <w:p w14:paraId="0E18DAD0" w14:textId="77777777" w:rsidR="008F1860" w:rsidRPr="00D62D04" w:rsidRDefault="008F1860" w:rsidP="008F1860">
            <w:pPr>
              <w:spacing w:after="0" w:line="240" w:lineRule="auto"/>
              <w:rPr>
                <w:rFonts w:eastAsia="Times New Roman"/>
                <w:b/>
                <w:bCs/>
                <w:sz w:val="18"/>
                <w:szCs w:val="18"/>
                <w:highlight w:val="cyan"/>
                <w:lang w:val="en-GB" w:eastAsia="en-GB"/>
              </w:rPr>
            </w:pPr>
          </w:p>
        </w:tc>
        <w:tc>
          <w:tcPr>
            <w:tcW w:w="387" w:type="dxa"/>
            <w:vMerge/>
            <w:vAlign w:val="center"/>
            <w:hideMark/>
          </w:tcPr>
          <w:p w14:paraId="6A8F14A2" w14:textId="77777777" w:rsidR="008F1860" w:rsidRPr="00D62D04" w:rsidRDefault="008F1860" w:rsidP="008F1860">
            <w:pPr>
              <w:spacing w:after="0" w:line="240" w:lineRule="auto"/>
              <w:rPr>
                <w:rFonts w:eastAsia="Times New Roman"/>
                <w:b/>
                <w:bCs/>
                <w:sz w:val="18"/>
                <w:szCs w:val="18"/>
                <w:highlight w:val="cyan"/>
                <w:lang w:val="en-GB" w:eastAsia="en-GB"/>
              </w:rPr>
            </w:pPr>
          </w:p>
        </w:tc>
        <w:tc>
          <w:tcPr>
            <w:tcW w:w="424" w:type="dxa"/>
            <w:shd w:val="clear" w:color="auto" w:fill="auto"/>
            <w:textDirection w:val="btLr"/>
            <w:vAlign w:val="bottom"/>
            <w:hideMark/>
          </w:tcPr>
          <w:p w14:paraId="0E17781A" w14:textId="77777777" w:rsidR="008F1860" w:rsidRPr="008F1860" w:rsidRDefault="008F1860" w:rsidP="008F1860">
            <w:pPr>
              <w:spacing w:after="0" w:line="240" w:lineRule="auto"/>
              <w:jc w:val="center"/>
              <w:rPr>
                <w:rFonts w:eastAsia="Times New Roman"/>
                <w:sz w:val="18"/>
                <w:szCs w:val="18"/>
                <w:lang w:val="en-GB" w:eastAsia="en-GB"/>
              </w:rPr>
            </w:pPr>
            <w:r w:rsidRPr="008F1860">
              <w:rPr>
                <w:rFonts w:eastAsia="Times New Roman"/>
                <w:sz w:val="18"/>
                <w:szCs w:val="18"/>
                <w:lang w:val="en-GB" w:eastAsia="en-GB"/>
              </w:rPr>
              <w:t xml:space="preserve">Male </w:t>
            </w:r>
          </w:p>
        </w:tc>
        <w:tc>
          <w:tcPr>
            <w:tcW w:w="423" w:type="dxa"/>
            <w:shd w:val="clear" w:color="auto" w:fill="auto"/>
            <w:textDirection w:val="btLr"/>
            <w:vAlign w:val="bottom"/>
            <w:hideMark/>
          </w:tcPr>
          <w:p w14:paraId="35672A7A" w14:textId="77777777" w:rsidR="008F1860" w:rsidRPr="008F1860" w:rsidRDefault="008F1860" w:rsidP="008F1860">
            <w:pPr>
              <w:spacing w:after="0" w:line="240" w:lineRule="auto"/>
              <w:jc w:val="center"/>
              <w:rPr>
                <w:rFonts w:eastAsia="Times New Roman"/>
                <w:sz w:val="18"/>
                <w:szCs w:val="18"/>
                <w:lang w:val="en-GB" w:eastAsia="en-GB"/>
              </w:rPr>
            </w:pPr>
            <w:r w:rsidRPr="008F1860">
              <w:rPr>
                <w:rFonts w:eastAsia="Times New Roman"/>
                <w:sz w:val="18"/>
                <w:szCs w:val="18"/>
                <w:lang w:val="en-GB" w:eastAsia="en-GB"/>
              </w:rPr>
              <w:t xml:space="preserve">Female </w:t>
            </w:r>
          </w:p>
        </w:tc>
        <w:tc>
          <w:tcPr>
            <w:tcW w:w="386" w:type="dxa"/>
            <w:vMerge/>
            <w:vAlign w:val="center"/>
            <w:hideMark/>
          </w:tcPr>
          <w:p w14:paraId="51D56A87" w14:textId="77777777" w:rsidR="008F1860" w:rsidRPr="00D62D04" w:rsidRDefault="008F1860" w:rsidP="008F1860">
            <w:pPr>
              <w:spacing w:after="0" w:line="240" w:lineRule="auto"/>
              <w:rPr>
                <w:rFonts w:eastAsia="Times New Roman"/>
                <w:b/>
                <w:bCs/>
                <w:sz w:val="18"/>
                <w:szCs w:val="18"/>
                <w:highlight w:val="cyan"/>
                <w:lang w:val="en-GB" w:eastAsia="en-GB"/>
              </w:rPr>
            </w:pPr>
          </w:p>
        </w:tc>
        <w:tc>
          <w:tcPr>
            <w:tcW w:w="386" w:type="dxa"/>
            <w:vMerge/>
            <w:vAlign w:val="center"/>
            <w:hideMark/>
          </w:tcPr>
          <w:p w14:paraId="03649F94" w14:textId="77777777" w:rsidR="008F1860" w:rsidRPr="00D62D04" w:rsidRDefault="008F1860" w:rsidP="008F1860">
            <w:pPr>
              <w:spacing w:after="0" w:line="240" w:lineRule="auto"/>
              <w:rPr>
                <w:rFonts w:eastAsia="Times New Roman"/>
                <w:sz w:val="18"/>
                <w:szCs w:val="18"/>
                <w:highlight w:val="cyan"/>
                <w:lang w:val="en-GB" w:eastAsia="en-GB"/>
              </w:rPr>
            </w:pPr>
          </w:p>
        </w:tc>
        <w:tc>
          <w:tcPr>
            <w:tcW w:w="386" w:type="dxa"/>
            <w:vMerge/>
            <w:vAlign w:val="center"/>
            <w:hideMark/>
          </w:tcPr>
          <w:p w14:paraId="464A9EC6" w14:textId="77777777" w:rsidR="008F1860" w:rsidRPr="00D62D04" w:rsidRDefault="008F1860" w:rsidP="008F1860">
            <w:pPr>
              <w:spacing w:after="0" w:line="240" w:lineRule="auto"/>
              <w:rPr>
                <w:rFonts w:eastAsia="Times New Roman"/>
                <w:sz w:val="18"/>
                <w:szCs w:val="18"/>
                <w:highlight w:val="cyan"/>
                <w:lang w:val="en-GB" w:eastAsia="en-GB"/>
              </w:rPr>
            </w:pPr>
          </w:p>
        </w:tc>
        <w:tc>
          <w:tcPr>
            <w:tcW w:w="386" w:type="dxa"/>
            <w:vMerge/>
            <w:vAlign w:val="center"/>
            <w:hideMark/>
          </w:tcPr>
          <w:p w14:paraId="37B9D9A3" w14:textId="77777777" w:rsidR="008F1860" w:rsidRPr="00D62D04" w:rsidRDefault="008F1860" w:rsidP="008F1860">
            <w:pPr>
              <w:spacing w:after="0" w:line="240" w:lineRule="auto"/>
              <w:rPr>
                <w:rFonts w:eastAsia="Times New Roman"/>
                <w:sz w:val="18"/>
                <w:szCs w:val="18"/>
                <w:highlight w:val="cyan"/>
                <w:lang w:val="en-GB" w:eastAsia="en-GB"/>
              </w:rPr>
            </w:pPr>
          </w:p>
        </w:tc>
        <w:tc>
          <w:tcPr>
            <w:tcW w:w="386" w:type="dxa"/>
            <w:vMerge/>
            <w:vAlign w:val="center"/>
            <w:hideMark/>
          </w:tcPr>
          <w:p w14:paraId="6FDF1588" w14:textId="77777777" w:rsidR="008F1860" w:rsidRPr="00D62D04" w:rsidRDefault="008F1860" w:rsidP="008F1860">
            <w:pPr>
              <w:spacing w:after="0" w:line="240" w:lineRule="auto"/>
              <w:rPr>
                <w:rFonts w:eastAsia="Times New Roman"/>
                <w:sz w:val="18"/>
                <w:szCs w:val="18"/>
                <w:highlight w:val="cyan"/>
                <w:lang w:val="en-GB" w:eastAsia="en-GB"/>
              </w:rPr>
            </w:pPr>
          </w:p>
        </w:tc>
        <w:tc>
          <w:tcPr>
            <w:tcW w:w="386" w:type="dxa"/>
            <w:vMerge/>
            <w:vAlign w:val="center"/>
            <w:hideMark/>
          </w:tcPr>
          <w:p w14:paraId="5C4A0202" w14:textId="77777777" w:rsidR="008F1860" w:rsidRPr="00D62D04" w:rsidRDefault="008F1860" w:rsidP="008F1860">
            <w:pPr>
              <w:spacing w:after="0" w:line="240" w:lineRule="auto"/>
              <w:rPr>
                <w:rFonts w:eastAsia="Times New Roman"/>
                <w:sz w:val="18"/>
                <w:szCs w:val="18"/>
                <w:highlight w:val="cyan"/>
                <w:lang w:val="en-GB" w:eastAsia="en-GB"/>
              </w:rPr>
            </w:pPr>
          </w:p>
        </w:tc>
        <w:tc>
          <w:tcPr>
            <w:tcW w:w="386" w:type="dxa"/>
            <w:vMerge/>
            <w:vAlign w:val="center"/>
            <w:hideMark/>
          </w:tcPr>
          <w:p w14:paraId="1E3BED75" w14:textId="77777777" w:rsidR="008F1860" w:rsidRPr="00D62D04" w:rsidRDefault="008F1860" w:rsidP="008F1860">
            <w:pPr>
              <w:spacing w:after="0" w:line="240" w:lineRule="auto"/>
              <w:rPr>
                <w:rFonts w:eastAsia="Times New Roman"/>
                <w:b/>
                <w:bCs/>
                <w:sz w:val="18"/>
                <w:szCs w:val="18"/>
                <w:highlight w:val="cyan"/>
                <w:lang w:val="en-GB" w:eastAsia="en-GB"/>
              </w:rPr>
            </w:pPr>
          </w:p>
        </w:tc>
        <w:tc>
          <w:tcPr>
            <w:tcW w:w="386" w:type="dxa"/>
            <w:vMerge/>
            <w:vAlign w:val="center"/>
            <w:hideMark/>
          </w:tcPr>
          <w:p w14:paraId="7C11561A" w14:textId="77777777" w:rsidR="008F1860" w:rsidRPr="00D62D04" w:rsidRDefault="008F1860" w:rsidP="008F1860">
            <w:pPr>
              <w:spacing w:after="0" w:line="240" w:lineRule="auto"/>
              <w:rPr>
                <w:rFonts w:eastAsia="Times New Roman"/>
                <w:b/>
                <w:bCs/>
                <w:sz w:val="18"/>
                <w:szCs w:val="18"/>
                <w:highlight w:val="cyan"/>
                <w:lang w:val="en-GB" w:eastAsia="en-GB"/>
              </w:rPr>
            </w:pPr>
          </w:p>
        </w:tc>
        <w:tc>
          <w:tcPr>
            <w:tcW w:w="386" w:type="dxa"/>
            <w:vMerge/>
            <w:vAlign w:val="center"/>
            <w:hideMark/>
          </w:tcPr>
          <w:p w14:paraId="402110EA" w14:textId="77777777" w:rsidR="008F1860" w:rsidRPr="00D62D04" w:rsidRDefault="008F1860" w:rsidP="008F1860">
            <w:pPr>
              <w:spacing w:after="0" w:line="240" w:lineRule="auto"/>
              <w:rPr>
                <w:rFonts w:eastAsia="Times New Roman"/>
                <w:b/>
                <w:bCs/>
                <w:sz w:val="18"/>
                <w:szCs w:val="18"/>
                <w:highlight w:val="cyan"/>
                <w:lang w:val="en-GB" w:eastAsia="en-GB"/>
              </w:rPr>
            </w:pPr>
          </w:p>
        </w:tc>
        <w:tc>
          <w:tcPr>
            <w:tcW w:w="386" w:type="dxa"/>
            <w:shd w:val="clear" w:color="auto" w:fill="auto"/>
            <w:textDirection w:val="btLr"/>
            <w:vAlign w:val="bottom"/>
            <w:hideMark/>
          </w:tcPr>
          <w:p w14:paraId="4F92C962" w14:textId="77777777" w:rsidR="008F1860" w:rsidRPr="00D62D04" w:rsidRDefault="008F1860" w:rsidP="008F1860">
            <w:pPr>
              <w:spacing w:after="0" w:line="240" w:lineRule="auto"/>
              <w:jc w:val="center"/>
              <w:rPr>
                <w:rFonts w:eastAsia="Times New Roman"/>
                <w:sz w:val="18"/>
                <w:szCs w:val="18"/>
                <w:highlight w:val="cyan"/>
                <w:lang w:val="en-GB" w:eastAsia="en-GB"/>
              </w:rPr>
            </w:pPr>
            <w:r w:rsidRPr="008F1860">
              <w:rPr>
                <w:rFonts w:eastAsia="Times New Roman"/>
                <w:sz w:val="18"/>
                <w:szCs w:val="18"/>
                <w:lang w:val="en-GB" w:eastAsia="en-GB"/>
              </w:rPr>
              <w:t>Male</w:t>
            </w:r>
          </w:p>
        </w:tc>
        <w:tc>
          <w:tcPr>
            <w:tcW w:w="386" w:type="dxa"/>
            <w:shd w:val="clear" w:color="auto" w:fill="auto"/>
            <w:textDirection w:val="btLr"/>
            <w:vAlign w:val="bottom"/>
            <w:hideMark/>
          </w:tcPr>
          <w:p w14:paraId="4D448F6A" w14:textId="77777777" w:rsidR="008F1860" w:rsidRPr="008F1860" w:rsidRDefault="008F1860" w:rsidP="008F1860">
            <w:pPr>
              <w:spacing w:after="0" w:line="240" w:lineRule="auto"/>
              <w:jc w:val="center"/>
              <w:rPr>
                <w:rFonts w:eastAsia="Times New Roman"/>
                <w:sz w:val="18"/>
                <w:szCs w:val="18"/>
                <w:lang w:val="en-GB" w:eastAsia="en-GB"/>
              </w:rPr>
            </w:pPr>
            <w:r w:rsidRPr="008F1860">
              <w:rPr>
                <w:rFonts w:eastAsia="Times New Roman"/>
                <w:sz w:val="18"/>
                <w:szCs w:val="18"/>
                <w:lang w:val="en-GB" w:eastAsia="en-GB"/>
              </w:rPr>
              <w:t xml:space="preserve">Female </w:t>
            </w:r>
          </w:p>
        </w:tc>
        <w:tc>
          <w:tcPr>
            <w:tcW w:w="386" w:type="dxa"/>
            <w:vMerge/>
            <w:vAlign w:val="center"/>
            <w:hideMark/>
          </w:tcPr>
          <w:p w14:paraId="5A3EB50A" w14:textId="77777777" w:rsidR="008F1860" w:rsidRPr="00D62D04" w:rsidRDefault="008F1860" w:rsidP="008F1860">
            <w:pPr>
              <w:spacing w:after="0" w:line="240" w:lineRule="auto"/>
              <w:rPr>
                <w:rFonts w:eastAsia="Times New Roman"/>
                <w:b/>
                <w:bCs/>
                <w:sz w:val="18"/>
                <w:szCs w:val="18"/>
                <w:highlight w:val="cyan"/>
                <w:lang w:val="en-GB" w:eastAsia="en-GB"/>
              </w:rPr>
            </w:pPr>
          </w:p>
        </w:tc>
        <w:tc>
          <w:tcPr>
            <w:tcW w:w="386" w:type="dxa"/>
            <w:vMerge/>
            <w:vAlign w:val="center"/>
            <w:hideMark/>
          </w:tcPr>
          <w:p w14:paraId="32B4312D" w14:textId="77777777" w:rsidR="008F1860" w:rsidRPr="00D62D04" w:rsidRDefault="008F1860" w:rsidP="008F1860">
            <w:pPr>
              <w:spacing w:after="0" w:line="240" w:lineRule="auto"/>
              <w:rPr>
                <w:rFonts w:eastAsia="Times New Roman"/>
                <w:b/>
                <w:bCs/>
                <w:sz w:val="18"/>
                <w:szCs w:val="18"/>
                <w:highlight w:val="cyan"/>
                <w:lang w:val="en-GB" w:eastAsia="en-GB"/>
              </w:rPr>
            </w:pPr>
          </w:p>
        </w:tc>
        <w:tc>
          <w:tcPr>
            <w:tcW w:w="386" w:type="dxa"/>
            <w:vMerge/>
            <w:vAlign w:val="center"/>
            <w:hideMark/>
          </w:tcPr>
          <w:p w14:paraId="45CF5E71" w14:textId="77777777" w:rsidR="008F1860" w:rsidRPr="00D62D04" w:rsidRDefault="008F1860" w:rsidP="008F1860">
            <w:pPr>
              <w:spacing w:after="0" w:line="240" w:lineRule="auto"/>
              <w:rPr>
                <w:rFonts w:eastAsia="Times New Roman"/>
                <w:b/>
                <w:bCs/>
                <w:sz w:val="18"/>
                <w:szCs w:val="18"/>
                <w:highlight w:val="cyan"/>
                <w:lang w:val="en-GB" w:eastAsia="en-GB"/>
              </w:rPr>
            </w:pPr>
          </w:p>
        </w:tc>
        <w:tc>
          <w:tcPr>
            <w:tcW w:w="389" w:type="dxa"/>
            <w:vMerge/>
            <w:vAlign w:val="center"/>
            <w:hideMark/>
          </w:tcPr>
          <w:p w14:paraId="3F66FFC0" w14:textId="77777777" w:rsidR="008F1860" w:rsidRPr="00D62D04" w:rsidRDefault="008F1860" w:rsidP="008F1860">
            <w:pPr>
              <w:spacing w:after="0" w:line="240" w:lineRule="auto"/>
              <w:rPr>
                <w:rFonts w:eastAsia="Times New Roman"/>
                <w:b/>
                <w:bCs/>
                <w:sz w:val="18"/>
                <w:szCs w:val="18"/>
                <w:highlight w:val="cyan"/>
                <w:lang w:val="en-GB" w:eastAsia="en-GB"/>
              </w:rPr>
            </w:pPr>
          </w:p>
        </w:tc>
        <w:tc>
          <w:tcPr>
            <w:tcW w:w="389" w:type="dxa"/>
            <w:vMerge/>
            <w:vAlign w:val="center"/>
            <w:hideMark/>
          </w:tcPr>
          <w:p w14:paraId="6D6E3566" w14:textId="77777777" w:rsidR="008F1860" w:rsidRPr="00D62D04" w:rsidRDefault="008F1860" w:rsidP="008F1860">
            <w:pPr>
              <w:spacing w:after="0" w:line="240" w:lineRule="auto"/>
              <w:rPr>
                <w:rFonts w:eastAsia="Times New Roman"/>
                <w:b/>
                <w:bCs/>
                <w:sz w:val="18"/>
                <w:szCs w:val="18"/>
                <w:highlight w:val="cyan"/>
                <w:lang w:val="en-GB" w:eastAsia="en-GB"/>
              </w:rPr>
            </w:pPr>
          </w:p>
        </w:tc>
      </w:tr>
      <w:tr w:rsidR="008F1860" w:rsidRPr="00782004" w14:paraId="7007D3BC" w14:textId="77777777" w:rsidTr="008F1860">
        <w:trPr>
          <w:trHeight w:val="416"/>
        </w:trPr>
        <w:tc>
          <w:tcPr>
            <w:tcW w:w="826" w:type="dxa"/>
            <w:shd w:val="clear" w:color="auto" w:fill="auto"/>
            <w:noWrap/>
            <w:vAlign w:val="center"/>
            <w:hideMark/>
          </w:tcPr>
          <w:p w14:paraId="79D083D3" w14:textId="77777777" w:rsidR="008F1860" w:rsidRPr="00782004" w:rsidRDefault="008F1860" w:rsidP="008F1860">
            <w:pPr>
              <w:spacing w:after="0" w:line="240" w:lineRule="auto"/>
              <w:jc w:val="center"/>
              <w:rPr>
                <w:rFonts w:eastAsia="Times New Roman"/>
                <w:b/>
                <w:bCs/>
                <w:sz w:val="12"/>
                <w:szCs w:val="12"/>
                <w:lang w:val="en-GB" w:eastAsia="en-GB"/>
              </w:rPr>
            </w:pPr>
            <w:r w:rsidRPr="00782004">
              <w:rPr>
                <w:rFonts w:eastAsia="Times New Roman"/>
                <w:b/>
                <w:bCs/>
                <w:sz w:val="12"/>
                <w:szCs w:val="12"/>
                <w:lang w:val="en-GB" w:eastAsia="en-GB"/>
              </w:rPr>
              <w:t>2017</w:t>
            </w:r>
          </w:p>
        </w:tc>
        <w:tc>
          <w:tcPr>
            <w:tcW w:w="387" w:type="dxa"/>
            <w:shd w:val="clear" w:color="auto" w:fill="auto"/>
            <w:noWrap/>
            <w:vAlign w:val="center"/>
            <w:hideMark/>
          </w:tcPr>
          <w:p w14:paraId="4F5E1C9A" w14:textId="77777777" w:rsidR="008F1860" w:rsidRPr="00782004" w:rsidRDefault="008F1860" w:rsidP="008F1860">
            <w:pPr>
              <w:spacing w:after="0" w:line="240" w:lineRule="auto"/>
              <w:jc w:val="center"/>
              <w:rPr>
                <w:rFonts w:eastAsia="Times New Roman"/>
                <w:b/>
                <w:bCs/>
                <w:sz w:val="12"/>
                <w:szCs w:val="12"/>
                <w:lang w:val="en-GB" w:eastAsia="en-GB"/>
              </w:rPr>
            </w:pPr>
            <w:r w:rsidRPr="00782004">
              <w:rPr>
                <w:rFonts w:eastAsia="Times New Roman"/>
                <w:b/>
                <w:bCs/>
                <w:sz w:val="12"/>
                <w:szCs w:val="12"/>
                <w:lang w:val="en-GB" w:eastAsia="en-GB"/>
              </w:rPr>
              <w:t>33</w:t>
            </w:r>
          </w:p>
        </w:tc>
        <w:tc>
          <w:tcPr>
            <w:tcW w:w="387" w:type="dxa"/>
            <w:shd w:val="clear" w:color="auto" w:fill="auto"/>
            <w:noWrap/>
            <w:vAlign w:val="center"/>
            <w:hideMark/>
          </w:tcPr>
          <w:p w14:paraId="687C2FF6" w14:textId="77777777" w:rsidR="008F1860" w:rsidRPr="00782004" w:rsidRDefault="008F1860" w:rsidP="008F1860">
            <w:pPr>
              <w:spacing w:after="0" w:line="240" w:lineRule="auto"/>
              <w:jc w:val="center"/>
              <w:rPr>
                <w:rFonts w:eastAsia="Times New Roman"/>
                <w:b/>
                <w:bCs/>
                <w:sz w:val="12"/>
                <w:szCs w:val="12"/>
                <w:lang w:val="en-GB" w:eastAsia="en-GB"/>
              </w:rPr>
            </w:pPr>
            <w:r w:rsidRPr="00782004">
              <w:rPr>
                <w:rFonts w:eastAsia="Times New Roman"/>
                <w:b/>
                <w:bCs/>
                <w:sz w:val="12"/>
                <w:szCs w:val="12"/>
                <w:lang w:val="en-GB" w:eastAsia="en-GB"/>
              </w:rPr>
              <w:t>50</w:t>
            </w:r>
          </w:p>
        </w:tc>
        <w:tc>
          <w:tcPr>
            <w:tcW w:w="387" w:type="dxa"/>
            <w:shd w:val="clear" w:color="000000" w:fill="auto"/>
            <w:noWrap/>
            <w:vAlign w:val="center"/>
            <w:hideMark/>
          </w:tcPr>
          <w:p w14:paraId="7F48DF68" w14:textId="77777777" w:rsidR="008F1860" w:rsidRPr="00782004" w:rsidRDefault="008F1860" w:rsidP="008F1860">
            <w:pPr>
              <w:spacing w:after="0" w:line="240" w:lineRule="auto"/>
              <w:jc w:val="center"/>
              <w:rPr>
                <w:rFonts w:eastAsia="Times New Roman"/>
                <w:b/>
                <w:bCs/>
                <w:sz w:val="12"/>
                <w:szCs w:val="12"/>
                <w:lang w:val="en-GB" w:eastAsia="en-GB"/>
              </w:rPr>
            </w:pPr>
            <w:r w:rsidRPr="00782004">
              <w:rPr>
                <w:rFonts w:eastAsia="Times New Roman"/>
                <w:b/>
                <w:bCs/>
                <w:sz w:val="12"/>
                <w:szCs w:val="12"/>
                <w:lang w:val="en-GB" w:eastAsia="en-GB"/>
              </w:rPr>
              <w:t>83</w:t>
            </w:r>
          </w:p>
        </w:tc>
        <w:tc>
          <w:tcPr>
            <w:tcW w:w="424" w:type="dxa"/>
            <w:shd w:val="clear" w:color="auto" w:fill="auto"/>
            <w:noWrap/>
            <w:vAlign w:val="center"/>
            <w:hideMark/>
          </w:tcPr>
          <w:p w14:paraId="29AFA054" w14:textId="77777777" w:rsidR="008F1860" w:rsidRPr="00782004" w:rsidRDefault="008F1860" w:rsidP="008F1860">
            <w:pPr>
              <w:spacing w:after="0" w:line="240" w:lineRule="auto"/>
              <w:jc w:val="center"/>
              <w:rPr>
                <w:rFonts w:eastAsia="Times New Roman"/>
                <w:b/>
                <w:bCs/>
                <w:sz w:val="12"/>
                <w:szCs w:val="12"/>
                <w:lang w:val="en-GB" w:eastAsia="en-GB"/>
              </w:rPr>
            </w:pPr>
            <w:r w:rsidRPr="00782004">
              <w:rPr>
                <w:rFonts w:eastAsia="Times New Roman"/>
                <w:b/>
                <w:bCs/>
                <w:sz w:val="12"/>
                <w:szCs w:val="12"/>
                <w:lang w:val="en-GB" w:eastAsia="en-GB"/>
              </w:rPr>
              <w:t>49</w:t>
            </w:r>
          </w:p>
        </w:tc>
        <w:tc>
          <w:tcPr>
            <w:tcW w:w="423" w:type="dxa"/>
            <w:shd w:val="clear" w:color="auto" w:fill="auto"/>
            <w:noWrap/>
            <w:vAlign w:val="center"/>
            <w:hideMark/>
          </w:tcPr>
          <w:p w14:paraId="51A6809E" w14:textId="77777777" w:rsidR="008F1860" w:rsidRPr="00782004" w:rsidRDefault="008F1860" w:rsidP="008F1860">
            <w:pPr>
              <w:spacing w:after="0" w:line="240" w:lineRule="auto"/>
              <w:jc w:val="center"/>
              <w:rPr>
                <w:rFonts w:eastAsia="Times New Roman"/>
                <w:b/>
                <w:bCs/>
                <w:sz w:val="12"/>
                <w:szCs w:val="12"/>
                <w:lang w:val="en-GB" w:eastAsia="en-GB"/>
              </w:rPr>
            </w:pPr>
            <w:r w:rsidRPr="00782004">
              <w:rPr>
                <w:rFonts w:eastAsia="Times New Roman"/>
                <w:b/>
                <w:bCs/>
                <w:sz w:val="12"/>
                <w:szCs w:val="12"/>
                <w:lang w:val="en-GB" w:eastAsia="en-GB"/>
              </w:rPr>
              <w:t>1</w:t>
            </w:r>
          </w:p>
        </w:tc>
        <w:tc>
          <w:tcPr>
            <w:tcW w:w="386" w:type="dxa"/>
            <w:shd w:val="clear" w:color="auto" w:fill="auto"/>
            <w:noWrap/>
            <w:vAlign w:val="center"/>
            <w:hideMark/>
          </w:tcPr>
          <w:p w14:paraId="7BA11FE3" w14:textId="77777777" w:rsidR="008F1860" w:rsidRPr="00782004" w:rsidRDefault="008F1860" w:rsidP="008F1860">
            <w:pPr>
              <w:spacing w:after="0" w:line="240" w:lineRule="auto"/>
              <w:jc w:val="center"/>
              <w:rPr>
                <w:rFonts w:eastAsia="Times New Roman"/>
                <w:b/>
                <w:bCs/>
                <w:sz w:val="12"/>
                <w:szCs w:val="12"/>
                <w:lang w:val="en-GB" w:eastAsia="en-GB"/>
              </w:rPr>
            </w:pPr>
            <w:r w:rsidRPr="00782004">
              <w:rPr>
                <w:rFonts w:eastAsia="Times New Roman"/>
                <w:b/>
                <w:bCs/>
                <w:sz w:val="12"/>
                <w:szCs w:val="12"/>
                <w:lang w:val="en-GB" w:eastAsia="en-GB"/>
              </w:rPr>
              <w:t>24</w:t>
            </w:r>
          </w:p>
        </w:tc>
        <w:tc>
          <w:tcPr>
            <w:tcW w:w="386" w:type="dxa"/>
            <w:shd w:val="clear" w:color="auto" w:fill="auto"/>
            <w:noWrap/>
            <w:vAlign w:val="center"/>
            <w:hideMark/>
          </w:tcPr>
          <w:p w14:paraId="6F513648" w14:textId="77777777" w:rsidR="008F1860" w:rsidRPr="00782004" w:rsidRDefault="008F1860" w:rsidP="008F1860">
            <w:pPr>
              <w:spacing w:after="0" w:line="240" w:lineRule="auto"/>
              <w:jc w:val="center"/>
              <w:rPr>
                <w:rFonts w:eastAsia="Times New Roman"/>
                <w:b/>
                <w:bCs/>
                <w:sz w:val="12"/>
                <w:szCs w:val="12"/>
                <w:lang w:val="en-GB" w:eastAsia="en-GB"/>
              </w:rPr>
            </w:pPr>
            <w:r w:rsidRPr="00782004">
              <w:rPr>
                <w:rFonts w:eastAsia="Times New Roman"/>
                <w:b/>
                <w:bCs/>
                <w:sz w:val="12"/>
                <w:szCs w:val="12"/>
                <w:lang w:val="en-GB" w:eastAsia="en-GB"/>
              </w:rPr>
              <w:t>22</w:t>
            </w:r>
          </w:p>
        </w:tc>
        <w:tc>
          <w:tcPr>
            <w:tcW w:w="386" w:type="dxa"/>
            <w:shd w:val="clear" w:color="auto" w:fill="auto"/>
            <w:noWrap/>
            <w:vAlign w:val="center"/>
            <w:hideMark/>
          </w:tcPr>
          <w:p w14:paraId="199C5AE0" w14:textId="77777777" w:rsidR="008F1860" w:rsidRPr="00782004" w:rsidRDefault="008F1860" w:rsidP="008F1860">
            <w:pPr>
              <w:spacing w:after="0" w:line="240" w:lineRule="auto"/>
              <w:jc w:val="center"/>
              <w:rPr>
                <w:rFonts w:eastAsia="Times New Roman"/>
                <w:b/>
                <w:bCs/>
                <w:sz w:val="12"/>
                <w:szCs w:val="12"/>
                <w:lang w:val="en-GB" w:eastAsia="en-GB"/>
              </w:rPr>
            </w:pPr>
            <w:r w:rsidRPr="00782004">
              <w:rPr>
                <w:rFonts w:eastAsia="Times New Roman"/>
                <w:b/>
                <w:bCs/>
                <w:sz w:val="12"/>
                <w:szCs w:val="12"/>
                <w:lang w:val="en-GB" w:eastAsia="en-GB"/>
              </w:rPr>
              <w:t>1</w:t>
            </w:r>
          </w:p>
        </w:tc>
        <w:tc>
          <w:tcPr>
            <w:tcW w:w="386" w:type="dxa"/>
            <w:shd w:val="clear" w:color="auto" w:fill="auto"/>
            <w:noWrap/>
            <w:vAlign w:val="center"/>
            <w:hideMark/>
          </w:tcPr>
          <w:p w14:paraId="1E56FA73" w14:textId="77777777" w:rsidR="008F1860" w:rsidRPr="00782004" w:rsidRDefault="008F1860" w:rsidP="008F1860">
            <w:pPr>
              <w:spacing w:after="0" w:line="240" w:lineRule="auto"/>
              <w:jc w:val="center"/>
              <w:rPr>
                <w:rFonts w:eastAsia="Times New Roman"/>
                <w:b/>
                <w:bCs/>
                <w:sz w:val="12"/>
                <w:szCs w:val="12"/>
                <w:lang w:val="en-GB" w:eastAsia="en-GB"/>
              </w:rPr>
            </w:pPr>
            <w:r w:rsidRPr="00782004">
              <w:rPr>
                <w:rFonts w:eastAsia="Times New Roman"/>
                <w:b/>
                <w:bCs/>
                <w:sz w:val="12"/>
                <w:szCs w:val="12"/>
                <w:lang w:val="en-GB" w:eastAsia="en-GB"/>
              </w:rPr>
              <w:t>8</w:t>
            </w:r>
          </w:p>
        </w:tc>
        <w:tc>
          <w:tcPr>
            <w:tcW w:w="386" w:type="dxa"/>
            <w:shd w:val="clear" w:color="auto" w:fill="auto"/>
            <w:noWrap/>
            <w:vAlign w:val="center"/>
            <w:hideMark/>
          </w:tcPr>
          <w:p w14:paraId="09D2D4AA" w14:textId="77777777" w:rsidR="008F1860" w:rsidRPr="00782004" w:rsidRDefault="008F1860" w:rsidP="008F1860">
            <w:pPr>
              <w:spacing w:after="0" w:line="240" w:lineRule="auto"/>
              <w:jc w:val="center"/>
              <w:rPr>
                <w:rFonts w:eastAsia="Times New Roman"/>
                <w:b/>
                <w:bCs/>
                <w:sz w:val="12"/>
                <w:szCs w:val="12"/>
                <w:lang w:val="en-GB" w:eastAsia="en-GB"/>
              </w:rPr>
            </w:pPr>
            <w:r w:rsidRPr="00782004">
              <w:rPr>
                <w:rFonts w:eastAsia="Times New Roman"/>
                <w:b/>
                <w:bCs/>
                <w:sz w:val="12"/>
                <w:szCs w:val="12"/>
                <w:lang w:val="en-GB" w:eastAsia="en-GB"/>
              </w:rPr>
              <w:t> </w:t>
            </w:r>
          </w:p>
        </w:tc>
        <w:tc>
          <w:tcPr>
            <w:tcW w:w="386" w:type="dxa"/>
            <w:shd w:val="clear" w:color="auto" w:fill="auto"/>
            <w:noWrap/>
            <w:vAlign w:val="center"/>
            <w:hideMark/>
          </w:tcPr>
          <w:p w14:paraId="78352AC9" w14:textId="77777777" w:rsidR="008F1860" w:rsidRPr="00782004" w:rsidRDefault="008F1860" w:rsidP="008F1860">
            <w:pPr>
              <w:spacing w:after="0" w:line="240" w:lineRule="auto"/>
              <w:jc w:val="center"/>
              <w:rPr>
                <w:rFonts w:eastAsia="Times New Roman"/>
                <w:b/>
                <w:bCs/>
                <w:sz w:val="12"/>
                <w:szCs w:val="12"/>
                <w:lang w:val="en-GB" w:eastAsia="en-GB"/>
              </w:rPr>
            </w:pPr>
            <w:r w:rsidRPr="00782004">
              <w:rPr>
                <w:rFonts w:eastAsia="Times New Roman"/>
                <w:b/>
                <w:bCs/>
                <w:sz w:val="12"/>
                <w:szCs w:val="12"/>
                <w:lang w:val="en-GB" w:eastAsia="en-GB"/>
              </w:rPr>
              <w:t>19</w:t>
            </w:r>
          </w:p>
        </w:tc>
        <w:tc>
          <w:tcPr>
            <w:tcW w:w="386" w:type="dxa"/>
            <w:shd w:val="clear" w:color="000000" w:fill="auto"/>
            <w:noWrap/>
            <w:vAlign w:val="center"/>
            <w:hideMark/>
          </w:tcPr>
          <w:p w14:paraId="2AB76798" w14:textId="77777777" w:rsidR="008F1860" w:rsidRPr="00782004" w:rsidRDefault="008F1860" w:rsidP="008F1860">
            <w:pPr>
              <w:spacing w:after="0" w:line="240" w:lineRule="auto"/>
              <w:jc w:val="center"/>
              <w:rPr>
                <w:rFonts w:eastAsia="Times New Roman"/>
                <w:b/>
                <w:bCs/>
                <w:sz w:val="12"/>
                <w:szCs w:val="12"/>
                <w:lang w:val="en-GB" w:eastAsia="en-GB"/>
              </w:rPr>
            </w:pPr>
            <w:r w:rsidRPr="00782004">
              <w:rPr>
                <w:rFonts w:eastAsia="Times New Roman"/>
                <w:b/>
                <w:bCs/>
                <w:sz w:val="12"/>
                <w:szCs w:val="12"/>
                <w:lang w:val="en-GB" w:eastAsia="en-GB"/>
              </w:rPr>
              <w:t>50</w:t>
            </w:r>
          </w:p>
        </w:tc>
        <w:tc>
          <w:tcPr>
            <w:tcW w:w="386" w:type="dxa"/>
            <w:shd w:val="clear" w:color="auto" w:fill="auto"/>
            <w:noWrap/>
            <w:vAlign w:val="center"/>
            <w:hideMark/>
          </w:tcPr>
          <w:p w14:paraId="590DEE63" w14:textId="77777777" w:rsidR="008F1860" w:rsidRPr="00782004" w:rsidRDefault="008F1860" w:rsidP="008F1860">
            <w:pPr>
              <w:spacing w:after="0" w:line="240" w:lineRule="auto"/>
              <w:jc w:val="center"/>
              <w:rPr>
                <w:rFonts w:eastAsia="Times New Roman"/>
                <w:b/>
                <w:bCs/>
                <w:sz w:val="12"/>
                <w:szCs w:val="12"/>
                <w:lang w:val="en-GB" w:eastAsia="en-GB"/>
              </w:rPr>
            </w:pPr>
            <w:r w:rsidRPr="00782004">
              <w:rPr>
                <w:rFonts w:eastAsia="Times New Roman"/>
                <w:b/>
                <w:bCs/>
                <w:sz w:val="12"/>
                <w:szCs w:val="12"/>
                <w:lang w:val="en-GB" w:eastAsia="en-GB"/>
              </w:rPr>
              <w:t>2</w:t>
            </w:r>
          </w:p>
        </w:tc>
        <w:tc>
          <w:tcPr>
            <w:tcW w:w="386" w:type="dxa"/>
            <w:shd w:val="clear" w:color="auto" w:fill="auto"/>
            <w:noWrap/>
            <w:vAlign w:val="center"/>
            <w:hideMark/>
          </w:tcPr>
          <w:p w14:paraId="067F2057" w14:textId="77777777" w:rsidR="008F1860" w:rsidRPr="00782004" w:rsidRDefault="008F1860" w:rsidP="008F1860">
            <w:pPr>
              <w:spacing w:after="0" w:line="240" w:lineRule="auto"/>
              <w:jc w:val="center"/>
              <w:rPr>
                <w:rFonts w:eastAsia="Times New Roman"/>
                <w:b/>
                <w:bCs/>
                <w:sz w:val="12"/>
                <w:szCs w:val="12"/>
                <w:lang w:val="en-GB" w:eastAsia="en-GB"/>
              </w:rPr>
            </w:pPr>
            <w:r w:rsidRPr="00782004">
              <w:rPr>
                <w:rFonts w:eastAsia="Times New Roman"/>
                <w:b/>
                <w:bCs/>
                <w:sz w:val="12"/>
                <w:szCs w:val="12"/>
                <w:lang w:val="en-GB" w:eastAsia="en-GB"/>
              </w:rPr>
              <w:t>3</w:t>
            </w:r>
          </w:p>
        </w:tc>
        <w:tc>
          <w:tcPr>
            <w:tcW w:w="386" w:type="dxa"/>
            <w:shd w:val="clear" w:color="auto" w:fill="auto"/>
            <w:noWrap/>
            <w:vAlign w:val="center"/>
            <w:hideMark/>
          </w:tcPr>
          <w:p w14:paraId="56084AF3" w14:textId="77777777" w:rsidR="008F1860" w:rsidRPr="00782004" w:rsidRDefault="008F1860" w:rsidP="008F1860">
            <w:pPr>
              <w:spacing w:after="0" w:line="240" w:lineRule="auto"/>
              <w:jc w:val="center"/>
              <w:rPr>
                <w:rFonts w:eastAsia="Times New Roman"/>
                <w:b/>
                <w:bCs/>
                <w:sz w:val="12"/>
                <w:szCs w:val="12"/>
                <w:lang w:val="en-GB" w:eastAsia="en-GB"/>
              </w:rPr>
            </w:pPr>
            <w:r w:rsidRPr="00782004">
              <w:rPr>
                <w:rFonts w:eastAsia="Times New Roman"/>
                <w:b/>
                <w:bCs/>
                <w:sz w:val="12"/>
                <w:szCs w:val="12"/>
                <w:lang w:val="en-GB" w:eastAsia="en-GB"/>
              </w:rPr>
              <w:t>2</w:t>
            </w:r>
          </w:p>
        </w:tc>
        <w:tc>
          <w:tcPr>
            <w:tcW w:w="386" w:type="dxa"/>
            <w:shd w:val="clear" w:color="auto" w:fill="auto"/>
            <w:noWrap/>
            <w:vAlign w:val="center"/>
            <w:hideMark/>
          </w:tcPr>
          <w:p w14:paraId="17301F9A" w14:textId="77777777" w:rsidR="008F1860" w:rsidRPr="00782004" w:rsidRDefault="008F1860" w:rsidP="008F1860">
            <w:pPr>
              <w:spacing w:after="0" w:line="240" w:lineRule="auto"/>
              <w:jc w:val="center"/>
              <w:rPr>
                <w:rFonts w:eastAsia="Times New Roman"/>
                <w:b/>
                <w:bCs/>
                <w:sz w:val="12"/>
                <w:szCs w:val="12"/>
                <w:lang w:val="en-GB" w:eastAsia="en-GB"/>
              </w:rPr>
            </w:pPr>
            <w:r w:rsidRPr="00782004">
              <w:rPr>
                <w:rFonts w:eastAsia="Times New Roman"/>
                <w:b/>
                <w:bCs/>
                <w:sz w:val="12"/>
                <w:szCs w:val="12"/>
                <w:lang w:val="en-GB" w:eastAsia="en-GB"/>
              </w:rPr>
              <w:t>1</w:t>
            </w:r>
          </w:p>
        </w:tc>
        <w:tc>
          <w:tcPr>
            <w:tcW w:w="386" w:type="dxa"/>
            <w:shd w:val="clear" w:color="auto" w:fill="auto"/>
            <w:noWrap/>
            <w:vAlign w:val="center"/>
            <w:hideMark/>
          </w:tcPr>
          <w:p w14:paraId="2C3909D3" w14:textId="77777777" w:rsidR="008F1860" w:rsidRPr="00782004" w:rsidRDefault="008F1860" w:rsidP="008F1860">
            <w:pPr>
              <w:spacing w:after="0" w:line="240" w:lineRule="auto"/>
              <w:jc w:val="center"/>
              <w:rPr>
                <w:rFonts w:eastAsia="Times New Roman"/>
                <w:b/>
                <w:bCs/>
                <w:sz w:val="12"/>
                <w:szCs w:val="12"/>
                <w:lang w:val="en-GB" w:eastAsia="en-GB"/>
              </w:rPr>
            </w:pPr>
            <w:r w:rsidRPr="00782004">
              <w:rPr>
                <w:rFonts w:eastAsia="Times New Roman"/>
                <w:b/>
                <w:bCs/>
                <w:sz w:val="12"/>
                <w:szCs w:val="12"/>
                <w:lang w:val="en-GB" w:eastAsia="en-GB"/>
              </w:rPr>
              <w:t>3</w:t>
            </w:r>
          </w:p>
        </w:tc>
        <w:tc>
          <w:tcPr>
            <w:tcW w:w="386" w:type="dxa"/>
            <w:shd w:val="clear" w:color="auto" w:fill="auto"/>
            <w:noWrap/>
            <w:vAlign w:val="center"/>
            <w:hideMark/>
          </w:tcPr>
          <w:p w14:paraId="233AA3F1" w14:textId="77777777" w:rsidR="008F1860" w:rsidRPr="00782004" w:rsidRDefault="008F1860" w:rsidP="008F1860">
            <w:pPr>
              <w:spacing w:after="0" w:line="240" w:lineRule="auto"/>
              <w:jc w:val="center"/>
              <w:rPr>
                <w:rFonts w:eastAsia="Times New Roman"/>
                <w:b/>
                <w:bCs/>
                <w:sz w:val="12"/>
                <w:szCs w:val="12"/>
                <w:lang w:val="en-GB" w:eastAsia="en-GB"/>
              </w:rPr>
            </w:pPr>
            <w:r w:rsidRPr="00782004">
              <w:rPr>
                <w:rFonts w:eastAsia="Times New Roman"/>
                <w:b/>
                <w:bCs/>
                <w:sz w:val="12"/>
                <w:szCs w:val="12"/>
                <w:lang w:val="en-GB" w:eastAsia="en-GB"/>
              </w:rPr>
              <w:t>1</w:t>
            </w:r>
          </w:p>
        </w:tc>
        <w:tc>
          <w:tcPr>
            <w:tcW w:w="386" w:type="dxa"/>
            <w:shd w:val="clear" w:color="auto" w:fill="auto"/>
            <w:noWrap/>
            <w:vAlign w:val="center"/>
            <w:hideMark/>
          </w:tcPr>
          <w:p w14:paraId="1BB0288C" w14:textId="77777777" w:rsidR="008F1860" w:rsidRPr="00782004" w:rsidRDefault="008F1860" w:rsidP="008F1860">
            <w:pPr>
              <w:spacing w:after="0" w:line="240" w:lineRule="auto"/>
              <w:jc w:val="center"/>
              <w:rPr>
                <w:rFonts w:eastAsia="Times New Roman"/>
                <w:b/>
                <w:bCs/>
                <w:sz w:val="12"/>
                <w:szCs w:val="12"/>
                <w:lang w:val="en-GB" w:eastAsia="en-GB"/>
              </w:rPr>
            </w:pPr>
            <w:r w:rsidRPr="00782004">
              <w:rPr>
                <w:rFonts w:eastAsia="Times New Roman"/>
                <w:b/>
                <w:bCs/>
                <w:sz w:val="12"/>
                <w:szCs w:val="12"/>
                <w:lang w:val="en-GB" w:eastAsia="en-GB"/>
              </w:rPr>
              <w:t> </w:t>
            </w:r>
          </w:p>
        </w:tc>
        <w:tc>
          <w:tcPr>
            <w:tcW w:w="389" w:type="dxa"/>
            <w:shd w:val="clear" w:color="auto" w:fill="auto"/>
            <w:noWrap/>
            <w:vAlign w:val="center"/>
            <w:hideMark/>
          </w:tcPr>
          <w:p w14:paraId="50104E16" w14:textId="77777777" w:rsidR="008F1860" w:rsidRPr="00782004" w:rsidRDefault="008F1860" w:rsidP="008F1860">
            <w:pPr>
              <w:spacing w:after="0" w:line="240" w:lineRule="auto"/>
              <w:jc w:val="center"/>
              <w:rPr>
                <w:rFonts w:eastAsia="Times New Roman"/>
                <w:b/>
                <w:bCs/>
                <w:sz w:val="12"/>
                <w:szCs w:val="12"/>
                <w:lang w:val="en-GB" w:eastAsia="en-GB"/>
              </w:rPr>
            </w:pPr>
            <w:r w:rsidRPr="00782004">
              <w:rPr>
                <w:rFonts w:eastAsia="Times New Roman"/>
                <w:b/>
                <w:bCs/>
                <w:sz w:val="12"/>
                <w:szCs w:val="12"/>
                <w:lang w:val="en-GB" w:eastAsia="en-GB"/>
              </w:rPr>
              <w:t> </w:t>
            </w:r>
          </w:p>
        </w:tc>
        <w:tc>
          <w:tcPr>
            <w:tcW w:w="389" w:type="dxa"/>
            <w:shd w:val="clear" w:color="auto" w:fill="auto"/>
            <w:noWrap/>
            <w:vAlign w:val="center"/>
            <w:hideMark/>
          </w:tcPr>
          <w:p w14:paraId="1C9089EC" w14:textId="77777777" w:rsidR="008F1860" w:rsidRPr="00782004" w:rsidRDefault="008F1860" w:rsidP="008F1860">
            <w:pPr>
              <w:spacing w:after="0" w:line="240" w:lineRule="auto"/>
              <w:jc w:val="center"/>
              <w:rPr>
                <w:rFonts w:eastAsia="Times New Roman"/>
                <w:b/>
                <w:bCs/>
                <w:sz w:val="12"/>
                <w:szCs w:val="12"/>
                <w:lang w:val="en-GB" w:eastAsia="en-GB"/>
              </w:rPr>
            </w:pPr>
            <w:r w:rsidRPr="00782004">
              <w:rPr>
                <w:rFonts w:eastAsia="Times New Roman"/>
                <w:b/>
                <w:bCs/>
                <w:sz w:val="12"/>
                <w:szCs w:val="12"/>
                <w:lang w:val="en-GB" w:eastAsia="en-GB"/>
              </w:rPr>
              <w:t>1</w:t>
            </w:r>
          </w:p>
        </w:tc>
      </w:tr>
      <w:tr w:rsidR="008F1860" w:rsidRPr="00D62D04" w14:paraId="18F0855B" w14:textId="77777777" w:rsidTr="008F1860">
        <w:trPr>
          <w:trHeight w:val="410"/>
        </w:trPr>
        <w:tc>
          <w:tcPr>
            <w:tcW w:w="826" w:type="dxa"/>
            <w:shd w:val="clear" w:color="auto" w:fill="auto"/>
            <w:noWrap/>
            <w:vAlign w:val="center"/>
            <w:hideMark/>
          </w:tcPr>
          <w:p w14:paraId="7752CB8E" w14:textId="77777777" w:rsidR="008F1860" w:rsidRPr="00782004" w:rsidRDefault="008F1860" w:rsidP="008F1860">
            <w:pPr>
              <w:spacing w:after="0" w:line="240" w:lineRule="auto"/>
              <w:jc w:val="center"/>
              <w:rPr>
                <w:rFonts w:eastAsia="Times New Roman"/>
                <w:b/>
                <w:bCs/>
                <w:sz w:val="12"/>
                <w:szCs w:val="12"/>
                <w:lang w:val="en-GB" w:eastAsia="en-GB"/>
              </w:rPr>
            </w:pPr>
            <w:r w:rsidRPr="00782004">
              <w:rPr>
                <w:rFonts w:eastAsia="Times New Roman"/>
                <w:b/>
                <w:bCs/>
                <w:sz w:val="12"/>
                <w:szCs w:val="12"/>
                <w:lang w:val="en-GB" w:eastAsia="en-GB"/>
              </w:rPr>
              <w:t>2018</w:t>
            </w:r>
          </w:p>
        </w:tc>
        <w:tc>
          <w:tcPr>
            <w:tcW w:w="387" w:type="dxa"/>
            <w:shd w:val="clear" w:color="auto" w:fill="auto"/>
            <w:noWrap/>
            <w:vAlign w:val="center"/>
            <w:hideMark/>
          </w:tcPr>
          <w:p w14:paraId="3E57F4F5" w14:textId="77777777" w:rsidR="008F1860" w:rsidRPr="00782004" w:rsidRDefault="008F1860" w:rsidP="008F1860">
            <w:pPr>
              <w:spacing w:after="0" w:line="240" w:lineRule="auto"/>
              <w:jc w:val="center"/>
              <w:rPr>
                <w:rFonts w:eastAsia="Times New Roman"/>
                <w:b/>
                <w:bCs/>
                <w:sz w:val="12"/>
                <w:szCs w:val="12"/>
                <w:lang w:val="en-GB" w:eastAsia="en-GB"/>
              </w:rPr>
            </w:pPr>
            <w:r w:rsidRPr="00782004">
              <w:rPr>
                <w:rFonts w:eastAsia="Times New Roman"/>
                <w:b/>
                <w:bCs/>
                <w:sz w:val="12"/>
                <w:szCs w:val="12"/>
                <w:lang w:val="en-GB" w:eastAsia="en-GB"/>
              </w:rPr>
              <w:t>30</w:t>
            </w:r>
          </w:p>
        </w:tc>
        <w:tc>
          <w:tcPr>
            <w:tcW w:w="387" w:type="dxa"/>
            <w:shd w:val="clear" w:color="auto" w:fill="auto"/>
            <w:noWrap/>
            <w:vAlign w:val="center"/>
            <w:hideMark/>
          </w:tcPr>
          <w:p w14:paraId="4F5D23E9" w14:textId="77777777" w:rsidR="008F1860" w:rsidRPr="00782004" w:rsidRDefault="008F1860" w:rsidP="008F1860">
            <w:pPr>
              <w:spacing w:after="0" w:line="240" w:lineRule="auto"/>
              <w:jc w:val="center"/>
              <w:rPr>
                <w:rFonts w:eastAsia="Times New Roman"/>
                <w:b/>
                <w:bCs/>
                <w:sz w:val="12"/>
                <w:szCs w:val="12"/>
                <w:lang w:val="en-GB" w:eastAsia="en-GB"/>
              </w:rPr>
            </w:pPr>
            <w:r w:rsidRPr="00782004">
              <w:rPr>
                <w:rFonts w:eastAsia="Times New Roman"/>
                <w:b/>
                <w:bCs/>
                <w:sz w:val="12"/>
                <w:szCs w:val="12"/>
                <w:lang w:val="en-GB" w:eastAsia="en-GB"/>
              </w:rPr>
              <w:t>30</w:t>
            </w:r>
          </w:p>
        </w:tc>
        <w:tc>
          <w:tcPr>
            <w:tcW w:w="387" w:type="dxa"/>
            <w:shd w:val="clear" w:color="000000" w:fill="auto"/>
            <w:noWrap/>
            <w:vAlign w:val="center"/>
            <w:hideMark/>
          </w:tcPr>
          <w:p w14:paraId="4337715E" w14:textId="77777777" w:rsidR="008F1860" w:rsidRPr="00782004" w:rsidRDefault="008F1860" w:rsidP="008F1860">
            <w:pPr>
              <w:spacing w:after="0" w:line="240" w:lineRule="auto"/>
              <w:jc w:val="center"/>
              <w:rPr>
                <w:rFonts w:eastAsia="Times New Roman"/>
                <w:b/>
                <w:bCs/>
                <w:sz w:val="12"/>
                <w:szCs w:val="12"/>
                <w:lang w:val="en-GB" w:eastAsia="en-GB"/>
              </w:rPr>
            </w:pPr>
            <w:r w:rsidRPr="00782004">
              <w:rPr>
                <w:rFonts w:eastAsia="Times New Roman"/>
                <w:b/>
                <w:bCs/>
                <w:sz w:val="12"/>
                <w:szCs w:val="12"/>
                <w:lang w:val="en-GB" w:eastAsia="en-GB"/>
              </w:rPr>
              <w:t>60</w:t>
            </w:r>
          </w:p>
        </w:tc>
        <w:tc>
          <w:tcPr>
            <w:tcW w:w="424" w:type="dxa"/>
            <w:shd w:val="clear" w:color="auto" w:fill="auto"/>
            <w:noWrap/>
            <w:vAlign w:val="center"/>
            <w:hideMark/>
          </w:tcPr>
          <w:p w14:paraId="4105072E" w14:textId="77777777" w:rsidR="008F1860" w:rsidRPr="00782004" w:rsidRDefault="008F1860" w:rsidP="008F1860">
            <w:pPr>
              <w:spacing w:after="0" w:line="240" w:lineRule="auto"/>
              <w:jc w:val="center"/>
              <w:rPr>
                <w:rFonts w:eastAsia="Times New Roman"/>
                <w:b/>
                <w:bCs/>
                <w:sz w:val="12"/>
                <w:szCs w:val="12"/>
                <w:lang w:val="en-GB" w:eastAsia="en-GB"/>
              </w:rPr>
            </w:pPr>
            <w:r w:rsidRPr="00782004">
              <w:rPr>
                <w:rFonts w:eastAsia="Times New Roman"/>
                <w:b/>
                <w:bCs/>
                <w:sz w:val="12"/>
                <w:szCs w:val="12"/>
                <w:lang w:val="en-GB" w:eastAsia="en-GB"/>
              </w:rPr>
              <w:t>27</w:t>
            </w:r>
          </w:p>
        </w:tc>
        <w:tc>
          <w:tcPr>
            <w:tcW w:w="423" w:type="dxa"/>
            <w:shd w:val="clear" w:color="auto" w:fill="auto"/>
            <w:noWrap/>
            <w:vAlign w:val="center"/>
            <w:hideMark/>
          </w:tcPr>
          <w:p w14:paraId="78F135FE" w14:textId="77777777" w:rsidR="008F1860" w:rsidRPr="00782004" w:rsidRDefault="008F1860" w:rsidP="008F1860">
            <w:pPr>
              <w:spacing w:after="0" w:line="240" w:lineRule="auto"/>
              <w:jc w:val="center"/>
              <w:rPr>
                <w:rFonts w:eastAsia="Times New Roman"/>
                <w:b/>
                <w:bCs/>
                <w:sz w:val="12"/>
                <w:szCs w:val="12"/>
                <w:lang w:val="en-GB" w:eastAsia="en-GB"/>
              </w:rPr>
            </w:pPr>
            <w:r w:rsidRPr="00782004">
              <w:rPr>
                <w:rFonts w:eastAsia="Times New Roman"/>
                <w:b/>
                <w:bCs/>
                <w:sz w:val="12"/>
                <w:szCs w:val="12"/>
                <w:lang w:val="en-GB" w:eastAsia="en-GB"/>
              </w:rPr>
              <w:t>3</w:t>
            </w:r>
          </w:p>
        </w:tc>
        <w:tc>
          <w:tcPr>
            <w:tcW w:w="386" w:type="dxa"/>
            <w:shd w:val="clear" w:color="auto" w:fill="auto"/>
            <w:noWrap/>
            <w:vAlign w:val="center"/>
            <w:hideMark/>
          </w:tcPr>
          <w:p w14:paraId="58B139A6" w14:textId="77777777" w:rsidR="008F1860" w:rsidRPr="00782004" w:rsidRDefault="008F1860" w:rsidP="008F1860">
            <w:pPr>
              <w:spacing w:after="0" w:line="240" w:lineRule="auto"/>
              <w:jc w:val="center"/>
              <w:rPr>
                <w:rFonts w:eastAsia="Times New Roman"/>
                <w:b/>
                <w:bCs/>
                <w:sz w:val="12"/>
                <w:szCs w:val="12"/>
                <w:lang w:val="en-GB" w:eastAsia="en-GB"/>
              </w:rPr>
            </w:pPr>
            <w:r w:rsidRPr="00782004">
              <w:rPr>
                <w:rFonts w:eastAsia="Times New Roman"/>
                <w:b/>
                <w:bCs/>
                <w:sz w:val="12"/>
                <w:szCs w:val="12"/>
                <w:lang w:val="en-GB" w:eastAsia="en-GB"/>
              </w:rPr>
              <w:t>15</w:t>
            </w:r>
          </w:p>
        </w:tc>
        <w:tc>
          <w:tcPr>
            <w:tcW w:w="386" w:type="dxa"/>
            <w:shd w:val="clear" w:color="auto" w:fill="auto"/>
            <w:noWrap/>
            <w:vAlign w:val="center"/>
            <w:hideMark/>
          </w:tcPr>
          <w:p w14:paraId="21FD7032" w14:textId="77777777" w:rsidR="008F1860" w:rsidRPr="00782004" w:rsidRDefault="008F1860" w:rsidP="008F1860">
            <w:pPr>
              <w:spacing w:after="0" w:line="240" w:lineRule="auto"/>
              <w:jc w:val="center"/>
              <w:rPr>
                <w:rFonts w:eastAsia="Times New Roman"/>
                <w:b/>
                <w:bCs/>
                <w:sz w:val="12"/>
                <w:szCs w:val="12"/>
                <w:lang w:val="en-GB" w:eastAsia="en-GB"/>
              </w:rPr>
            </w:pPr>
            <w:r w:rsidRPr="00782004">
              <w:rPr>
                <w:rFonts w:eastAsia="Times New Roman"/>
                <w:b/>
                <w:bCs/>
                <w:sz w:val="12"/>
                <w:szCs w:val="12"/>
                <w:lang w:val="en-GB" w:eastAsia="en-GB"/>
              </w:rPr>
              <w:t>12</w:t>
            </w:r>
          </w:p>
        </w:tc>
        <w:tc>
          <w:tcPr>
            <w:tcW w:w="386" w:type="dxa"/>
            <w:shd w:val="clear" w:color="auto" w:fill="auto"/>
            <w:noWrap/>
            <w:vAlign w:val="center"/>
            <w:hideMark/>
          </w:tcPr>
          <w:p w14:paraId="12C5EE4E" w14:textId="77777777" w:rsidR="008F1860" w:rsidRPr="00782004" w:rsidRDefault="008F1860" w:rsidP="008F1860">
            <w:pPr>
              <w:spacing w:after="0" w:line="240" w:lineRule="auto"/>
              <w:jc w:val="center"/>
              <w:rPr>
                <w:rFonts w:eastAsia="Times New Roman"/>
                <w:b/>
                <w:bCs/>
                <w:sz w:val="12"/>
                <w:szCs w:val="12"/>
                <w:lang w:val="en-GB" w:eastAsia="en-GB"/>
              </w:rPr>
            </w:pPr>
            <w:r w:rsidRPr="00782004">
              <w:rPr>
                <w:rFonts w:eastAsia="Times New Roman"/>
                <w:b/>
                <w:bCs/>
                <w:sz w:val="12"/>
                <w:szCs w:val="12"/>
                <w:lang w:val="en-GB" w:eastAsia="en-GB"/>
              </w:rPr>
              <w:t> </w:t>
            </w:r>
          </w:p>
        </w:tc>
        <w:tc>
          <w:tcPr>
            <w:tcW w:w="386" w:type="dxa"/>
            <w:shd w:val="clear" w:color="auto" w:fill="auto"/>
            <w:noWrap/>
            <w:vAlign w:val="center"/>
            <w:hideMark/>
          </w:tcPr>
          <w:p w14:paraId="4E53EC65" w14:textId="77777777" w:rsidR="008F1860" w:rsidRPr="00782004" w:rsidRDefault="008F1860" w:rsidP="008F1860">
            <w:pPr>
              <w:spacing w:after="0" w:line="240" w:lineRule="auto"/>
              <w:jc w:val="center"/>
              <w:rPr>
                <w:rFonts w:eastAsia="Times New Roman"/>
                <w:b/>
                <w:bCs/>
                <w:sz w:val="12"/>
                <w:szCs w:val="12"/>
                <w:lang w:val="en-GB" w:eastAsia="en-GB"/>
              </w:rPr>
            </w:pPr>
            <w:r w:rsidRPr="00782004">
              <w:rPr>
                <w:rFonts w:eastAsia="Times New Roman"/>
                <w:b/>
                <w:bCs/>
                <w:sz w:val="12"/>
                <w:szCs w:val="12"/>
                <w:lang w:val="en-GB" w:eastAsia="en-GB"/>
              </w:rPr>
              <w:t>8</w:t>
            </w:r>
          </w:p>
        </w:tc>
        <w:tc>
          <w:tcPr>
            <w:tcW w:w="386" w:type="dxa"/>
            <w:shd w:val="clear" w:color="auto" w:fill="auto"/>
            <w:noWrap/>
            <w:vAlign w:val="center"/>
            <w:hideMark/>
          </w:tcPr>
          <w:p w14:paraId="04A0B22A" w14:textId="77777777" w:rsidR="008F1860" w:rsidRPr="00782004" w:rsidRDefault="008F1860" w:rsidP="008F1860">
            <w:pPr>
              <w:spacing w:after="0" w:line="240" w:lineRule="auto"/>
              <w:jc w:val="center"/>
              <w:rPr>
                <w:rFonts w:eastAsia="Times New Roman"/>
                <w:b/>
                <w:bCs/>
                <w:sz w:val="12"/>
                <w:szCs w:val="12"/>
                <w:lang w:val="en-GB" w:eastAsia="en-GB"/>
              </w:rPr>
            </w:pPr>
            <w:r w:rsidRPr="00782004">
              <w:rPr>
                <w:rFonts w:eastAsia="Times New Roman"/>
                <w:b/>
                <w:bCs/>
                <w:sz w:val="12"/>
                <w:szCs w:val="12"/>
                <w:lang w:val="en-GB" w:eastAsia="en-GB"/>
              </w:rPr>
              <w:t> </w:t>
            </w:r>
          </w:p>
        </w:tc>
        <w:tc>
          <w:tcPr>
            <w:tcW w:w="386" w:type="dxa"/>
            <w:shd w:val="clear" w:color="auto" w:fill="auto"/>
            <w:noWrap/>
            <w:vAlign w:val="center"/>
            <w:hideMark/>
          </w:tcPr>
          <w:p w14:paraId="23DFB613" w14:textId="77777777" w:rsidR="008F1860" w:rsidRPr="00782004" w:rsidRDefault="008F1860" w:rsidP="008F1860">
            <w:pPr>
              <w:spacing w:after="0" w:line="240" w:lineRule="auto"/>
              <w:jc w:val="center"/>
              <w:rPr>
                <w:rFonts w:eastAsia="Times New Roman"/>
                <w:b/>
                <w:bCs/>
                <w:sz w:val="12"/>
                <w:szCs w:val="12"/>
                <w:lang w:val="en-GB" w:eastAsia="en-GB"/>
              </w:rPr>
            </w:pPr>
            <w:r w:rsidRPr="00782004">
              <w:rPr>
                <w:rFonts w:eastAsia="Times New Roman"/>
                <w:b/>
                <w:bCs/>
                <w:sz w:val="12"/>
                <w:szCs w:val="12"/>
                <w:lang w:val="en-GB" w:eastAsia="en-GB"/>
              </w:rPr>
              <w:t>10</w:t>
            </w:r>
          </w:p>
        </w:tc>
        <w:tc>
          <w:tcPr>
            <w:tcW w:w="386" w:type="dxa"/>
            <w:shd w:val="clear" w:color="000000" w:fill="auto"/>
            <w:noWrap/>
            <w:vAlign w:val="center"/>
            <w:hideMark/>
          </w:tcPr>
          <w:p w14:paraId="5858AEF3" w14:textId="77777777" w:rsidR="008F1860" w:rsidRPr="00782004" w:rsidRDefault="008F1860" w:rsidP="008F1860">
            <w:pPr>
              <w:spacing w:after="0" w:line="240" w:lineRule="auto"/>
              <w:jc w:val="center"/>
              <w:rPr>
                <w:rFonts w:eastAsia="Times New Roman"/>
                <w:b/>
                <w:bCs/>
                <w:sz w:val="12"/>
                <w:szCs w:val="12"/>
                <w:lang w:val="en-GB" w:eastAsia="en-GB"/>
              </w:rPr>
            </w:pPr>
            <w:r w:rsidRPr="00782004">
              <w:rPr>
                <w:rFonts w:eastAsia="Times New Roman"/>
                <w:b/>
                <w:bCs/>
                <w:sz w:val="12"/>
                <w:szCs w:val="12"/>
                <w:lang w:val="en-GB" w:eastAsia="en-GB"/>
              </w:rPr>
              <w:t>30</w:t>
            </w:r>
          </w:p>
        </w:tc>
        <w:tc>
          <w:tcPr>
            <w:tcW w:w="386" w:type="dxa"/>
            <w:shd w:val="clear" w:color="auto" w:fill="auto"/>
            <w:noWrap/>
            <w:vAlign w:val="center"/>
            <w:hideMark/>
          </w:tcPr>
          <w:p w14:paraId="5D3C7505" w14:textId="77777777" w:rsidR="008F1860" w:rsidRPr="00782004" w:rsidRDefault="008F1860" w:rsidP="008F1860">
            <w:pPr>
              <w:spacing w:after="0" w:line="240" w:lineRule="auto"/>
              <w:jc w:val="center"/>
              <w:rPr>
                <w:rFonts w:eastAsia="Times New Roman"/>
                <w:b/>
                <w:bCs/>
                <w:sz w:val="12"/>
                <w:szCs w:val="12"/>
                <w:lang w:val="en-GB" w:eastAsia="en-GB"/>
              </w:rPr>
            </w:pPr>
            <w:r w:rsidRPr="00782004">
              <w:rPr>
                <w:rFonts w:eastAsia="Times New Roman"/>
                <w:b/>
                <w:bCs/>
                <w:sz w:val="12"/>
                <w:szCs w:val="12"/>
                <w:lang w:val="en-GB" w:eastAsia="en-GB"/>
              </w:rPr>
              <w:t>2</w:t>
            </w:r>
          </w:p>
        </w:tc>
        <w:tc>
          <w:tcPr>
            <w:tcW w:w="386" w:type="dxa"/>
            <w:shd w:val="clear" w:color="auto" w:fill="auto"/>
            <w:noWrap/>
            <w:vAlign w:val="center"/>
            <w:hideMark/>
          </w:tcPr>
          <w:p w14:paraId="73622B5D" w14:textId="77777777" w:rsidR="008F1860" w:rsidRPr="00782004" w:rsidRDefault="008F1860" w:rsidP="008F1860">
            <w:pPr>
              <w:spacing w:after="0" w:line="240" w:lineRule="auto"/>
              <w:jc w:val="center"/>
              <w:rPr>
                <w:rFonts w:eastAsia="Times New Roman"/>
                <w:b/>
                <w:bCs/>
                <w:sz w:val="12"/>
                <w:szCs w:val="12"/>
                <w:lang w:val="en-GB" w:eastAsia="en-GB"/>
              </w:rPr>
            </w:pPr>
            <w:r w:rsidRPr="00782004">
              <w:rPr>
                <w:rFonts w:eastAsia="Times New Roman"/>
                <w:b/>
                <w:bCs/>
                <w:sz w:val="12"/>
                <w:szCs w:val="12"/>
                <w:lang w:val="en-GB" w:eastAsia="en-GB"/>
              </w:rPr>
              <w:t>6</w:t>
            </w:r>
          </w:p>
        </w:tc>
        <w:tc>
          <w:tcPr>
            <w:tcW w:w="386" w:type="dxa"/>
            <w:shd w:val="clear" w:color="auto" w:fill="auto"/>
            <w:noWrap/>
            <w:vAlign w:val="center"/>
            <w:hideMark/>
          </w:tcPr>
          <w:p w14:paraId="182673DE" w14:textId="77777777" w:rsidR="008F1860" w:rsidRPr="00782004" w:rsidRDefault="008F1860" w:rsidP="008F1860">
            <w:pPr>
              <w:spacing w:after="0" w:line="240" w:lineRule="auto"/>
              <w:jc w:val="center"/>
              <w:rPr>
                <w:rFonts w:eastAsia="Times New Roman"/>
                <w:b/>
                <w:bCs/>
                <w:sz w:val="12"/>
                <w:szCs w:val="12"/>
                <w:lang w:val="en-GB" w:eastAsia="en-GB"/>
              </w:rPr>
            </w:pPr>
            <w:r w:rsidRPr="00782004">
              <w:rPr>
                <w:rFonts w:eastAsia="Times New Roman"/>
                <w:b/>
                <w:bCs/>
                <w:sz w:val="12"/>
                <w:szCs w:val="12"/>
                <w:lang w:val="en-GB" w:eastAsia="en-GB"/>
              </w:rPr>
              <w:t>6</w:t>
            </w:r>
          </w:p>
        </w:tc>
        <w:tc>
          <w:tcPr>
            <w:tcW w:w="386" w:type="dxa"/>
            <w:shd w:val="clear" w:color="auto" w:fill="auto"/>
            <w:noWrap/>
            <w:vAlign w:val="center"/>
            <w:hideMark/>
          </w:tcPr>
          <w:p w14:paraId="1637C07A" w14:textId="77777777" w:rsidR="008F1860" w:rsidRPr="00782004" w:rsidRDefault="008F1860" w:rsidP="008F1860">
            <w:pPr>
              <w:spacing w:after="0" w:line="240" w:lineRule="auto"/>
              <w:jc w:val="center"/>
              <w:rPr>
                <w:rFonts w:eastAsia="Times New Roman"/>
                <w:b/>
                <w:bCs/>
                <w:sz w:val="12"/>
                <w:szCs w:val="12"/>
                <w:lang w:val="en-GB" w:eastAsia="en-GB"/>
              </w:rPr>
            </w:pPr>
            <w:r w:rsidRPr="00782004">
              <w:rPr>
                <w:rFonts w:eastAsia="Times New Roman"/>
                <w:b/>
                <w:bCs/>
                <w:sz w:val="12"/>
                <w:szCs w:val="12"/>
                <w:lang w:val="en-GB" w:eastAsia="en-GB"/>
              </w:rPr>
              <w:t> </w:t>
            </w:r>
          </w:p>
        </w:tc>
        <w:tc>
          <w:tcPr>
            <w:tcW w:w="386" w:type="dxa"/>
            <w:shd w:val="clear" w:color="auto" w:fill="auto"/>
            <w:noWrap/>
            <w:vAlign w:val="center"/>
            <w:hideMark/>
          </w:tcPr>
          <w:p w14:paraId="73DFBDF7" w14:textId="77777777" w:rsidR="008F1860" w:rsidRPr="00782004" w:rsidRDefault="008F1860" w:rsidP="008F1860">
            <w:pPr>
              <w:spacing w:after="0" w:line="240" w:lineRule="auto"/>
              <w:jc w:val="center"/>
              <w:rPr>
                <w:rFonts w:eastAsia="Times New Roman"/>
                <w:b/>
                <w:bCs/>
                <w:sz w:val="12"/>
                <w:szCs w:val="12"/>
                <w:lang w:val="en-GB" w:eastAsia="en-GB"/>
              </w:rPr>
            </w:pPr>
            <w:r w:rsidRPr="00782004">
              <w:rPr>
                <w:rFonts w:eastAsia="Times New Roman"/>
                <w:b/>
                <w:bCs/>
                <w:sz w:val="12"/>
                <w:szCs w:val="12"/>
                <w:lang w:val="en-GB" w:eastAsia="en-GB"/>
              </w:rPr>
              <w:t>6</w:t>
            </w:r>
          </w:p>
        </w:tc>
        <w:tc>
          <w:tcPr>
            <w:tcW w:w="386" w:type="dxa"/>
            <w:shd w:val="clear" w:color="auto" w:fill="auto"/>
            <w:noWrap/>
            <w:vAlign w:val="center"/>
            <w:hideMark/>
          </w:tcPr>
          <w:p w14:paraId="6987AF07" w14:textId="77777777" w:rsidR="008F1860" w:rsidRPr="00782004" w:rsidRDefault="008F1860" w:rsidP="008F1860">
            <w:pPr>
              <w:spacing w:after="0" w:line="240" w:lineRule="auto"/>
              <w:jc w:val="center"/>
              <w:rPr>
                <w:rFonts w:eastAsia="Times New Roman"/>
                <w:b/>
                <w:bCs/>
                <w:sz w:val="12"/>
                <w:szCs w:val="12"/>
                <w:lang w:val="en-GB" w:eastAsia="en-GB"/>
              </w:rPr>
            </w:pPr>
            <w:r w:rsidRPr="00782004">
              <w:rPr>
                <w:rFonts w:eastAsia="Times New Roman"/>
                <w:b/>
                <w:bCs/>
                <w:sz w:val="12"/>
                <w:szCs w:val="12"/>
                <w:lang w:val="en-GB" w:eastAsia="en-GB"/>
              </w:rPr>
              <w:t>4</w:t>
            </w:r>
          </w:p>
        </w:tc>
        <w:tc>
          <w:tcPr>
            <w:tcW w:w="386" w:type="dxa"/>
            <w:shd w:val="clear" w:color="auto" w:fill="auto"/>
            <w:noWrap/>
            <w:vAlign w:val="center"/>
            <w:hideMark/>
          </w:tcPr>
          <w:p w14:paraId="15529AF4" w14:textId="77777777" w:rsidR="008F1860" w:rsidRPr="00782004" w:rsidRDefault="008F1860" w:rsidP="008F1860">
            <w:pPr>
              <w:spacing w:after="0" w:line="240" w:lineRule="auto"/>
              <w:jc w:val="center"/>
              <w:rPr>
                <w:rFonts w:eastAsia="Times New Roman"/>
                <w:b/>
                <w:bCs/>
                <w:sz w:val="12"/>
                <w:szCs w:val="12"/>
                <w:lang w:val="en-GB" w:eastAsia="en-GB"/>
              </w:rPr>
            </w:pPr>
            <w:r w:rsidRPr="00782004">
              <w:rPr>
                <w:rFonts w:eastAsia="Times New Roman"/>
                <w:b/>
                <w:bCs/>
                <w:sz w:val="12"/>
                <w:szCs w:val="12"/>
                <w:lang w:val="en-GB" w:eastAsia="en-GB"/>
              </w:rPr>
              <w:t> </w:t>
            </w:r>
          </w:p>
        </w:tc>
        <w:tc>
          <w:tcPr>
            <w:tcW w:w="389" w:type="dxa"/>
            <w:shd w:val="clear" w:color="auto" w:fill="auto"/>
            <w:noWrap/>
            <w:vAlign w:val="center"/>
            <w:hideMark/>
          </w:tcPr>
          <w:p w14:paraId="1D0F3C56" w14:textId="77777777" w:rsidR="008F1860" w:rsidRPr="00782004" w:rsidRDefault="008F1860" w:rsidP="008F1860">
            <w:pPr>
              <w:spacing w:after="0" w:line="240" w:lineRule="auto"/>
              <w:jc w:val="center"/>
              <w:rPr>
                <w:rFonts w:eastAsia="Times New Roman"/>
                <w:b/>
                <w:bCs/>
                <w:sz w:val="12"/>
                <w:szCs w:val="12"/>
                <w:lang w:val="en-GB" w:eastAsia="en-GB"/>
              </w:rPr>
            </w:pPr>
            <w:r w:rsidRPr="00782004">
              <w:rPr>
                <w:rFonts w:eastAsia="Times New Roman"/>
                <w:b/>
                <w:bCs/>
                <w:sz w:val="12"/>
                <w:szCs w:val="12"/>
                <w:lang w:val="en-GB" w:eastAsia="en-GB"/>
              </w:rPr>
              <w:t> </w:t>
            </w:r>
          </w:p>
        </w:tc>
        <w:tc>
          <w:tcPr>
            <w:tcW w:w="389" w:type="dxa"/>
            <w:shd w:val="clear" w:color="auto" w:fill="auto"/>
            <w:noWrap/>
            <w:vAlign w:val="center"/>
            <w:hideMark/>
          </w:tcPr>
          <w:p w14:paraId="6C8A83D5" w14:textId="77777777" w:rsidR="008F1860" w:rsidRPr="00782004" w:rsidRDefault="008F1860" w:rsidP="008F1860">
            <w:pPr>
              <w:spacing w:after="0" w:line="240" w:lineRule="auto"/>
              <w:jc w:val="center"/>
              <w:rPr>
                <w:rFonts w:eastAsia="Times New Roman"/>
                <w:b/>
                <w:bCs/>
                <w:sz w:val="12"/>
                <w:szCs w:val="12"/>
                <w:lang w:val="en-GB" w:eastAsia="en-GB"/>
              </w:rPr>
            </w:pPr>
            <w:r w:rsidRPr="00782004">
              <w:rPr>
                <w:rFonts w:eastAsia="Times New Roman"/>
                <w:b/>
                <w:bCs/>
                <w:sz w:val="12"/>
                <w:szCs w:val="12"/>
                <w:lang w:val="en-GB" w:eastAsia="en-GB"/>
              </w:rPr>
              <w:t>6</w:t>
            </w:r>
          </w:p>
        </w:tc>
      </w:tr>
      <w:tr w:rsidR="008F1860" w:rsidRPr="00CF4DEE" w14:paraId="1A9E7BE3" w14:textId="77777777" w:rsidTr="008F1860">
        <w:trPr>
          <w:trHeight w:val="422"/>
        </w:trPr>
        <w:tc>
          <w:tcPr>
            <w:tcW w:w="826" w:type="dxa"/>
            <w:shd w:val="clear" w:color="auto" w:fill="auto"/>
            <w:noWrap/>
            <w:vAlign w:val="center"/>
            <w:hideMark/>
          </w:tcPr>
          <w:p w14:paraId="5E38BB04" w14:textId="77777777" w:rsidR="008F1860" w:rsidRPr="00CF4DEE" w:rsidRDefault="008F1860" w:rsidP="008F1860">
            <w:pPr>
              <w:spacing w:after="0" w:line="240" w:lineRule="auto"/>
              <w:jc w:val="center"/>
              <w:rPr>
                <w:rFonts w:eastAsia="Times New Roman"/>
                <w:b/>
                <w:bCs/>
                <w:sz w:val="12"/>
                <w:szCs w:val="12"/>
                <w:lang w:val="en-GB" w:eastAsia="en-GB"/>
              </w:rPr>
            </w:pPr>
            <w:r w:rsidRPr="00CF4DEE">
              <w:rPr>
                <w:rFonts w:eastAsia="Times New Roman"/>
                <w:b/>
                <w:bCs/>
                <w:sz w:val="12"/>
                <w:szCs w:val="12"/>
                <w:lang w:val="en-GB" w:eastAsia="en-GB"/>
              </w:rPr>
              <w:t>2019</w:t>
            </w:r>
          </w:p>
        </w:tc>
        <w:tc>
          <w:tcPr>
            <w:tcW w:w="387" w:type="dxa"/>
            <w:shd w:val="clear" w:color="auto" w:fill="auto"/>
            <w:noWrap/>
            <w:vAlign w:val="center"/>
            <w:hideMark/>
          </w:tcPr>
          <w:p w14:paraId="416B62D1" w14:textId="77777777" w:rsidR="008F1860" w:rsidRPr="00CF4DEE" w:rsidRDefault="008F1860" w:rsidP="008F1860">
            <w:pPr>
              <w:spacing w:after="0" w:line="240" w:lineRule="auto"/>
              <w:jc w:val="center"/>
              <w:rPr>
                <w:rFonts w:eastAsia="Times New Roman"/>
                <w:b/>
                <w:bCs/>
                <w:sz w:val="12"/>
                <w:szCs w:val="12"/>
                <w:lang w:val="en-GB" w:eastAsia="en-GB"/>
              </w:rPr>
            </w:pPr>
            <w:r w:rsidRPr="00CF4DEE">
              <w:rPr>
                <w:rFonts w:eastAsia="Times New Roman"/>
                <w:b/>
                <w:bCs/>
                <w:sz w:val="12"/>
                <w:szCs w:val="12"/>
                <w:lang w:val="en-GB" w:eastAsia="en-GB"/>
              </w:rPr>
              <w:t>25</w:t>
            </w:r>
          </w:p>
        </w:tc>
        <w:tc>
          <w:tcPr>
            <w:tcW w:w="387" w:type="dxa"/>
            <w:shd w:val="clear" w:color="auto" w:fill="auto"/>
            <w:noWrap/>
            <w:vAlign w:val="center"/>
            <w:hideMark/>
          </w:tcPr>
          <w:p w14:paraId="4FBAC803" w14:textId="77777777" w:rsidR="008F1860" w:rsidRPr="00CF4DEE" w:rsidRDefault="008F1860" w:rsidP="008F1860">
            <w:pPr>
              <w:spacing w:after="0" w:line="240" w:lineRule="auto"/>
              <w:jc w:val="center"/>
              <w:rPr>
                <w:rFonts w:eastAsia="Times New Roman"/>
                <w:b/>
                <w:bCs/>
                <w:sz w:val="12"/>
                <w:szCs w:val="12"/>
                <w:lang w:val="en-GB" w:eastAsia="en-GB"/>
              </w:rPr>
            </w:pPr>
            <w:r w:rsidRPr="00CF4DEE">
              <w:rPr>
                <w:rFonts w:eastAsia="Times New Roman"/>
                <w:b/>
                <w:bCs/>
                <w:sz w:val="12"/>
                <w:szCs w:val="12"/>
                <w:lang w:val="en-GB" w:eastAsia="en-GB"/>
              </w:rPr>
              <w:t>30</w:t>
            </w:r>
          </w:p>
        </w:tc>
        <w:tc>
          <w:tcPr>
            <w:tcW w:w="387" w:type="dxa"/>
            <w:shd w:val="clear" w:color="000000" w:fill="auto"/>
            <w:noWrap/>
            <w:vAlign w:val="center"/>
            <w:hideMark/>
          </w:tcPr>
          <w:p w14:paraId="4B97FDFF" w14:textId="77777777" w:rsidR="008F1860" w:rsidRPr="00CF4DEE" w:rsidRDefault="008F1860" w:rsidP="008F1860">
            <w:pPr>
              <w:spacing w:after="0" w:line="240" w:lineRule="auto"/>
              <w:jc w:val="center"/>
              <w:rPr>
                <w:rFonts w:eastAsia="Times New Roman"/>
                <w:b/>
                <w:bCs/>
                <w:sz w:val="12"/>
                <w:szCs w:val="12"/>
                <w:lang w:val="en-GB" w:eastAsia="en-GB"/>
              </w:rPr>
            </w:pPr>
            <w:r w:rsidRPr="00CF4DEE">
              <w:rPr>
                <w:rFonts w:eastAsia="Times New Roman"/>
                <w:b/>
                <w:bCs/>
                <w:sz w:val="12"/>
                <w:szCs w:val="12"/>
                <w:lang w:val="en-GB" w:eastAsia="en-GB"/>
              </w:rPr>
              <w:t>55</w:t>
            </w:r>
          </w:p>
        </w:tc>
        <w:tc>
          <w:tcPr>
            <w:tcW w:w="424" w:type="dxa"/>
            <w:shd w:val="clear" w:color="auto" w:fill="auto"/>
            <w:noWrap/>
            <w:vAlign w:val="center"/>
            <w:hideMark/>
          </w:tcPr>
          <w:p w14:paraId="20F7F07D" w14:textId="77777777" w:rsidR="008F1860" w:rsidRPr="00CF4DEE" w:rsidRDefault="008F1860" w:rsidP="008F1860">
            <w:pPr>
              <w:spacing w:after="0" w:line="240" w:lineRule="auto"/>
              <w:jc w:val="center"/>
              <w:rPr>
                <w:rFonts w:eastAsia="Times New Roman"/>
                <w:b/>
                <w:bCs/>
                <w:sz w:val="12"/>
                <w:szCs w:val="12"/>
                <w:lang w:val="en-GB" w:eastAsia="en-GB"/>
              </w:rPr>
            </w:pPr>
            <w:r w:rsidRPr="00CF4DEE">
              <w:rPr>
                <w:rFonts w:eastAsia="Times New Roman"/>
                <w:b/>
                <w:bCs/>
                <w:sz w:val="12"/>
                <w:szCs w:val="12"/>
                <w:lang w:val="en-GB" w:eastAsia="en-GB"/>
              </w:rPr>
              <w:t>24</w:t>
            </w:r>
          </w:p>
        </w:tc>
        <w:tc>
          <w:tcPr>
            <w:tcW w:w="423" w:type="dxa"/>
            <w:shd w:val="clear" w:color="auto" w:fill="auto"/>
            <w:noWrap/>
            <w:vAlign w:val="center"/>
            <w:hideMark/>
          </w:tcPr>
          <w:p w14:paraId="62D19E82" w14:textId="77777777" w:rsidR="008F1860" w:rsidRPr="00CF4DEE" w:rsidRDefault="008F1860" w:rsidP="008F1860">
            <w:pPr>
              <w:spacing w:after="0" w:line="240" w:lineRule="auto"/>
              <w:jc w:val="center"/>
              <w:rPr>
                <w:rFonts w:eastAsia="Times New Roman"/>
                <w:b/>
                <w:bCs/>
                <w:sz w:val="12"/>
                <w:szCs w:val="12"/>
                <w:lang w:val="en-GB" w:eastAsia="en-GB"/>
              </w:rPr>
            </w:pPr>
            <w:r w:rsidRPr="00CF4DEE">
              <w:rPr>
                <w:rFonts w:eastAsia="Times New Roman"/>
                <w:b/>
                <w:bCs/>
                <w:sz w:val="12"/>
                <w:szCs w:val="12"/>
                <w:lang w:val="en-GB" w:eastAsia="en-GB"/>
              </w:rPr>
              <w:t>6</w:t>
            </w:r>
          </w:p>
        </w:tc>
        <w:tc>
          <w:tcPr>
            <w:tcW w:w="386" w:type="dxa"/>
            <w:shd w:val="clear" w:color="auto" w:fill="auto"/>
            <w:noWrap/>
            <w:vAlign w:val="center"/>
            <w:hideMark/>
          </w:tcPr>
          <w:p w14:paraId="1EBADCC9" w14:textId="77777777" w:rsidR="008F1860" w:rsidRPr="00CF4DEE" w:rsidRDefault="008F1860" w:rsidP="008F1860">
            <w:pPr>
              <w:spacing w:after="0" w:line="240" w:lineRule="auto"/>
              <w:jc w:val="center"/>
              <w:rPr>
                <w:rFonts w:eastAsia="Times New Roman"/>
                <w:b/>
                <w:bCs/>
                <w:sz w:val="12"/>
                <w:szCs w:val="12"/>
                <w:lang w:val="en-GB" w:eastAsia="en-GB"/>
              </w:rPr>
            </w:pPr>
            <w:r w:rsidRPr="00CF4DEE">
              <w:rPr>
                <w:rFonts w:eastAsia="Times New Roman"/>
                <w:b/>
                <w:bCs/>
                <w:sz w:val="12"/>
                <w:szCs w:val="12"/>
                <w:lang w:val="en-GB" w:eastAsia="en-GB"/>
              </w:rPr>
              <w:t>19</w:t>
            </w:r>
          </w:p>
        </w:tc>
        <w:tc>
          <w:tcPr>
            <w:tcW w:w="386" w:type="dxa"/>
            <w:shd w:val="clear" w:color="auto" w:fill="auto"/>
            <w:noWrap/>
            <w:vAlign w:val="center"/>
            <w:hideMark/>
          </w:tcPr>
          <w:p w14:paraId="01B4D2A8" w14:textId="77777777" w:rsidR="008F1860" w:rsidRPr="00CF4DEE" w:rsidRDefault="008F1860" w:rsidP="008F1860">
            <w:pPr>
              <w:spacing w:after="0" w:line="240" w:lineRule="auto"/>
              <w:jc w:val="center"/>
              <w:rPr>
                <w:rFonts w:eastAsia="Times New Roman"/>
                <w:b/>
                <w:bCs/>
                <w:sz w:val="12"/>
                <w:szCs w:val="12"/>
                <w:lang w:val="en-GB" w:eastAsia="en-GB"/>
              </w:rPr>
            </w:pPr>
            <w:r w:rsidRPr="00CF4DEE">
              <w:rPr>
                <w:rFonts w:eastAsia="Times New Roman"/>
                <w:b/>
                <w:bCs/>
                <w:sz w:val="12"/>
                <w:szCs w:val="12"/>
                <w:lang w:val="en-GB" w:eastAsia="en-GB"/>
              </w:rPr>
              <w:t>16</w:t>
            </w:r>
          </w:p>
        </w:tc>
        <w:tc>
          <w:tcPr>
            <w:tcW w:w="386" w:type="dxa"/>
            <w:shd w:val="clear" w:color="auto" w:fill="auto"/>
            <w:noWrap/>
            <w:vAlign w:val="center"/>
            <w:hideMark/>
          </w:tcPr>
          <w:p w14:paraId="11021D06" w14:textId="77777777" w:rsidR="008F1860" w:rsidRPr="00CF4DEE" w:rsidRDefault="008F1860" w:rsidP="008F1860">
            <w:pPr>
              <w:spacing w:after="0" w:line="240" w:lineRule="auto"/>
              <w:jc w:val="center"/>
              <w:rPr>
                <w:rFonts w:eastAsia="Times New Roman"/>
                <w:b/>
                <w:bCs/>
                <w:sz w:val="12"/>
                <w:szCs w:val="12"/>
                <w:lang w:val="en-GB" w:eastAsia="en-GB"/>
              </w:rPr>
            </w:pPr>
            <w:r w:rsidRPr="00CF4DEE">
              <w:rPr>
                <w:rFonts w:eastAsia="Times New Roman"/>
                <w:b/>
                <w:bCs/>
                <w:sz w:val="12"/>
                <w:szCs w:val="12"/>
                <w:lang w:val="en-GB" w:eastAsia="en-GB"/>
              </w:rPr>
              <w:t>3</w:t>
            </w:r>
          </w:p>
        </w:tc>
        <w:tc>
          <w:tcPr>
            <w:tcW w:w="386" w:type="dxa"/>
            <w:shd w:val="clear" w:color="auto" w:fill="auto"/>
            <w:noWrap/>
            <w:vAlign w:val="center"/>
            <w:hideMark/>
          </w:tcPr>
          <w:p w14:paraId="1920262F" w14:textId="77777777" w:rsidR="008F1860" w:rsidRPr="00CF4DEE" w:rsidRDefault="008F1860" w:rsidP="008F1860">
            <w:pPr>
              <w:spacing w:after="0" w:line="240" w:lineRule="auto"/>
              <w:jc w:val="center"/>
              <w:rPr>
                <w:rFonts w:eastAsia="Times New Roman"/>
                <w:b/>
                <w:bCs/>
                <w:sz w:val="12"/>
                <w:szCs w:val="12"/>
                <w:lang w:val="en-GB" w:eastAsia="en-GB"/>
              </w:rPr>
            </w:pPr>
            <w:r w:rsidRPr="00CF4DEE">
              <w:rPr>
                <w:rFonts w:eastAsia="Times New Roman"/>
                <w:b/>
                <w:bCs/>
                <w:sz w:val="12"/>
                <w:szCs w:val="12"/>
                <w:lang w:val="en-GB" w:eastAsia="en-GB"/>
              </w:rPr>
              <w:t>4</w:t>
            </w:r>
          </w:p>
        </w:tc>
        <w:tc>
          <w:tcPr>
            <w:tcW w:w="386" w:type="dxa"/>
            <w:shd w:val="clear" w:color="auto" w:fill="auto"/>
            <w:noWrap/>
            <w:vAlign w:val="center"/>
            <w:hideMark/>
          </w:tcPr>
          <w:p w14:paraId="016589A2" w14:textId="77777777" w:rsidR="008F1860" w:rsidRPr="00CF4DEE" w:rsidRDefault="008F1860" w:rsidP="008F1860">
            <w:pPr>
              <w:spacing w:after="0" w:line="240" w:lineRule="auto"/>
              <w:jc w:val="center"/>
              <w:rPr>
                <w:rFonts w:eastAsia="Times New Roman"/>
                <w:b/>
                <w:bCs/>
                <w:sz w:val="12"/>
                <w:szCs w:val="12"/>
                <w:lang w:val="en-GB" w:eastAsia="en-GB"/>
              </w:rPr>
            </w:pPr>
            <w:r w:rsidRPr="00CF4DEE">
              <w:rPr>
                <w:rFonts w:eastAsia="Times New Roman"/>
                <w:b/>
                <w:bCs/>
                <w:sz w:val="12"/>
                <w:szCs w:val="12"/>
                <w:lang w:val="en-GB" w:eastAsia="en-GB"/>
              </w:rPr>
              <w:t> </w:t>
            </w:r>
          </w:p>
        </w:tc>
        <w:tc>
          <w:tcPr>
            <w:tcW w:w="386" w:type="dxa"/>
            <w:shd w:val="clear" w:color="auto" w:fill="auto"/>
            <w:noWrap/>
            <w:vAlign w:val="center"/>
            <w:hideMark/>
          </w:tcPr>
          <w:p w14:paraId="2F5DB3F1" w14:textId="77777777" w:rsidR="008F1860" w:rsidRPr="00CF4DEE" w:rsidRDefault="008F1860" w:rsidP="008F1860">
            <w:pPr>
              <w:spacing w:after="0" w:line="240" w:lineRule="auto"/>
              <w:jc w:val="center"/>
              <w:rPr>
                <w:rFonts w:eastAsia="Times New Roman"/>
                <w:b/>
                <w:bCs/>
                <w:sz w:val="12"/>
                <w:szCs w:val="12"/>
                <w:lang w:val="en-GB" w:eastAsia="en-GB"/>
              </w:rPr>
            </w:pPr>
            <w:r w:rsidRPr="00CF4DEE">
              <w:rPr>
                <w:rFonts w:eastAsia="Times New Roman"/>
                <w:b/>
                <w:bCs/>
                <w:sz w:val="12"/>
                <w:szCs w:val="12"/>
                <w:lang w:val="en-GB" w:eastAsia="en-GB"/>
              </w:rPr>
              <w:t>7</w:t>
            </w:r>
          </w:p>
        </w:tc>
        <w:tc>
          <w:tcPr>
            <w:tcW w:w="386" w:type="dxa"/>
            <w:shd w:val="clear" w:color="000000" w:fill="auto"/>
            <w:noWrap/>
            <w:vAlign w:val="center"/>
            <w:hideMark/>
          </w:tcPr>
          <w:p w14:paraId="38CCDED9" w14:textId="77777777" w:rsidR="008F1860" w:rsidRPr="00CF4DEE" w:rsidRDefault="008F1860" w:rsidP="008F1860">
            <w:pPr>
              <w:spacing w:after="0" w:line="240" w:lineRule="auto"/>
              <w:jc w:val="center"/>
              <w:rPr>
                <w:rFonts w:eastAsia="Times New Roman"/>
                <w:b/>
                <w:bCs/>
                <w:sz w:val="12"/>
                <w:szCs w:val="12"/>
                <w:lang w:val="en-GB" w:eastAsia="en-GB"/>
              </w:rPr>
            </w:pPr>
            <w:r w:rsidRPr="00CF4DEE">
              <w:rPr>
                <w:rFonts w:eastAsia="Times New Roman"/>
                <w:b/>
                <w:bCs/>
                <w:sz w:val="12"/>
                <w:szCs w:val="12"/>
                <w:lang w:val="en-GB" w:eastAsia="en-GB"/>
              </w:rPr>
              <w:t>30</w:t>
            </w:r>
          </w:p>
        </w:tc>
        <w:tc>
          <w:tcPr>
            <w:tcW w:w="386" w:type="dxa"/>
            <w:shd w:val="clear" w:color="auto" w:fill="auto"/>
            <w:noWrap/>
            <w:vAlign w:val="center"/>
            <w:hideMark/>
          </w:tcPr>
          <w:p w14:paraId="268DF5F3" w14:textId="77777777" w:rsidR="008F1860" w:rsidRPr="00CF4DEE" w:rsidRDefault="008F1860" w:rsidP="008F1860">
            <w:pPr>
              <w:spacing w:after="0" w:line="240" w:lineRule="auto"/>
              <w:jc w:val="center"/>
              <w:rPr>
                <w:rFonts w:eastAsia="Times New Roman"/>
                <w:b/>
                <w:bCs/>
                <w:sz w:val="12"/>
                <w:szCs w:val="12"/>
                <w:lang w:val="en-GB" w:eastAsia="en-GB"/>
              </w:rPr>
            </w:pPr>
            <w:r w:rsidRPr="00CF4DEE">
              <w:rPr>
                <w:rFonts w:eastAsia="Times New Roman"/>
                <w:b/>
                <w:bCs/>
                <w:sz w:val="12"/>
                <w:szCs w:val="12"/>
                <w:lang w:val="en-GB" w:eastAsia="en-GB"/>
              </w:rPr>
              <w:t> </w:t>
            </w:r>
          </w:p>
        </w:tc>
        <w:tc>
          <w:tcPr>
            <w:tcW w:w="386" w:type="dxa"/>
            <w:shd w:val="clear" w:color="auto" w:fill="auto"/>
            <w:noWrap/>
            <w:vAlign w:val="center"/>
            <w:hideMark/>
          </w:tcPr>
          <w:p w14:paraId="2F21359C" w14:textId="77777777" w:rsidR="008F1860" w:rsidRPr="00CF4DEE" w:rsidRDefault="008F1860" w:rsidP="008F1860">
            <w:pPr>
              <w:spacing w:after="0" w:line="240" w:lineRule="auto"/>
              <w:jc w:val="center"/>
              <w:rPr>
                <w:rFonts w:eastAsia="Times New Roman"/>
                <w:b/>
                <w:bCs/>
                <w:sz w:val="12"/>
                <w:szCs w:val="12"/>
                <w:lang w:val="en-GB" w:eastAsia="en-GB"/>
              </w:rPr>
            </w:pPr>
            <w:r w:rsidRPr="00CF4DEE">
              <w:rPr>
                <w:rFonts w:eastAsia="Times New Roman"/>
                <w:b/>
                <w:bCs/>
                <w:sz w:val="12"/>
                <w:szCs w:val="12"/>
                <w:lang w:val="en-GB" w:eastAsia="en-GB"/>
              </w:rPr>
              <w:t>14</w:t>
            </w:r>
          </w:p>
        </w:tc>
        <w:tc>
          <w:tcPr>
            <w:tcW w:w="386" w:type="dxa"/>
            <w:shd w:val="clear" w:color="auto" w:fill="auto"/>
            <w:noWrap/>
            <w:vAlign w:val="center"/>
            <w:hideMark/>
          </w:tcPr>
          <w:p w14:paraId="28125C58" w14:textId="77777777" w:rsidR="008F1860" w:rsidRPr="00CF4DEE" w:rsidRDefault="008F1860" w:rsidP="008F1860">
            <w:pPr>
              <w:spacing w:after="0" w:line="240" w:lineRule="auto"/>
              <w:jc w:val="center"/>
              <w:rPr>
                <w:rFonts w:eastAsia="Times New Roman"/>
                <w:b/>
                <w:bCs/>
                <w:sz w:val="12"/>
                <w:szCs w:val="12"/>
                <w:lang w:val="en-GB" w:eastAsia="en-GB"/>
              </w:rPr>
            </w:pPr>
            <w:r w:rsidRPr="00CF4DEE">
              <w:rPr>
                <w:rFonts w:eastAsia="Times New Roman"/>
                <w:b/>
                <w:bCs/>
                <w:sz w:val="12"/>
                <w:szCs w:val="12"/>
                <w:lang w:val="en-GB" w:eastAsia="en-GB"/>
              </w:rPr>
              <w:t>14</w:t>
            </w:r>
          </w:p>
        </w:tc>
        <w:tc>
          <w:tcPr>
            <w:tcW w:w="386" w:type="dxa"/>
            <w:shd w:val="clear" w:color="auto" w:fill="auto"/>
            <w:noWrap/>
            <w:vAlign w:val="center"/>
            <w:hideMark/>
          </w:tcPr>
          <w:p w14:paraId="636D580F" w14:textId="77777777" w:rsidR="008F1860" w:rsidRPr="00CF4DEE" w:rsidRDefault="008F1860" w:rsidP="008F1860">
            <w:pPr>
              <w:spacing w:after="0" w:line="240" w:lineRule="auto"/>
              <w:jc w:val="center"/>
              <w:rPr>
                <w:rFonts w:eastAsia="Times New Roman"/>
                <w:b/>
                <w:bCs/>
                <w:sz w:val="12"/>
                <w:szCs w:val="12"/>
                <w:lang w:val="en-GB" w:eastAsia="en-GB"/>
              </w:rPr>
            </w:pPr>
            <w:r w:rsidRPr="00CF4DEE">
              <w:rPr>
                <w:rFonts w:eastAsia="Times New Roman"/>
                <w:b/>
                <w:bCs/>
                <w:sz w:val="12"/>
                <w:szCs w:val="12"/>
                <w:lang w:val="en-GB" w:eastAsia="en-GB"/>
              </w:rPr>
              <w:t> </w:t>
            </w:r>
          </w:p>
        </w:tc>
        <w:tc>
          <w:tcPr>
            <w:tcW w:w="386" w:type="dxa"/>
            <w:shd w:val="clear" w:color="auto" w:fill="auto"/>
            <w:noWrap/>
            <w:vAlign w:val="center"/>
            <w:hideMark/>
          </w:tcPr>
          <w:p w14:paraId="74D82B36" w14:textId="77777777" w:rsidR="008F1860" w:rsidRPr="00CF4DEE" w:rsidRDefault="008F1860" w:rsidP="008F1860">
            <w:pPr>
              <w:spacing w:after="0" w:line="240" w:lineRule="auto"/>
              <w:jc w:val="center"/>
              <w:rPr>
                <w:rFonts w:eastAsia="Times New Roman"/>
                <w:b/>
                <w:bCs/>
                <w:sz w:val="12"/>
                <w:szCs w:val="12"/>
                <w:lang w:val="en-GB" w:eastAsia="en-GB"/>
              </w:rPr>
            </w:pPr>
            <w:r w:rsidRPr="00CF4DEE">
              <w:rPr>
                <w:rFonts w:eastAsia="Times New Roman"/>
                <w:b/>
                <w:bCs/>
                <w:sz w:val="12"/>
                <w:szCs w:val="12"/>
                <w:lang w:val="en-GB" w:eastAsia="en-GB"/>
              </w:rPr>
              <w:t>9</w:t>
            </w:r>
          </w:p>
        </w:tc>
        <w:tc>
          <w:tcPr>
            <w:tcW w:w="386" w:type="dxa"/>
            <w:shd w:val="clear" w:color="auto" w:fill="auto"/>
            <w:noWrap/>
            <w:vAlign w:val="center"/>
            <w:hideMark/>
          </w:tcPr>
          <w:p w14:paraId="23FEA8CF" w14:textId="77777777" w:rsidR="008F1860" w:rsidRPr="00CF4DEE" w:rsidRDefault="008F1860" w:rsidP="008F1860">
            <w:pPr>
              <w:spacing w:after="0" w:line="240" w:lineRule="auto"/>
              <w:jc w:val="center"/>
              <w:rPr>
                <w:rFonts w:eastAsia="Times New Roman"/>
                <w:b/>
                <w:bCs/>
                <w:sz w:val="12"/>
                <w:szCs w:val="12"/>
                <w:lang w:val="en-GB" w:eastAsia="en-GB"/>
              </w:rPr>
            </w:pPr>
            <w:r w:rsidRPr="00CF4DEE">
              <w:rPr>
                <w:rFonts w:eastAsia="Times New Roman"/>
                <w:b/>
                <w:bCs/>
                <w:sz w:val="12"/>
                <w:szCs w:val="12"/>
                <w:lang w:val="en-GB" w:eastAsia="en-GB"/>
              </w:rPr>
              <w:t>2</w:t>
            </w:r>
          </w:p>
        </w:tc>
        <w:tc>
          <w:tcPr>
            <w:tcW w:w="386" w:type="dxa"/>
            <w:shd w:val="clear" w:color="auto" w:fill="auto"/>
            <w:noWrap/>
            <w:vAlign w:val="center"/>
            <w:hideMark/>
          </w:tcPr>
          <w:p w14:paraId="7B9EE024" w14:textId="77777777" w:rsidR="008F1860" w:rsidRPr="00CF4DEE" w:rsidRDefault="008F1860" w:rsidP="008F1860">
            <w:pPr>
              <w:spacing w:after="0" w:line="240" w:lineRule="auto"/>
              <w:jc w:val="center"/>
              <w:rPr>
                <w:rFonts w:eastAsia="Times New Roman"/>
                <w:b/>
                <w:bCs/>
                <w:sz w:val="12"/>
                <w:szCs w:val="12"/>
                <w:lang w:val="en-GB" w:eastAsia="en-GB"/>
              </w:rPr>
            </w:pPr>
            <w:r w:rsidRPr="00CF4DEE">
              <w:rPr>
                <w:rFonts w:eastAsia="Times New Roman"/>
                <w:b/>
                <w:bCs/>
                <w:sz w:val="12"/>
                <w:szCs w:val="12"/>
                <w:lang w:val="en-GB" w:eastAsia="en-GB"/>
              </w:rPr>
              <w:t> </w:t>
            </w:r>
          </w:p>
        </w:tc>
        <w:tc>
          <w:tcPr>
            <w:tcW w:w="389" w:type="dxa"/>
            <w:shd w:val="clear" w:color="auto" w:fill="auto"/>
            <w:noWrap/>
            <w:vAlign w:val="center"/>
            <w:hideMark/>
          </w:tcPr>
          <w:p w14:paraId="1909C835" w14:textId="77777777" w:rsidR="008F1860" w:rsidRPr="00CF4DEE" w:rsidRDefault="008F1860" w:rsidP="008F1860">
            <w:pPr>
              <w:spacing w:after="0" w:line="240" w:lineRule="auto"/>
              <w:jc w:val="center"/>
              <w:rPr>
                <w:rFonts w:eastAsia="Times New Roman"/>
                <w:b/>
                <w:bCs/>
                <w:sz w:val="12"/>
                <w:szCs w:val="12"/>
                <w:lang w:val="en-GB" w:eastAsia="en-GB"/>
              </w:rPr>
            </w:pPr>
            <w:r w:rsidRPr="00CF4DEE">
              <w:rPr>
                <w:rFonts w:eastAsia="Times New Roman"/>
                <w:b/>
                <w:bCs/>
                <w:sz w:val="12"/>
                <w:szCs w:val="12"/>
                <w:lang w:val="en-GB" w:eastAsia="en-GB"/>
              </w:rPr>
              <w:t> </w:t>
            </w:r>
          </w:p>
        </w:tc>
        <w:tc>
          <w:tcPr>
            <w:tcW w:w="389" w:type="dxa"/>
            <w:shd w:val="clear" w:color="auto" w:fill="auto"/>
            <w:noWrap/>
            <w:vAlign w:val="center"/>
            <w:hideMark/>
          </w:tcPr>
          <w:p w14:paraId="275247F0" w14:textId="77777777" w:rsidR="008F1860" w:rsidRPr="00CF4DEE" w:rsidRDefault="008F1860" w:rsidP="008F1860">
            <w:pPr>
              <w:spacing w:after="0" w:line="240" w:lineRule="auto"/>
              <w:jc w:val="center"/>
              <w:rPr>
                <w:rFonts w:eastAsia="Times New Roman"/>
                <w:b/>
                <w:bCs/>
                <w:sz w:val="12"/>
                <w:szCs w:val="12"/>
                <w:lang w:val="en-GB" w:eastAsia="en-GB"/>
              </w:rPr>
            </w:pPr>
            <w:r w:rsidRPr="00CF4DEE">
              <w:rPr>
                <w:rFonts w:eastAsia="Times New Roman"/>
                <w:b/>
                <w:bCs/>
                <w:sz w:val="12"/>
                <w:szCs w:val="12"/>
                <w:lang w:val="en-GB" w:eastAsia="en-GB"/>
              </w:rPr>
              <w:t>1</w:t>
            </w:r>
          </w:p>
        </w:tc>
      </w:tr>
      <w:tr w:rsidR="008F1860" w:rsidRPr="00CF4DEE" w14:paraId="659D4879" w14:textId="77777777" w:rsidTr="008F1860">
        <w:trPr>
          <w:trHeight w:val="413"/>
        </w:trPr>
        <w:tc>
          <w:tcPr>
            <w:tcW w:w="826" w:type="dxa"/>
            <w:shd w:val="clear" w:color="auto" w:fill="auto"/>
            <w:noWrap/>
            <w:vAlign w:val="center"/>
            <w:hideMark/>
          </w:tcPr>
          <w:p w14:paraId="4D0361B2" w14:textId="77777777" w:rsidR="008F1860" w:rsidRPr="00CF4DEE" w:rsidRDefault="008F1860" w:rsidP="008F1860">
            <w:pPr>
              <w:spacing w:after="0" w:line="240" w:lineRule="auto"/>
              <w:jc w:val="center"/>
              <w:rPr>
                <w:rFonts w:eastAsia="Times New Roman"/>
                <w:b/>
                <w:bCs/>
                <w:sz w:val="12"/>
                <w:szCs w:val="12"/>
                <w:lang w:val="en-GB" w:eastAsia="en-GB"/>
              </w:rPr>
            </w:pPr>
            <w:r w:rsidRPr="00CF4DEE">
              <w:rPr>
                <w:rFonts w:eastAsia="Times New Roman"/>
                <w:b/>
                <w:bCs/>
                <w:sz w:val="12"/>
                <w:szCs w:val="12"/>
                <w:lang w:val="en-GB" w:eastAsia="en-GB"/>
              </w:rPr>
              <w:t>2020</w:t>
            </w:r>
          </w:p>
        </w:tc>
        <w:tc>
          <w:tcPr>
            <w:tcW w:w="387" w:type="dxa"/>
            <w:shd w:val="clear" w:color="auto" w:fill="auto"/>
            <w:noWrap/>
            <w:vAlign w:val="center"/>
            <w:hideMark/>
          </w:tcPr>
          <w:p w14:paraId="15C7C647" w14:textId="77777777" w:rsidR="008F1860" w:rsidRPr="00CF4DEE" w:rsidRDefault="008F1860" w:rsidP="008F1860">
            <w:pPr>
              <w:spacing w:after="0" w:line="240" w:lineRule="auto"/>
              <w:jc w:val="center"/>
              <w:rPr>
                <w:rFonts w:eastAsia="Times New Roman"/>
                <w:b/>
                <w:bCs/>
                <w:sz w:val="12"/>
                <w:szCs w:val="12"/>
                <w:lang w:val="en-GB" w:eastAsia="en-GB"/>
              </w:rPr>
            </w:pPr>
            <w:r w:rsidRPr="00CF4DEE">
              <w:rPr>
                <w:rFonts w:eastAsia="Times New Roman"/>
                <w:b/>
                <w:bCs/>
                <w:sz w:val="12"/>
                <w:szCs w:val="12"/>
                <w:lang w:val="en-GB" w:eastAsia="en-GB"/>
              </w:rPr>
              <w:t>38</w:t>
            </w:r>
          </w:p>
        </w:tc>
        <w:tc>
          <w:tcPr>
            <w:tcW w:w="387" w:type="dxa"/>
            <w:shd w:val="clear" w:color="auto" w:fill="auto"/>
            <w:noWrap/>
            <w:vAlign w:val="center"/>
            <w:hideMark/>
          </w:tcPr>
          <w:p w14:paraId="2C0E58C0" w14:textId="77777777" w:rsidR="008F1860" w:rsidRPr="00CF4DEE" w:rsidRDefault="008F1860" w:rsidP="008F1860">
            <w:pPr>
              <w:spacing w:after="0" w:line="240" w:lineRule="auto"/>
              <w:jc w:val="center"/>
              <w:rPr>
                <w:rFonts w:eastAsia="Times New Roman"/>
                <w:b/>
                <w:bCs/>
                <w:sz w:val="12"/>
                <w:szCs w:val="12"/>
                <w:lang w:val="en-GB" w:eastAsia="en-GB"/>
              </w:rPr>
            </w:pPr>
            <w:r w:rsidRPr="00CF4DEE">
              <w:rPr>
                <w:rFonts w:eastAsia="Times New Roman"/>
                <w:b/>
                <w:bCs/>
                <w:sz w:val="12"/>
                <w:szCs w:val="12"/>
                <w:lang w:val="en-GB" w:eastAsia="en-GB"/>
              </w:rPr>
              <w:t>38</w:t>
            </w:r>
          </w:p>
        </w:tc>
        <w:tc>
          <w:tcPr>
            <w:tcW w:w="387" w:type="dxa"/>
            <w:shd w:val="clear" w:color="000000" w:fill="auto"/>
            <w:noWrap/>
            <w:vAlign w:val="center"/>
            <w:hideMark/>
          </w:tcPr>
          <w:p w14:paraId="3D6F981D" w14:textId="77777777" w:rsidR="008F1860" w:rsidRPr="00CF4DEE" w:rsidRDefault="008F1860" w:rsidP="008F1860">
            <w:pPr>
              <w:spacing w:after="0" w:line="240" w:lineRule="auto"/>
              <w:jc w:val="center"/>
              <w:rPr>
                <w:rFonts w:eastAsia="Times New Roman"/>
                <w:b/>
                <w:bCs/>
                <w:sz w:val="12"/>
                <w:szCs w:val="12"/>
                <w:lang w:val="en-GB" w:eastAsia="en-GB"/>
              </w:rPr>
            </w:pPr>
            <w:r w:rsidRPr="00CF4DEE">
              <w:rPr>
                <w:rFonts w:eastAsia="Times New Roman"/>
                <w:b/>
                <w:bCs/>
                <w:sz w:val="12"/>
                <w:szCs w:val="12"/>
                <w:lang w:val="en-GB" w:eastAsia="en-GB"/>
              </w:rPr>
              <w:t>76</w:t>
            </w:r>
          </w:p>
        </w:tc>
        <w:tc>
          <w:tcPr>
            <w:tcW w:w="424" w:type="dxa"/>
            <w:shd w:val="clear" w:color="auto" w:fill="auto"/>
            <w:noWrap/>
            <w:vAlign w:val="center"/>
            <w:hideMark/>
          </w:tcPr>
          <w:p w14:paraId="7D2B6C9E" w14:textId="77777777" w:rsidR="008F1860" w:rsidRPr="00CF4DEE" w:rsidRDefault="008F1860" w:rsidP="008F1860">
            <w:pPr>
              <w:spacing w:after="0" w:line="240" w:lineRule="auto"/>
              <w:jc w:val="center"/>
              <w:rPr>
                <w:rFonts w:eastAsia="Times New Roman"/>
                <w:b/>
                <w:bCs/>
                <w:sz w:val="12"/>
                <w:szCs w:val="12"/>
                <w:lang w:val="en-GB" w:eastAsia="en-GB"/>
              </w:rPr>
            </w:pPr>
            <w:r w:rsidRPr="00CF4DEE">
              <w:rPr>
                <w:rFonts w:eastAsia="Times New Roman"/>
                <w:b/>
                <w:bCs/>
                <w:sz w:val="12"/>
                <w:szCs w:val="12"/>
                <w:lang w:val="en-GB" w:eastAsia="en-GB"/>
              </w:rPr>
              <w:t>30</w:t>
            </w:r>
          </w:p>
        </w:tc>
        <w:tc>
          <w:tcPr>
            <w:tcW w:w="423" w:type="dxa"/>
            <w:shd w:val="clear" w:color="auto" w:fill="auto"/>
            <w:noWrap/>
            <w:vAlign w:val="center"/>
            <w:hideMark/>
          </w:tcPr>
          <w:p w14:paraId="05F2F2AC" w14:textId="77777777" w:rsidR="008F1860" w:rsidRPr="00CF4DEE" w:rsidRDefault="008F1860" w:rsidP="008F1860">
            <w:pPr>
              <w:spacing w:after="0" w:line="240" w:lineRule="auto"/>
              <w:jc w:val="center"/>
              <w:rPr>
                <w:rFonts w:eastAsia="Times New Roman"/>
                <w:b/>
                <w:bCs/>
                <w:sz w:val="12"/>
                <w:szCs w:val="12"/>
                <w:lang w:val="en-GB" w:eastAsia="en-GB"/>
              </w:rPr>
            </w:pPr>
            <w:r w:rsidRPr="00CF4DEE">
              <w:rPr>
                <w:rFonts w:eastAsia="Times New Roman"/>
                <w:b/>
                <w:bCs/>
                <w:sz w:val="12"/>
                <w:szCs w:val="12"/>
                <w:lang w:val="en-GB" w:eastAsia="en-GB"/>
              </w:rPr>
              <w:t>8</w:t>
            </w:r>
          </w:p>
        </w:tc>
        <w:tc>
          <w:tcPr>
            <w:tcW w:w="386" w:type="dxa"/>
            <w:shd w:val="clear" w:color="auto" w:fill="auto"/>
            <w:noWrap/>
            <w:vAlign w:val="center"/>
            <w:hideMark/>
          </w:tcPr>
          <w:p w14:paraId="54545AF8" w14:textId="77777777" w:rsidR="008F1860" w:rsidRPr="00CF4DEE" w:rsidRDefault="008F1860" w:rsidP="008F1860">
            <w:pPr>
              <w:spacing w:after="0" w:line="240" w:lineRule="auto"/>
              <w:jc w:val="center"/>
              <w:rPr>
                <w:rFonts w:eastAsia="Times New Roman"/>
                <w:b/>
                <w:bCs/>
                <w:sz w:val="12"/>
                <w:szCs w:val="12"/>
                <w:lang w:val="en-GB" w:eastAsia="en-GB"/>
              </w:rPr>
            </w:pPr>
            <w:r w:rsidRPr="00CF4DEE">
              <w:rPr>
                <w:rFonts w:eastAsia="Times New Roman"/>
                <w:b/>
                <w:bCs/>
                <w:sz w:val="12"/>
                <w:szCs w:val="12"/>
                <w:lang w:val="en-GB" w:eastAsia="en-GB"/>
              </w:rPr>
              <w:t>32</w:t>
            </w:r>
          </w:p>
        </w:tc>
        <w:tc>
          <w:tcPr>
            <w:tcW w:w="386" w:type="dxa"/>
            <w:shd w:val="clear" w:color="auto" w:fill="auto"/>
            <w:noWrap/>
            <w:vAlign w:val="center"/>
            <w:hideMark/>
          </w:tcPr>
          <w:p w14:paraId="4332B58F" w14:textId="77777777" w:rsidR="008F1860" w:rsidRPr="00CF4DEE" w:rsidRDefault="008F1860" w:rsidP="008F1860">
            <w:pPr>
              <w:spacing w:after="0" w:line="240" w:lineRule="auto"/>
              <w:jc w:val="center"/>
              <w:rPr>
                <w:rFonts w:eastAsia="Times New Roman"/>
                <w:b/>
                <w:bCs/>
                <w:sz w:val="12"/>
                <w:szCs w:val="12"/>
                <w:lang w:val="en-GB" w:eastAsia="en-GB"/>
              </w:rPr>
            </w:pPr>
            <w:r w:rsidRPr="00CF4DEE">
              <w:rPr>
                <w:rFonts w:eastAsia="Times New Roman"/>
                <w:b/>
                <w:bCs/>
                <w:sz w:val="12"/>
                <w:szCs w:val="12"/>
                <w:lang w:val="en-GB" w:eastAsia="en-GB"/>
              </w:rPr>
              <w:t>9</w:t>
            </w:r>
          </w:p>
        </w:tc>
        <w:tc>
          <w:tcPr>
            <w:tcW w:w="386" w:type="dxa"/>
            <w:shd w:val="clear" w:color="auto" w:fill="auto"/>
            <w:noWrap/>
            <w:vAlign w:val="center"/>
            <w:hideMark/>
          </w:tcPr>
          <w:p w14:paraId="0B6C0425" w14:textId="77777777" w:rsidR="008F1860" w:rsidRPr="00CF4DEE" w:rsidRDefault="008F1860" w:rsidP="008F1860">
            <w:pPr>
              <w:spacing w:after="0" w:line="240" w:lineRule="auto"/>
              <w:jc w:val="center"/>
              <w:rPr>
                <w:rFonts w:eastAsia="Times New Roman"/>
                <w:b/>
                <w:bCs/>
                <w:sz w:val="12"/>
                <w:szCs w:val="12"/>
                <w:lang w:val="en-GB" w:eastAsia="en-GB"/>
              </w:rPr>
            </w:pPr>
            <w:r w:rsidRPr="00CF4DEE">
              <w:rPr>
                <w:rFonts w:eastAsia="Times New Roman"/>
                <w:b/>
                <w:bCs/>
                <w:sz w:val="12"/>
                <w:szCs w:val="12"/>
                <w:lang w:val="en-GB" w:eastAsia="en-GB"/>
              </w:rPr>
              <w:t> </w:t>
            </w:r>
          </w:p>
        </w:tc>
        <w:tc>
          <w:tcPr>
            <w:tcW w:w="386" w:type="dxa"/>
            <w:shd w:val="clear" w:color="auto" w:fill="auto"/>
            <w:noWrap/>
            <w:vAlign w:val="center"/>
            <w:hideMark/>
          </w:tcPr>
          <w:p w14:paraId="49E7C713" w14:textId="77777777" w:rsidR="008F1860" w:rsidRPr="00CF4DEE" w:rsidRDefault="008F1860" w:rsidP="008F1860">
            <w:pPr>
              <w:spacing w:after="0" w:line="240" w:lineRule="auto"/>
              <w:jc w:val="center"/>
              <w:rPr>
                <w:rFonts w:eastAsia="Times New Roman"/>
                <w:b/>
                <w:bCs/>
                <w:sz w:val="12"/>
                <w:szCs w:val="12"/>
                <w:lang w:val="en-GB" w:eastAsia="en-GB"/>
              </w:rPr>
            </w:pPr>
            <w:r w:rsidRPr="00CF4DEE">
              <w:rPr>
                <w:rFonts w:eastAsia="Times New Roman"/>
                <w:b/>
                <w:bCs/>
                <w:sz w:val="12"/>
                <w:szCs w:val="12"/>
                <w:lang w:val="en-GB" w:eastAsia="en-GB"/>
              </w:rPr>
              <w:t>17</w:t>
            </w:r>
          </w:p>
        </w:tc>
        <w:tc>
          <w:tcPr>
            <w:tcW w:w="386" w:type="dxa"/>
            <w:shd w:val="clear" w:color="auto" w:fill="auto"/>
            <w:noWrap/>
            <w:vAlign w:val="center"/>
            <w:hideMark/>
          </w:tcPr>
          <w:p w14:paraId="5BCCF041" w14:textId="77777777" w:rsidR="008F1860" w:rsidRPr="00CF4DEE" w:rsidRDefault="008F1860" w:rsidP="008F1860">
            <w:pPr>
              <w:spacing w:after="0" w:line="240" w:lineRule="auto"/>
              <w:jc w:val="center"/>
              <w:rPr>
                <w:rFonts w:eastAsia="Times New Roman"/>
                <w:b/>
                <w:bCs/>
                <w:sz w:val="12"/>
                <w:szCs w:val="12"/>
                <w:lang w:val="en-GB" w:eastAsia="en-GB"/>
              </w:rPr>
            </w:pPr>
            <w:r w:rsidRPr="00CF4DEE">
              <w:rPr>
                <w:rFonts w:eastAsia="Times New Roman"/>
                <w:b/>
                <w:bCs/>
                <w:sz w:val="12"/>
                <w:szCs w:val="12"/>
                <w:lang w:val="en-GB" w:eastAsia="en-GB"/>
              </w:rPr>
              <w:t> </w:t>
            </w:r>
          </w:p>
        </w:tc>
        <w:tc>
          <w:tcPr>
            <w:tcW w:w="386" w:type="dxa"/>
            <w:shd w:val="clear" w:color="auto" w:fill="auto"/>
            <w:noWrap/>
            <w:vAlign w:val="center"/>
            <w:hideMark/>
          </w:tcPr>
          <w:p w14:paraId="6029CAF9" w14:textId="77777777" w:rsidR="008F1860" w:rsidRPr="00CF4DEE" w:rsidRDefault="008F1860" w:rsidP="008F1860">
            <w:pPr>
              <w:spacing w:after="0" w:line="240" w:lineRule="auto"/>
              <w:jc w:val="center"/>
              <w:rPr>
                <w:rFonts w:eastAsia="Times New Roman"/>
                <w:b/>
                <w:bCs/>
                <w:sz w:val="12"/>
                <w:szCs w:val="12"/>
                <w:lang w:val="en-GB" w:eastAsia="en-GB"/>
              </w:rPr>
            </w:pPr>
            <w:r w:rsidRPr="00CF4DEE">
              <w:rPr>
                <w:rFonts w:eastAsia="Times New Roman"/>
                <w:b/>
                <w:bCs/>
                <w:sz w:val="12"/>
                <w:szCs w:val="12"/>
                <w:lang w:val="en-GB" w:eastAsia="en-GB"/>
              </w:rPr>
              <w:t>12</w:t>
            </w:r>
          </w:p>
        </w:tc>
        <w:tc>
          <w:tcPr>
            <w:tcW w:w="386" w:type="dxa"/>
            <w:shd w:val="clear" w:color="000000" w:fill="auto"/>
            <w:noWrap/>
            <w:vAlign w:val="center"/>
            <w:hideMark/>
          </w:tcPr>
          <w:p w14:paraId="3E5C98BC" w14:textId="77777777" w:rsidR="008F1860" w:rsidRPr="00CF4DEE" w:rsidRDefault="008F1860" w:rsidP="008F1860">
            <w:pPr>
              <w:spacing w:after="0" w:line="240" w:lineRule="auto"/>
              <w:jc w:val="center"/>
              <w:rPr>
                <w:rFonts w:eastAsia="Times New Roman"/>
                <w:b/>
                <w:bCs/>
                <w:sz w:val="12"/>
                <w:szCs w:val="12"/>
                <w:lang w:val="en-GB" w:eastAsia="en-GB"/>
              </w:rPr>
            </w:pPr>
            <w:r w:rsidRPr="00CF4DEE">
              <w:rPr>
                <w:rFonts w:eastAsia="Times New Roman"/>
                <w:b/>
                <w:bCs/>
                <w:sz w:val="12"/>
                <w:szCs w:val="12"/>
                <w:lang w:val="en-GB" w:eastAsia="en-GB"/>
              </w:rPr>
              <w:t>38</w:t>
            </w:r>
          </w:p>
        </w:tc>
        <w:tc>
          <w:tcPr>
            <w:tcW w:w="386" w:type="dxa"/>
            <w:shd w:val="clear" w:color="auto" w:fill="auto"/>
            <w:noWrap/>
            <w:vAlign w:val="center"/>
            <w:hideMark/>
          </w:tcPr>
          <w:p w14:paraId="015C3BD1" w14:textId="77777777" w:rsidR="008F1860" w:rsidRPr="00CF4DEE" w:rsidRDefault="008F1860" w:rsidP="008F1860">
            <w:pPr>
              <w:spacing w:after="0" w:line="240" w:lineRule="auto"/>
              <w:jc w:val="center"/>
              <w:rPr>
                <w:rFonts w:eastAsia="Times New Roman"/>
                <w:b/>
                <w:bCs/>
                <w:sz w:val="12"/>
                <w:szCs w:val="12"/>
                <w:lang w:val="en-GB" w:eastAsia="en-GB"/>
              </w:rPr>
            </w:pPr>
            <w:r w:rsidRPr="00CF4DEE">
              <w:rPr>
                <w:rFonts w:eastAsia="Times New Roman"/>
                <w:b/>
                <w:bCs/>
                <w:sz w:val="12"/>
                <w:szCs w:val="12"/>
                <w:lang w:val="en-GB" w:eastAsia="en-GB"/>
              </w:rPr>
              <w:t> </w:t>
            </w:r>
          </w:p>
        </w:tc>
        <w:tc>
          <w:tcPr>
            <w:tcW w:w="386" w:type="dxa"/>
            <w:shd w:val="clear" w:color="auto" w:fill="auto"/>
            <w:noWrap/>
            <w:vAlign w:val="center"/>
            <w:hideMark/>
          </w:tcPr>
          <w:p w14:paraId="4A6F7A65" w14:textId="77777777" w:rsidR="008F1860" w:rsidRPr="00CF4DEE" w:rsidRDefault="008F1860" w:rsidP="008F1860">
            <w:pPr>
              <w:spacing w:after="0" w:line="240" w:lineRule="auto"/>
              <w:jc w:val="center"/>
              <w:rPr>
                <w:rFonts w:eastAsia="Times New Roman"/>
                <w:b/>
                <w:bCs/>
                <w:sz w:val="12"/>
                <w:szCs w:val="12"/>
                <w:lang w:val="en-GB" w:eastAsia="en-GB"/>
              </w:rPr>
            </w:pPr>
            <w:r w:rsidRPr="00CF4DEE">
              <w:rPr>
                <w:rFonts w:eastAsia="Times New Roman"/>
                <w:b/>
                <w:bCs/>
                <w:sz w:val="12"/>
                <w:szCs w:val="12"/>
                <w:lang w:val="en-GB" w:eastAsia="en-GB"/>
              </w:rPr>
              <w:t>3</w:t>
            </w:r>
          </w:p>
        </w:tc>
        <w:tc>
          <w:tcPr>
            <w:tcW w:w="386" w:type="dxa"/>
            <w:shd w:val="clear" w:color="auto" w:fill="auto"/>
            <w:noWrap/>
            <w:vAlign w:val="center"/>
            <w:hideMark/>
          </w:tcPr>
          <w:p w14:paraId="31B75ABF" w14:textId="77777777" w:rsidR="008F1860" w:rsidRPr="00CF4DEE" w:rsidRDefault="008F1860" w:rsidP="008F1860">
            <w:pPr>
              <w:spacing w:after="0" w:line="240" w:lineRule="auto"/>
              <w:jc w:val="center"/>
              <w:rPr>
                <w:rFonts w:eastAsia="Times New Roman"/>
                <w:b/>
                <w:bCs/>
                <w:sz w:val="12"/>
                <w:szCs w:val="12"/>
                <w:lang w:val="en-GB" w:eastAsia="en-GB"/>
              </w:rPr>
            </w:pPr>
            <w:r w:rsidRPr="00CF4DEE">
              <w:rPr>
                <w:rFonts w:eastAsia="Times New Roman"/>
                <w:b/>
                <w:bCs/>
                <w:sz w:val="12"/>
                <w:szCs w:val="12"/>
                <w:lang w:val="en-GB" w:eastAsia="en-GB"/>
              </w:rPr>
              <w:t>3</w:t>
            </w:r>
          </w:p>
        </w:tc>
        <w:tc>
          <w:tcPr>
            <w:tcW w:w="386" w:type="dxa"/>
            <w:shd w:val="clear" w:color="auto" w:fill="auto"/>
            <w:noWrap/>
            <w:vAlign w:val="center"/>
            <w:hideMark/>
          </w:tcPr>
          <w:p w14:paraId="62211F76" w14:textId="77777777" w:rsidR="008F1860" w:rsidRPr="00CF4DEE" w:rsidRDefault="008F1860" w:rsidP="008F1860">
            <w:pPr>
              <w:spacing w:after="0" w:line="240" w:lineRule="auto"/>
              <w:jc w:val="center"/>
              <w:rPr>
                <w:rFonts w:eastAsia="Times New Roman"/>
                <w:b/>
                <w:bCs/>
                <w:sz w:val="12"/>
                <w:szCs w:val="12"/>
                <w:lang w:val="en-GB" w:eastAsia="en-GB"/>
              </w:rPr>
            </w:pPr>
            <w:r w:rsidRPr="00CF4DEE">
              <w:rPr>
                <w:rFonts w:eastAsia="Times New Roman"/>
                <w:b/>
                <w:bCs/>
                <w:sz w:val="12"/>
                <w:szCs w:val="12"/>
                <w:lang w:val="en-GB" w:eastAsia="en-GB"/>
              </w:rPr>
              <w:t> </w:t>
            </w:r>
          </w:p>
        </w:tc>
        <w:tc>
          <w:tcPr>
            <w:tcW w:w="386" w:type="dxa"/>
            <w:shd w:val="clear" w:color="auto" w:fill="auto"/>
            <w:noWrap/>
            <w:vAlign w:val="center"/>
            <w:hideMark/>
          </w:tcPr>
          <w:p w14:paraId="2BC0D60C" w14:textId="77777777" w:rsidR="008F1860" w:rsidRPr="00CF4DEE" w:rsidRDefault="008F1860" w:rsidP="008F1860">
            <w:pPr>
              <w:spacing w:after="0" w:line="240" w:lineRule="auto"/>
              <w:jc w:val="center"/>
              <w:rPr>
                <w:rFonts w:eastAsia="Times New Roman"/>
                <w:b/>
                <w:bCs/>
                <w:sz w:val="12"/>
                <w:szCs w:val="12"/>
                <w:lang w:val="en-GB" w:eastAsia="en-GB"/>
              </w:rPr>
            </w:pPr>
            <w:r w:rsidRPr="00CF4DEE">
              <w:rPr>
                <w:rFonts w:eastAsia="Times New Roman"/>
                <w:b/>
                <w:bCs/>
                <w:sz w:val="12"/>
                <w:szCs w:val="12"/>
                <w:lang w:val="en-GB" w:eastAsia="en-GB"/>
              </w:rPr>
              <w:t>4</w:t>
            </w:r>
          </w:p>
        </w:tc>
        <w:tc>
          <w:tcPr>
            <w:tcW w:w="386" w:type="dxa"/>
            <w:shd w:val="clear" w:color="auto" w:fill="auto"/>
            <w:noWrap/>
            <w:vAlign w:val="center"/>
            <w:hideMark/>
          </w:tcPr>
          <w:p w14:paraId="1FE05E95" w14:textId="77777777" w:rsidR="008F1860" w:rsidRPr="00CF4DEE" w:rsidRDefault="008F1860" w:rsidP="008F1860">
            <w:pPr>
              <w:spacing w:after="0" w:line="240" w:lineRule="auto"/>
              <w:jc w:val="center"/>
              <w:rPr>
                <w:rFonts w:eastAsia="Times New Roman"/>
                <w:b/>
                <w:bCs/>
                <w:sz w:val="12"/>
                <w:szCs w:val="12"/>
                <w:lang w:val="en-GB" w:eastAsia="en-GB"/>
              </w:rPr>
            </w:pPr>
            <w:r w:rsidRPr="00CF4DEE">
              <w:rPr>
                <w:rFonts w:eastAsia="Times New Roman"/>
                <w:b/>
                <w:bCs/>
                <w:sz w:val="12"/>
                <w:szCs w:val="12"/>
                <w:lang w:val="en-GB" w:eastAsia="en-GB"/>
              </w:rPr>
              <w:t>1</w:t>
            </w:r>
          </w:p>
        </w:tc>
        <w:tc>
          <w:tcPr>
            <w:tcW w:w="386" w:type="dxa"/>
            <w:shd w:val="clear" w:color="auto" w:fill="auto"/>
            <w:noWrap/>
            <w:vAlign w:val="center"/>
            <w:hideMark/>
          </w:tcPr>
          <w:p w14:paraId="7D9933E5" w14:textId="77777777" w:rsidR="008F1860" w:rsidRPr="00CF4DEE" w:rsidRDefault="008F1860" w:rsidP="008F1860">
            <w:pPr>
              <w:spacing w:after="0" w:line="240" w:lineRule="auto"/>
              <w:jc w:val="center"/>
              <w:rPr>
                <w:rFonts w:eastAsia="Times New Roman"/>
                <w:b/>
                <w:bCs/>
                <w:sz w:val="12"/>
                <w:szCs w:val="12"/>
                <w:lang w:val="en-GB" w:eastAsia="en-GB"/>
              </w:rPr>
            </w:pPr>
            <w:r w:rsidRPr="00CF4DEE">
              <w:rPr>
                <w:rFonts w:eastAsia="Times New Roman"/>
                <w:b/>
                <w:bCs/>
                <w:sz w:val="12"/>
                <w:szCs w:val="12"/>
                <w:lang w:val="en-GB" w:eastAsia="en-GB"/>
              </w:rPr>
              <w:t> </w:t>
            </w:r>
          </w:p>
        </w:tc>
        <w:tc>
          <w:tcPr>
            <w:tcW w:w="389" w:type="dxa"/>
            <w:shd w:val="clear" w:color="auto" w:fill="auto"/>
            <w:noWrap/>
            <w:vAlign w:val="center"/>
            <w:hideMark/>
          </w:tcPr>
          <w:p w14:paraId="7968DA1D" w14:textId="77777777" w:rsidR="008F1860" w:rsidRPr="00CF4DEE" w:rsidRDefault="008F1860" w:rsidP="008F1860">
            <w:pPr>
              <w:spacing w:after="0" w:line="240" w:lineRule="auto"/>
              <w:jc w:val="center"/>
              <w:rPr>
                <w:rFonts w:eastAsia="Times New Roman"/>
                <w:b/>
                <w:bCs/>
                <w:sz w:val="12"/>
                <w:szCs w:val="12"/>
                <w:lang w:val="en-GB" w:eastAsia="en-GB"/>
              </w:rPr>
            </w:pPr>
            <w:r w:rsidRPr="00CF4DEE">
              <w:rPr>
                <w:rFonts w:eastAsia="Times New Roman"/>
                <w:b/>
                <w:bCs/>
                <w:sz w:val="12"/>
                <w:szCs w:val="12"/>
                <w:lang w:val="en-GB" w:eastAsia="en-GB"/>
              </w:rPr>
              <w:t> </w:t>
            </w:r>
          </w:p>
        </w:tc>
        <w:tc>
          <w:tcPr>
            <w:tcW w:w="389" w:type="dxa"/>
            <w:shd w:val="clear" w:color="auto" w:fill="auto"/>
            <w:noWrap/>
            <w:vAlign w:val="center"/>
            <w:hideMark/>
          </w:tcPr>
          <w:p w14:paraId="4684898A" w14:textId="77777777" w:rsidR="008F1860" w:rsidRPr="00CF4DEE" w:rsidRDefault="008F1860" w:rsidP="008F1860">
            <w:pPr>
              <w:spacing w:after="0" w:line="240" w:lineRule="auto"/>
              <w:jc w:val="center"/>
              <w:rPr>
                <w:rFonts w:eastAsia="Times New Roman"/>
                <w:b/>
                <w:bCs/>
                <w:sz w:val="12"/>
                <w:szCs w:val="12"/>
                <w:lang w:val="en-GB" w:eastAsia="en-GB"/>
              </w:rPr>
            </w:pPr>
            <w:r w:rsidRPr="00CF4DEE">
              <w:rPr>
                <w:rFonts w:eastAsia="Times New Roman"/>
                <w:b/>
                <w:bCs/>
                <w:sz w:val="12"/>
                <w:szCs w:val="12"/>
                <w:lang w:val="en-GB" w:eastAsia="en-GB"/>
              </w:rPr>
              <w:t>1</w:t>
            </w:r>
          </w:p>
        </w:tc>
      </w:tr>
      <w:tr w:rsidR="008F1860" w:rsidRPr="00D62D04" w14:paraId="177038A7" w14:textId="77777777" w:rsidTr="008F1860">
        <w:trPr>
          <w:trHeight w:val="420"/>
        </w:trPr>
        <w:tc>
          <w:tcPr>
            <w:tcW w:w="826" w:type="dxa"/>
            <w:shd w:val="clear" w:color="auto" w:fill="auto"/>
            <w:noWrap/>
            <w:vAlign w:val="center"/>
            <w:hideMark/>
          </w:tcPr>
          <w:p w14:paraId="5DF245E3" w14:textId="77777777" w:rsidR="008F1860" w:rsidRPr="00CF4DEE" w:rsidRDefault="008F1860" w:rsidP="008F1860">
            <w:pPr>
              <w:spacing w:after="0" w:line="240" w:lineRule="auto"/>
              <w:jc w:val="center"/>
              <w:rPr>
                <w:rFonts w:eastAsia="Times New Roman"/>
                <w:b/>
                <w:bCs/>
                <w:sz w:val="12"/>
                <w:szCs w:val="12"/>
                <w:lang w:val="en-GB" w:eastAsia="en-GB"/>
              </w:rPr>
            </w:pPr>
            <w:r w:rsidRPr="00CF4DEE">
              <w:rPr>
                <w:rFonts w:eastAsia="Times New Roman"/>
                <w:b/>
                <w:bCs/>
                <w:sz w:val="12"/>
                <w:szCs w:val="12"/>
                <w:lang w:val="en-GB" w:eastAsia="en-GB"/>
              </w:rPr>
              <w:t>2021</w:t>
            </w:r>
          </w:p>
        </w:tc>
        <w:tc>
          <w:tcPr>
            <w:tcW w:w="387" w:type="dxa"/>
            <w:shd w:val="clear" w:color="auto" w:fill="auto"/>
            <w:noWrap/>
            <w:vAlign w:val="center"/>
            <w:hideMark/>
          </w:tcPr>
          <w:p w14:paraId="326FFFF0" w14:textId="77777777" w:rsidR="008F1860" w:rsidRPr="00CF4DEE" w:rsidRDefault="008F1860" w:rsidP="008F1860">
            <w:pPr>
              <w:spacing w:after="0" w:line="240" w:lineRule="auto"/>
              <w:jc w:val="center"/>
              <w:rPr>
                <w:rFonts w:eastAsia="Times New Roman"/>
                <w:b/>
                <w:bCs/>
                <w:sz w:val="12"/>
                <w:szCs w:val="12"/>
                <w:lang w:val="en-GB" w:eastAsia="en-GB"/>
              </w:rPr>
            </w:pPr>
            <w:r w:rsidRPr="00CF4DEE">
              <w:rPr>
                <w:rFonts w:eastAsia="Times New Roman"/>
                <w:b/>
                <w:bCs/>
                <w:sz w:val="12"/>
                <w:szCs w:val="12"/>
                <w:lang w:val="en-GB" w:eastAsia="en-GB"/>
              </w:rPr>
              <w:t>34</w:t>
            </w:r>
          </w:p>
        </w:tc>
        <w:tc>
          <w:tcPr>
            <w:tcW w:w="387" w:type="dxa"/>
            <w:shd w:val="clear" w:color="auto" w:fill="auto"/>
            <w:noWrap/>
            <w:vAlign w:val="center"/>
            <w:hideMark/>
          </w:tcPr>
          <w:p w14:paraId="0DBA784D" w14:textId="77777777" w:rsidR="008F1860" w:rsidRPr="00CF4DEE" w:rsidRDefault="008F1860" w:rsidP="008F1860">
            <w:pPr>
              <w:spacing w:after="0" w:line="240" w:lineRule="auto"/>
              <w:jc w:val="center"/>
              <w:rPr>
                <w:rFonts w:eastAsia="Times New Roman"/>
                <w:b/>
                <w:bCs/>
                <w:sz w:val="12"/>
                <w:szCs w:val="12"/>
                <w:lang w:val="en-GB" w:eastAsia="en-GB"/>
              </w:rPr>
            </w:pPr>
            <w:r w:rsidRPr="00CF4DEE">
              <w:rPr>
                <w:rFonts w:eastAsia="Times New Roman"/>
                <w:b/>
                <w:bCs/>
                <w:sz w:val="12"/>
                <w:szCs w:val="12"/>
                <w:lang w:val="en-GB" w:eastAsia="en-GB"/>
              </w:rPr>
              <w:t>52</w:t>
            </w:r>
          </w:p>
        </w:tc>
        <w:tc>
          <w:tcPr>
            <w:tcW w:w="387" w:type="dxa"/>
            <w:shd w:val="clear" w:color="000000" w:fill="auto"/>
            <w:noWrap/>
            <w:vAlign w:val="center"/>
            <w:hideMark/>
          </w:tcPr>
          <w:p w14:paraId="45A5DAD8" w14:textId="77777777" w:rsidR="008F1860" w:rsidRPr="00CF4DEE" w:rsidRDefault="008F1860" w:rsidP="008F1860">
            <w:pPr>
              <w:spacing w:after="0" w:line="240" w:lineRule="auto"/>
              <w:jc w:val="center"/>
              <w:rPr>
                <w:rFonts w:eastAsia="Times New Roman"/>
                <w:b/>
                <w:bCs/>
                <w:sz w:val="12"/>
                <w:szCs w:val="12"/>
                <w:lang w:val="en-GB" w:eastAsia="en-GB"/>
              </w:rPr>
            </w:pPr>
            <w:r w:rsidRPr="00CF4DEE">
              <w:rPr>
                <w:rFonts w:eastAsia="Times New Roman"/>
                <w:b/>
                <w:bCs/>
                <w:sz w:val="12"/>
                <w:szCs w:val="12"/>
                <w:lang w:val="en-GB" w:eastAsia="en-GB"/>
              </w:rPr>
              <w:t>86</w:t>
            </w:r>
          </w:p>
        </w:tc>
        <w:tc>
          <w:tcPr>
            <w:tcW w:w="424" w:type="dxa"/>
            <w:shd w:val="clear" w:color="auto" w:fill="auto"/>
            <w:noWrap/>
            <w:vAlign w:val="center"/>
            <w:hideMark/>
          </w:tcPr>
          <w:p w14:paraId="06C96524" w14:textId="77777777" w:rsidR="008F1860" w:rsidRPr="00CF4DEE" w:rsidRDefault="008F1860" w:rsidP="008F1860">
            <w:pPr>
              <w:spacing w:after="0" w:line="240" w:lineRule="auto"/>
              <w:jc w:val="center"/>
              <w:rPr>
                <w:rFonts w:eastAsia="Times New Roman"/>
                <w:b/>
                <w:bCs/>
                <w:sz w:val="12"/>
                <w:szCs w:val="12"/>
                <w:lang w:val="en-GB" w:eastAsia="en-GB"/>
              </w:rPr>
            </w:pPr>
            <w:r w:rsidRPr="00CF4DEE">
              <w:rPr>
                <w:rFonts w:eastAsia="Times New Roman"/>
                <w:b/>
                <w:bCs/>
                <w:sz w:val="12"/>
                <w:szCs w:val="12"/>
                <w:lang w:val="en-GB" w:eastAsia="en-GB"/>
              </w:rPr>
              <w:t>39</w:t>
            </w:r>
          </w:p>
        </w:tc>
        <w:tc>
          <w:tcPr>
            <w:tcW w:w="423" w:type="dxa"/>
            <w:shd w:val="clear" w:color="auto" w:fill="auto"/>
            <w:noWrap/>
            <w:vAlign w:val="center"/>
            <w:hideMark/>
          </w:tcPr>
          <w:p w14:paraId="7739D34B" w14:textId="77777777" w:rsidR="008F1860" w:rsidRPr="00CF4DEE" w:rsidRDefault="008F1860" w:rsidP="008F1860">
            <w:pPr>
              <w:spacing w:after="0" w:line="240" w:lineRule="auto"/>
              <w:jc w:val="center"/>
              <w:rPr>
                <w:rFonts w:eastAsia="Times New Roman"/>
                <w:b/>
                <w:bCs/>
                <w:sz w:val="12"/>
                <w:szCs w:val="12"/>
                <w:lang w:val="en-GB" w:eastAsia="en-GB"/>
              </w:rPr>
            </w:pPr>
            <w:r w:rsidRPr="00CF4DEE">
              <w:rPr>
                <w:rFonts w:eastAsia="Times New Roman"/>
                <w:b/>
                <w:bCs/>
                <w:sz w:val="12"/>
                <w:szCs w:val="12"/>
                <w:lang w:val="en-GB" w:eastAsia="en-GB"/>
              </w:rPr>
              <w:t>13</w:t>
            </w:r>
          </w:p>
        </w:tc>
        <w:tc>
          <w:tcPr>
            <w:tcW w:w="386" w:type="dxa"/>
            <w:shd w:val="clear" w:color="auto" w:fill="auto"/>
            <w:noWrap/>
            <w:vAlign w:val="center"/>
            <w:hideMark/>
          </w:tcPr>
          <w:p w14:paraId="006BCD73" w14:textId="77777777" w:rsidR="008F1860" w:rsidRPr="00CF4DEE" w:rsidRDefault="008F1860" w:rsidP="008F1860">
            <w:pPr>
              <w:spacing w:after="0" w:line="240" w:lineRule="auto"/>
              <w:jc w:val="center"/>
              <w:rPr>
                <w:rFonts w:eastAsia="Times New Roman"/>
                <w:b/>
                <w:bCs/>
                <w:sz w:val="12"/>
                <w:szCs w:val="12"/>
                <w:lang w:val="en-GB" w:eastAsia="en-GB"/>
              </w:rPr>
            </w:pPr>
            <w:r w:rsidRPr="00CF4DEE">
              <w:rPr>
                <w:rFonts w:eastAsia="Times New Roman"/>
                <w:b/>
                <w:bCs/>
                <w:sz w:val="12"/>
                <w:szCs w:val="12"/>
                <w:lang w:val="en-GB" w:eastAsia="en-GB"/>
              </w:rPr>
              <w:t>45</w:t>
            </w:r>
          </w:p>
        </w:tc>
        <w:tc>
          <w:tcPr>
            <w:tcW w:w="386" w:type="dxa"/>
            <w:shd w:val="clear" w:color="auto" w:fill="auto"/>
            <w:noWrap/>
            <w:vAlign w:val="center"/>
            <w:hideMark/>
          </w:tcPr>
          <w:p w14:paraId="42B56927" w14:textId="77777777" w:rsidR="008F1860" w:rsidRPr="00CF4DEE" w:rsidRDefault="008F1860" w:rsidP="008F1860">
            <w:pPr>
              <w:spacing w:after="0" w:line="240" w:lineRule="auto"/>
              <w:jc w:val="center"/>
              <w:rPr>
                <w:rFonts w:eastAsia="Times New Roman"/>
                <w:b/>
                <w:bCs/>
                <w:sz w:val="12"/>
                <w:szCs w:val="12"/>
                <w:lang w:val="en-GB" w:eastAsia="en-GB"/>
              </w:rPr>
            </w:pPr>
            <w:r w:rsidRPr="00CF4DEE">
              <w:rPr>
                <w:rFonts w:eastAsia="Times New Roman"/>
                <w:b/>
                <w:bCs/>
                <w:sz w:val="12"/>
                <w:szCs w:val="12"/>
                <w:lang w:val="en-GB" w:eastAsia="en-GB"/>
              </w:rPr>
              <w:t>16</w:t>
            </w:r>
          </w:p>
        </w:tc>
        <w:tc>
          <w:tcPr>
            <w:tcW w:w="386" w:type="dxa"/>
            <w:shd w:val="clear" w:color="auto" w:fill="auto"/>
            <w:noWrap/>
            <w:vAlign w:val="center"/>
            <w:hideMark/>
          </w:tcPr>
          <w:p w14:paraId="448FD5BC" w14:textId="77777777" w:rsidR="008F1860" w:rsidRPr="00CF4DEE" w:rsidRDefault="008F1860" w:rsidP="008F1860">
            <w:pPr>
              <w:spacing w:after="0" w:line="240" w:lineRule="auto"/>
              <w:jc w:val="center"/>
              <w:rPr>
                <w:rFonts w:eastAsia="Times New Roman"/>
                <w:b/>
                <w:bCs/>
                <w:sz w:val="12"/>
                <w:szCs w:val="12"/>
                <w:lang w:val="en-GB" w:eastAsia="en-GB"/>
              </w:rPr>
            </w:pPr>
            <w:r w:rsidRPr="00CF4DEE">
              <w:rPr>
                <w:rFonts w:eastAsia="Times New Roman"/>
                <w:b/>
                <w:bCs/>
                <w:sz w:val="12"/>
                <w:szCs w:val="12"/>
                <w:lang w:val="en-GB" w:eastAsia="en-GB"/>
              </w:rPr>
              <w:t> </w:t>
            </w:r>
          </w:p>
        </w:tc>
        <w:tc>
          <w:tcPr>
            <w:tcW w:w="386" w:type="dxa"/>
            <w:shd w:val="clear" w:color="auto" w:fill="auto"/>
            <w:noWrap/>
            <w:vAlign w:val="center"/>
            <w:hideMark/>
          </w:tcPr>
          <w:p w14:paraId="5D07670F" w14:textId="77777777" w:rsidR="008F1860" w:rsidRPr="00CF4DEE" w:rsidRDefault="008F1860" w:rsidP="008F1860">
            <w:pPr>
              <w:spacing w:after="0" w:line="240" w:lineRule="auto"/>
              <w:jc w:val="center"/>
              <w:rPr>
                <w:rFonts w:eastAsia="Times New Roman"/>
                <w:b/>
                <w:bCs/>
                <w:sz w:val="12"/>
                <w:szCs w:val="12"/>
                <w:lang w:val="en-GB" w:eastAsia="en-GB"/>
              </w:rPr>
            </w:pPr>
            <w:r w:rsidRPr="00CF4DEE">
              <w:rPr>
                <w:rFonts w:eastAsia="Times New Roman"/>
                <w:b/>
                <w:bCs/>
                <w:sz w:val="12"/>
                <w:szCs w:val="12"/>
                <w:lang w:val="en-GB" w:eastAsia="en-GB"/>
              </w:rPr>
              <w:t>11</w:t>
            </w:r>
          </w:p>
        </w:tc>
        <w:tc>
          <w:tcPr>
            <w:tcW w:w="386" w:type="dxa"/>
            <w:shd w:val="clear" w:color="auto" w:fill="auto"/>
            <w:noWrap/>
            <w:vAlign w:val="center"/>
            <w:hideMark/>
          </w:tcPr>
          <w:p w14:paraId="00099B85" w14:textId="77777777" w:rsidR="008F1860" w:rsidRPr="00CF4DEE" w:rsidRDefault="008F1860" w:rsidP="008F1860">
            <w:pPr>
              <w:spacing w:after="0" w:line="240" w:lineRule="auto"/>
              <w:jc w:val="center"/>
              <w:rPr>
                <w:rFonts w:eastAsia="Times New Roman"/>
                <w:b/>
                <w:bCs/>
                <w:sz w:val="12"/>
                <w:szCs w:val="12"/>
                <w:lang w:val="en-GB" w:eastAsia="en-GB"/>
              </w:rPr>
            </w:pPr>
            <w:r w:rsidRPr="00CF4DEE">
              <w:rPr>
                <w:rFonts w:eastAsia="Times New Roman"/>
                <w:b/>
                <w:bCs/>
                <w:sz w:val="12"/>
                <w:szCs w:val="12"/>
                <w:lang w:val="en-GB" w:eastAsia="en-GB"/>
              </w:rPr>
              <w:t>1</w:t>
            </w:r>
          </w:p>
        </w:tc>
        <w:tc>
          <w:tcPr>
            <w:tcW w:w="386" w:type="dxa"/>
            <w:shd w:val="clear" w:color="auto" w:fill="auto"/>
            <w:noWrap/>
            <w:vAlign w:val="center"/>
            <w:hideMark/>
          </w:tcPr>
          <w:p w14:paraId="0B9FF478" w14:textId="77777777" w:rsidR="008F1860" w:rsidRPr="00CF4DEE" w:rsidRDefault="008F1860" w:rsidP="008F1860">
            <w:pPr>
              <w:spacing w:after="0" w:line="240" w:lineRule="auto"/>
              <w:jc w:val="center"/>
              <w:rPr>
                <w:rFonts w:eastAsia="Times New Roman"/>
                <w:b/>
                <w:bCs/>
                <w:sz w:val="12"/>
                <w:szCs w:val="12"/>
                <w:lang w:val="en-GB" w:eastAsia="en-GB"/>
              </w:rPr>
            </w:pPr>
            <w:r w:rsidRPr="00CF4DEE">
              <w:rPr>
                <w:rFonts w:eastAsia="Times New Roman"/>
                <w:b/>
                <w:bCs/>
                <w:sz w:val="12"/>
                <w:szCs w:val="12"/>
                <w:lang w:val="en-GB" w:eastAsia="en-GB"/>
              </w:rPr>
              <w:t>24</w:t>
            </w:r>
          </w:p>
        </w:tc>
        <w:tc>
          <w:tcPr>
            <w:tcW w:w="386" w:type="dxa"/>
            <w:shd w:val="clear" w:color="000000" w:fill="auto"/>
            <w:noWrap/>
            <w:vAlign w:val="center"/>
            <w:hideMark/>
          </w:tcPr>
          <w:p w14:paraId="12724716" w14:textId="77777777" w:rsidR="008F1860" w:rsidRPr="00CF4DEE" w:rsidRDefault="008F1860" w:rsidP="008F1860">
            <w:pPr>
              <w:spacing w:after="0" w:line="240" w:lineRule="auto"/>
              <w:jc w:val="center"/>
              <w:rPr>
                <w:rFonts w:eastAsia="Times New Roman"/>
                <w:b/>
                <w:bCs/>
                <w:sz w:val="12"/>
                <w:szCs w:val="12"/>
                <w:lang w:val="en-GB" w:eastAsia="en-GB"/>
              </w:rPr>
            </w:pPr>
            <w:r w:rsidRPr="00CF4DEE">
              <w:rPr>
                <w:rFonts w:eastAsia="Times New Roman"/>
                <w:b/>
                <w:bCs/>
                <w:sz w:val="12"/>
                <w:szCs w:val="12"/>
                <w:lang w:val="en-GB" w:eastAsia="en-GB"/>
              </w:rPr>
              <w:t>52</w:t>
            </w:r>
          </w:p>
        </w:tc>
        <w:tc>
          <w:tcPr>
            <w:tcW w:w="386" w:type="dxa"/>
            <w:shd w:val="clear" w:color="auto" w:fill="auto"/>
            <w:noWrap/>
            <w:vAlign w:val="center"/>
            <w:hideMark/>
          </w:tcPr>
          <w:p w14:paraId="451DCD8F" w14:textId="77777777" w:rsidR="008F1860" w:rsidRPr="00CF4DEE" w:rsidRDefault="008F1860" w:rsidP="008F1860">
            <w:pPr>
              <w:spacing w:after="0" w:line="240" w:lineRule="auto"/>
              <w:jc w:val="center"/>
              <w:rPr>
                <w:rFonts w:eastAsia="Times New Roman"/>
                <w:b/>
                <w:bCs/>
                <w:sz w:val="12"/>
                <w:szCs w:val="12"/>
                <w:lang w:val="en-GB" w:eastAsia="en-GB"/>
              </w:rPr>
            </w:pPr>
            <w:r w:rsidRPr="00CF4DEE">
              <w:rPr>
                <w:rFonts w:eastAsia="Times New Roman"/>
                <w:b/>
                <w:bCs/>
                <w:sz w:val="12"/>
                <w:szCs w:val="12"/>
                <w:lang w:val="en-GB" w:eastAsia="en-GB"/>
              </w:rPr>
              <w:t> </w:t>
            </w:r>
          </w:p>
        </w:tc>
        <w:tc>
          <w:tcPr>
            <w:tcW w:w="386" w:type="dxa"/>
            <w:shd w:val="clear" w:color="auto" w:fill="auto"/>
            <w:noWrap/>
            <w:vAlign w:val="center"/>
            <w:hideMark/>
          </w:tcPr>
          <w:p w14:paraId="2363C1EF" w14:textId="77777777" w:rsidR="008F1860" w:rsidRPr="00CF4DEE" w:rsidRDefault="008F1860" w:rsidP="008F1860">
            <w:pPr>
              <w:spacing w:after="0" w:line="240" w:lineRule="auto"/>
              <w:jc w:val="center"/>
              <w:rPr>
                <w:rFonts w:eastAsia="Times New Roman"/>
                <w:b/>
                <w:bCs/>
                <w:sz w:val="12"/>
                <w:szCs w:val="12"/>
                <w:lang w:val="en-GB" w:eastAsia="en-GB"/>
              </w:rPr>
            </w:pPr>
            <w:r w:rsidRPr="00CF4DEE">
              <w:rPr>
                <w:rFonts w:eastAsia="Times New Roman"/>
                <w:b/>
                <w:bCs/>
                <w:sz w:val="12"/>
                <w:szCs w:val="12"/>
                <w:lang w:val="en-GB" w:eastAsia="en-GB"/>
              </w:rPr>
              <w:t>5</w:t>
            </w:r>
          </w:p>
        </w:tc>
        <w:tc>
          <w:tcPr>
            <w:tcW w:w="386" w:type="dxa"/>
            <w:shd w:val="clear" w:color="auto" w:fill="auto"/>
            <w:noWrap/>
            <w:vAlign w:val="center"/>
            <w:hideMark/>
          </w:tcPr>
          <w:p w14:paraId="4513AD10" w14:textId="77777777" w:rsidR="008F1860" w:rsidRPr="00CF4DEE" w:rsidRDefault="008F1860" w:rsidP="008F1860">
            <w:pPr>
              <w:spacing w:after="0" w:line="240" w:lineRule="auto"/>
              <w:jc w:val="center"/>
              <w:rPr>
                <w:rFonts w:eastAsia="Times New Roman"/>
                <w:b/>
                <w:bCs/>
                <w:sz w:val="12"/>
                <w:szCs w:val="12"/>
                <w:lang w:val="en-GB" w:eastAsia="en-GB"/>
              </w:rPr>
            </w:pPr>
            <w:r w:rsidRPr="00CF4DEE">
              <w:rPr>
                <w:rFonts w:eastAsia="Times New Roman"/>
                <w:b/>
                <w:bCs/>
                <w:sz w:val="12"/>
                <w:szCs w:val="12"/>
                <w:lang w:val="en-GB" w:eastAsia="en-GB"/>
              </w:rPr>
              <w:t>4</w:t>
            </w:r>
          </w:p>
        </w:tc>
        <w:tc>
          <w:tcPr>
            <w:tcW w:w="386" w:type="dxa"/>
            <w:shd w:val="clear" w:color="auto" w:fill="auto"/>
            <w:noWrap/>
            <w:vAlign w:val="center"/>
            <w:hideMark/>
          </w:tcPr>
          <w:p w14:paraId="1EE32458" w14:textId="77777777" w:rsidR="008F1860" w:rsidRPr="00CF4DEE" w:rsidRDefault="008F1860" w:rsidP="008F1860">
            <w:pPr>
              <w:spacing w:after="0" w:line="240" w:lineRule="auto"/>
              <w:jc w:val="center"/>
              <w:rPr>
                <w:rFonts w:eastAsia="Times New Roman"/>
                <w:b/>
                <w:bCs/>
                <w:sz w:val="12"/>
                <w:szCs w:val="12"/>
                <w:lang w:val="en-GB" w:eastAsia="en-GB"/>
              </w:rPr>
            </w:pPr>
            <w:r w:rsidRPr="00CF4DEE">
              <w:rPr>
                <w:rFonts w:eastAsia="Times New Roman"/>
                <w:b/>
                <w:bCs/>
                <w:sz w:val="12"/>
                <w:szCs w:val="12"/>
                <w:lang w:val="en-GB" w:eastAsia="en-GB"/>
              </w:rPr>
              <w:t>1</w:t>
            </w:r>
          </w:p>
        </w:tc>
        <w:tc>
          <w:tcPr>
            <w:tcW w:w="386" w:type="dxa"/>
            <w:shd w:val="clear" w:color="auto" w:fill="auto"/>
            <w:noWrap/>
            <w:vAlign w:val="center"/>
            <w:hideMark/>
          </w:tcPr>
          <w:p w14:paraId="0AF5FC2B" w14:textId="77777777" w:rsidR="008F1860" w:rsidRPr="00CF4DEE" w:rsidRDefault="008F1860" w:rsidP="008F1860">
            <w:pPr>
              <w:spacing w:after="0" w:line="240" w:lineRule="auto"/>
              <w:jc w:val="center"/>
              <w:rPr>
                <w:rFonts w:eastAsia="Times New Roman"/>
                <w:b/>
                <w:bCs/>
                <w:sz w:val="12"/>
                <w:szCs w:val="12"/>
                <w:lang w:val="en-GB" w:eastAsia="en-GB"/>
              </w:rPr>
            </w:pPr>
            <w:r w:rsidRPr="00CF4DEE">
              <w:rPr>
                <w:rFonts w:eastAsia="Times New Roman"/>
                <w:b/>
                <w:bCs/>
                <w:sz w:val="12"/>
                <w:szCs w:val="12"/>
                <w:lang w:val="en-GB" w:eastAsia="en-GB"/>
              </w:rPr>
              <w:t>6</w:t>
            </w:r>
          </w:p>
        </w:tc>
        <w:tc>
          <w:tcPr>
            <w:tcW w:w="386" w:type="dxa"/>
            <w:shd w:val="clear" w:color="auto" w:fill="auto"/>
            <w:noWrap/>
            <w:vAlign w:val="center"/>
            <w:hideMark/>
          </w:tcPr>
          <w:p w14:paraId="19D7B9F1" w14:textId="77777777" w:rsidR="008F1860" w:rsidRPr="00CF4DEE" w:rsidRDefault="008F1860" w:rsidP="008F1860">
            <w:pPr>
              <w:spacing w:after="0" w:line="240" w:lineRule="auto"/>
              <w:jc w:val="center"/>
              <w:rPr>
                <w:rFonts w:eastAsia="Times New Roman"/>
                <w:b/>
                <w:bCs/>
                <w:sz w:val="12"/>
                <w:szCs w:val="12"/>
                <w:lang w:val="en-GB" w:eastAsia="en-GB"/>
              </w:rPr>
            </w:pPr>
            <w:r w:rsidRPr="00CF4DEE">
              <w:rPr>
                <w:rFonts w:eastAsia="Times New Roman"/>
                <w:b/>
                <w:bCs/>
                <w:sz w:val="12"/>
                <w:szCs w:val="12"/>
                <w:lang w:val="en-GB" w:eastAsia="en-GB"/>
              </w:rPr>
              <w:t>2</w:t>
            </w:r>
          </w:p>
        </w:tc>
        <w:tc>
          <w:tcPr>
            <w:tcW w:w="386" w:type="dxa"/>
            <w:shd w:val="clear" w:color="auto" w:fill="auto"/>
            <w:noWrap/>
            <w:vAlign w:val="center"/>
            <w:hideMark/>
          </w:tcPr>
          <w:p w14:paraId="04050E7F" w14:textId="77777777" w:rsidR="008F1860" w:rsidRPr="00CF4DEE" w:rsidRDefault="008F1860" w:rsidP="008F1860">
            <w:pPr>
              <w:spacing w:after="0" w:line="240" w:lineRule="auto"/>
              <w:jc w:val="center"/>
              <w:rPr>
                <w:rFonts w:eastAsia="Times New Roman"/>
                <w:b/>
                <w:bCs/>
                <w:sz w:val="12"/>
                <w:szCs w:val="12"/>
                <w:lang w:val="en-GB" w:eastAsia="en-GB"/>
              </w:rPr>
            </w:pPr>
            <w:r w:rsidRPr="00CF4DEE">
              <w:rPr>
                <w:rFonts w:eastAsia="Times New Roman"/>
                <w:b/>
                <w:bCs/>
                <w:sz w:val="12"/>
                <w:szCs w:val="12"/>
                <w:lang w:val="en-GB" w:eastAsia="en-GB"/>
              </w:rPr>
              <w:t> </w:t>
            </w:r>
          </w:p>
        </w:tc>
        <w:tc>
          <w:tcPr>
            <w:tcW w:w="389" w:type="dxa"/>
            <w:shd w:val="clear" w:color="auto" w:fill="auto"/>
            <w:noWrap/>
            <w:vAlign w:val="center"/>
            <w:hideMark/>
          </w:tcPr>
          <w:p w14:paraId="5109DD9A" w14:textId="77777777" w:rsidR="008F1860" w:rsidRPr="00CF4DEE" w:rsidRDefault="008F1860" w:rsidP="008F1860">
            <w:pPr>
              <w:spacing w:after="0" w:line="240" w:lineRule="auto"/>
              <w:jc w:val="center"/>
              <w:rPr>
                <w:rFonts w:eastAsia="Times New Roman"/>
                <w:b/>
                <w:bCs/>
                <w:sz w:val="12"/>
                <w:szCs w:val="12"/>
                <w:lang w:val="en-GB" w:eastAsia="en-GB"/>
              </w:rPr>
            </w:pPr>
            <w:r w:rsidRPr="00CF4DEE">
              <w:rPr>
                <w:rFonts w:eastAsia="Times New Roman"/>
                <w:b/>
                <w:bCs/>
                <w:sz w:val="12"/>
                <w:szCs w:val="12"/>
                <w:lang w:val="en-GB" w:eastAsia="en-GB"/>
              </w:rPr>
              <w:t> </w:t>
            </w:r>
          </w:p>
        </w:tc>
        <w:tc>
          <w:tcPr>
            <w:tcW w:w="389" w:type="dxa"/>
            <w:shd w:val="clear" w:color="auto" w:fill="auto"/>
            <w:noWrap/>
            <w:vAlign w:val="center"/>
            <w:hideMark/>
          </w:tcPr>
          <w:p w14:paraId="02873105" w14:textId="77777777" w:rsidR="008F1860" w:rsidRPr="00CF4DEE" w:rsidRDefault="008F1860" w:rsidP="008F1860">
            <w:pPr>
              <w:spacing w:after="0" w:line="240" w:lineRule="auto"/>
              <w:jc w:val="center"/>
              <w:rPr>
                <w:rFonts w:eastAsia="Times New Roman"/>
                <w:b/>
                <w:bCs/>
                <w:sz w:val="12"/>
                <w:szCs w:val="12"/>
                <w:lang w:val="en-GB" w:eastAsia="en-GB"/>
              </w:rPr>
            </w:pPr>
            <w:r w:rsidRPr="00CF4DEE">
              <w:rPr>
                <w:rFonts w:eastAsia="Times New Roman"/>
                <w:b/>
                <w:bCs/>
                <w:sz w:val="12"/>
                <w:szCs w:val="12"/>
                <w:lang w:val="en-GB" w:eastAsia="en-GB"/>
              </w:rPr>
              <w:t>2</w:t>
            </w:r>
          </w:p>
        </w:tc>
      </w:tr>
    </w:tbl>
    <w:p w14:paraId="473A1C1D" w14:textId="77777777" w:rsidR="0070631C" w:rsidRPr="00D62D04" w:rsidRDefault="0070631C" w:rsidP="00A51CE6">
      <w:pPr>
        <w:spacing w:after="0"/>
        <w:jc w:val="both"/>
        <w:rPr>
          <w:sz w:val="24"/>
          <w:szCs w:val="24"/>
          <w:highlight w:val="cyan"/>
          <w:lang w:val="en-GB"/>
        </w:rPr>
      </w:pPr>
    </w:p>
    <w:p w14:paraId="1B554CEB" w14:textId="77777777" w:rsidR="00D20C62" w:rsidRDefault="00D20C62" w:rsidP="00AA3916">
      <w:pPr>
        <w:spacing w:after="0"/>
        <w:ind w:firstLine="720"/>
        <w:jc w:val="both"/>
        <w:rPr>
          <w:sz w:val="24"/>
          <w:szCs w:val="24"/>
          <w:lang w:val="en-GB"/>
        </w:rPr>
      </w:pPr>
      <w:r w:rsidRPr="00D20C62">
        <w:rPr>
          <w:sz w:val="24"/>
          <w:szCs w:val="24"/>
          <w:lang w:val="en-GB"/>
        </w:rPr>
        <w:t>Strategy for prevention and protection a</w:t>
      </w:r>
      <w:r>
        <w:rPr>
          <w:sz w:val="24"/>
          <w:szCs w:val="24"/>
          <w:lang w:val="en-GB"/>
        </w:rPr>
        <w:t>gainst discrimination 2022-2030</w:t>
      </w:r>
      <w:r w:rsidRPr="00D20C62">
        <w:rPr>
          <w:sz w:val="24"/>
          <w:szCs w:val="24"/>
          <w:lang w:val="en-GB"/>
        </w:rPr>
        <w:t xml:space="preserve"> envisages a measure that involves improving the mechanism for suppressing and preventing hate speech. The focus of the measure is particularly hate speech on the Internet, which requires a different approach in prevention and suppression due to the nature of the Internet, which includes several important actors in defining responsibility, namely users, Internet access providers, content providers, telecommunications network providers and broadcasters. The effect of this measure is to improve the system of preventing and suppressing hate speech, while respecting the specificity of hate speech on the Internet, which will enable better prevention and protection from hate speech of members of groups against whom hate speech is most often directed.</w:t>
      </w:r>
    </w:p>
    <w:p w14:paraId="327498AE" w14:textId="77777777" w:rsidR="006370A2" w:rsidRDefault="00AA7CD8" w:rsidP="000C0879">
      <w:pPr>
        <w:tabs>
          <w:tab w:val="left" w:pos="707"/>
        </w:tabs>
        <w:spacing w:after="0"/>
        <w:ind w:right="-46"/>
        <w:jc w:val="both"/>
        <w:rPr>
          <w:sz w:val="24"/>
          <w:szCs w:val="24"/>
          <w:lang w:val="en-GB"/>
        </w:rPr>
      </w:pPr>
      <w:r w:rsidRPr="00400205">
        <w:rPr>
          <w:sz w:val="24"/>
          <w:szCs w:val="24"/>
          <w:lang w:val="en-GB"/>
        </w:rPr>
        <w:tab/>
      </w:r>
      <w:r w:rsidR="006370A2" w:rsidRPr="00400205">
        <w:rPr>
          <w:sz w:val="24"/>
          <w:szCs w:val="24"/>
          <w:lang w:val="en-GB"/>
        </w:rPr>
        <w:t>Hate speech, as mentioned, is also prohibited by special laws, and the bodies provided</w:t>
      </w:r>
      <w:r w:rsidR="006370A2" w:rsidRPr="006370A2">
        <w:rPr>
          <w:sz w:val="24"/>
          <w:szCs w:val="24"/>
          <w:lang w:val="en-GB"/>
        </w:rPr>
        <w:t xml:space="preserve"> for in these laws, such as the Commissioner for the Protection of Equality and the Regulatory Body for Electronic Media, condemn hate speech and therefore take measures within their jurisdiction. Thus, the Regulatory Body for Electronic Media, </w:t>
      </w:r>
      <w:r w:rsidR="00AC453B">
        <w:rPr>
          <w:sz w:val="24"/>
          <w:szCs w:val="24"/>
          <w:lang w:val="en-GB"/>
        </w:rPr>
        <w:t>pursuant to</w:t>
      </w:r>
      <w:r w:rsidR="006370A2" w:rsidRPr="006370A2">
        <w:rPr>
          <w:sz w:val="24"/>
          <w:szCs w:val="24"/>
          <w:lang w:val="en-GB"/>
        </w:rPr>
        <w:t xml:space="preserve"> Article 51 of the Law on Electronic Media, ensures that the program</w:t>
      </w:r>
      <w:r w:rsidR="00AC453B">
        <w:rPr>
          <w:sz w:val="24"/>
          <w:szCs w:val="24"/>
          <w:lang w:val="en-GB"/>
        </w:rPr>
        <w:t>me</w:t>
      </w:r>
      <w:r w:rsidR="006370A2" w:rsidRPr="006370A2">
        <w:rPr>
          <w:sz w:val="24"/>
          <w:szCs w:val="24"/>
          <w:lang w:val="en-GB"/>
        </w:rPr>
        <w:t xml:space="preserve"> content of the media service provider does not contain information that incites, openly or covertly, discrimination, hatred or violence, amon</w:t>
      </w:r>
      <w:r w:rsidR="00AC453B">
        <w:rPr>
          <w:sz w:val="24"/>
          <w:szCs w:val="24"/>
          <w:lang w:val="en-GB"/>
        </w:rPr>
        <w:t>g other things, because of race</w:t>
      </w:r>
      <w:r w:rsidR="006370A2" w:rsidRPr="006370A2">
        <w:rPr>
          <w:sz w:val="24"/>
          <w:szCs w:val="24"/>
          <w:lang w:val="en-GB"/>
        </w:rPr>
        <w:t xml:space="preserve">, skin </w:t>
      </w:r>
      <w:proofErr w:type="spellStart"/>
      <w:r w:rsidR="006370A2" w:rsidRPr="006370A2">
        <w:rPr>
          <w:sz w:val="24"/>
          <w:szCs w:val="24"/>
          <w:lang w:val="en-GB"/>
        </w:rPr>
        <w:t>color</w:t>
      </w:r>
      <w:proofErr w:type="spellEnd"/>
      <w:r w:rsidR="006370A2" w:rsidRPr="006370A2">
        <w:rPr>
          <w:sz w:val="24"/>
          <w:szCs w:val="24"/>
          <w:lang w:val="en-GB"/>
        </w:rPr>
        <w:t xml:space="preserve">, ancestry, nationality, language, religious </w:t>
      </w:r>
      <w:r w:rsidR="006370A2" w:rsidRPr="006370A2">
        <w:rPr>
          <w:sz w:val="24"/>
          <w:szCs w:val="24"/>
          <w:lang w:val="en-GB"/>
        </w:rPr>
        <w:lastRenderedPageBreak/>
        <w:t xml:space="preserve">beliefs, etc. The regulator has repeatedly imposed measures prescribed by the Electronic Media </w:t>
      </w:r>
      <w:r w:rsidR="00F2381D">
        <w:rPr>
          <w:sz w:val="24"/>
          <w:szCs w:val="24"/>
          <w:lang w:val="en-GB"/>
        </w:rPr>
        <w:t>Law</w:t>
      </w:r>
      <w:r w:rsidR="006370A2" w:rsidRPr="006370A2">
        <w:rPr>
          <w:sz w:val="24"/>
          <w:szCs w:val="24"/>
          <w:lang w:val="en-GB"/>
        </w:rPr>
        <w:t xml:space="preserve"> on media service providers due to hate speech in their program</w:t>
      </w:r>
      <w:r w:rsidR="00F2381D">
        <w:rPr>
          <w:sz w:val="24"/>
          <w:szCs w:val="24"/>
          <w:lang w:val="en-GB"/>
        </w:rPr>
        <w:t>me</w:t>
      </w:r>
      <w:r w:rsidR="006370A2" w:rsidRPr="006370A2">
        <w:rPr>
          <w:sz w:val="24"/>
          <w:szCs w:val="24"/>
          <w:lang w:val="en-GB"/>
        </w:rPr>
        <w:t xml:space="preserve">s. Thus, in November 2019, a reprimand was issued to a commercial media service provider due to discrimination on the basis of nationality by the host </w:t>
      </w:r>
      <w:r w:rsidR="00077AB7">
        <w:rPr>
          <w:sz w:val="24"/>
          <w:szCs w:val="24"/>
          <w:lang w:val="en-GB"/>
        </w:rPr>
        <w:t>to</w:t>
      </w:r>
      <w:r w:rsidR="006370A2" w:rsidRPr="006370A2">
        <w:rPr>
          <w:sz w:val="24"/>
          <w:szCs w:val="24"/>
          <w:lang w:val="en-GB"/>
        </w:rPr>
        <w:t xml:space="preserve"> a university professor. In June 2020, a temporary ban on the </w:t>
      </w:r>
      <w:r w:rsidR="00B53032">
        <w:rPr>
          <w:sz w:val="24"/>
          <w:szCs w:val="24"/>
          <w:lang w:val="en-GB"/>
        </w:rPr>
        <w:t>broadcast</w:t>
      </w:r>
      <w:r w:rsidR="006370A2" w:rsidRPr="006370A2">
        <w:rPr>
          <w:sz w:val="24"/>
          <w:szCs w:val="24"/>
          <w:lang w:val="en-GB"/>
        </w:rPr>
        <w:t xml:space="preserve"> of program</w:t>
      </w:r>
      <w:r w:rsidR="00B53032">
        <w:rPr>
          <w:sz w:val="24"/>
          <w:szCs w:val="24"/>
          <w:lang w:val="en-GB"/>
        </w:rPr>
        <w:t>me</w:t>
      </w:r>
      <w:r w:rsidR="006370A2" w:rsidRPr="006370A2">
        <w:rPr>
          <w:sz w:val="24"/>
          <w:szCs w:val="24"/>
          <w:lang w:val="en-GB"/>
        </w:rPr>
        <w:t xml:space="preserve"> content (show) for 7 days was imposed on a commercial media service provider due to hate speech by a show participant towards a politician. In December 2021, a warning measure was issued to a commercial media service provider due to discrimination on the basis of nationality by the participants of the show towards a female politician. In February 2022, it was </w:t>
      </w:r>
      <w:r w:rsidR="00C82C65">
        <w:rPr>
          <w:sz w:val="24"/>
          <w:szCs w:val="24"/>
          <w:lang w:val="en-GB"/>
        </w:rPr>
        <w:t>found</w:t>
      </w:r>
      <w:r w:rsidR="006370A2" w:rsidRPr="006370A2">
        <w:rPr>
          <w:sz w:val="24"/>
          <w:szCs w:val="24"/>
          <w:lang w:val="en-GB"/>
        </w:rPr>
        <w:t xml:space="preserve"> that the authors of the show </w:t>
      </w:r>
      <w:r w:rsidR="002506B7">
        <w:rPr>
          <w:sz w:val="24"/>
          <w:szCs w:val="24"/>
          <w:lang w:val="en-GB"/>
        </w:rPr>
        <w:t>broadcast</w:t>
      </w:r>
      <w:r w:rsidR="006370A2" w:rsidRPr="006370A2">
        <w:rPr>
          <w:sz w:val="24"/>
          <w:szCs w:val="24"/>
          <w:lang w:val="en-GB"/>
        </w:rPr>
        <w:t xml:space="preserve"> in the program</w:t>
      </w:r>
      <w:r w:rsidR="002506B7">
        <w:rPr>
          <w:sz w:val="24"/>
          <w:szCs w:val="24"/>
          <w:lang w:val="en-GB"/>
        </w:rPr>
        <w:t>me</w:t>
      </w:r>
      <w:r w:rsidR="006370A2" w:rsidRPr="006370A2">
        <w:rPr>
          <w:sz w:val="24"/>
          <w:szCs w:val="24"/>
          <w:lang w:val="en-GB"/>
        </w:rPr>
        <w:t xml:space="preserve"> of a media service provider that provides media services via an electronic communication network, </w:t>
      </w:r>
      <w:r w:rsidR="002506B7">
        <w:rPr>
          <w:sz w:val="24"/>
          <w:szCs w:val="24"/>
          <w:lang w:val="en-GB"/>
        </w:rPr>
        <w:t>the</w:t>
      </w:r>
      <w:r w:rsidR="006370A2" w:rsidRPr="006370A2">
        <w:rPr>
          <w:sz w:val="24"/>
          <w:szCs w:val="24"/>
          <w:lang w:val="en-GB"/>
        </w:rPr>
        <w:t xml:space="preserve"> program</w:t>
      </w:r>
      <w:r w:rsidR="002506B7">
        <w:rPr>
          <w:sz w:val="24"/>
          <w:szCs w:val="24"/>
          <w:lang w:val="en-GB"/>
        </w:rPr>
        <w:t>me of which</w:t>
      </w:r>
      <w:r w:rsidR="006370A2" w:rsidRPr="006370A2">
        <w:rPr>
          <w:sz w:val="24"/>
          <w:szCs w:val="24"/>
          <w:lang w:val="en-GB"/>
        </w:rPr>
        <w:t xml:space="preserve"> is </w:t>
      </w:r>
      <w:r w:rsidR="002506B7">
        <w:rPr>
          <w:sz w:val="24"/>
          <w:szCs w:val="24"/>
          <w:lang w:val="en-GB"/>
        </w:rPr>
        <w:t>broadcast</w:t>
      </w:r>
      <w:r w:rsidR="006370A2" w:rsidRPr="006370A2">
        <w:rPr>
          <w:sz w:val="24"/>
          <w:szCs w:val="24"/>
          <w:lang w:val="en-GB"/>
        </w:rPr>
        <w:t xml:space="preserve"> in the Republic of Serbia, and registered abroad, used hate speech against a female politician, state official, about which the regulatory body of th</w:t>
      </w:r>
      <w:r w:rsidR="002506B7">
        <w:rPr>
          <w:sz w:val="24"/>
          <w:szCs w:val="24"/>
          <w:lang w:val="en-GB"/>
        </w:rPr>
        <w:t>e country that issued the licenc</w:t>
      </w:r>
      <w:r w:rsidR="006370A2" w:rsidRPr="006370A2">
        <w:rPr>
          <w:sz w:val="24"/>
          <w:szCs w:val="24"/>
          <w:lang w:val="en-GB"/>
        </w:rPr>
        <w:t xml:space="preserve">e to this media service provider was </w:t>
      </w:r>
      <w:r w:rsidR="006370A2" w:rsidRPr="00C82C65">
        <w:rPr>
          <w:sz w:val="24"/>
          <w:szCs w:val="24"/>
          <w:lang w:val="en-GB"/>
        </w:rPr>
        <w:t xml:space="preserve">notified. All previously </w:t>
      </w:r>
      <w:r w:rsidR="00C82C65" w:rsidRPr="00C82C65">
        <w:rPr>
          <w:sz w:val="24"/>
          <w:szCs w:val="24"/>
          <w:lang w:val="en-GB"/>
        </w:rPr>
        <w:t>imposed</w:t>
      </w:r>
      <w:r w:rsidR="006370A2" w:rsidRPr="00C82C65">
        <w:rPr>
          <w:sz w:val="24"/>
          <w:szCs w:val="24"/>
          <w:lang w:val="en-GB"/>
        </w:rPr>
        <w:t xml:space="preserve"> measures are published on the website of the Regulator.</w:t>
      </w:r>
      <w:r w:rsidR="00C82C65" w:rsidRPr="00C82C65">
        <w:rPr>
          <w:rStyle w:val="FootnoteReference"/>
          <w:sz w:val="24"/>
          <w:szCs w:val="24"/>
          <w:lang w:val="en-GB"/>
        </w:rPr>
        <w:footnoteReference w:id="92"/>
      </w:r>
    </w:p>
    <w:p w14:paraId="3E1225BA" w14:textId="77777777" w:rsidR="00F90D60" w:rsidRDefault="007D7B56" w:rsidP="007D7B56">
      <w:pPr>
        <w:tabs>
          <w:tab w:val="left" w:pos="707"/>
        </w:tabs>
        <w:spacing w:after="0"/>
        <w:ind w:right="-46"/>
        <w:jc w:val="both"/>
        <w:rPr>
          <w:sz w:val="24"/>
          <w:szCs w:val="24"/>
          <w:lang w:val="en-GB"/>
        </w:rPr>
      </w:pPr>
      <w:r w:rsidRPr="00F90D60">
        <w:rPr>
          <w:sz w:val="24"/>
          <w:szCs w:val="24"/>
          <w:lang w:val="en-GB"/>
        </w:rPr>
        <w:tab/>
      </w:r>
      <w:r w:rsidR="00F90D60" w:rsidRPr="00F90D60">
        <w:rPr>
          <w:sz w:val="24"/>
          <w:szCs w:val="24"/>
          <w:lang w:val="en-GB"/>
        </w:rPr>
        <w:t xml:space="preserve">Organised by the Ministry of Culture and Information in November 2021, two international workshops were held for media and journalist associations and all actors in the field of information and media on the topic of Ethics and Values in the Digital Age, among other things, with a focus on the fight against hate speech. Over 40 </w:t>
      </w:r>
      <w:r w:rsidR="00F90D60">
        <w:rPr>
          <w:sz w:val="24"/>
          <w:szCs w:val="24"/>
          <w:lang w:val="en-GB"/>
        </w:rPr>
        <w:t>stakeholders</w:t>
      </w:r>
      <w:r w:rsidR="00F90D60" w:rsidRPr="00F90D60">
        <w:rPr>
          <w:sz w:val="24"/>
          <w:szCs w:val="24"/>
          <w:lang w:val="en-GB"/>
        </w:rPr>
        <w:t xml:space="preserve"> from the field of public information and media participated in these workshops.</w:t>
      </w:r>
    </w:p>
    <w:p w14:paraId="593E143B" w14:textId="77777777" w:rsidR="000B6610" w:rsidRDefault="007D7B56" w:rsidP="007D7B56">
      <w:pPr>
        <w:tabs>
          <w:tab w:val="left" w:pos="707"/>
        </w:tabs>
        <w:spacing w:after="0"/>
        <w:ind w:right="-46"/>
        <w:jc w:val="both"/>
        <w:rPr>
          <w:sz w:val="24"/>
          <w:szCs w:val="24"/>
          <w:lang w:val="en-GB"/>
        </w:rPr>
      </w:pPr>
      <w:r w:rsidRPr="000B6610">
        <w:rPr>
          <w:sz w:val="24"/>
          <w:szCs w:val="24"/>
          <w:lang w:val="en-GB"/>
        </w:rPr>
        <w:tab/>
      </w:r>
      <w:r w:rsidR="000B6610" w:rsidRPr="000B6610">
        <w:rPr>
          <w:sz w:val="24"/>
          <w:szCs w:val="24"/>
          <w:lang w:val="en-GB"/>
        </w:rPr>
        <w:t xml:space="preserve">In this reporting period, the Ministry of Culture and Information and the Delegation of the European Union, with the support of the OSCE, issued a Media Literacy </w:t>
      </w:r>
      <w:r w:rsidR="00DA3DD3">
        <w:rPr>
          <w:sz w:val="24"/>
          <w:szCs w:val="24"/>
          <w:lang w:val="en-GB"/>
        </w:rPr>
        <w:t>Handbook</w:t>
      </w:r>
      <w:r w:rsidR="000B6610" w:rsidRPr="000B6610">
        <w:rPr>
          <w:sz w:val="24"/>
          <w:szCs w:val="24"/>
          <w:lang w:val="en-GB"/>
        </w:rPr>
        <w:t xml:space="preserve"> for teachers in pre-university education, since knowledge and skills in this area are internationally recogni</w:t>
      </w:r>
      <w:r w:rsidR="00DA3DD3">
        <w:rPr>
          <w:sz w:val="24"/>
          <w:szCs w:val="24"/>
          <w:lang w:val="en-GB"/>
        </w:rPr>
        <w:t>s</w:t>
      </w:r>
      <w:r w:rsidR="000B6610" w:rsidRPr="000B6610">
        <w:rPr>
          <w:sz w:val="24"/>
          <w:szCs w:val="24"/>
          <w:lang w:val="en-GB"/>
        </w:rPr>
        <w:t xml:space="preserve">ed tools in the fight against hate speech, stereotyping and disinformation. The </w:t>
      </w:r>
      <w:r w:rsidR="00DA3DD3">
        <w:rPr>
          <w:sz w:val="24"/>
          <w:szCs w:val="24"/>
          <w:lang w:val="en-GB"/>
        </w:rPr>
        <w:t>Handbook</w:t>
      </w:r>
      <w:r w:rsidR="000B6610" w:rsidRPr="000B6610">
        <w:rPr>
          <w:sz w:val="24"/>
          <w:szCs w:val="24"/>
          <w:lang w:val="en-GB"/>
        </w:rPr>
        <w:t xml:space="preserve"> was translated into Albanian and Hungarian. Also, the Ministry of Culture and Information annually allocates significant funds for co-financing projects in the field of public information, providing support to projects in the field of media freedom, protection and safety of journalists, and the fight against hate speech. One of </w:t>
      </w:r>
      <w:r w:rsidR="005E7D1A">
        <w:rPr>
          <w:sz w:val="24"/>
          <w:szCs w:val="24"/>
          <w:lang w:val="en-GB"/>
        </w:rPr>
        <w:t>more specific</w:t>
      </w:r>
      <w:r w:rsidR="000B6610" w:rsidRPr="000B6610">
        <w:rPr>
          <w:sz w:val="24"/>
          <w:szCs w:val="24"/>
          <w:lang w:val="en-GB"/>
        </w:rPr>
        <w:t xml:space="preserve"> criteria for the co-financing of projects by the Ministry is the prevention of sensationalism, hate speech and aggressive communication. In 2021, the following projects </w:t>
      </w:r>
      <w:r w:rsidR="005E7D1A">
        <w:rPr>
          <w:sz w:val="24"/>
          <w:szCs w:val="24"/>
          <w:lang w:val="en-GB"/>
        </w:rPr>
        <w:t>were</w:t>
      </w:r>
      <w:r w:rsidR="000B6610" w:rsidRPr="000B6610">
        <w:rPr>
          <w:sz w:val="24"/>
          <w:szCs w:val="24"/>
          <w:lang w:val="en-GB"/>
        </w:rPr>
        <w:t xml:space="preserve"> supported:</w:t>
      </w:r>
    </w:p>
    <w:p w14:paraId="3D9AF619" w14:textId="77777777" w:rsidR="00366BD8" w:rsidRPr="00366BD8" w:rsidRDefault="00366BD8" w:rsidP="00366BD8">
      <w:pPr>
        <w:pStyle w:val="ListParagraph"/>
        <w:numPr>
          <w:ilvl w:val="0"/>
          <w:numId w:val="5"/>
        </w:numPr>
        <w:tabs>
          <w:tab w:val="left" w:pos="707"/>
        </w:tabs>
        <w:spacing w:after="0"/>
        <w:ind w:right="-46"/>
        <w:jc w:val="both"/>
        <w:rPr>
          <w:sz w:val="24"/>
          <w:szCs w:val="24"/>
          <w:lang w:val="en-GB"/>
        </w:rPr>
      </w:pPr>
      <w:r w:rsidRPr="00366BD8">
        <w:rPr>
          <w:sz w:val="24"/>
          <w:szCs w:val="24"/>
          <w:lang w:val="en-GB"/>
        </w:rPr>
        <w:t xml:space="preserve">"Under pressure: Research and regional conference on media freedoms, pressures and attacks on journalists and the media", Association of Journalists of Serbia in the </w:t>
      </w:r>
      <w:r>
        <w:rPr>
          <w:sz w:val="24"/>
          <w:szCs w:val="24"/>
          <w:lang w:val="en-GB"/>
        </w:rPr>
        <w:t>amount</w:t>
      </w:r>
      <w:r w:rsidRPr="00366BD8">
        <w:rPr>
          <w:sz w:val="24"/>
          <w:szCs w:val="24"/>
          <w:lang w:val="en-GB"/>
        </w:rPr>
        <w:t xml:space="preserve"> of 950,000.00 dinars;</w:t>
      </w:r>
    </w:p>
    <w:p w14:paraId="7CDFEEAD" w14:textId="77777777" w:rsidR="00366BD8" w:rsidRPr="00366BD8" w:rsidRDefault="00366BD8" w:rsidP="00366BD8">
      <w:pPr>
        <w:pStyle w:val="ListParagraph"/>
        <w:numPr>
          <w:ilvl w:val="0"/>
          <w:numId w:val="5"/>
        </w:numPr>
        <w:tabs>
          <w:tab w:val="left" w:pos="707"/>
        </w:tabs>
        <w:spacing w:after="0"/>
        <w:ind w:right="-46"/>
        <w:jc w:val="both"/>
        <w:rPr>
          <w:sz w:val="24"/>
          <w:szCs w:val="24"/>
          <w:lang w:val="en-GB"/>
        </w:rPr>
      </w:pPr>
      <w:r w:rsidRPr="00366BD8">
        <w:rPr>
          <w:sz w:val="24"/>
          <w:szCs w:val="24"/>
          <w:lang w:val="en-GB"/>
        </w:rPr>
        <w:t xml:space="preserve">- "Strong newsrooms against </w:t>
      </w:r>
      <w:r w:rsidR="000B387A">
        <w:rPr>
          <w:sz w:val="24"/>
          <w:szCs w:val="24"/>
          <w:lang w:val="en-GB"/>
        </w:rPr>
        <w:t>d</w:t>
      </w:r>
      <w:r w:rsidRPr="00366BD8">
        <w:rPr>
          <w:sz w:val="24"/>
          <w:szCs w:val="24"/>
          <w:lang w:val="en-GB"/>
        </w:rPr>
        <w:t xml:space="preserve">isinformation and hate speech", a project implemented by Media </w:t>
      </w:r>
      <w:proofErr w:type="spellStart"/>
      <w:r w:rsidRPr="00366BD8">
        <w:rPr>
          <w:sz w:val="24"/>
          <w:szCs w:val="24"/>
          <w:lang w:val="en-GB"/>
        </w:rPr>
        <w:t>Center</w:t>
      </w:r>
      <w:proofErr w:type="spellEnd"/>
      <w:r w:rsidRPr="00366BD8">
        <w:rPr>
          <w:sz w:val="24"/>
          <w:szCs w:val="24"/>
          <w:lang w:val="en-GB"/>
        </w:rPr>
        <w:t xml:space="preserve"> </w:t>
      </w:r>
      <w:proofErr w:type="spellStart"/>
      <w:r w:rsidRPr="00366BD8">
        <w:rPr>
          <w:sz w:val="24"/>
          <w:szCs w:val="24"/>
          <w:lang w:val="en-GB"/>
        </w:rPr>
        <w:t>d.o.o</w:t>
      </w:r>
      <w:proofErr w:type="spellEnd"/>
      <w:r w:rsidRPr="00366BD8">
        <w:rPr>
          <w:sz w:val="24"/>
          <w:szCs w:val="24"/>
          <w:lang w:val="en-GB"/>
        </w:rPr>
        <w:t>. Company for publishing and newspaper activity, Belgrade (</w:t>
      </w:r>
      <w:proofErr w:type="spellStart"/>
      <w:r w:rsidRPr="00366BD8">
        <w:rPr>
          <w:sz w:val="24"/>
          <w:szCs w:val="24"/>
          <w:lang w:val="en-GB"/>
        </w:rPr>
        <w:t>Stari</w:t>
      </w:r>
      <w:proofErr w:type="spellEnd"/>
      <w:r w:rsidRPr="00366BD8">
        <w:rPr>
          <w:sz w:val="24"/>
          <w:szCs w:val="24"/>
          <w:lang w:val="en-GB"/>
        </w:rPr>
        <w:t xml:space="preserve"> Grad), in the amount of 630,100.00 dinars;</w:t>
      </w:r>
    </w:p>
    <w:p w14:paraId="35D45BA2" w14:textId="77777777" w:rsidR="00366BD8" w:rsidRPr="00366BD8" w:rsidRDefault="00366BD8" w:rsidP="00366BD8">
      <w:pPr>
        <w:pStyle w:val="ListParagraph"/>
        <w:numPr>
          <w:ilvl w:val="0"/>
          <w:numId w:val="5"/>
        </w:numPr>
        <w:tabs>
          <w:tab w:val="left" w:pos="707"/>
        </w:tabs>
        <w:spacing w:after="0"/>
        <w:ind w:right="-46"/>
        <w:jc w:val="both"/>
        <w:rPr>
          <w:sz w:val="24"/>
          <w:szCs w:val="24"/>
          <w:lang w:val="en-GB"/>
        </w:rPr>
      </w:pPr>
      <w:r w:rsidRPr="00366BD8">
        <w:rPr>
          <w:sz w:val="24"/>
          <w:szCs w:val="24"/>
          <w:lang w:val="en-GB"/>
        </w:rPr>
        <w:t xml:space="preserve">"Stop hate speech", a project implemented by the Local Media Plan from Novi </w:t>
      </w:r>
      <w:proofErr w:type="spellStart"/>
      <w:r w:rsidRPr="00366BD8">
        <w:rPr>
          <w:sz w:val="24"/>
          <w:szCs w:val="24"/>
          <w:lang w:val="en-GB"/>
        </w:rPr>
        <w:t>Pazar</w:t>
      </w:r>
      <w:proofErr w:type="spellEnd"/>
      <w:r w:rsidRPr="00366BD8">
        <w:rPr>
          <w:sz w:val="24"/>
          <w:szCs w:val="24"/>
          <w:lang w:val="en-GB"/>
        </w:rPr>
        <w:t>, supported by the amount of 370,000 dinars;</w:t>
      </w:r>
    </w:p>
    <w:p w14:paraId="2ECC2833" w14:textId="77777777" w:rsidR="00366BD8" w:rsidRPr="000B387A" w:rsidRDefault="00366BD8" w:rsidP="00366BD8">
      <w:pPr>
        <w:pStyle w:val="ListParagraph"/>
        <w:numPr>
          <w:ilvl w:val="0"/>
          <w:numId w:val="5"/>
        </w:numPr>
        <w:tabs>
          <w:tab w:val="left" w:pos="707"/>
        </w:tabs>
        <w:spacing w:after="0"/>
        <w:ind w:right="-46"/>
        <w:jc w:val="both"/>
        <w:rPr>
          <w:sz w:val="24"/>
          <w:szCs w:val="24"/>
          <w:lang w:val="en-GB"/>
        </w:rPr>
      </w:pPr>
      <w:r w:rsidRPr="000B387A">
        <w:rPr>
          <w:sz w:val="24"/>
          <w:szCs w:val="24"/>
          <w:lang w:val="en-GB"/>
        </w:rPr>
        <w:t>"Re-response: the fight against hate speech and toxic narratives in the online sphere", the project of the Novi Sad School of Journalism was supported in the amount of 380,700.00 dinars.</w:t>
      </w:r>
    </w:p>
    <w:p w14:paraId="692EF7E7" w14:textId="77777777" w:rsidR="00126AEB" w:rsidRPr="00D62D04" w:rsidRDefault="00126AEB" w:rsidP="00126AEB">
      <w:pPr>
        <w:tabs>
          <w:tab w:val="left" w:pos="707"/>
        </w:tabs>
        <w:spacing w:after="0"/>
        <w:ind w:left="720" w:right="-46"/>
        <w:jc w:val="both"/>
        <w:rPr>
          <w:sz w:val="24"/>
          <w:szCs w:val="24"/>
          <w:highlight w:val="cyan"/>
          <w:lang w:val="en-GB"/>
        </w:rPr>
      </w:pPr>
    </w:p>
    <w:p w14:paraId="49E94EC8" w14:textId="77777777" w:rsidR="00DE1C5F" w:rsidRDefault="00126AEB" w:rsidP="00AA7CD8">
      <w:pPr>
        <w:tabs>
          <w:tab w:val="left" w:pos="707"/>
        </w:tabs>
        <w:spacing w:after="0"/>
        <w:ind w:right="-46"/>
        <w:jc w:val="both"/>
        <w:rPr>
          <w:sz w:val="24"/>
          <w:szCs w:val="24"/>
          <w:lang w:val="en-GB"/>
        </w:rPr>
      </w:pPr>
      <w:r w:rsidRPr="00DE1C5F">
        <w:rPr>
          <w:sz w:val="24"/>
          <w:szCs w:val="24"/>
          <w:lang w:val="en-GB"/>
        </w:rPr>
        <w:lastRenderedPageBreak/>
        <w:tab/>
      </w:r>
      <w:r w:rsidR="00DE1C5F" w:rsidRPr="00A012EE">
        <w:rPr>
          <w:sz w:val="24"/>
          <w:szCs w:val="24"/>
          <w:lang w:val="en-GB"/>
        </w:rPr>
        <w:t xml:space="preserve">The </w:t>
      </w:r>
      <w:r w:rsidR="00A012EE" w:rsidRPr="00A012EE">
        <w:rPr>
          <w:sz w:val="24"/>
          <w:szCs w:val="24"/>
          <w:lang w:val="en-GB"/>
        </w:rPr>
        <w:t>L</w:t>
      </w:r>
      <w:r w:rsidR="00DE1C5F" w:rsidRPr="00A012EE">
        <w:rPr>
          <w:sz w:val="24"/>
          <w:szCs w:val="24"/>
          <w:lang w:val="en-GB"/>
        </w:rPr>
        <w:t xml:space="preserve">aw on </w:t>
      </w:r>
      <w:r w:rsidR="00A012EE" w:rsidRPr="00A012EE">
        <w:rPr>
          <w:sz w:val="24"/>
          <w:szCs w:val="24"/>
          <w:lang w:val="en-GB"/>
        </w:rPr>
        <w:t>S</w:t>
      </w:r>
      <w:r w:rsidR="00DE1C5F" w:rsidRPr="00A012EE">
        <w:rPr>
          <w:sz w:val="24"/>
          <w:szCs w:val="24"/>
          <w:lang w:val="en-GB"/>
        </w:rPr>
        <w:t>ports,</w:t>
      </w:r>
      <w:r w:rsidR="00A012EE" w:rsidRPr="00A012EE">
        <w:rPr>
          <w:rStyle w:val="FootnoteReference"/>
          <w:sz w:val="24"/>
          <w:szCs w:val="24"/>
          <w:lang w:val="en-GB"/>
        </w:rPr>
        <w:footnoteReference w:id="93"/>
      </w:r>
      <w:r w:rsidR="00DE1C5F" w:rsidRPr="00A012EE">
        <w:rPr>
          <w:sz w:val="24"/>
          <w:szCs w:val="24"/>
          <w:lang w:val="en-GB"/>
        </w:rPr>
        <w:t xml:space="preserve"> among other things, prescribes the obligations of organi</w:t>
      </w:r>
      <w:r w:rsidR="00A012EE">
        <w:rPr>
          <w:sz w:val="24"/>
          <w:szCs w:val="24"/>
          <w:lang w:val="en-GB"/>
        </w:rPr>
        <w:t>s</w:t>
      </w:r>
      <w:r w:rsidR="00DE1C5F" w:rsidRPr="00A012EE">
        <w:rPr>
          <w:sz w:val="24"/>
          <w:szCs w:val="24"/>
          <w:lang w:val="en-GB"/>
        </w:rPr>
        <w:t>ers in</w:t>
      </w:r>
      <w:r w:rsidR="00DE1C5F" w:rsidRPr="00DE1C5F">
        <w:rPr>
          <w:sz w:val="24"/>
          <w:szCs w:val="24"/>
          <w:lang w:val="en-GB"/>
        </w:rPr>
        <w:t xml:space="preserve"> </w:t>
      </w:r>
      <w:r w:rsidR="00A012EE">
        <w:rPr>
          <w:sz w:val="24"/>
          <w:szCs w:val="24"/>
          <w:lang w:val="en-GB"/>
        </w:rPr>
        <w:t>terms of</w:t>
      </w:r>
      <w:r w:rsidR="00DE1C5F" w:rsidRPr="00DE1C5F">
        <w:rPr>
          <w:sz w:val="24"/>
          <w:szCs w:val="24"/>
          <w:lang w:val="en-GB"/>
        </w:rPr>
        <w:t xml:space="preserve"> the smooth and safe holding of sports events, as well as measures to prevent violence and inappropriate behavio</w:t>
      </w:r>
      <w:r w:rsidR="00A012EE">
        <w:rPr>
          <w:sz w:val="24"/>
          <w:szCs w:val="24"/>
          <w:lang w:val="en-GB"/>
        </w:rPr>
        <w:t>u</w:t>
      </w:r>
      <w:r w:rsidR="00DE1C5F" w:rsidRPr="00DE1C5F">
        <w:rPr>
          <w:sz w:val="24"/>
          <w:szCs w:val="24"/>
          <w:lang w:val="en-GB"/>
        </w:rPr>
        <w:t xml:space="preserve">r and other negative phenomena in sports. This law defines the importance and function of the National Council for the Prevention of Violence and </w:t>
      </w:r>
      <w:r w:rsidR="00A012EE">
        <w:rPr>
          <w:sz w:val="24"/>
          <w:szCs w:val="24"/>
          <w:lang w:val="en-GB"/>
        </w:rPr>
        <w:t>I</w:t>
      </w:r>
      <w:r w:rsidR="00A012EE" w:rsidRPr="00DE1C5F">
        <w:rPr>
          <w:sz w:val="24"/>
          <w:szCs w:val="24"/>
          <w:lang w:val="en-GB"/>
        </w:rPr>
        <w:t xml:space="preserve">nappropriate </w:t>
      </w:r>
      <w:r w:rsidR="00A012EE">
        <w:rPr>
          <w:sz w:val="24"/>
          <w:szCs w:val="24"/>
          <w:lang w:val="en-GB"/>
        </w:rPr>
        <w:t>B</w:t>
      </w:r>
      <w:r w:rsidR="00A012EE" w:rsidRPr="00DE1C5F">
        <w:rPr>
          <w:sz w:val="24"/>
          <w:szCs w:val="24"/>
          <w:lang w:val="en-GB"/>
        </w:rPr>
        <w:t>ehavio</w:t>
      </w:r>
      <w:r w:rsidR="00A012EE">
        <w:rPr>
          <w:sz w:val="24"/>
          <w:szCs w:val="24"/>
          <w:lang w:val="en-GB"/>
        </w:rPr>
        <w:t>u</w:t>
      </w:r>
      <w:r w:rsidR="00A012EE" w:rsidRPr="00DE1C5F">
        <w:rPr>
          <w:sz w:val="24"/>
          <w:szCs w:val="24"/>
          <w:lang w:val="en-GB"/>
        </w:rPr>
        <w:t>r</w:t>
      </w:r>
      <w:r w:rsidR="00DE1C5F" w:rsidRPr="00DE1C5F">
        <w:rPr>
          <w:sz w:val="24"/>
          <w:szCs w:val="24"/>
          <w:lang w:val="en-GB"/>
        </w:rPr>
        <w:t xml:space="preserve"> of Spectators at Sports Events. The Council held 12 sessions, the Action Plan for the </w:t>
      </w:r>
      <w:r w:rsidR="00A012EE">
        <w:rPr>
          <w:sz w:val="24"/>
          <w:szCs w:val="24"/>
          <w:lang w:val="en-GB"/>
        </w:rPr>
        <w:t>P</w:t>
      </w:r>
      <w:r w:rsidR="00DE1C5F" w:rsidRPr="00DE1C5F">
        <w:rPr>
          <w:sz w:val="24"/>
          <w:szCs w:val="24"/>
          <w:lang w:val="en-GB"/>
        </w:rPr>
        <w:t xml:space="preserve">revention of </w:t>
      </w:r>
      <w:r w:rsidR="00A012EE">
        <w:rPr>
          <w:sz w:val="24"/>
          <w:szCs w:val="24"/>
          <w:lang w:val="en-GB"/>
        </w:rPr>
        <w:t>V</w:t>
      </w:r>
      <w:r w:rsidR="00DE1C5F" w:rsidRPr="00DE1C5F">
        <w:rPr>
          <w:sz w:val="24"/>
          <w:szCs w:val="24"/>
          <w:lang w:val="en-GB"/>
        </w:rPr>
        <w:t xml:space="preserve">iolence and </w:t>
      </w:r>
      <w:r w:rsidR="00A012EE">
        <w:rPr>
          <w:sz w:val="24"/>
          <w:szCs w:val="24"/>
          <w:lang w:val="en-GB"/>
        </w:rPr>
        <w:t>I</w:t>
      </w:r>
      <w:r w:rsidR="00DE1C5F" w:rsidRPr="00DE1C5F">
        <w:rPr>
          <w:sz w:val="24"/>
          <w:szCs w:val="24"/>
          <w:lang w:val="en-GB"/>
        </w:rPr>
        <w:t xml:space="preserve">nappropriate </w:t>
      </w:r>
      <w:r w:rsidR="00A012EE">
        <w:rPr>
          <w:sz w:val="24"/>
          <w:szCs w:val="24"/>
          <w:lang w:val="en-GB"/>
        </w:rPr>
        <w:t>B</w:t>
      </w:r>
      <w:r w:rsidR="00DE1C5F" w:rsidRPr="00DE1C5F">
        <w:rPr>
          <w:sz w:val="24"/>
          <w:szCs w:val="24"/>
          <w:lang w:val="en-GB"/>
        </w:rPr>
        <w:t>ehavio</w:t>
      </w:r>
      <w:r w:rsidR="00A012EE">
        <w:rPr>
          <w:sz w:val="24"/>
          <w:szCs w:val="24"/>
          <w:lang w:val="en-GB"/>
        </w:rPr>
        <w:t>u</w:t>
      </w:r>
      <w:r w:rsidR="00DE1C5F" w:rsidRPr="00DE1C5F">
        <w:rPr>
          <w:sz w:val="24"/>
          <w:szCs w:val="24"/>
          <w:lang w:val="en-GB"/>
        </w:rPr>
        <w:t xml:space="preserve">r at </w:t>
      </w:r>
      <w:r w:rsidR="00A012EE">
        <w:rPr>
          <w:sz w:val="24"/>
          <w:szCs w:val="24"/>
          <w:lang w:val="en-GB"/>
        </w:rPr>
        <w:t>S</w:t>
      </w:r>
      <w:r w:rsidR="00DE1C5F" w:rsidRPr="00DE1C5F">
        <w:rPr>
          <w:sz w:val="24"/>
          <w:szCs w:val="24"/>
          <w:lang w:val="en-GB"/>
        </w:rPr>
        <w:t xml:space="preserve">ports </w:t>
      </w:r>
      <w:r w:rsidR="00A012EE">
        <w:rPr>
          <w:sz w:val="24"/>
          <w:szCs w:val="24"/>
          <w:lang w:val="en-GB"/>
        </w:rPr>
        <w:t>E</w:t>
      </w:r>
      <w:r w:rsidR="00DE1C5F" w:rsidRPr="00DE1C5F">
        <w:rPr>
          <w:sz w:val="24"/>
          <w:szCs w:val="24"/>
          <w:lang w:val="en-GB"/>
        </w:rPr>
        <w:t xml:space="preserve">vents was adopted, and many measures from the Action Plan are already being implemented. In the Sports Development Strategy for the period 2014-2018, the establishment of a mechanism for the consistent implementation of the National Strategy for the </w:t>
      </w:r>
      <w:r w:rsidR="00A012EE">
        <w:rPr>
          <w:sz w:val="24"/>
          <w:szCs w:val="24"/>
          <w:lang w:val="en-GB"/>
        </w:rPr>
        <w:t>F</w:t>
      </w:r>
      <w:r w:rsidR="00DE1C5F" w:rsidRPr="00DE1C5F">
        <w:rPr>
          <w:sz w:val="24"/>
          <w:szCs w:val="24"/>
          <w:lang w:val="en-GB"/>
        </w:rPr>
        <w:t xml:space="preserve">ight </w:t>
      </w:r>
      <w:r w:rsidR="00A012EE">
        <w:rPr>
          <w:sz w:val="24"/>
          <w:szCs w:val="24"/>
          <w:lang w:val="en-GB"/>
        </w:rPr>
        <w:t>A</w:t>
      </w:r>
      <w:r w:rsidR="00DE1C5F" w:rsidRPr="00DE1C5F">
        <w:rPr>
          <w:sz w:val="24"/>
          <w:szCs w:val="24"/>
          <w:lang w:val="en-GB"/>
        </w:rPr>
        <w:t xml:space="preserve">gainst </w:t>
      </w:r>
      <w:r w:rsidR="00A012EE">
        <w:rPr>
          <w:sz w:val="24"/>
          <w:szCs w:val="24"/>
          <w:lang w:val="en-GB"/>
        </w:rPr>
        <w:t>V</w:t>
      </w:r>
      <w:r w:rsidR="00DE1C5F" w:rsidRPr="00DE1C5F">
        <w:rPr>
          <w:sz w:val="24"/>
          <w:szCs w:val="24"/>
          <w:lang w:val="en-GB"/>
        </w:rPr>
        <w:t xml:space="preserve">iolence and </w:t>
      </w:r>
      <w:r w:rsidR="00A012EE" w:rsidRPr="00264238">
        <w:rPr>
          <w:sz w:val="24"/>
          <w:szCs w:val="24"/>
          <w:lang w:val="en-GB"/>
        </w:rPr>
        <w:t>I</w:t>
      </w:r>
      <w:r w:rsidR="00DE1C5F" w:rsidRPr="00264238">
        <w:rPr>
          <w:sz w:val="24"/>
          <w:szCs w:val="24"/>
          <w:lang w:val="en-GB"/>
        </w:rPr>
        <w:t xml:space="preserve">nappropriate </w:t>
      </w:r>
      <w:r w:rsidR="00A012EE" w:rsidRPr="00264238">
        <w:rPr>
          <w:sz w:val="24"/>
          <w:szCs w:val="24"/>
          <w:lang w:val="en-GB"/>
        </w:rPr>
        <w:t>B</w:t>
      </w:r>
      <w:r w:rsidR="00DE1C5F" w:rsidRPr="00264238">
        <w:rPr>
          <w:sz w:val="24"/>
          <w:szCs w:val="24"/>
          <w:lang w:val="en-GB"/>
        </w:rPr>
        <w:t>ehavio</w:t>
      </w:r>
      <w:r w:rsidR="00A012EE" w:rsidRPr="00264238">
        <w:rPr>
          <w:sz w:val="24"/>
          <w:szCs w:val="24"/>
          <w:lang w:val="en-GB"/>
        </w:rPr>
        <w:t>u</w:t>
      </w:r>
      <w:r w:rsidR="00DE1C5F" w:rsidRPr="00264238">
        <w:rPr>
          <w:sz w:val="24"/>
          <w:szCs w:val="24"/>
          <w:lang w:val="en-GB"/>
        </w:rPr>
        <w:t xml:space="preserve">r of </w:t>
      </w:r>
      <w:r w:rsidR="00A012EE" w:rsidRPr="00264238">
        <w:rPr>
          <w:sz w:val="24"/>
          <w:szCs w:val="24"/>
          <w:lang w:val="en-GB"/>
        </w:rPr>
        <w:t>S</w:t>
      </w:r>
      <w:r w:rsidR="00DE1C5F" w:rsidRPr="00264238">
        <w:rPr>
          <w:sz w:val="24"/>
          <w:szCs w:val="24"/>
          <w:lang w:val="en-GB"/>
        </w:rPr>
        <w:t xml:space="preserve">pectators at </w:t>
      </w:r>
      <w:r w:rsidR="00A012EE" w:rsidRPr="00264238">
        <w:rPr>
          <w:sz w:val="24"/>
          <w:szCs w:val="24"/>
          <w:lang w:val="en-GB"/>
        </w:rPr>
        <w:t>S</w:t>
      </w:r>
      <w:r w:rsidR="00DE1C5F" w:rsidRPr="00264238">
        <w:rPr>
          <w:sz w:val="24"/>
          <w:szCs w:val="24"/>
          <w:lang w:val="en-GB"/>
        </w:rPr>
        <w:t xml:space="preserve">ports </w:t>
      </w:r>
      <w:r w:rsidR="00A012EE" w:rsidRPr="00264238">
        <w:rPr>
          <w:sz w:val="24"/>
          <w:szCs w:val="24"/>
          <w:lang w:val="en-GB"/>
        </w:rPr>
        <w:t>E</w:t>
      </w:r>
      <w:r w:rsidR="00DE1C5F" w:rsidRPr="00264238">
        <w:rPr>
          <w:sz w:val="24"/>
          <w:szCs w:val="24"/>
          <w:lang w:val="en-GB"/>
        </w:rPr>
        <w:t>vents for the period 2014-2018 was defined.</w:t>
      </w:r>
      <w:r w:rsidR="00264238" w:rsidRPr="00264238">
        <w:rPr>
          <w:rStyle w:val="FootnoteReference"/>
          <w:sz w:val="24"/>
          <w:szCs w:val="24"/>
          <w:lang w:val="en-GB"/>
        </w:rPr>
        <w:footnoteReference w:id="94"/>
      </w:r>
      <w:r w:rsidR="00DE1C5F" w:rsidRPr="00DE1C5F">
        <w:rPr>
          <w:sz w:val="24"/>
          <w:szCs w:val="24"/>
          <w:lang w:val="en-GB"/>
        </w:rPr>
        <w:t xml:space="preserve"> Currently, a new strategic document for the period 2020-2030 is being drafted. The National </w:t>
      </w:r>
      <w:r w:rsidR="00DE1C5F" w:rsidRPr="00264238">
        <w:rPr>
          <w:sz w:val="24"/>
          <w:szCs w:val="24"/>
          <w:lang w:val="en-GB"/>
        </w:rPr>
        <w:t>Youth Strategy for the period from 2015 to 2025</w:t>
      </w:r>
      <w:r w:rsidR="00264238" w:rsidRPr="00264238">
        <w:rPr>
          <w:rStyle w:val="FootnoteReference"/>
          <w:sz w:val="24"/>
          <w:szCs w:val="24"/>
          <w:lang w:val="en-GB"/>
        </w:rPr>
        <w:footnoteReference w:id="95"/>
      </w:r>
      <w:r w:rsidR="00DE1C5F" w:rsidRPr="00264238">
        <w:rPr>
          <w:sz w:val="24"/>
          <w:szCs w:val="24"/>
          <w:lang w:val="en-GB"/>
        </w:rPr>
        <w:t xml:space="preserve"> under the goal: youth safety, prescribes</w:t>
      </w:r>
      <w:r w:rsidR="00DE1C5F" w:rsidRPr="00DE1C5F">
        <w:rPr>
          <w:sz w:val="24"/>
          <w:szCs w:val="24"/>
          <w:lang w:val="en-GB"/>
        </w:rPr>
        <w:t xml:space="preserve"> measures and activities for the prevention and suppression of violence among fan groups, as well as for increasing tolerance, suppressing hate speech among young people, etc.</w:t>
      </w:r>
    </w:p>
    <w:p w14:paraId="16801DC9" w14:textId="77777777" w:rsidR="007266EB" w:rsidRDefault="00AA7CD8" w:rsidP="000C0879">
      <w:pPr>
        <w:tabs>
          <w:tab w:val="left" w:pos="707"/>
        </w:tabs>
        <w:spacing w:after="0"/>
        <w:ind w:right="-46"/>
        <w:jc w:val="both"/>
        <w:rPr>
          <w:sz w:val="24"/>
          <w:szCs w:val="24"/>
          <w:lang w:val="en-GB"/>
        </w:rPr>
      </w:pPr>
      <w:r w:rsidRPr="007266EB">
        <w:rPr>
          <w:sz w:val="24"/>
          <w:szCs w:val="24"/>
          <w:lang w:val="en-GB"/>
        </w:rPr>
        <w:tab/>
      </w:r>
      <w:r w:rsidR="007266EB" w:rsidRPr="007266EB">
        <w:rPr>
          <w:sz w:val="24"/>
          <w:szCs w:val="24"/>
          <w:lang w:val="en-GB"/>
        </w:rPr>
        <w:t xml:space="preserve">In </w:t>
      </w:r>
      <w:r w:rsidR="007266EB">
        <w:rPr>
          <w:sz w:val="24"/>
          <w:szCs w:val="24"/>
          <w:lang w:val="en-GB"/>
        </w:rPr>
        <w:t>compliance</w:t>
      </w:r>
      <w:r w:rsidR="007266EB" w:rsidRPr="007266EB">
        <w:rPr>
          <w:sz w:val="24"/>
          <w:szCs w:val="24"/>
          <w:lang w:val="en-GB"/>
        </w:rPr>
        <w:t xml:space="preserve"> with the Regulation on the </w:t>
      </w:r>
      <w:r w:rsidR="007266EB">
        <w:rPr>
          <w:sz w:val="24"/>
          <w:szCs w:val="24"/>
          <w:lang w:val="en-GB"/>
        </w:rPr>
        <w:t>S</w:t>
      </w:r>
      <w:r w:rsidR="007266EB" w:rsidRPr="007266EB">
        <w:rPr>
          <w:sz w:val="24"/>
          <w:szCs w:val="24"/>
          <w:lang w:val="en-GB"/>
        </w:rPr>
        <w:t xml:space="preserve">afety and </w:t>
      </w:r>
      <w:r w:rsidR="007266EB">
        <w:rPr>
          <w:sz w:val="24"/>
          <w:szCs w:val="24"/>
          <w:lang w:val="en-GB"/>
        </w:rPr>
        <w:t>P</w:t>
      </w:r>
      <w:r w:rsidR="007266EB" w:rsidRPr="007266EB">
        <w:rPr>
          <w:sz w:val="24"/>
          <w:szCs w:val="24"/>
          <w:lang w:val="en-GB"/>
        </w:rPr>
        <w:t xml:space="preserve">rotection of </w:t>
      </w:r>
      <w:r w:rsidR="007266EB">
        <w:rPr>
          <w:sz w:val="24"/>
          <w:szCs w:val="24"/>
          <w:lang w:val="en-GB"/>
        </w:rPr>
        <w:t>C</w:t>
      </w:r>
      <w:r w:rsidR="007266EB" w:rsidRPr="007266EB">
        <w:rPr>
          <w:sz w:val="24"/>
          <w:szCs w:val="24"/>
          <w:lang w:val="en-GB"/>
        </w:rPr>
        <w:t xml:space="preserve">hildren </w:t>
      </w:r>
      <w:r w:rsidR="007266EB">
        <w:rPr>
          <w:sz w:val="24"/>
          <w:szCs w:val="24"/>
          <w:lang w:val="en-GB"/>
        </w:rPr>
        <w:t>W</w:t>
      </w:r>
      <w:r w:rsidR="007266EB" w:rsidRPr="007266EB">
        <w:rPr>
          <w:sz w:val="24"/>
          <w:szCs w:val="24"/>
          <w:lang w:val="en-GB"/>
        </w:rPr>
        <w:t xml:space="preserve">hen </w:t>
      </w:r>
      <w:r w:rsidR="007266EB">
        <w:rPr>
          <w:sz w:val="24"/>
          <w:szCs w:val="24"/>
          <w:lang w:val="en-GB"/>
        </w:rPr>
        <w:t>U</w:t>
      </w:r>
      <w:r w:rsidR="007266EB" w:rsidRPr="007266EB">
        <w:rPr>
          <w:sz w:val="24"/>
          <w:szCs w:val="24"/>
          <w:lang w:val="en-GB"/>
        </w:rPr>
        <w:t xml:space="preserve">sing </w:t>
      </w:r>
      <w:r w:rsidR="007266EB" w:rsidRPr="00501812">
        <w:rPr>
          <w:sz w:val="24"/>
          <w:szCs w:val="24"/>
          <w:lang w:val="en-GB"/>
        </w:rPr>
        <w:t>Information and Communication Technologies</w:t>
      </w:r>
      <w:r w:rsidR="00501812" w:rsidRPr="00501812">
        <w:rPr>
          <w:rStyle w:val="FootnoteReference"/>
          <w:sz w:val="24"/>
          <w:szCs w:val="24"/>
          <w:lang w:val="en-GB"/>
        </w:rPr>
        <w:footnoteReference w:id="96"/>
      </w:r>
      <w:r w:rsidR="007266EB" w:rsidRPr="00501812">
        <w:rPr>
          <w:sz w:val="24"/>
          <w:szCs w:val="24"/>
          <w:lang w:val="en-GB"/>
        </w:rPr>
        <w:t>, the National Contact Cent</w:t>
      </w:r>
      <w:r w:rsidR="00043713" w:rsidRPr="00501812">
        <w:rPr>
          <w:sz w:val="24"/>
          <w:szCs w:val="24"/>
          <w:lang w:val="en-GB"/>
        </w:rPr>
        <w:t>re</w:t>
      </w:r>
      <w:r w:rsidR="007266EB" w:rsidRPr="00501812">
        <w:rPr>
          <w:sz w:val="24"/>
          <w:szCs w:val="24"/>
          <w:lang w:val="en-GB"/>
        </w:rPr>
        <w:t xml:space="preserve"> for the Safety of</w:t>
      </w:r>
      <w:r w:rsidR="007266EB" w:rsidRPr="007266EB">
        <w:rPr>
          <w:sz w:val="24"/>
          <w:szCs w:val="24"/>
          <w:lang w:val="en-GB"/>
        </w:rPr>
        <w:t xml:space="preserve"> Children on the Internet was established</w:t>
      </w:r>
      <w:r w:rsidR="00043713" w:rsidRPr="00043713">
        <w:rPr>
          <w:sz w:val="24"/>
          <w:szCs w:val="24"/>
          <w:lang w:val="en-GB"/>
        </w:rPr>
        <w:t xml:space="preserve"> </w:t>
      </w:r>
      <w:r w:rsidR="00043713" w:rsidRPr="007266EB">
        <w:rPr>
          <w:sz w:val="24"/>
          <w:szCs w:val="24"/>
          <w:lang w:val="en-GB"/>
        </w:rPr>
        <w:t>in the Ministry of Trade, Tourism and Telecommunications in 2017</w:t>
      </w:r>
      <w:r w:rsidR="007266EB" w:rsidRPr="007266EB">
        <w:rPr>
          <w:sz w:val="24"/>
          <w:szCs w:val="24"/>
          <w:lang w:val="en-GB"/>
        </w:rPr>
        <w:t>. The Contact Cent</w:t>
      </w:r>
      <w:r w:rsidR="00501812">
        <w:rPr>
          <w:sz w:val="24"/>
          <w:szCs w:val="24"/>
          <w:lang w:val="en-GB"/>
        </w:rPr>
        <w:t>re</w:t>
      </w:r>
      <w:r w:rsidR="007266EB" w:rsidRPr="007266EB">
        <w:rPr>
          <w:sz w:val="24"/>
          <w:szCs w:val="24"/>
          <w:lang w:val="en-GB"/>
        </w:rPr>
        <w:t xml:space="preserve"> is a unique place to provide advice on smart and safe use of the Internet, as well as to receive and forward reports of harmful, inappropriate or illegal content and behavio</w:t>
      </w:r>
      <w:r w:rsidR="00501812">
        <w:rPr>
          <w:sz w:val="24"/>
          <w:szCs w:val="24"/>
          <w:lang w:val="en-GB"/>
        </w:rPr>
        <w:t>u</w:t>
      </w:r>
      <w:r w:rsidR="007266EB" w:rsidRPr="007266EB">
        <w:rPr>
          <w:sz w:val="24"/>
          <w:szCs w:val="24"/>
          <w:lang w:val="en-GB"/>
        </w:rPr>
        <w:t>r on the Internet.</w:t>
      </w:r>
    </w:p>
    <w:p w14:paraId="4C03544D" w14:textId="77777777" w:rsidR="00561176" w:rsidRPr="00D62D04" w:rsidRDefault="00561176" w:rsidP="00561176">
      <w:pPr>
        <w:spacing w:after="0"/>
        <w:ind w:firstLine="720"/>
        <w:jc w:val="both"/>
        <w:rPr>
          <w:sz w:val="24"/>
          <w:szCs w:val="24"/>
          <w:highlight w:val="cyan"/>
          <w:lang w:val="en-GB"/>
        </w:rPr>
      </w:pPr>
    </w:p>
    <w:p w14:paraId="36C5F53A" w14:textId="77777777" w:rsidR="00AA3073" w:rsidRDefault="00561176" w:rsidP="00561176">
      <w:pPr>
        <w:spacing w:after="0"/>
        <w:jc w:val="both"/>
        <w:rPr>
          <w:rFonts w:cs="Calibri"/>
          <w:i/>
          <w:sz w:val="24"/>
          <w:lang w:val="en-GB"/>
        </w:rPr>
      </w:pPr>
      <w:r w:rsidRPr="00AA3073">
        <w:rPr>
          <w:rFonts w:cs="Calibri"/>
          <w:i/>
          <w:sz w:val="24"/>
          <w:lang w:val="en-GB"/>
        </w:rPr>
        <w:t xml:space="preserve">66. </w:t>
      </w:r>
      <w:r w:rsidR="00AA3073" w:rsidRPr="00AA3073">
        <w:rPr>
          <w:rFonts w:cs="Calibri"/>
          <w:i/>
          <w:sz w:val="24"/>
          <w:lang w:val="en-GB"/>
        </w:rPr>
        <w:t>The Advisory Committee reiterates its calls to the authorities to significantly increase their efforts in raising the awareness of the police, prosecutors and the judiciary about the importance of investigating and prosecuting hate crimes against members of national minorities and to ensure that the police force adequately reflects the diversity of the population in the local self-government unit in in which they operate, in the entire territory of the Republic of Serbia.</w:t>
      </w:r>
    </w:p>
    <w:p w14:paraId="635D7115" w14:textId="77777777" w:rsidR="00561176" w:rsidRPr="00D62D04" w:rsidRDefault="00561176" w:rsidP="00561176">
      <w:pPr>
        <w:spacing w:after="0"/>
        <w:jc w:val="both"/>
        <w:rPr>
          <w:rFonts w:cs="Calibri"/>
          <w:i/>
          <w:sz w:val="24"/>
          <w:highlight w:val="cyan"/>
          <w:lang w:val="en-GB"/>
        </w:rPr>
      </w:pPr>
    </w:p>
    <w:p w14:paraId="12C8299E" w14:textId="77777777" w:rsidR="00CD78AC" w:rsidRPr="00CD78AC" w:rsidRDefault="00CD78AC" w:rsidP="00CD78AC">
      <w:pPr>
        <w:spacing w:after="0"/>
        <w:ind w:firstLine="720"/>
        <w:jc w:val="both"/>
        <w:rPr>
          <w:sz w:val="24"/>
          <w:szCs w:val="24"/>
          <w:lang w:val="en-GB"/>
        </w:rPr>
      </w:pPr>
      <w:r w:rsidRPr="00CD78AC">
        <w:rPr>
          <w:sz w:val="24"/>
          <w:szCs w:val="24"/>
          <w:lang w:val="en-GB"/>
        </w:rPr>
        <w:t>Activities aimed at improving the capacities of relevant state institutions, judiciary, police, media, local self-government</w:t>
      </w:r>
      <w:r>
        <w:rPr>
          <w:sz w:val="24"/>
          <w:szCs w:val="24"/>
          <w:lang w:val="en-GB"/>
        </w:rPr>
        <w:t xml:space="preserve"> unit</w:t>
      </w:r>
      <w:r w:rsidRPr="00CD78AC">
        <w:rPr>
          <w:sz w:val="24"/>
          <w:szCs w:val="24"/>
          <w:lang w:val="en-GB"/>
        </w:rPr>
        <w:t>s and civil society organi</w:t>
      </w:r>
      <w:r>
        <w:rPr>
          <w:sz w:val="24"/>
          <w:szCs w:val="24"/>
          <w:lang w:val="en-GB"/>
        </w:rPr>
        <w:t>s</w:t>
      </w:r>
      <w:r w:rsidRPr="00CD78AC">
        <w:rPr>
          <w:sz w:val="24"/>
          <w:szCs w:val="24"/>
          <w:lang w:val="en-GB"/>
        </w:rPr>
        <w:t>ations are continuously implemented for the purpose of applying the law and sanctioning hate speech and crimes and making judg</w:t>
      </w:r>
      <w:r>
        <w:rPr>
          <w:sz w:val="24"/>
          <w:szCs w:val="24"/>
          <w:lang w:val="en-GB"/>
        </w:rPr>
        <w:t>e</w:t>
      </w:r>
      <w:r w:rsidRPr="00CD78AC">
        <w:rPr>
          <w:sz w:val="24"/>
          <w:szCs w:val="24"/>
          <w:lang w:val="en-GB"/>
        </w:rPr>
        <w:t>ments more efficient.</w:t>
      </w:r>
    </w:p>
    <w:p w14:paraId="23F156F6" w14:textId="77777777" w:rsidR="00CD78AC" w:rsidRDefault="00CD78AC" w:rsidP="00CD78AC">
      <w:pPr>
        <w:spacing w:after="0"/>
        <w:ind w:firstLine="720"/>
        <w:jc w:val="both"/>
        <w:rPr>
          <w:sz w:val="24"/>
          <w:szCs w:val="24"/>
          <w:lang w:val="en-GB"/>
        </w:rPr>
      </w:pPr>
      <w:r w:rsidRPr="00CD78AC">
        <w:rPr>
          <w:sz w:val="24"/>
          <w:szCs w:val="24"/>
          <w:lang w:val="en-GB"/>
        </w:rPr>
        <w:t>A working group in which representatives of the public prosecution took part, in cooperation with the OSCE Mission to Serbia, developed Guidelines for public prosecutors for the prosecution of crimes committed out of hatred in the Republic of Serbia, with the aim of improving the implementation of effective investigations and the effectiveness of criminal prosecutions</w:t>
      </w:r>
      <w:r w:rsidR="00C15445">
        <w:rPr>
          <w:sz w:val="24"/>
          <w:szCs w:val="24"/>
          <w:lang w:val="en-GB"/>
        </w:rPr>
        <w:t xml:space="preserve"> of</w:t>
      </w:r>
      <w:r w:rsidRPr="00CD78AC">
        <w:rPr>
          <w:sz w:val="24"/>
          <w:szCs w:val="24"/>
          <w:lang w:val="en-GB"/>
        </w:rPr>
        <w:t xml:space="preserve"> perpetrators of criminal </w:t>
      </w:r>
      <w:r w:rsidR="00C15445">
        <w:rPr>
          <w:sz w:val="24"/>
          <w:szCs w:val="24"/>
          <w:lang w:val="en-GB"/>
        </w:rPr>
        <w:t>offences</w:t>
      </w:r>
      <w:r w:rsidRPr="00CD78AC">
        <w:rPr>
          <w:sz w:val="24"/>
          <w:szCs w:val="24"/>
          <w:lang w:val="en-GB"/>
        </w:rPr>
        <w:t xml:space="preserve"> from this area. The guidelines were created as a result of the work of representatives of the Public Prosecutor's Office</w:t>
      </w:r>
      <w:r w:rsidR="0041200D">
        <w:rPr>
          <w:sz w:val="24"/>
          <w:szCs w:val="24"/>
          <w:lang w:val="en-GB"/>
        </w:rPr>
        <w:t xml:space="preserve"> of the Republic of </w:t>
      </w:r>
      <w:proofErr w:type="spellStart"/>
      <w:r w:rsidR="0041200D">
        <w:rPr>
          <w:sz w:val="24"/>
          <w:szCs w:val="24"/>
          <w:lang w:val="en-GB"/>
        </w:rPr>
        <w:t>SErbia</w:t>
      </w:r>
      <w:proofErr w:type="spellEnd"/>
      <w:r w:rsidRPr="00CD78AC">
        <w:rPr>
          <w:sz w:val="24"/>
          <w:szCs w:val="24"/>
          <w:lang w:val="en-GB"/>
        </w:rPr>
        <w:t>, the Committee of Lawyers for Human Rights - YUCOM and the OSCE Mission in Serbia and are an example of good cooperation between the state and civil sectors.</w:t>
      </w:r>
    </w:p>
    <w:p w14:paraId="7CA1D68F" w14:textId="77777777" w:rsidR="003B45E5" w:rsidRPr="003B45E5" w:rsidRDefault="003B45E5" w:rsidP="003B45E5">
      <w:pPr>
        <w:spacing w:after="0"/>
        <w:ind w:firstLine="720"/>
        <w:jc w:val="both"/>
        <w:rPr>
          <w:sz w:val="24"/>
          <w:szCs w:val="24"/>
          <w:lang w:val="en-GB"/>
        </w:rPr>
      </w:pPr>
      <w:r w:rsidRPr="003B45E5">
        <w:rPr>
          <w:sz w:val="24"/>
          <w:szCs w:val="24"/>
          <w:lang w:val="en-GB"/>
        </w:rPr>
        <w:lastRenderedPageBreak/>
        <w:t xml:space="preserve">In order to achieve legality, effectiveness and uniformity in the actions of public prosecutors in criminal cases </w:t>
      </w:r>
      <w:r>
        <w:rPr>
          <w:sz w:val="24"/>
          <w:szCs w:val="24"/>
          <w:lang w:val="en-GB"/>
        </w:rPr>
        <w:t>initiated for</w:t>
      </w:r>
      <w:r w:rsidRPr="003B45E5">
        <w:rPr>
          <w:sz w:val="24"/>
          <w:szCs w:val="24"/>
          <w:lang w:val="en-GB"/>
        </w:rPr>
        <w:t xml:space="preserve"> criminal </w:t>
      </w:r>
      <w:r>
        <w:rPr>
          <w:sz w:val="24"/>
          <w:szCs w:val="24"/>
          <w:lang w:val="en-GB"/>
        </w:rPr>
        <w:t>offences</w:t>
      </w:r>
      <w:r w:rsidRPr="003B45E5">
        <w:rPr>
          <w:sz w:val="24"/>
          <w:szCs w:val="24"/>
          <w:lang w:val="en-GB"/>
        </w:rPr>
        <w:t xml:space="preserve"> committed out of hatred, within the meaning of Article 54a of the Criminal Code, the public prosecutor of the Republic </w:t>
      </w:r>
      <w:r>
        <w:rPr>
          <w:sz w:val="24"/>
          <w:szCs w:val="24"/>
          <w:lang w:val="en-GB"/>
        </w:rPr>
        <w:t xml:space="preserve">of Serbia </w:t>
      </w:r>
      <w:r w:rsidRPr="003B45E5">
        <w:rPr>
          <w:sz w:val="24"/>
          <w:szCs w:val="24"/>
          <w:lang w:val="en-GB"/>
        </w:rPr>
        <w:t xml:space="preserve">issued the General Mandatory Instruction O. </w:t>
      </w:r>
      <w:r>
        <w:rPr>
          <w:sz w:val="24"/>
          <w:szCs w:val="24"/>
          <w:lang w:val="en-GB"/>
        </w:rPr>
        <w:t>N</w:t>
      </w:r>
      <w:r w:rsidRPr="003B45E5">
        <w:rPr>
          <w:sz w:val="24"/>
          <w:szCs w:val="24"/>
          <w:lang w:val="en-GB"/>
        </w:rPr>
        <w:t>o. 4/2018 o</w:t>
      </w:r>
      <w:r>
        <w:rPr>
          <w:sz w:val="24"/>
          <w:szCs w:val="24"/>
          <w:lang w:val="en-GB"/>
        </w:rPr>
        <w:t>n</w:t>
      </w:r>
      <w:r w:rsidRPr="003B45E5">
        <w:rPr>
          <w:sz w:val="24"/>
          <w:szCs w:val="24"/>
          <w:lang w:val="en-GB"/>
        </w:rPr>
        <w:t xml:space="preserve"> </w:t>
      </w:r>
      <w:r>
        <w:rPr>
          <w:sz w:val="24"/>
          <w:szCs w:val="24"/>
          <w:lang w:val="en-GB"/>
        </w:rPr>
        <w:t xml:space="preserve">28 </w:t>
      </w:r>
      <w:r w:rsidRPr="003B45E5">
        <w:rPr>
          <w:sz w:val="24"/>
          <w:szCs w:val="24"/>
          <w:lang w:val="en-GB"/>
        </w:rPr>
        <w:t xml:space="preserve">September 2018, which stipulates that in all appellate, higher and basic public prosecutor's offices prosecutors are designated as contact persons for crimes committed out of hatred, </w:t>
      </w:r>
      <w:r w:rsidRPr="00373CA6">
        <w:rPr>
          <w:rFonts w:cstheme="minorHAnsi"/>
          <w:color w:val="000000" w:themeColor="text1"/>
          <w:sz w:val="24"/>
          <w:szCs w:val="24"/>
          <w:lang w:val="en-GB"/>
        </w:rPr>
        <w:t>within the meaning of</w:t>
      </w:r>
      <w:r w:rsidRPr="003B45E5">
        <w:rPr>
          <w:sz w:val="24"/>
          <w:szCs w:val="24"/>
          <w:lang w:val="en-GB"/>
        </w:rPr>
        <w:t xml:space="preserve"> Article 54a of the Criminal Code.</w:t>
      </w:r>
    </w:p>
    <w:p w14:paraId="67B118D1" w14:textId="77777777" w:rsidR="003B45E5" w:rsidRPr="003B45E5" w:rsidRDefault="003B45E5" w:rsidP="003B45E5">
      <w:pPr>
        <w:spacing w:after="0"/>
        <w:ind w:firstLine="720"/>
        <w:jc w:val="both"/>
        <w:rPr>
          <w:sz w:val="24"/>
          <w:szCs w:val="24"/>
          <w:lang w:val="en-GB"/>
        </w:rPr>
      </w:pPr>
      <w:r w:rsidRPr="003B45E5">
        <w:rPr>
          <w:sz w:val="24"/>
          <w:szCs w:val="24"/>
          <w:lang w:val="en-GB"/>
        </w:rPr>
        <w:t>The contact person is the public prosecutor, i.e. the deputy public prosecutor, in charge of:</w:t>
      </w:r>
    </w:p>
    <w:p w14:paraId="10120749" w14:textId="77777777" w:rsidR="003B45E5" w:rsidRPr="003B45E5" w:rsidRDefault="003B45E5" w:rsidP="003B45E5">
      <w:pPr>
        <w:spacing w:after="0"/>
        <w:ind w:firstLine="720"/>
        <w:jc w:val="both"/>
        <w:rPr>
          <w:sz w:val="24"/>
          <w:szCs w:val="24"/>
          <w:lang w:val="en-GB"/>
        </w:rPr>
      </w:pPr>
      <w:r w:rsidRPr="003B45E5">
        <w:rPr>
          <w:sz w:val="24"/>
          <w:szCs w:val="24"/>
          <w:lang w:val="en-GB"/>
        </w:rPr>
        <w:t xml:space="preserve">- monitoring of the recording of criminal </w:t>
      </w:r>
      <w:r w:rsidR="007B5F59">
        <w:rPr>
          <w:sz w:val="24"/>
          <w:szCs w:val="24"/>
          <w:lang w:val="en-GB"/>
        </w:rPr>
        <w:t>offences</w:t>
      </w:r>
      <w:r w:rsidRPr="003B45E5">
        <w:rPr>
          <w:sz w:val="24"/>
          <w:szCs w:val="24"/>
          <w:lang w:val="en-GB"/>
        </w:rPr>
        <w:t xml:space="preserve"> committed out of hatred, in accordance with the Instruction of the Public Prosecutor of the Republic </w:t>
      </w:r>
      <w:r w:rsidR="007B5F59">
        <w:rPr>
          <w:sz w:val="24"/>
          <w:szCs w:val="24"/>
          <w:lang w:val="en-GB"/>
        </w:rPr>
        <w:t xml:space="preserve">of Serbia </w:t>
      </w:r>
      <w:r w:rsidRPr="003B45E5">
        <w:rPr>
          <w:sz w:val="24"/>
          <w:szCs w:val="24"/>
          <w:lang w:val="en-GB"/>
        </w:rPr>
        <w:t xml:space="preserve">A. </w:t>
      </w:r>
      <w:r w:rsidR="007B5F59">
        <w:rPr>
          <w:sz w:val="24"/>
          <w:szCs w:val="24"/>
          <w:lang w:val="en-GB"/>
        </w:rPr>
        <w:t>N</w:t>
      </w:r>
      <w:r w:rsidRPr="003B45E5">
        <w:rPr>
          <w:sz w:val="24"/>
          <w:szCs w:val="24"/>
          <w:lang w:val="en-GB"/>
        </w:rPr>
        <w:t xml:space="preserve">o. 802/15 </w:t>
      </w:r>
      <w:r w:rsidR="007B5F59">
        <w:rPr>
          <w:sz w:val="24"/>
          <w:szCs w:val="24"/>
          <w:lang w:val="en-GB"/>
        </w:rPr>
        <w:t xml:space="preserve">from </w:t>
      </w:r>
      <w:r w:rsidRPr="003B45E5">
        <w:rPr>
          <w:sz w:val="24"/>
          <w:szCs w:val="24"/>
          <w:lang w:val="en-GB"/>
        </w:rPr>
        <w:t>22</w:t>
      </w:r>
      <w:r w:rsidR="007B5F59">
        <w:rPr>
          <w:sz w:val="24"/>
          <w:szCs w:val="24"/>
          <w:lang w:val="en-GB"/>
        </w:rPr>
        <w:t xml:space="preserve"> December </w:t>
      </w:r>
      <w:r w:rsidRPr="003B45E5">
        <w:rPr>
          <w:sz w:val="24"/>
          <w:szCs w:val="24"/>
          <w:lang w:val="en-GB"/>
        </w:rPr>
        <w:t>2015;</w:t>
      </w:r>
    </w:p>
    <w:p w14:paraId="1EAE2A94" w14:textId="77777777" w:rsidR="003B45E5" w:rsidRPr="003B45E5" w:rsidRDefault="003B45E5" w:rsidP="003B45E5">
      <w:pPr>
        <w:spacing w:after="0"/>
        <w:ind w:firstLine="720"/>
        <w:jc w:val="both"/>
        <w:rPr>
          <w:sz w:val="24"/>
          <w:szCs w:val="24"/>
          <w:lang w:val="en-GB"/>
        </w:rPr>
      </w:pPr>
      <w:r w:rsidRPr="003B45E5">
        <w:rPr>
          <w:sz w:val="24"/>
          <w:szCs w:val="24"/>
          <w:lang w:val="en-GB"/>
        </w:rPr>
        <w:t>- monitoring of proceedings in these criminal cases;</w:t>
      </w:r>
    </w:p>
    <w:p w14:paraId="1AA425F1" w14:textId="77777777" w:rsidR="003B45E5" w:rsidRPr="003B45E5" w:rsidRDefault="003B45E5" w:rsidP="003B45E5">
      <w:pPr>
        <w:spacing w:after="0"/>
        <w:ind w:firstLine="720"/>
        <w:jc w:val="both"/>
        <w:rPr>
          <w:sz w:val="24"/>
          <w:szCs w:val="24"/>
          <w:lang w:val="en-GB"/>
        </w:rPr>
      </w:pPr>
      <w:r w:rsidRPr="003B45E5">
        <w:rPr>
          <w:sz w:val="24"/>
          <w:szCs w:val="24"/>
          <w:lang w:val="en-GB"/>
        </w:rPr>
        <w:t xml:space="preserve">- consultations with the case </w:t>
      </w:r>
      <w:r w:rsidR="007B5F59">
        <w:rPr>
          <w:sz w:val="24"/>
          <w:szCs w:val="24"/>
          <w:lang w:val="en-GB"/>
        </w:rPr>
        <w:t>processor</w:t>
      </w:r>
      <w:r w:rsidRPr="003B45E5">
        <w:rPr>
          <w:sz w:val="24"/>
          <w:szCs w:val="24"/>
          <w:lang w:val="en-GB"/>
        </w:rPr>
        <w:t>;</w:t>
      </w:r>
    </w:p>
    <w:p w14:paraId="26504E8B" w14:textId="77777777" w:rsidR="003B45E5" w:rsidRPr="003B45E5" w:rsidRDefault="003B45E5" w:rsidP="003B45E5">
      <w:pPr>
        <w:spacing w:after="0"/>
        <w:ind w:firstLine="720"/>
        <w:jc w:val="both"/>
        <w:rPr>
          <w:sz w:val="24"/>
          <w:szCs w:val="24"/>
          <w:lang w:val="en-GB"/>
        </w:rPr>
      </w:pPr>
      <w:r w:rsidRPr="003B45E5">
        <w:rPr>
          <w:sz w:val="24"/>
          <w:szCs w:val="24"/>
          <w:lang w:val="en-GB"/>
        </w:rPr>
        <w:t>- contact with the injured party/victim;</w:t>
      </w:r>
    </w:p>
    <w:p w14:paraId="71E1E29D" w14:textId="77777777" w:rsidR="003B45E5" w:rsidRPr="003B45E5" w:rsidRDefault="003B45E5" w:rsidP="003B45E5">
      <w:pPr>
        <w:spacing w:after="0"/>
        <w:ind w:firstLine="720"/>
        <w:jc w:val="both"/>
        <w:rPr>
          <w:sz w:val="24"/>
          <w:szCs w:val="24"/>
          <w:lang w:val="en-GB"/>
        </w:rPr>
      </w:pPr>
      <w:r w:rsidRPr="003B45E5">
        <w:rPr>
          <w:sz w:val="24"/>
          <w:szCs w:val="24"/>
          <w:lang w:val="en-GB"/>
        </w:rPr>
        <w:t>- contact with the competent police officer;</w:t>
      </w:r>
    </w:p>
    <w:p w14:paraId="01BFA31D" w14:textId="77777777" w:rsidR="003B45E5" w:rsidRDefault="003B45E5" w:rsidP="003B45E5">
      <w:pPr>
        <w:spacing w:after="0"/>
        <w:ind w:firstLine="720"/>
        <w:jc w:val="both"/>
        <w:rPr>
          <w:sz w:val="24"/>
          <w:szCs w:val="24"/>
          <w:lang w:val="en-GB"/>
        </w:rPr>
      </w:pPr>
      <w:r w:rsidRPr="003B45E5">
        <w:rPr>
          <w:sz w:val="24"/>
          <w:szCs w:val="24"/>
          <w:lang w:val="en-GB"/>
        </w:rPr>
        <w:t>- contact and dialogue with speciali</w:t>
      </w:r>
      <w:r w:rsidR="007B5F59">
        <w:rPr>
          <w:sz w:val="24"/>
          <w:szCs w:val="24"/>
          <w:lang w:val="en-GB"/>
        </w:rPr>
        <w:t>sed civil society organis</w:t>
      </w:r>
      <w:r w:rsidRPr="003B45E5">
        <w:rPr>
          <w:sz w:val="24"/>
          <w:szCs w:val="24"/>
          <w:lang w:val="en-GB"/>
        </w:rPr>
        <w:t>ations that provide support to victims of hate crimes.</w:t>
      </w:r>
    </w:p>
    <w:p w14:paraId="2FE14F9A" w14:textId="77777777" w:rsidR="000307DB" w:rsidRPr="00D62D04" w:rsidRDefault="000307DB" w:rsidP="00561176">
      <w:pPr>
        <w:spacing w:after="0"/>
        <w:ind w:firstLine="720"/>
        <w:jc w:val="both"/>
        <w:rPr>
          <w:sz w:val="24"/>
          <w:szCs w:val="24"/>
          <w:highlight w:val="cyan"/>
          <w:lang w:val="en-GB"/>
        </w:rPr>
      </w:pPr>
    </w:p>
    <w:p w14:paraId="71B78609" w14:textId="77777777" w:rsidR="00533E9A" w:rsidRPr="00533E9A" w:rsidRDefault="00533E9A" w:rsidP="00533E9A">
      <w:pPr>
        <w:spacing w:after="0"/>
        <w:ind w:firstLine="720"/>
        <w:jc w:val="both"/>
        <w:rPr>
          <w:sz w:val="24"/>
          <w:szCs w:val="24"/>
          <w:lang w:val="en-GB"/>
        </w:rPr>
      </w:pPr>
      <w:r w:rsidRPr="00533E9A">
        <w:rPr>
          <w:sz w:val="24"/>
          <w:szCs w:val="24"/>
          <w:lang w:val="en-GB"/>
        </w:rPr>
        <w:t xml:space="preserve">Pursuant to the aforementioned instruction, all public prosecutor's offices of regular </w:t>
      </w:r>
      <w:r>
        <w:rPr>
          <w:sz w:val="24"/>
          <w:szCs w:val="24"/>
          <w:lang w:val="en-GB"/>
        </w:rPr>
        <w:t>competences</w:t>
      </w:r>
      <w:r w:rsidRPr="00533E9A">
        <w:rPr>
          <w:sz w:val="24"/>
          <w:szCs w:val="24"/>
          <w:lang w:val="en-GB"/>
        </w:rPr>
        <w:t xml:space="preserve"> have designated contact persons for dealing with cases of criminal </w:t>
      </w:r>
      <w:r>
        <w:rPr>
          <w:sz w:val="24"/>
          <w:szCs w:val="24"/>
          <w:lang w:val="en-GB"/>
        </w:rPr>
        <w:t>offences</w:t>
      </w:r>
      <w:r w:rsidRPr="00533E9A">
        <w:rPr>
          <w:sz w:val="24"/>
          <w:szCs w:val="24"/>
          <w:lang w:val="en-GB"/>
        </w:rPr>
        <w:t xml:space="preserve"> committed out of hatred.</w:t>
      </w:r>
    </w:p>
    <w:p w14:paraId="289DF5DE" w14:textId="77777777" w:rsidR="00533E9A" w:rsidRDefault="00ED3EAA" w:rsidP="00533E9A">
      <w:pPr>
        <w:spacing w:after="0"/>
        <w:ind w:firstLine="720"/>
        <w:jc w:val="both"/>
        <w:rPr>
          <w:sz w:val="24"/>
          <w:szCs w:val="24"/>
          <w:lang w:val="en-GB"/>
        </w:rPr>
      </w:pPr>
      <w:r>
        <w:rPr>
          <w:sz w:val="24"/>
          <w:szCs w:val="24"/>
          <w:lang w:val="en-GB"/>
        </w:rPr>
        <w:t>As of</w:t>
      </w:r>
      <w:r w:rsidR="00533E9A" w:rsidRPr="00533E9A">
        <w:rPr>
          <w:sz w:val="24"/>
          <w:szCs w:val="24"/>
          <w:lang w:val="en-GB"/>
        </w:rPr>
        <w:t xml:space="preserve"> 2018, in accordance with the plan and program</w:t>
      </w:r>
      <w:r>
        <w:rPr>
          <w:sz w:val="24"/>
          <w:szCs w:val="24"/>
          <w:lang w:val="en-GB"/>
        </w:rPr>
        <w:t>me</w:t>
      </w:r>
      <w:r w:rsidR="00533E9A" w:rsidRPr="00533E9A">
        <w:rPr>
          <w:sz w:val="24"/>
          <w:szCs w:val="24"/>
          <w:lang w:val="en-GB"/>
        </w:rPr>
        <w:t xml:space="preserve"> of training of the Judicial Academy on hate crimes for public prosecutors, in cooperation with the Public Prosecutor's Office of the Republic </w:t>
      </w:r>
      <w:r>
        <w:rPr>
          <w:sz w:val="24"/>
          <w:szCs w:val="24"/>
          <w:lang w:val="en-GB"/>
        </w:rPr>
        <w:t xml:space="preserve">of Serbia </w:t>
      </w:r>
      <w:r w:rsidR="00533E9A" w:rsidRPr="00533E9A">
        <w:rPr>
          <w:sz w:val="24"/>
          <w:szCs w:val="24"/>
          <w:lang w:val="en-GB"/>
        </w:rPr>
        <w:t>and the OSCE Mission in Serbia, training</w:t>
      </w:r>
      <w:r>
        <w:rPr>
          <w:sz w:val="24"/>
          <w:szCs w:val="24"/>
          <w:lang w:val="en-GB"/>
        </w:rPr>
        <w:t xml:space="preserve"> session</w:t>
      </w:r>
      <w:r w:rsidR="00533E9A" w:rsidRPr="00533E9A">
        <w:rPr>
          <w:sz w:val="24"/>
          <w:szCs w:val="24"/>
          <w:lang w:val="en-GB"/>
        </w:rPr>
        <w:t>s for public prosecutors are being organi</w:t>
      </w:r>
      <w:r>
        <w:rPr>
          <w:sz w:val="24"/>
          <w:szCs w:val="24"/>
          <w:lang w:val="en-GB"/>
        </w:rPr>
        <w:t>s</w:t>
      </w:r>
      <w:r w:rsidR="00533E9A" w:rsidRPr="00533E9A">
        <w:rPr>
          <w:sz w:val="24"/>
          <w:szCs w:val="24"/>
          <w:lang w:val="en-GB"/>
        </w:rPr>
        <w:t>ed. At these training</w:t>
      </w:r>
      <w:r>
        <w:rPr>
          <w:sz w:val="24"/>
          <w:szCs w:val="24"/>
          <w:lang w:val="en-GB"/>
        </w:rPr>
        <w:t xml:space="preserve"> </w:t>
      </w:r>
      <w:r w:rsidR="00533E9A" w:rsidRPr="00533E9A">
        <w:rPr>
          <w:sz w:val="24"/>
          <w:szCs w:val="24"/>
          <w:lang w:val="en-GB"/>
        </w:rPr>
        <w:t>s</w:t>
      </w:r>
      <w:r>
        <w:rPr>
          <w:sz w:val="24"/>
          <w:szCs w:val="24"/>
          <w:lang w:val="en-GB"/>
        </w:rPr>
        <w:t>essions</w:t>
      </w:r>
      <w:r w:rsidR="00533E9A" w:rsidRPr="00533E9A">
        <w:rPr>
          <w:sz w:val="24"/>
          <w:szCs w:val="24"/>
          <w:lang w:val="en-GB"/>
        </w:rPr>
        <w:t>, the Guidelines for the prosecution of hate crimes in the Republic of Serbia were presented, as well as examples of the practical actions of competent authorities in cases of hate crimes, as well as the practice of the European Court of Human Rights. The planning</w:t>
      </w:r>
      <w:r w:rsidR="008A6C80">
        <w:rPr>
          <w:sz w:val="24"/>
          <w:szCs w:val="24"/>
          <w:lang w:val="en-GB"/>
        </w:rPr>
        <w:t xml:space="preserve"> of new, more advanced training</w:t>
      </w:r>
      <w:r w:rsidR="00533E9A" w:rsidRPr="00533E9A">
        <w:rPr>
          <w:sz w:val="24"/>
          <w:szCs w:val="24"/>
          <w:lang w:val="en-GB"/>
        </w:rPr>
        <w:t xml:space="preserve"> for contact persons designated by the Public Prosecutor's Office of the Republic </w:t>
      </w:r>
      <w:r w:rsidR="008A6C80">
        <w:rPr>
          <w:sz w:val="24"/>
          <w:szCs w:val="24"/>
          <w:lang w:val="en-GB"/>
        </w:rPr>
        <w:t xml:space="preserve">of Serbia </w:t>
      </w:r>
      <w:r w:rsidR="00533E9A" w:rsidRPr="00533E9A">
        <w:rPr>
          <w:sz w:val="24"/>
          <w:szCs w:val="24"/>
          <w:lang w:val="en-GB"/>
        </w:rPr>
        <w:t>in prosecutor's offices is underway.</w:t>
      </w:r>
    </w:p>
    <w:p w14:paraId="4EEDFD05" w14:textId="77777777" w:rsidR="00C556FA" w:rsidRDefault="00C556FA" w:rsidP="00561176">
      <w:pPr>
        <w:spacing w:after="0"/>
        <w:ind w:firstLine="720"/>
        <w:jc w:val="both"/>
        <w:rPr>
          <w:sz w:val="24"/>
          <w:szCs w:val="24"/>
          <w:lang w:val="en-GB"/>
        </w:rPr>
      </w:pPr>
      <w:r w:rsidRPr="00C556FA">
        <w:rPr>
          <w:sz w:val="24"/>
          <w:szCs w:val="24"/>
          <w:lang w:val="en-GB"/>
        </w:rPr>
        <w:t xml:space="preserve">During 2018 and 2019, the Judicial Academy </w:t>
      </w:r>
      <w:proofErr w:type="spellStart"/>
      <w:r w:rsidRPr="00C556FA">
        <w:rPr>
          <w:sz w:val="24"/>
          <w:szCs w:val="24"/>
          <w:lang w:val="en-GB"/>
        </w:rPr>
        <w:t>organi</w:t>
      </w:r>
      <w:proofErr w:type="spellEnd"/>
      <w:r w:rsidR="00472156">
        <w:rPr>
          <w:sz w:val="24"/>
          <w:szCs w:val="24"/>
          <w:lang w:val="sr-Cyrl-RS"/>
        </w:rPr>
        <w:t>с</w:t>
      </w:r>
      <w:proofErr w:type="spellStart"/>
      <w:r w:rsidRPr="00C556FA">
        <w:rPr>
          <w:sz w:val="24"/>
          <w:szCs w:val="24"/>
          <w:lang w:val="en-GB"/>
        </w:rPr>
        <w:t>ed</w:t>
      </w:r>
      <w:proofErr w:type="spellEnd"/>
      <w:r w:rsidRPr="00C556FA">
        <w:rPr>
          <w:sz w:val="24"/>
          <w:szCs w:val="24"/>
          <w:lang w:val="en-GB"/>
        </w:rPr>
        <w:t xml:space="preserve"> 8 training</w:t>
      </w:r>
      <w:r w:rsidR="00472156">
        <w:rPr>
          <w:sz w:val="24"/>
          <w:szCs w:val="24"/>
          <w:lang w:val="sr-Cyrl-RS"/>
        </w:rPr>
        <w:t xml:space="preserve"> </w:t>
      </w:r>
      <w:r w:rsidR="00472156">
        <w:rPr>
          <w:sz w:val="24"/>
          <w:szCs w:val="24"/>
          <w:lang w:val="en-GB"/>
        </w:rPr>
        <w:t>session</w:t>
      </w:r>
      <w:r w:rsidRPr="00C556FA">
        <w:rPr>
          <w:sz w:val="24"/>
          <w:szCs w:val="24"/>
          <w:lang w:val="en-GB"/>
        </w:rPr>
        <w:t xml:space="preserve">s for representatives of courts and public prosecutor's offices of all levels and cities in the Republic of Serbia. About 200 persons in total, including judges and prosecutors' assistants, underwent the training. The training topics were: concept, elements and international legal framework of hate crime; national legal framework and judicial criminal protection in cases of hate crimes; criminal prosecution of criminal </w:t>
      </w:r>
      <w:r w:rsidR="00472156">
        <w:rPr>
          <w:sz w:val="24"/>
          <w:szCs w:val="24"/>
          <w:lang w:val="en-GB"/>
        </w:rPr>
        <w:t>offences</w:t>
      </w:r>
      <w:r w:rsidRPr="00C556FA">
        <w:rPr>
          <w:sz w:val="24"/>
          <w:szCs w:val="24"/>
          <w:lang w:val="en-GB"/>
        </w:rPr>
        <w:t xml:space="preserve"> committed out of hatred; hate crime in the Republic of Serbia and the obligation to report. A special focus during the training was placed on the analysis of hate crimes </w:t>
      </w:r>
      <w:r w:rsidR="00472156">
        <w:rPr>
          <w:sz w:val="24"/>
          <w:szCs w:val="24"/>
          <w:lang w:val="en-GB"/>
        </w:rPr>
        <w:t>pertaining</w:t>
      </w:r>
      <w:r w:rsidRPr="00C556FA">
        <w:rPr>
          <w:sz w:val="24"/>
          <w:szCs w:val="24"/>
          <w:lang w:val="en-GB"/>
        </w:rPr>
        <w:t xml:space="preserve"> to belonging to national minorities. In December 2021, the Academy organi</w:t>
      </w:r>
      <w:r w:rsidR="00472156">
        <w:rPr>
          <w:sz w:val="24"/>
          <w:szCs w:val="24"/>
          <w:lang w:val="en-GB"/>
        </w:rPr>
        <w:t>s</w:t>
      </w:r>
      <w:r w:rsidRPr="00C556FA">
        <w:rPr>
          <w:sz w:val="24"/>
          <w:szCs w:val="24"/>
          <w:lang w:val="en-GB"/>
        </w:rPr>
        <w:t>ed a presentation of the training plan and program</w:t>
      </w:r>
      <w:r w:rsidR="00472156">
        <w:rPr>
          <w:sz w:val="24"/>
          <w:szCs w:val="24"/>
          <w:lang w:val="en-GB"/>
        </w:rPr>
        <w:t>me</w:t>
      </w:r>
      <w:r w:rsidRPr="00C556FA">
        <w:rPr>
          <w:sz w:val="24"/>
          <w:szCs w:val="24"/>
          <w:lang w:val="en-GB"/>
        </w:rPr>
        <w:t xml:space="preserve"> for contact persons from public prosecutor's offices for the fight against hate crimes. The participants were contact persons from higher public prosecution offices, appellate public prosecution offices and the Public Prosecutor's Office</w:t>
      </w:r>
      <w:r w:rsidR="006C11E8">
        <w:rPr>
          <w:sz w:val="24"/>
          <w:szCs w:val="24"/>
          <w:lang w:val="en-GB"/>
        </w:rPr>
        <w:t xml:space="preserve"> of the Republic of Serbia</w:t>
      </w:r>
      <w:r w:rsidRPr="00C556FA">
        <w:rPr>
          <w:sz w:val="24"/>
          <w:szCs w:val="24"/>
          <w:lang w:val="en-GB"/>
        </w:rPr>
        <w:t xml:space="preserve">. On that occasion, an analysis of court </w:t>
      </w:r>
      <w:r w:rsidRPr="00C556FA">
        <w:rPr>
          <w:sz w:val="24"/>
          <w:szCs w:val="24"/>
          <w:lang w:val="en-GB"/>
        </w:rPr>
        <w:lastRenderedPageBreak/>
        <w:t>practice and previous judg</w:t>
      </w:r>
      <w:r w:rsidR="002047D7">
        <w:rPr>
          <w:sz w:val="24"/>
          <w:szCs w:val="24"/>
          <w:lang w:val="en-GB"/>
        </w:rPr>
        <w:t>e</w:t>
      </w:r>
      <w:r w:rsidRPr="00C556FA">
        <w:rPr>
          <w:sz w:val="24"/>
          <w:szCs w:val="24"/>
          <w:lang w:val="en-GB"/>
        </w:rPr>
        <w:t>ments in the field of hate crimes was presented, as well as a presentation of the future training program</w:t>
      </w:r>
      <w:r w:rsidR="002047D7">
        <w:rPr>
          <w:sz w:val="24"/>
          <w:szCs w:val="24"/>
          <w:lang w:val="en-GB"/>
        </w:rPr>
        <w:t>me</w:t>
      </w:r>
      <w:r w:rsidRPr="00C556FA">
        <w:rPr>
          <w:sz w:val="24"/>
          <w:szCs w:val="24"/>
          <w:lang w:val="en-GB"/>
        </w:rPr>
        <w:t xml:space="preserve"> for contact points in the fight against hate crimes.</w:t>
      </w:r>
    </w:p>
    <w:p w14:paraId="1B108B93" w14:textId="77777777" w:rsidR="00EA535E" w:rsidRPr="00EA535E" w:rsidRDefault="00EA535E" w:rsidP="00EA535E">
      <w:pPr>
        <w:spacing w:after="0"/>
        <w:ind w:firstLine="720"/>
        <w:jc w:val="both"/>
        <w:rPr>
          <w:sz w:val="24"/>
          <w:szCs w:val="24"/>
          <w:lang w:val="en-GB"/>
        </w:rPr>
      </w:pPr>
      <w:r w:rsidRPr="00EA535E">
        <w:rPr>
          <w:sz w:val="24"/>
          <w:szCs w:val="24"/>
          <w:lang w:val="en-GB"/>
        </w:rPr>
        <w:t>In addition, participants of the Judicial Academy have the opportunity to use the distance learning model of the Council of Europe, the HELP system on the topic of hate crimes and hate speech, and thus acquire new knowledge in the field of application of the European Convention on Human Rights as well as EKRI recommendations.</w:t>
      </w:r>
    </w:p>
    <w:p w14:paraId="64C74950" w14:textId="77777777" w:rsidR="00EA535E" w:rsidRPr="00EA535E" w:rsidRDefault="00EA535E" w:rsidP="00EA535E">
      <w:pPr>
        <w:spacing w:after="0"/>
        <w:ind w:firstLine="720"/>
        <w:jc w:val="both"/>
        <w:rPr>
          <w:sz w:val="24"/>
          <w:szCs w:val="24"/>
          <w:lang w:val="en-GB"/>
        </w:rPr>
      </w:pPr>
      <w:r w:rsidRPr="00EA535E">
        <w:rPr>
          <w:sz w:val="24"/>
          <w:szCs w:val="24"/>
          <w:lang w:val="en-GB"/>
        </w:rPr>
        <w:t xml:space="preserve">Also, in the first half of 2020, the Public Prosecutor's Office of the Republic </w:t>
      </w:r>
      <w:r w:rsidR="00A77093">
        <w:rPr>
          <w:sz w:val="24"/>
          <w:szCs w:val="24"/>
          <w:lang w:val="en-GB"/>
        </w:rPr>
        <w:t xml:space="preserve">of Serbia </w:t>
      </w:r>
      <w:r w:rsidRPr="00EA535E">
        <w:rPr>
          <w:sz w:val="24"/>
          <w:szCs w:val="24"/>
          <w:lang w:val="en-GB"/>
        </w:rPr>
        <w:t xml:space="preserve">joined the project </w:t>
      </w:r>
      <w:r w:rsidR="00A77093">
        <w:rPr>
          <w:sz w:val="24"/>
          <w:szCs w:val="24"/>
          <w:lang w:val="en-GB"/>
        </w:rPr>
        <w:t xml:space="preserve">entitled </w:t>
      </w:r>
      <w:r w:rsidRPr="00EA535E">
        <w:rPr>
          <w:sz w:val="24"/>
          <w:szCs w:val="24"/>
          <w:lang w:val="en-GB"/>
        </w:rPr>
        <w:t xml:space="preserve">"Increasing </w:t>
      </w:r>
      <w:r w:rsidR="00A77093">
        <w:rPr>
          <w:sz w:val="24"/>
          <w:szCs w:val="24"/>
          <w:lang w:val="en-GB"/>
        </w:rPr>
        <w:t>A</w:t>
      </w:r>
      <w:r w:rsidRPr="00EA535E">
        <w:rPr>
          <w:sz w:val="24"/>
          <w:szCs w:val="24"/>
          <w:lang w:val="en-GB"/>
        </w:rPr>
        <w:t xml:space="preserve">wareness and </w:t>
      </w:r>
      <w:r w:rsidR="00A77093">
        <w:rPr>
          <w:sz w:val="24"/>
          <w:szCs w:val="24"/>
          <w:lang w:val="en-GB"/>
        </w:rPr>
        <w:t>R</w:t>
      </w:r>
      <w:r w:rsidRPr="00EA535E">
        <w:rPr>
          <w:sz w:val="24"/>
          <w:szCs w:val="24"/>
          <w:lang w:val="en-GB"/>
        </w:rPr>
        <w:t xml:space="preserve">esources to </w:t>
      </w:r>
      <w:r w:rsidR="00A77093">
        <w:rPr>
          <w:sz w:val="24"/>
          <w:szCs w:val="24"/>
          <w:lang w:val="en-GB"/>
        </w:rPr>
        <w:t>S</w:t>
      </w:r>
      <w:r w:rsidRPr="00EA535E">
        <w:rPr>
          <w:sz w:val="24"/>
          <w:szCs w:val="24"/>
          <w:lang w:val="en-GB"/>
        </w:rPr>
        <w:t xml:space="preserve">upport </w:t>
      </w:r>
      <w:r w:rsidR="00A77093">
        <w:rPr>
          <w:sz w:val="24"/>
          <w:szCs w:val="24"/>
          <w:lang w:val="en-GB"/>
        </w:rPr>
        <w:t>V</w:t>
      </w:r>
      <w:r w:rsidRPr="00EA535E">
        <w:rPr>
          <w:sz w:val="24"/>
          <w:szCs w:val="24"/>
          <w:lang w:val="en-GB"/>
        </w:rPr>
        <w:t xml:space="preserve">ictims of </w:t>
      </w:r>
      <w:r w:rsidR="00A77093">
        <w:rPr>
          <w:sz w:val="24"/>
          <w:szCs w:val="24"/>
          <w:lang w:val="en-GB"/>
        </w:rPr>
        <w:t>H</w:t>
      </w:r>
      <w:r w:rsidRPr="00EA535E">
        <w:rPr>
          <w:sz w:val="24"/>
          <w:szCs w:val="24"/>
          <w:lang w:val="en-GB"/>
        </w:rPr>
        <w:t xml:space="preserve">ate </w:t>
      </w:r>
      <w:r w:rsidR="00A77093">
        <w:rPr>
          <w:sz w:val="24"/>
          <w:szCs w:val="24"/>
          <w:lang w:val="en-GB"/>
        </w:rPr>
        <w:t>C</w:t>
      </w:r>
      <w:r w:rsidRPr="00EA535E">
        <w:rPr>
          <w:sz w:val="24"/>
          <w:szCs w:val="24"/>
          <w:lang w:val="en-GB"/>
        </w:rPr>
        <w:t>rimes (</w:t>
      </w:r>
      <w:proofErr w:type="spellStart"/>
      <w:r w:rsidR="00A77093">
        <w:rPr>
          <w:sz w:val="24"/>
          <w:szCs w:val="24"/>
          <w:lang w:val="en-GB"/>
        </w:rPr>
        <w:t>EStAR</w:t>
      </w:r>
      <w:proofErr w:type="spellEnd"/>
      <w:r w:rsidR="00A77093">
        <w:rPr>
          <w:sz w:val="24"/>
          <w:szCs w:val="24"/>
          <w:lang w:val="en-GB"/>
        </w:rPr>
        <w:t>)" implemented by the OSCE/</w:t>
      </w:r>
      <w:r w:rsidRPr="00EA535E">
        <w:rPr>
          <w:sz w:val="24"/>
          <w:szCs w:val="24"/>
          <w:lang w:val="en-GB"/>
        </w:rPr>
        <w:t>ODIHR in 41 OSCE member states in the period from 20</w:t>
      </w:r>
      <w:r w:rsidR="00A77093">
        <w:rPr>
          <w:sz w:val="24"/>
          <w:szCs w:val="24"/>
          <w:lang w:val="en-GB"/>
        </w:rPr>
        <w:t>20 to 2021</w:t>
      </w:r>
      <w:r w:rsidRPr="00EA535E">
        <w:rPr>
          <w:sz w:val="24"/>
          <w:szCs w:val="24"/>
          <w:lang w:val="en-GB"/>
        </w:rPr>
        <w:t xml:space="preserve">. The </w:t>
      </w:r>
      <w:r w:rsidR="00A867C2">
        <w:rPr>
          <w:sz w:val="24"/>
          <w:szCs w:val="24"/>
          <w:lang w:val="en-GB"/>
        </w:rPr>
        <w:t xml:space="preserve">aim </w:t>
      </w:r>
      <w:r w:rsidRPr="00EA535E">
        <w:rPr>
          <w:sz w:val="24"/>
          <w:szCs w:val="24"/>
          <w:lang w:val="en-GB"/>
        </w:rPr>
        <w:t xml:space="preserve">of the project is to, with the support of the European Commission and the German Government, produce tools to improve protection and services for victims of hate crimes and to build the capacity of service providers. In addition, the deputy public prosecutor of the </w:t>
      </w:r>
      <w:r w:rsidR="00A867C2">
        <w:rPr>
          <w:sz w:val="24"/>
          <w:szCs w:val="24"/>
          <w:lang w:val="en-GB"/>
        </w:rPr>
        <w:t>R</w:t>
      </w:r>
      <w:r w:rsidRPr="00EA535E">
        <w:rPr>
          <w:sz w:val="24"/>
          <w:szCs w:val="24"/>
          <w:lang w:val="en-GB"/>
        </w:rPr>
        <w:t xml:space="preserve">epublic </w:t>
      </w:r>
      <w:r w:rsidR="00A867C2">
        <w:rPr>
          <w:sz w:val="24"/>
          <w:szCs w:val="24"/>
          <w:lang w:val="en-GB"/>
        </w:rPr>
        <w:t xml:space="preserve">of Serbia </w:t>
      </w:r>
      <w:r w:rsidRPr="00EA535E">
        <w:rPr>
          <w:sz w:val="24"/>
          <w:szCs w:val="24"/>
          <w:lang w:val="en-GB"/>
        </w:rPr>
        <w:t xml:space="preserve">was designated as a member of the Network of Experts for Support of Victims of Hate Crimes, which was established as part of the project. The main </w:t>
      </w:r>
      <w:r w:rsidR="00A867C2">
        <w:rPr>
          <w:sz w:val="24"/>
          <w:szCs w:val="24"/>
          <w:lang w:val="en-GB"/>
        </w:rPr>
        <w:t>objective</w:t>
      </w:r>
      <w:r w:rsidRPr="00EA535E">
        <w:rPr>
          <w:sz w:val="24"/>
          <w:szCs w:val="24"/>
          <w:lang w:val="en-GB"/>
        </w:rPr>
        <w:t xml:space="preserve"> of this network is to collect and exchange knowledge, expertise and practice on existing aspects of support for victims of hate crimes.</w:t>
      </w:r>
    </w:p>
    <w:p w14:paraId="4C5463C5" w14:textId="77777777" w:rsidR="00EA535E" w:rsidRDefault="00EA535E" w:rsidP="00EA535E">
      <w:pPr>
        <w:spacing w:after="0"/>
        <w:ind w:firstLine="720"/>
        <w:jc w:val="both"/>
        <w:rPr>
          <w:sz w:val="24"/>
          <w:szCs w:val="24"/>
          <w:lang w:val="en-GB"/>
        </w:rPr>
      </w:pPr>
      <w:r w:rsidRPr="00EA535E">
        <w:rPr>
          <w:sz w:val="24"/>
          <w:szCs w:val="24"/>
          <w:lang w:val="en-GB"/>
        </w:rPr>
        <w:t>In order to implement the legal acquis of the EU and accept the standards of the European administrative space, the Ministry of Inter</w:t>
      </w:r>
      <w:r w:rsidR="004E295A">
        <w:rPr>
          <w:sz w:val="24"/>
          <w:szCs w:val="24"/>
          <w:lang w:val="en-GB"/>
        </w:rPr>
        <w:t xml:space="preserve">ior </w:t>
      </w:r>
      <w:r w:rsidRPr="00EA535E">
        <w:rPr>
          <w:sz w:val="24"/>
          <w:szCs w:val="24"/>
          <w:lang w:val="en-GB"/>
        </w:rPr>
        <w:t>continuously works on improving the general security standards, as well as the education of employees and future members of the Ministry, paying special attention, among other things, to the integration of national minorities into the police service.</w:t>
      </w:r>
    </w:p>
    <w:p w14:paraId="5C845102" w14:textId="77777777" w:rsidR="00756183" w:rsidRPr="00756183" w:rsidRDefault="00756183" w:rsidP="00756183">
      <w:pPr>
        <w:spacing w:after="0"/>
        <w:ind w:firstLine="720"/>
        <w:jc w:val="both"/>
        <w:rPr>
          <w:sz w:val="24"/>
          <w:szCs w:val="24"/>
          <w:lang w:val="en-GB"/>
        </w:rPr>
      </w:pPr>
      <w:r w:rsidRPr="00756183">
        <w:rPr>
          <w:sz w:val="24"/>
          <w:szCs w:val="24"/>
          <w:lang w:val="en-GB"/>
        </w:rPr>
        <w:t>The Police Training Cent</w:t>
      </w:r>
      <w:r>
        <w:rPr>
          <w:sz w:val="24"/>
          <w:szCs w:val="24"/>
          <w:lang w:val="en-GB"/>
        </w:rPr>
        <w:t>re</w:t>
      </w:r>
      <w:r w:rsidRPr="00756183">
        <w:rPr>
          <w:sz w:val="24"/>
          <w:szCs w:val="24"/>
          <w:lang w:val="en-GB"/>
        </w:rPr>
        <w:t xml:space="preserve"> of the Ministry of the Interior c</w:t>
      </w:r>
      <w:r>
        <w:rPr>
          <w:sz w:val="24"/>
          <w:szCs w:val="24"/>
          <w:lang w:val="en-GB"/>
        </w:rPr>
        <w:t>ontinuously implements training sessions</w:t>
      </w:r>
      <w:r w:rsidRPr="00756183">
        <w:rPr>
          <w:sz w:val="24"/>
          <w:szCs w:val="24"/>
          <w:lang w:val="en-GB"/>
        </w:rPr>
        <w:t xml:space="preserve"> for police officers that have human rights, prevention of discrimination and torture as their subject, and which are primarily aimed at sensiti</w:t>
      </w:r>
      <w:r>
        <w:rPr>
          <w:sz w:val="24"/>
          <w:szCs w:val="24"/>
          <w:lang w:val="en-GB"/>
        </w:rPr>
        <w:t>s</w:t>
      </w:r>
      <w:r w:rsidRPr="00756183">
        <w:rPr>
          <w:sz w:val="24"/>
          <w:szCs w:val="24"/>
          <w:lang w:val="en-GB"/>
        </w:rPr>
        <w:t xml:space="preserve">ing police officers to work in multi-ethnic communities, through basic police training that is carried out at the </w:t>
      </w:r>
      <w:proofErr w:type="spellStart"/>
      <w:r w:rsidRPr="00756183">
        <w:rPr>
          <w:sz w:val="24"/>
          <w:szCs w:val="24"/>
          <w:lang w:val="en-GB"/>
        </w:rPr>
        <w:t>Cen</w:t>
      </w:r>
      <w:r>
        <w:rPr>
          <w:sz w:val="24"/>
          <w:szCs w:val="24"/>
          <w:lang w:val="en-GB"/>
        </w:rPr>
        <w:t>re</w:t>
      </w:r>
      <w:proofErr w:type="spellEnd"/>
      <w:r w:rsidRPr="00756183">
        <w:rPr>
          <w:sz w:val="24"/>
          <w:szCs w:val="24"/>
          <w:lang w:val="en-GB"/>
        </w:rPr>
        <w:t xml:space="preserve"> for basic police training in Sremska </w:t>
      </w:r>
      <w:proofErr w:type="spellStart"/>
      <w:r w:rsidRPr="00756183">
        <w:rPr>
          <w:sz w:val="24"/>
          <w:szCs w:val="24"/>
          <w:lang w:val="en-GB"/>
        </w:rPr>
        <w:t>Kamenica</w:t>
      </w:r>
      <w:proofErr w:type="spellEnd"/>
      <w:r w:rsidRPr="00756183">
        <w:rPr>
          <w:sz w:val="24"/>
          <w:szCs w:val="24"/>
          <w:lang w:val="en-GB"/>
        </w:rPr>
        <w:t>, as well as through annual training</w:t>
      </w:r>
      <w:r>
        <w:rPr>
          <w:sz w:val="24"/>
          <w:szCs w:val="24"/>
          <w:lang w:val="en-GB"/>
        </w:rPr>
        <w:t xml:space="preserve"> session</w:t>
      </w:r>
      <w:r w:rsidRPr="00756183">
        <w:rPr>
          <w:sz w:val="24"/>
          <w:szCs w:val="24"/>
          <w:lang w:val="en-GB"/>
        </w:rPr>
        <w:t>s that are an integral part of the Professional Training Program</w:t>
      </w:r>
      <w:r>
        <w:rPr>
          <w:sz w:val="24"/>
          <w:szCs w:val="24"/>
          <w:lang w:val="en-GB"/>
        </w:rPr>
        <w:t>me</w:t>
      </w:r>
      <w:r w:rsidRPr="00756183">
        <w:rPr>
          <w:sz w:val="24"/>
          <w:szCs w:val="24"/>
          <w:lang w:val="en-GB"/>
        </w:rPr>
        <w:t xml:space="preserve"> for police officers for the current year, and which are implemented in all organi</w:t>
      </w:r>
      <w:r>
        <w:rPr>
          <w:sz w:val="24"/>
          <w:szCs w:val="24"/>
          <w:lang w:val="en-GB"/>
        </w:rPr>
        <w:t>s</w:t>
      </w:r>
      <w:r w:rsidRPr="00756183">
        <w:rPr>
          <w:sz w:val="24"/>
          <w:szCs w:val="24"/>
          <w:lang w:val="en-GB"/>
        </w:rPr>
        <w:t>ational units of the Ministry of Inter</w:t>
      </w:r>
      <w:r>
        <w:rPr>
          <w:sz w:val="24"/>
          <w:szCs w:val="24"/>
          <w:lang w:val="en-GB"/>
        </w:rPr>
        <w:t>ior</w:t>
      </w:r>
      <w:r w:rsidRPr="00756183">
        <w:rPr>
          <w:sz w:val="24"/>
          <w:szCs w:val="24"/>
          <w:lang w:val="en-GB"/>
        </w:rPr>
        <w:t>.</w:t>
      </w:r>
    </w:p>
    <w:p w14:paraId="5B24AEC3" w14:textId="77777777" w:rsidR="00756183" w:rsidRPr="00756183" w:rsidRDefault="00756183" w:rsidP="00756183">
      <w:pPr>
        <w:spacing w:after="0"/>
        <w:ind w:firstLine="720"/>
        <w:jc w:val="both"/>
        <w:rPr>
          <w:sz w:val="24"/>
          <w:szCs w:val="24"/>
          <w:lang w:val="en-GB"/>
        </w:rPr>
      </w:pPr>
      <w:r w:rsidRPr="00756183">
        <w:rPr>
          <w:sz w:val="24"/>
          <w:szCs w:val="24"/>
          <w:lang w:val="en-GB"/>
        </w:rPr>
        <w:t>The Ministry of Inter</w:t>
      </w:r>
      <w:r w:rsidR="00EC568E">
        <w:rPr>
          <w:sz w:val="24"/>
          <w:szCs w:val="24"/>
          <w:lang w:val="en-GB"/>
        </w:rPr>
        <w:t xml:space="preserve">ior </w:t>
      </w:r>
      <w:r w:rsidRPr="00756183">
        <w:rPr>
          <w:sz w:val="24"/>
          <w:szCs w:val="24"/>
          <w:lang w:val="en-GB"/>
        </w:rPr>
        <w:t xml:space="preserve">has implemented legal regulations in the </w:t>
      </w:r>
      <w:r w:rsidR="00EC568E">
        <w:rPr>
          <w:sz w:val="24"/>
          <w:szCs w:val="24"/>
          <w:lang w:val="en-GB"/>
        </w:rPr>
        <w:t>given</w:t>
      </w:r>
      <w:r w:rsidRPr="00756183">
        <w:rPr>
          <w:sz w:val="24"/>
          <w:szCs w:val="24"/>
          <w:lang w:val="en-GB"/>
        </w:rPr>
        <w:t xml:space="preserve"> Professional Training Program</w:t>
      </w:r>
      <w:r w:rsidR="00EC568E">
        <w:rPr>
          <w:sz w:val="24"/>
          <w:szCs w:val="24"/>
          <w:lang w:val="en-GB"/>
        </w:rPr>
        <w:t>me</w:t>
      </w:r>
      <w:r w:rsidRPr="00756183">
        <w:rPr>
          <w:sz w:val="24"/>
          <w:szCs w:val="24"/>
          <w:lang w:val="en-GB"/>
        </w:rPr>
        <w:t>, which, among other things, refer to the protection of human rights and freedoms.</w:t>
      </w:r>
    </w:p>
    <w:p w14:paraId="29516467" w14:textId="77777777" w:rsidR="00756183" w:rsidRDefault="00756183" w:rsidP="00756183">
      <w:pPr>
        <w:spacing w:after="0"/>
        <w:ind w:firstLine="720"/>
        <w:jc w:val="both"/>
        <w:rPr>
          <w:sz w:val="24"/>
          <w:szCs w:val="24"/>
          <w:lang w:val="en-GB"/>
        </w:rPr>
      </w:pPr>
      <w:r w:rsidRPr="00756183">
        <w:rPr>
          <w:sz w:val="24"/>
          <w:szCs w:val="24"/>
          <w:lang w:val="en-GB"/>
        </w:rPr>
        <w:t>Basic police training is aimed at training participants to legally and efficiently perform the duties and tasks of a uniformed police officer, and is mandatory for all future police officers, and is organi</w:t>
      </w:r>
      <w:r w:rsidR="00310EA5">
        <w:rPr>
          <w:sz w:val="24"/>
          <w:szCs w:val="24"/>
          <w:lang w:val="en-GB"/>
        </w:rPr>
        <w:t>s</w:t>
      </w:r>
      <w:r w:rsidRPr="00756183">
        <w:rPr>
          <w:sz w:val="24"/>
          <w:szCs w:val="24"/>
          <w:lang w:val="en-GB"/>
        </w:rPr>
        <w:t>ed before entering the service, that is, before starting an employment relationship with the police.</w:t>
      </w:r>
    </w:p>
    <w:p w14:paraId="32859D09" w14:textId="77777777" w:rsidR="00ED3013" w:rsidRDefault="00ED3013" w:rsidP="001F3034">
      <w:pPr>
        <w:spacing w:after="0"/>
        <w:ind w:firstLine="720"/>
        <w:jc w:val="both"/>
        <w:rPr>
          <w:sz w:val="24"/>
          <w:szCs w:val="24"/>
          <w:lang w:val="en-GB"/>
        </w:rPr>
      </w:pPr>
      <w:r w:rsidRPr="00ED3013">
        <w:rPr>
          <w:sz w:val="24"/>
          <w:szCs w:val="24"/>
          <w:lang w:val="en-GB"/>
        </w:rPr>
        <w:t>When establishing an employment relationship, the Ministry of Inter</w:t>
      </w:r>
      <w:r>
        <w:rPr>
          <w:sz w:val="24"/>
          <w:szCs w:val="24"/>
          <w:lang w:val="en-GB"/>
        </w:rPr>
        <w:t xml:space="preserve">ior </w:t>
      </w:r>
      <w:r w:rsidRPr="00ED3013">
        <w:rPr>
          <w:sz w:val="24"/>
          <w:szCs w:val="24"/>
          <w:lang w:val="en-GB"/>
        </w:rPr>
        <w:t xml:space="preserve">takes into account the national composition of the population, the appropriate representation of members of national minorities and the knowledge of the language and script that is in official use </w:t>
      </w:r>
      <w:r>
        <w:rPr>
          <w:sz w:val="24"/>
          <w:szCs w:val="24"/>
          <w:lang w:val="en-GB"/>
        </w:rPr>
        <w:t>i</w:t>
      </w:r>
      <w:r w:rsidRPr="00ED3013">
        <w:rPr>
          <w:sz w:val="24"/>
          <w:szCs w:val="24"/>
          <w:lang w:val="en-GB"/>
        </w:rPr>
        <w:t>n the territory of the local self-government unit for which the organi</w:t>
      </w:r>
      <w:r>
        <w:rPr>
          <w:sz w:val="24"/>
          <w:szCs w:val="24"/>
          <w:lang w:val="en-GB"/>
        </w:rPr>
        <w:t>s</w:t>
      </w:r>
      <w:r w:rsidRPr="00ED3013">
        <w:rPr>
          <w:sz w:val="24"/>
          <w:szCs w:val="24"/>
          <w:lang w:val="en-GB"/>
        </w:rPr>
        <w:t>ational unit in which the person establishes the employment relationship was established, in order to achieve full equality between members of national minorities and citizens belonging to the majority, in accordance with Article 137 of the Law on Police.</w:t>
      </w:r>
      <w:r w:rsidRPr="00ED3013">
        <w:rPr>
          <w:rStyle w:val="FootnoteReference"/>
          <w:sz w:val="24"/>
          <w:szCs w:val="24"/>
          <w:lang w:val="en-GB"/>
        </w:rPr>
        <w:footnoteReference w:id="97"/>
      </w:r>
    </w:p>
    <w:p w14:paraId="4AE61F09" w14:textId="77777777" w:rsidR="00BF00AB" w:rsidRPr="00BF00AB" w:rsidRDefault="00BF00AB" w:rsidP="00BF00AB">
      <w:pPr>
        <w:spacing w:after="0"/>
        <w:ind w:firstLine="720"/>
        <w:jc w:val="both"/>
        <w:rPr>
          <w:sz w:val="24"/>
          <w:szCs w:val="24"/>
          <w:lang w:val="en-GB"/>
        </w:rPr>
      </w:pPr>
      <w:r w:rsidRPr="00BF00AB">
        <w:rPr>
          <w:sz w:val="24"/>
          <w:szCs w:val="24"/>
          <w:lang w:val="en-GB"/>
        </w:rPr>
        <w:lastRenderedPageBreak/>
        <w:t xml:space="preserve">The field of human rights in basic police training is represented in several teaching subjects and professional modules, among which a special role is played by the subject "Police </w:t>
      </w:r>
      <w:r>
        <w:rPr>
          <w:sz w:val="24"/>
          <w:szCs w:val="24"/>
          <w:lang w:val="en-GB"/>
        </w:rPr>
        <w:t>W</w:t>
      </w:r>
      <w:r w:rsidRPr="00BF00AB">
        <w:rPr>
          <w:sz w:val="24"/>
          <w:szCs w:val="24"/>
          <w:lang w:val="en-GB"/>
        </w:rPr>
        <w:t xml:space="preserve">ork in the </w:t>
      </w:r>
      <w:r>
        <w:rPr>
          <w:sz w:val="24"/>
          <w:szCs w:val="24"/>
          <w:lang w:val="en-GB"/>
        </w:rPr>
        <w:t>C</w:t>
      </w:r>
      <w:r w:rsidRPr="00BF00AB">
        <w:rPr>
          <w:sz w:val="24"/>
          <w:szCs w:val="24"/>
          <w:lang w:val="en-GB"/>
        </w:rPr>
        <w:t xml:space="preserve">ommunity, </w:t>
      </w:r>
      <w:r>
        <w:rPr>
          <w:sz w:val="24"/>
          <w:szCs w:val="24"/>
          <w:lang w:val="en-GB"/>
        </w:rPr>
        <w:t>H</w:t>
      </w:r>
      <w:r w:rsidRPr="00BF00AB">
        <w:rPr>
          <w:sz w:val="24"/>
          <w:szCs w:val="24"/>
          <w:lang w:val="en-GB"/>
        </w:rPr>
        <w:t xml:space="preserve">uman </w:t>
      </w:r>
      <w:r>
        <w:rPr>
          <w:sz w:val="24"/>
          <w:szCs w:val="24"/>
          <w:lang w:val="en-GB"/>
        </w:rPr>
        <w:t>R</w:t>
      </w:r>
      <w:r w:rsidRPr="00BF00AB">
        <w:rPr>
          <w:sz w:val="24"/>
          <w:szCs w:val="24"/>
          <w:lang w:val="en-GB"/>
        </w:rPr>
        <w:t xml:space="preserve">ights and the </w:t>
      </w:r>
      <w:r>
        <w:rPr>
          <w:sz w:val="24"/>
          <w:szCs w:val="24"/>
          <w:lang w:val="en-GB"/>
        </w:rPr>
        <w:t>C</w:t>
      </w:r>
      <w:r w:rsidRPr="00BF00AB">
        <w:rPr>
          <w:sz w:val="24"/>
          <w:szCs w:val="24"/>
          <w:lang w:val="en-GB"/>
        </w:rPr>
        <w:t xml:space="preserve">ode of </w:t>
      </w:r>
      <w:r>
        <w:rPr>
          <w:sz w:val="24"/>
          <w:szCs w:val="24"/>
          <w:lang w:val="en-GB"/>
        </w:rPr>
        <w:t>P</w:t>
      </w:r>
      <w:r w:rsidRPr="00BF00AB">
        <w:rPr>
          <w:sz w:val="24"/>
          <w:szCs w:val="24"/>
          <w:lang w:val="en-GB"/>
        </w:rPr>
        <w:t xml:space="preserve">olice </w:t>
      </w:r>
      <w:r>
        <w:rPr>
          <w:sz w:val="24"/>
          <w:szCs w:val="24"/>
          <w:lang w:val="en-GB"/>
        </w:rPr>
        <w:t>E</w:t>
      </w:r>
      <w:r w:rsidRPr="00BF00AB">
        <w:rPr>
          <w:sz w:val="24"/>
          <w:szCs w:val="24"/>
          <w:lang w:val="en-GB"/>
        </w:rPr>
        <w:t>thics" in which participants acquire knowledge about the phenomenon of human rights and freedoms, the categories of morality and ethics, deontology and become familiar with the structure and scope of the national police code and the European code of police ethics, as well as community police work. Participants are introduced to the Code of Police Ethics through case studies, situational exercises and role-playing. Special emphasis is p</w:t>
      </w:r>
      <w:r w:rsidR="00C40D04">
        <w:rPr>
          <w:sz w:val="24"/>
          <w:szCs w:val="24"/>
          <w:lang w:val="en-GB"/>
        </w:rPr>
        <w:t>ut</w:t>
      </w:r>
      <w:r w:rsidRPr="00BF00AB">
        <w:rPr>
          <w:sz w:val="24"/>
          <w:szCs w:val="24"/>
          <w:lang w:val="en-GB"/>
        </w:rPr>
        <w:t xml:space="preserve"> on understanding the links between the Code of Police Ethics, police powers and human rights.</w:t>
      </w:r>
    </w:p>
    <w:p w14:paraId="79418205" w14:textId="77777777" w:rsidR="00BF00AB" w:rsidRPr="00BF00AB" w:rsidRDefault="00BF00AB" w:rsidP="00BF00AB">
      <w:pPr>
        <w:spacing w:after="0"/>
        <w:ind w:firstLine="720"/>
        <w:jc w:val="both"/>
        <w:rPr>
          <w:sz w:val="24"/>
          <w:szCs w:val="24"/>
          <w:lang w:val="en-GB"/>
        </w:rPr>
      </w:pPr>
      <w:r w:rsidRPr="00BF00AB">
        <w:rPr>
          <w:sz w:val="24"/>
          <w:szCs w:val="24"/>
          <w:lang w:val="en-GB"/>
        </w:rPr>
        <w:t>In addition to the above</w:t>
      </w:r>
      <w:r w:rsidR="006501F6">
        <w:rPr>
          <w:sz w:val="24"/>
          <w:szCs w:val="24"/>
          <w:lang w:val="en-GB"/>
        </w:rPr>
        <w:t>mentioned</w:t>
      </w:r>
      <w:r w:rsidRPr="00BF00AB">
        <w:rPr>
          <w:sz w:val="24"/>
          <w:szCs w:val="24"/>
          <w:lang w:val="en-GB"/>
        </w:rPr>
        <w:t>, teaching content re</w:t>
      </w:r>
      <w:r w:rsidR="006501F6">
        <w:rPr>
          <w:sz w:val="24"/>
          <w:szCs w:val="24"/>
          <w:lang w:val="en-GB"/>
        </w:rPr>
        <w:t xml:space="preserve">ferring </w:t>
      </w:r>
      <w:r w:rsidRPr="00BF00AB">
        <w:rPr>
          <w:sz w:val="24"/>
          <w:szCs w:val="24"/>
          <w:lang w:val="en-GB"/>
        </w:rPr>
        <w:t xml:space="preserve">to the protection of human rights and freedoms is also covered in the following subjects: Criminal and Criminal Procedural Law, Police Officers: Rights, Obligations and Duties, as well as professional modules: Suppression of Crime and Application of Police Powers and Use </w:t>
      </w:r>
      <w:r w:rsidR="006501F6">
        <w:rPr>
          <w:sz w:val="24"/>
          <w:szCs w:val="24"/>
          <w:lang w:val="en-GB"/>
        </w:rPr>
        <w:t>of M</w:t>
      </w:r>
      <w:r w:rsidRPr="00BF00AB">
        <w:rPr>
          <w:sz w:val="24"/>
          <w:szCs w:val="24"/>
          <w:lang w:val="en-GB"/>
        </w:rPr>
        <w:t xml:space="preserve">eans of </w:t>
      </w:r>
      <w:r w:rsidR="006501F6">
        <w:rPr>
          <w:sz w:val="24"/>
          <w:szCs w:val="24"/>
          <w:lang w:val="en-GB"/>
        </w:rPr>
        <w:t>C</w:t>
      </w:r>
      <w:r w:rsidRPr="00BF00AB">
        <w:rPr>
          <w:sz w:val="24"/>
          <w:szCs w:val="24"/>
          <w:lang w:val="en-GB"/>
        </w:rPr>
        <w:t xml:space="preserve">oercion. Teaching contents from the mentioned subjects and professional modules are </w:t>
      </w:r>
      <w:r w:rsidR="00E977F4">
        <w:rPr>
          <w:sz w:val="24"/>
          <w:szCs w:val="24"/>
          <w:lang w:val="en-GB"/>
        </w:rPr>
        <w:t>implemented</w:t>
      </w:r>
      <w:r w:rsidRPr="00BF00AB">
        <w:rPr>
          <w:sz w:val="24"/>
          <w:szCs w:val="24"/>
          <w:lang w:val="en-GB"/>
        </w:rPr>
        <w:t xml:space="preserve"> through several topics.</w:t>
      </w:r>
    </w:p>
    <w:p w14:paraId="6125ED47" w14:textId="77777777" w:rsidR="00BF00AB" w:rsidRDefault="00BF00AB" w:rsidP="00BF00AB">
      <w:pPr>
        <w:spacing w:after="0"/>
        <w:ind w:firstLine="720"/>
        <w:jc w:val="both"/>
        <w:rPr>
          <w:sz w:val="24"/>
          <w:szCs w:val="24"/>
          <w:lang w:val="en-GB"/>
        </w:rPr>
      </w:pPr>
      <w:r w:rsidRPr="00BF00AB">
        <w:rPr>
          <w:sz w:val="24"/>
          <w:szCs w:val="24"/>
          <w:lang w:val="en-GB"/>
        </w:rPr>
        <w:t>All trainees in the course of professional training have the opportunity to acquire the necessary knowledge and build the necessary attitudes regarding the respect of human rights and freedoms and the prevention of torture and ill-treatment by the police.</w:t>
      </w:r>
    </w:p>
    <w:p w14:paraId="070CB98D" w14:textId="77777777" w:rsidR="006C69CE" w:rsidRPr="006C69CE" w:rsidRDefault="006C69CE" w:rsidP="006C69CE">
      <w:pPr>
        <w:spacing w:after="0"/>
        <w:ind w:firstLine="720"/>
        <w:jc w:val="both"/>
        <w:rPr>
          <w:sz w:val="24"/>
          <w:szCs w:val="24"/>
          <w:lang w:val="en-GB"/>
        </w:rPr>
      </w:pPr>
      <w:r w:rsidRPr="006C69CE">
        <w:rPr>
          <w:sz w:val="24"/>
          <w:szCs w:val="24"/>
          <w:lang w:val="en-GB"/>
        </w:rPr>
        <w:t>Bearing in mind the above</w:t>
      </w:r>
      <w:r>
        <w:rPr>
          <w:sz w:val="24"/>
          <w:szCs w:val="24"/>
          <w:lang w:val="en-GB"/>
        </w:rPr>
        <w:t>mentioned</w:t>
      </w:r>
      <w:r w:rsidRPr="006C69CE">
        <w:rPr>
          <w:sz w:val="24"/>
          <w:szCs w:val="24"/>
          <w:lang w:val="en-GB"/>
        </w:rPr>
        <w:t>, the Ministry of Inter</w:t>
      </w:r>
      <w:r>
        <w:rPr>
          <w:sz w:val="24"/>
          <w:szCs w:val="24"/>
          <w:lang w:val="en-GB"/>
        </w:rPr>
        <w:t>ior provides</w:t>
      </w:r>
      <w:r w:rsidRPr="006C69CE">
        <w:rPr>
          <w:sz w:val="24"/>
          <w:szCs w:val="24"/>
          <w:lang w:val="en-GB"/>
        </w:rPr>
        <w:t xml:space="preserve"> continuous education and training of trainees - future police officers </w:t>
      </w:r>
      <w:r>
        <w:rPr>
          <w:sz w:val="24"/>
          <w:szCs w:val="24"/>
          <w:lang w:val="en-GB"/>
        </w:rPr>
        <w:t>regarding the</w:t>
      </w:r>
      <w:r w:rsidRPr="006C69CE">
        <w:rPr>
          <w:sz w:val="24"/>
          <w:szCs w:val="24"/>
          <w:lang w:val="en-GB"/>
        </w:rPr>
        <w:t xml:space="preserve"> topics related to respect for human rights and freedoms and prevention of torture and ill-treatment.</w:t>
      </w:r>
    </w:p>
    <w:p w14:paraId="0E371A43" w14:textId="77777777" w:rsidR="006C69CE" w:rsidRDefault="006C69CE" w:rsidP="006C69CE">
      <w:pPr>
        <w:spacing w:after="0"/>
        <w:ind w:firstLine="720"/>
        <w:jc w:val="both"/>
        <w:rPr>
          <w:sz w:val="24"/>
          <w:szCs w:val="24"/>
          <w:lang w:val="en-GB"/>
        </w:rPr>
      </w:pPr>
      <w:r w:rsidRPr="006C69CE">
        <w:rPr>
          <w:sz w:val="24"/>
          <w:szCs w:val="24"/>
          <w:lang w:val="en-GB"/>
        </w:rPr>
        <w:t>In this regard, in the period from 2017 to 2022, a total of 3,023 trainees completed basic police training at the Cent</w:t>
      </w:r>
      <w:r w:rsidR="00A8435D">
        <w:rPr>
          <w:sz w:val="24"/>
          <w:szCs w:val="24"/>
          <w:lang w:val="en-GB"/>
        </w:rPr>
        <w:t>re</w:t>
      </w:r>
      <w:r w:rsidRPr="006C69CE">
        <w:rPr>
          <w:sz w:val="24"/>
          <w:szCs w:val="24"/>
          <w:lang w:val="en-GB"/>
        </w:rPr>
        <w:t xml:space="preserve"> for Basic Police Training, of which 164 trainees were members of national minorities, which is 4.05% of the trainees.</w:t>
      </w:r>
    </w:p>
    <w:p w14:paraId="72F72D1E" w14:textId="77777777" w:rsidR="00550D99" w:rsidRPr="00550D99" w:rsidRDefault="00550D99" w:rsidP="00550D99">
      <w:pPr>
        <w:spacing w:after="0"/>
        <w:ind w:firstLine="720"/>
        <w:jc w:val="both"/>
        <w:rPr>
          <w:sz w:val="24"/>
          <w:szCs w:val="24"/>
          <w:lang w:val="en-GB"/>
        </w:rPr>
      </w:pPr>
      <w:r w:rsidRPr="00550D99">
        <w:rPr>
          <w:sz w:val="24"/>
          <w:szCs w:val="24"/>
          <w:lang w:val="en-GB"/>
        </w:rPr>
        <w:t>The Ministry of Inter</w:t>
      </w:r>
      <w:r>
        <w:rPr>
          <w:sz w:val="24"/>
          <w:szCs w:val="24"/>
          <w:lang w:val="en-GB"/>
        </w:rPr>
        <w:t xml:space="preserve">ior </w:t>
      </w:r>
      <w:r w:rsidRPr="00550D99">
        <w:rPr>
          <w:sz w:val="24"/>
          <w:szCs w:val="24"/>
          <w:lang w:val="en-GB"/>
        </w:rPr>
        <w:t>undertook a series of activities with the aim of developing trust, cooperation and partnership with the community in order to motivate members of national minorities to work in the police, and acted affirmatively towards all national communities when announcing the competition for admission to the Cent</w:t>
      </w:r>
      <w:r>
        <w:rPr>
          <w:sz w:val="24"/>
          <w:szCs w:val="24"/>
          <w:lang w:val="en-GB"/>
        </w:rPr>
        <w:t>re</w:t>
      </w:r>
      <w:r w:rsidRPr="00550D99">
        <w:rPr>
          <w:sz w:val="24"/>
          <w:szCs w:val="24"/>
          <w:lang w:val="en-GB"/>
        </w:rPr>
        <w:t xml:space="preserve"> for Basic Police </w:t>
      </w:r>
      <w:r>
        <w:rPr>
          <w:sz w:val="24"/>
          <w:szCs w:val="24"/>
          <w:lang w:val="en-GB"/>
        </w:rPr>
        <w:t>Training and Work in the Police</w:t>
      </w:r>
      <w:r w:rsidRPr="00550D99">
        <w:rPr>
          <w:sz w:val="24"/>
          <w:szCs w:val="24"/>
          <w:lang w:val="en-GB"/>
        </w:rPr>
        <w:t>.</w:t>
      </w:r>
    </w:p>
    <w:p w14:paraId="0F8ABB42" w14:textId="77777777" w:rsidR="00550D99" w:rsidRDefault="00550D99" w:rsidP="00550D99">
      <w:pPr>
        <w:spacing w:after="0"/>
        <w:ind w:firstLine="720"/>
        <w:jc w:val="both"/>
        <w:rPr>
          <w:sz w:val="24"/>
          <w:szCs w:val="24"/>
          <w:lang w:val="en-GB"/>
        </w:rPr>
      </w:pPr>
      <w:r w:rsidRPr="00550D99">
        <w:rPr>
          <w:sz w:val="24"/>
          <w:szCs w:val="24"/>
          <w:lang w:val="en-GB"/>
        </w:rPr>
        <w:t>In accordance with the above</w:t>
      </w:r>
      <w:r>
        <w:rPr>
          <w:sz w:val="24"/>
          <w:szCs w:val="24"/>
          <w:lang w:val="en-GB"/>
        </w:rPr>
        <w:t>mentioned</w:t>
      </w:r>
      <w:r w:rsidRPr="00550D99">
        <w:rPr>
          <w:sz w:val="24"/>
          <w:szCs w:val="24"/>
          <w:lang w:val="en-GB"/>
        </w:rPr>
        <w:t>, a professional information, recruitment and marketing program</w:t>
      </w:r>
      <w:r>
        <w:rPr>
          <w:sz w:val="24"/>
          <w:szCs w:val="24"/>
          <w:lang w:val="en-GB"/>
        </w:rPr>
        <w:t>me</w:t>
      </w:r>
      <w:r w:rsidRPr="00550D99">
        <w:rPr>
          <w:sz w:val="24"/>
          <w:szCs w:val="24"/>
          <w:lang w:val="en-GB"/>
        </w:rPr>
        <w:t xml:space="preserve"> is implemented, which informs potential candidates about the conditions of the com</w:t>
      </w:r>
      <w:r>
        <w:rPr>
          <w:sz w:val="24"/>
          <w:szCs w:val="24"/>
          <w:lang w:val="en-GB"/>
        </w:rPr>
        <w:t>petition in their own languages</w:t>
      </w:r>
      <w:r w:rsidRPr="00550D99">
        <w:rPr>
          <w:sz w:val="24"/>
          <w:szCs w:val="24"/>
          <w:lang w:val="en-GB"/>
        </w:rPr>
        <w:t xml:space="preserve"> and encourages them to apply for police recruitment competitions. Among other things, when announcing the competition in 2018, the text of the compe</w:t>
      </w:r>
      <w:r>
        <w:rPr>
          <w:sz w:val="24"/>
          <w:szCs w:val="24"/>
          <w:lang w:val="en-GB"/>
        </w:rPr>
        <w:t>tition and promotional material</w:t>
      </w:r>
      <w:r w:rsidRPr="00550D99">
        <w:rPr>
          <w:sz w:val="24"/>
          <w:szCs w:val="24"/>
          <w:lang w:val="en-GB"/>
        </w:rPr>
        <w:t xml:space="preserve"> were translated into the languages ​​of members of national minorities (Roma</w:t>
      </w:r>
      <w:r>
        <w:rPr>
          <w:sz w:val="24"/>
          <w:szCs w:val="24"/>
          <w:lang w:val="en-GB"/>
        </w:rPr>
        <w:t>ni</w:t>
      </w:r>
      <w:r w:rsidRPr="00550D99">
        <w:rPr>
          <w:sz w:val="24"/>
          <w:szCs w:val="24"/>
          <w:lang w:val="en-GB"/>
        </w:rPr>
        <w:t xml:space="preserve"> - dialectal variant, Romani - dialectal variant characteristic of the AP </w:t>
      </w:r>
      <w:r>
        <w:rPr>
          <w:sz w:val="24"/>
          <w:szCs w:val="24"/>
          <w:lang w:val="en-GB"/>
        </w:rPr>
        <w:t xml:space="preserve">of </w:t>
      </w:r>
      <w:proofErr w:type="spellStart"/>
      <w:r w:rsidRPr="00550D99">
        <w:rPr>
          <w:sz w:val="24"/>
          <w:szCs w:val="24"/>
          <w:lang w:val="en-GB"/>
        </w:rPr>
        <w:t>Vojvodina</w:t>
      </w:r>
      <w:proofErr w:type="spellEnd"/>
      <w:r w:rsidRPr="00550D99">
        <w:rPr>
          <w:sz w:val="24"/>
          <w:szCs w:val="24"/>
          <w:lang w:val="en-GB"/>
        </w:rPr>
        <w:t xml:space="preserve"> area, Romanian, Slovak, Hungar</w:t>
      </w:r>
      <w:r>
        <w:rPr>
          <w:sz w:val="24"/>
          <w:szCs w:val="24"/>
          <w:lang w:val="en-GB"/>
        </w:rPr>
        <w:t xml:space="preserve">ian, Czech, Croatian, </w:t>
      </w:r>
      <w:proofErr w:type="spellStart"/>
      <w:r>
        <w:rPr>
          <w:sz w:val="24"/>
          <w:szCs w:val="24"/>
          <w:lang w:val="en-GB"/>
        </w:rPr>
        <w:t>Ruthenian</w:t>
      </w:r>
      <w:proofErr w:type="spellEnd"/>
      <w:r w:rsidRPr="00550D99">
        <w:rPr>
          <w:sz w:val="24"/>
          <w:szCs w:val="24"/>
          <w:lang w:val="en-GB"/>
        </w:rPr>
        <w:t xml:space="preserve">, Albanian, Bulgarian and Ukrainian), and in addition, within the framework of cooperation with the OSCE Mission in Serbia, in all regional police administrations for which the competition was announced, promotional forums in the form of an Open Door Day were held, intended for those who applied for </w:t>
      </w:r>
      <w:proofErr w:type="spellStart"/>
      <w:r w:rsidRPr="00550D99">
        <w:rPr>
          <w:sz w:val="24"/>
          <w:szCs w:val="24"/>
          <w:lang w:val="en-GB"/>
        </w:rPr>
        <w:t>enrollment</w:t>
      </w:r>
      <w:proofErr w:type="spellEnd"/>
      <w:r w:rsidRPr="00550D99">
        <w:rPr>
          <w:sz w:val="24"/>
          <w:szCs w:val="24"/>
          <w:lang w:val="en-GB"/>
        </w:rPr>
        <w:t xml:space="preserve"> for basic police training, as well as for other interested parties, when potential candidates could familiari</w:t>
      </w:r>
      <w:r>
        <w:rPr>
          <w:sz w:val="24"/>
          <w:szCs w:val="24"/>
          <w:lang w:val="en-GB"/>
        </w:rPr>
        <w:t>s</w:t>
      </w:r>
      <w:r w:rsidRPr="00550D99">
        <w:rPr>
          <w:sz w:val="24"/>
          <w:szCs w:val="24"/>
          <w:lang w:val="en-GB"/>
        </w:rPr>
        <w:t>e themselves with the conditions of the competition, selection and training at the Cent</w:t>
      </w:r>
      <w:r>
        <w:rPr>
          <w:sz w:val="24"/>
          <w:szCs w:val="24"/>
          <w:lang w:val="en-GB"/>
        </w:rPr>
        <w:t>re</w:t>
      </w:r>
      <w:r w:rsidRPr="00550D99">
        <w:rPr>
          <w:sz w:val="24"/>
          <w:szCs w:val="24"/>
          <w:lang w:val="en-GB"/>
        </w:rPr>
        <w:t xml:space="preserve"> for Basic Police Training of the Ministry. During 2019, promotional activities continued, and in cooperation with the OSCE Mission in the Republic of Serbia, a promotional video was made for the purpose of promoting the police profession </w:t>
      </w:r>
      <w:r w:rsidRPr="00550D99">
        <w:rPr>
          <w:sz w:val="24"/>
          <w:szCs w:val="24"/>
          <w:lang w:val="en-GB"/>
        </w:rPr>
        <w:lastRenderedPageBreak/>
        <w:t>and basic police training, which was also translated into 11 languages ​​of members of national minorities.</w:t>
      </w:r>
    </w:p>
    <w:p w14:paraId="583E810E" w14:textId="77777777" w:rsidR="00FF3F88" w:rsidRPr="00FF3F88" w:rsidRDefault="00FF3F88" w:rsidP="00FF3F88">
      <w:pPr>
        <w:spacing w:after="0"/>
        <w:ind w:firstLine="720"/>
        <w:jc w:val="both"/>
        <w:rPr>
          <w:sz w:val="24"/>
          <w:szCs w:val="24"/>
          <w:lang w:val="en-GB"/>
        </w:rPr>
      </w:pPr>
      <w:r w:rsidRPr="00FF3F88">
        <w:rPr>
          <w:sz w:val="24"/>
          <w:szCs w:val="24"/>
          <w:lang w:val="en-GB"/>
        </w:rPr>
        <w:t>During 2020, 2021 and 2022, the Ministry of Inter</w:t>
      </w:r>
      <w:r>
        <w:rPr>
          <w:sz w:val="24"/>
          <w:szCs w:val="24"/>
          <w:lang w:val="en-GB"/>
        </w:rPr>
        <w:t xml:space="preserve">ior </w:t>
      </w:r>
      <w:r w:rsidRPr="00FF3F88">
        <w:rPr>
          <w:sz w:val="24"/>
          <w:szCs w:val="24"/>
          <w:lang w:val="en-GB"/>
        </w:rPr>
        <w:t>continued its promotional activities and affirmative actions towards all national communities when announcing the competition for admission to the Cent</w:t>
      </w:r>
      <w:r>
        <w:rPr>
          <w:sz w:val="24"/>
          <w:szCs w:val="24"/>
          <w:lang w:val="en-GB"/>
        </w:rPr>
        <w:t>re</w:t>
      </w:r>
      <w:r w:rsidRPr="00FF3F88">
        <w:rPr>
          <w:sz w:val="24"/>
          <w:szCs w:val="24"/>
          <w:lang w:val="en-GB"/>
        </w:rPr>
        <w:t xml:space="preserve"> for Basic Police Training and Work in the Police, and is always ready to cooperate i</w:t>
      </w:r>
      <w:r>
        <w:rPr>
          <w:sz w:val="24"/>
          <w:szCs w:val="24"/>
          <w:lang w:val="en-GB"/>
        </w:rPr>
        <w:t>n order to motivate its members</w:t>
      </w:r>
      <w:r w:rsidRPr="00FF3F88">
        <w:rPr>
          <w:sz w:val="24"/>
          <w:szCs w:val="24"/>
          <w:lang w:val="en-GB"/>
        </w:rPr>
        <w:t xml:space="preserve"> of national minorities to work in the police.</w:t>
      </w:r>
    </w:p>
    <w:p w14:paraId="70E9EB1F" w14:textId="77777777" w:rsidR="00FF3F88" w:rsidRDefault="00FF3F88" w:rsidP="00FF3F88">
      <w:pPr>
        <w:spacing w:after="0"/>
        <w:ind w:firstLine="720"/>
        <w:jc w:val="both"/>
        <w:rPr>
          <w:sz w:val="24"/>
          <w:szCs w:val="24"/>
          <w:lang w:val="en-GB"/>
        </w:rPr>
      </w:pPr>
      <w:r w:rsidRPr="00FF3F88">
        <w:rPr>
          <w:sz w:val="24"/>
          <w:szCs w:val="24"/>
          <w:lang w:val="en-GB"/>
        </w:rPr>
        <w:t>Furthermore, the professional training of employees in the Ministry of Inter</w:t>
      </w:r>
      <w:r>
        <w:rPr>
          <w:sz w:val="24"/>
          <w:szCs w:val="24"/>
          <w:lang w:val="en-GB"/>
        </w:rPr>
        <w:t xml:space="preserve">ior </w:t>
      </w:r>
      <w:r w:rsidRPr="00FF3F88">
        <w:rPr>
          <w:sz w:val="24"/>
          <w:szCs w:val="24"/>
          <w:lang w:val="en-GB"/>
        </w:rPr>
        <w:t>represents the continuous improvement and development of acquired knowledge, skills, attitudes and behavio</w:t>
      </w:r>
      <w:r>
        <w:rPr>
          <w:sz w:val="24"/>
          <w:szCs w:val="24"/>
          <w:lang w:val="en-GB"/>
        </w:rPr>
        <w:t>u</w:t>
      </w:r>
      <w:r w:rsidRPr="00FF3F88">
        <w:rPr>
          <w:sz w:val="24"/>
          <w:szCs w:val="24"/>
          <w:lang w:val="en-GB"/>
        </w:rPr>
        <w:t xml:space="preserve">r, as well as the adoption of new ones resulting from practice, scientific and research work or new legal regulations, with the aim of legal, efficient and safe performance </w:t>
      </w:r>
      <w:r>
        <w:rPr>
          <w:sz w:val="24"/>
          <w:szCs w:val="24"/>
          <w:lang w:val="en-GB"/>
        </w:rPr>
        <w:t>of tasks</w:t>
      </w:r>
      <w:r w:rsidRPr="00FF3F88">
        <w:rPr>
          <w:sz w:val="24"/>
          <w:szCs w:val="24"/>
          <w:lang w:val="en-GB"/>
        </w:rPr>
        <w:t xml:space="preserve"> and is mandatory for all employees in the Ministry.</w:t>
      </w:r>
    </w:p>
    <w:p w14:paraId="58EDF9D3" w14:textId="77777777" w:rsidR="00A54EC0" w:rsidRDefault="00A54EC0" w:rsidP="001F3034">
      <w:pPr>
        <w:spacing w:after="0"/>
        <w:ind w:firstLine="720"/>
        <w:jc w:val="both"/>
        <w:rPr>
          <w:sz w:val="24"/>
          <w:szCs w:val="24"/>
          <w:lang w:val="en-GB"/>
        </w:rPr>
      </w:pPr>
      <w:r w:rsidRPr="00A54EC0">
        <w:rPr>
          <w:sz w:val="24"/>
          <w:szCs w:val="24"/>
          <w:lang w:val="en-GB"/>
        </w:rPr>
        <w:t>As part of the Professional Training Program</w:t>
      </w:r>
      <w:r>
        <w:rPr>
          <w:sz w:val="24"/>
          <w:szCs w:val="24"/>
          <w:lang w:val="en-GB"/>
        </w:rPr>
        <w:t>me</w:t>
      </w:r>
      <w:r w:rsidRPr="00A54EC0">
        <w:rPr>
          <w:sz w:val="24"/>
          <w:szCs w:val="24"/>
          <w:lang w:val="en-GB"/>
        </w:rPr>
        <w:t xml:space="preserve"> for Police Officers of the Ministry of Inter</w:t>
      </w:r>
      <w:r>
        <w:rPr>
          <w:sz w:val="24"/>
          <w:szCs w:val="24"/>
          <w:lang w:val="en-GB"/>
        </w:rPr>
        <w:t xml:space="preserve">ior </w:t>
      </w:r>
      <w:r w:rsidRPr="00A54EC0">
        <w:rPr>
          <w:sz w:val="24"/>
          <w:szCs w:val="24"/>
          <w:lang w:val="en-GB"/>
        </w:rPr>
        <w:t xml:space="preserve">in the period from 2017 to 2022, through mandatory teaching in the "Theoretical Teaching" teaching area, among other things, the following topics were </w:t>
      </w:r>
      <w:r>
        <w:rPr>
          <w:sz w:val="24"/>
          <w:szCs w:val="24"/>
          <w:lang w:val="en-GB"/>
        </w:rPr>
        <w:t>covered</w:t>
      </w:r>
      <w:r w:rsidRPr="00A54EC0">
        <w:rPr>
          <w:sz w:val="24"/>
          <w:szCs w:val="24"/>
          <w:lang w:val="en-GB"/>
        </w:rPr>
        <w:t xml:space="preserve">: </w:t>
      </w:r>
      <w:r w:rsidR="00326EAA">
        <w:rPr>
          <w:sz w:val="24"/>
          <w:szCs w:val="24"/>
          <w:lang w:val="en-GB"/>
        </w:rPr>
        <w:t>t</w:t>
      </w:r>
      <w:r w:rsidRPr="00A54EC0">
        <w:rPr>
          <w:sz w:val="24"/>
          <w:szCs w:val="24"/>
          <w:lang w:val="en-GB"/>
        </w:rPr>
        <w:t xml:space="preserve">he concept of recognition and response of the police to emerging forms of discrimination and </w:t>
      </w:r>
      <w:r w:rsidR="00326EAA">
        <w:rPr>
          <w:sz w:val="24"/>
          <w:szCs w:val="24"/>
          <w:lang w:val="en-GB"/>
        </w:rPr>
        <w:t>w</w:t>
      </w:r>
      <w:r w:rsidRPr="00A54EC0">
        <w:rPr>
          <w:sz w:val="24"/>
          <w:szCs w:val="24"/>
          <w:lang w:val="en-GB"/>
        </w:rPr>
        <w:t>ork of the police with marginali</w:t>
      </w:r>
      <w:r w:rsidR="00326EAA">
        <w:rPr>
          <w:sz w:val="24"/>
          <w:szCs w:val="24"/>
          <w:lang w:val="en-GB"/>
        </w:rPr>
        <w:t>s</w:t>
      </w:r>
      <w:r w:rsidRPr="00A54EC0">
        <w:rPr>
          <w:sz w:val="24"/>
          <w:szCs w:val="24"/>
          <w:lang w:val="en-GB"/>
        </w:rPr>
        <w:t>ed, minority and socially vulnerable groups. In the course of 2021, more than 30,000 participants attended mandatory classes on the mentioned topics, while as of March 2022, approximately 2,900 participants attended the same. Also, in cooperation with the Commissioner for the Protection of Equality and the OSCE Mission in Serbia, in the period from 2017 to 2022, 14 seminars entitled "Recogni</w:t>
      </w:r>
      <w:r w:rsidR="0025489C">
        <w:rPr>
          <w:sz w:val="24"/>
          <w:szCs w:val="24"/>
          <w:lang w:val="en-GB"/>
        </w:rPr>
        <w:t>s</w:t>
      </w:r>
      <w:r w:rsidRPr="00A54EC0">
        <w:rPr>
          <w:sz w:val="24"/>
          <w:szCs w:val="24"/>
          <w:lang w:val="en-GB"/>
        </w:rPr>
        <w:t xml:space="preserve">ing and </w:t>
      </w:r>
      <w:r w:rsidR="0025489C">
        <w:rPr>
          <w:sz w:val="24"/>
          <w:szCs w:val="24"/>
          <w:lang w:val="en-GB"/>
        </w:rPr>
        <w:t>R</w:t>
      </w:r>
      <w:r w:rsidRPr="00A54EC0">
        <w:rPr>
          <w:sz w:val="24"/>
          <w:szCs w:val="24"/>
          <w:lang w:val="en-GB"/>
        </w:rPr>
        <w:t xml:space="preserve">esponding to </w:t>
      </w:r>
      <w:r w:rsidR="0025489C">
        <w:rPr>
          <w:sz w:val="24"/>
          <w:szCs w:val="24"/>
          <w:lang w:val="en-GB"/>
        </w:rPr>
        <w:t>D</w:t>
      </w:r>
      <w:r w:rsidRPr="00A54EC0">
        <w:rPr>
          <w:sz w:val="24"/>
          <w:szCs w:val="24"/>
          <w:lang w:val="en-GB"/>
        </w:rPr>
        <w:t>iscrimination" were held for a total of 365 police officers.</w:t>
      </w:r>
    </w:p>
    <w:p w14:paraId="3C95ED58" w14:textId="77777777" w:rsidR="00272ED8" w:rsidRPr="00D62D04" w:rsidRDefault="00272ED8" w:rsidP="00272ED8">
      <w:pPr>
        <w:spacing w:after="0"/>
        <w:jc w:val="both"/>
        <w:rPr>
          <w:sz w:val="24"/>
          <w:szCs w:val="24"/>
          <w:highlight w:val="cyan"/>
          <w:lang w:val="en-GB"/>
        </w:rPr>
      </w:pPr>
    </w:p>
    <w:p w14:paraId="5EBF0CB4" w14:textId="77777777" w:rsidR="00272ED8" w:rsidRPr="005172F9" w:rsidRDefault="005172F9" w:rsidP="00F333CD">
      <w:pPr>
        <w:pStyle w:val="Heading2"/>
        <w:jc w:val="center"/>
        <w:rPr>
          <w:rFonts w:ascii="Times New Roman" w:hAnsi="Times New Roman" w:cs="Times New Roman"/>
          <w:b/>
          <w:sz w:val="24"/>
          <w:szCs w:val="24"/>
          <w:lang w:val="en-GB"/>
        </w:rPr>
      </w:pPr>
      <w:bookmarkStart w:id="20" w:name="_Toc112932721"/>
      <w:r w:rsidRPr="005172F9">
        <w:rPr>
          <w:rFonts w:ascii="Times New Roman" w:hAnsi="Times New Roman" w:cs="Times New Roman"/>
          <w:b/>
          <w:color w:val="auto"/>
          <w:sz w:val="24"/>
          <w:szCs w:val="24"/>
          <w:lang w:val="en-GB"/>
        </w:rPr>
        <w:t>Article 8 of the Framework Convention</w:t>
      </w:r>
      <w:bookmarkEnd w:id="20"/>
      <w:r w:rsidRPr="005172F9">
        <w:rPr>
          <w:rFonts w:ascii="Times New Roman" w:hAnsi="Times New Roman" w:cs="Times New Roman"/>
          <w:b/>
          <w:color w:val="auto"/>
          <w:sz w:val="24"/>
          <w:szCs w:val="24"/>
          <w:lang w:val="en-GB"/>
        </w:rPr>
        <w:t xml:space="preserve"> </w:t>
      </w:r>
      <w:r w:rsidR="00272ED8" w:rsidRPr="005172F9">
        <w:rPr>
          <w:rFonts w:ascii="Times New Roman" w:hAnsi="Times New Roman" w:cs="Times New Roman"/>
          <w:b/>
          <w:color w:val="auto"/>
          <w:sz w:val="24"/>
          <w:szCs w:val="24"/>
          <w:lang w:val="en-GB"/>
        </w:rPr>
        <w:t xml:space="preserve"> </w:t>
      </w:r>
    </w:p>
    <w:p w14:paraId="62573705" w14:textId="77777777" w:rsidR="00272ED8" w:rsidRPr="00D62D04" w:rsidRDefault="005172F9" w:rsidP="005172F9">
      <w:pPr>
        <w:pStyle w:val="Heading3"/>
        <w:rPr>
          <w:rFonts w:ascii="Times New Roman" w:hAnsi="Times New Roman" w:cs="Times New Roman"/>
          <w:b/>
          <w:highlight w:val="cyan"/>
          <w:lang w:val="en-GB"/>
        </w:rPr>
      </w:pPr>
      <w:bookmarkStart w:id="21" w:name="_Toc112932722"/>
      <w:r w:rsidRPr="005172F9">
        <w:rPr>
          <w:rFonts w:ascii="Times New Roman" w:hAnsi="Times New Roman" w:cs="Times New Roman"/>
          <w:b/>
          <w:color w:val="auto"/>
          <w:lang w:val="en-GB"/>
        </w:rPr>
        <w:t>The right to profess one's religion and to establish institutions, organi</w:t>
      </w:r>
      <w:r>
        <w:rPr>
          <w:rFonts w:ascii="Times New Roman" w:hAnsi="Times New Roman" w:cs="Times New Roman"/>
          <w:b/>
          <w:color w:val="auto"/>
          <w:lang w:val="en-GB"/>
        </w:rPr>
        <w:t>s</w:t>
      </w:r>
      <w:r w:rsidRPr="005172F9">
        <w:rPr>
          <w:rFonts w:ascii="Times New Roman" w:hAnsi="Times New Roman" w:cs="Times New Roman"/>
          <w:b/>
          <w:color w:val="auto"/>
          <w:lang w:val="en-GB"/>
        </w:rPr>
        <w:t>ations and associations</w:t>
      </w:r>
      <w:bookmarkEnd w:id="21"/>
    </w:p>
    <w:p w14:paraId="46E6AEA8" w14:textId="77777777" w:rsidR="00272ED8" w:rsidRPr="00D62D04" w:rsidRDefault="00272ED8" w:rsidP="00272ED8">
      <w:pPr>
        <w:spacing w:after="0"/>
        <w:ind w:firstLine="720"/>
        <w:jc w:val="center"/>
        <w:rPr>
          <w:sz w:val="24"/>
          <w:szCs w:val="24"/>
          <w:highlight w:val="cyan"/>
          <w:lang w:val="en-GB"/>
        </w:rPr>
      </w:pPr>
    </w:p>
    <w:p w14:paraId="1AC735D4" w14:textId="77777777" w:rsidR="003A1D8A" w:rsidRDefault="00272ED8" w:rsidP="00272ED8">
      <w:pPr>
        <w:spacing w:after="0"/>
        <w:jc w:val="both"/>
        <w:rPr>
          <w:i/>
          <w:sz w:val="24"/>
          <w:szCs w:val="24"/>
          <w:lang w:val="en-GB"/>
        </w:rPr>
      </w:pPr>
      <w:r w:rsidRPr="003A1D8A">
        <w:rPr>
          <w:i/>
          <w:sz w:val="24"/>
          <w:szCs w:val="24"/>
          <w:lang w:val="en-GB"/>
        </w:rPr>
        <w:t xml:space="preserve">70. </w:t>
      </w:r>
      <w:r w:rsidR="003A1D8A" w:rsidRPr="003A1D8A">
        <w:rPr>
          <w:i/>
          <w:sz w:val="24"/>
          <w:szCs w:val="24"/>
          <w:lang w:val="en-GB"/>
        </w:rPr>
        <w:t>The Advisory Committee reiterates its call to the authorities to ensure that the right of members of national minorities to establish religious institutions, organisations or associations is effectively guaranteed by law, as well as in practice, including ensuring that legal provisions regulating religious communities do not allow discrimination, including those that are numerically smaller in size, especially in terms of access to legal personality or tax status.</w:t>
      </w:r>
    </w:p>
    <w:p w14:paraId="6768D4D7" w14:textId="77777777" w:rsidR="00272ED8" w:rsidRPr="00D62D04" w:rsidRDefault="00272ED8" w:rsidP="00272ED8">
      <w:pPr>
        <w:spacing w:after="0"/>
        <w:jc w:val="both"/>
        <w:rPr>
          <w:i/>
          <w:sz w:val="24"/>
          <w:szCs w:val="24"/>
          <w:highlight w:val="cyan"/>
          <w:lang w:val="en-GB"/>
        </w:rPr>
      </w:pPr>
    </w:p>
    <w:p w14:paraId="3BBA193E" w14:textId="79C850E2" w:rsidR="005D7572" w:rsidRDefault="005D7572" w:rsidP="00272ED8">
      <w:pPr>
        <w:spacing w:after="0"/>
        <w:ind w:firstLine="720"/>
        <w:jc w:val="both"/>
        <w:rPr>
          <w:sz w:val="24"/>
          <w:szCs w:val="24"/>
          <w:lang w:val="en-GB"/>
        </w:rPr>
      </w:pPr>
      <w:r w:rsidRPr="005D7572">
        <w:rPr>
          <w:sz w:val="24"/>
          <w:szCs w:val="24"/>
          <w:lang w:val="en-GB"/>
        </w:rPr>
        <w:t xml:space="preserve">The </w:t>
      </w:r>
      <w:r w:rsidR="008B23D1">
        <w:rPr>
          <w:sz w:val="24"/>
          <w:szCs w:val="24"/>
          <w:lang w:val="en-GB"/>
        </w:rPr>
        <w:t>response</w:t>
      </w:r>
      <w:r w:rsidRPr="005D7572">
        <w:rPr>
          <w:sz w:val="24"/>
          <w:szCs w:val="24"/>
          <w:lang w:val="en-GB"/>
        </w:rPr>
        <w:t xml:space="preserve"> to this recommendation is </w:t>
      </w:r>
      <w:r>
        <w:rPr>
          <w:sz w:val="24"/>
          <w:szCs w:val="24"/>
          <w:lang w:val="en-GB"/>
        </w:rPr>
        <w:t>given</w:t>
      </w:r>
      <w:r w:rsidRPr="005D7572">
        <w:rPr>
          <w:sz w:val="24"/>
          <w:szCs w:val="24"/>
          <w:lang w:val="en-GB"/>
        </w:rPr>
        <w:t xml:space="preserve"> in the </w:t>
      </w:r>
      <w:r w:rsidR="008B23D1">
        <w:rPr>
          <w:sz w:val="24"/>
          <w:szCs w:val="24"/>
          <w:lang w:val="en-GB"/>
        </w:rPr>
        <w:t>response</w:t>
      </w:r>
      <w:r w:rsidRPr="005D7572">
        <w:rPr>
          <w:sz w:val="24"/>
          <w:szCs w:val="24"/>
          <w:lang w:val="en-GB"/>
        </w:rPr>
        <w:t xml:space="preserve"> to recommendation 8 </w:t>
      </w:r>
      <w:r>
        <w:rPr>
          <w:sz w:val="24"/>
          <w:szCs w:val="24"/>
          <w:lang w:val="en-GB"/>
        </w:rPr>
        <w:t>of</w:t>
      </w:r>
      <w:r w:rsidRPr="005D7572">
        <w:rPr>
          <w:sz w:val="24"/>
          <w:szCs w:val="24"/>
          <w:lang w:val="en-GB"/>
        </w:rPr>
        <w:t xml:space="preserve"> the </w:t>
      </w:r>
      <w:r w:rsidR="00AC33C4">
        <w:rPr>
          <w:sz w:val="24"/>
          <w:szCs w:val="24"/>
          <w:lang w:val="en-GB"/>
        </w:rPr>
        <w:t>Committee of Ministers Resolution</w:t>
      </w:r>
      <w:r w:rsidRPr="005D7572">
        <w:rPr>
          <w:sz w:val="24"/>
          <w:szCs w:val="24"/>
          <w:lang w:val="en-GB"/>
        </w:rPr>
        <w:t>.</w:t>
      </w:r>
    </w:p>
    <w:p w14:paraId="6D6730E5" w14:textId="77777777" w:rsidR="00272ED8" w:rsidRPr="00D62D04" w:rsidRDefault="00272ED8" w:rsidP="00272ED8">
      <w:pPr>
        <w:spacing w:after="0"/>
        <w:jc w:val="both"/>
        <w:rPr>
          <w:sz w:val="24"/>
          <w:szCs w:val="24"/>
          <w:highlight w:val="cyan"/>
          <w:lang w:val="en-GB"/>
        </w:rPr>
      </w:pPr>
    </w:p>
    <w:p w14:paraId="2ACBA513" w14:textId="77777777" w:rsidR="00272ED8" w:rsidRPr="00875DD2" w:rsidRDefault="00875DD2" w:rsidP="00F333CD">
      <w:pPr>
        <w:pStyle w:val="Heading2"/>
        <w:jc w:val="center"/>
        <w:rPr>
          <w:rFonts w:ascii="Times New Roman" w:hAnsi="Times New Roman" w:cs="Times New Roman"/>
          <w:b/>
          <w:sz w:val="24"/>
          <w:szCs w:val="24"/>
          <w:lang w:val="en-GB"/>
        </w:rPr>
      </w:pPr>
      <w:bookmarkStart w:id="22" w:name="_Toc112932723"/>
      <w:r w:rsidRPr="00875DD2">
        <w:rPr>
          <w:rFonts w:ascii="Times New Roman" w:hAnsi="Times New Roman" w:cs="Times New Roman"/>
          <w:b/>
          <w:color w:val="auto"/>
          <w:sz w:val="24"/>
          <w:szCs w:val="24"/>
          <w:lang w:val="en-GB"/>
        </w:rPr>
        <w:t>Article</w:t>
      </w:r>
      <w:r w:rsidR="00272ED8" w:rsidRPr="00875DD2">
        <w:rPr>
          <w:rFonts w:ascii="Times New Roman" w:hAnsi="Times New Roman" w:cs="Times New Roman"/>
          <w:b/>
          <w:color w:val="auto"/>
          <w:sz w:val="24"/>
          <w:szCs w:val="24"/>
          <w:lang w:val="en-GB"/>
        </w:rPr>
        <w:t xml:space="preserve"> 9</w:t>
      </w:r>
      <w:r w:rsidRPr="00875DD2">
        <w:rPr>
          <w:rFonts w:ascii="Times New Roman" w:hAnsi="Times New Roman" w:cs="Times New Roman"/>
          <w:b/>
          <w:color w:val="auto"/>
          <w:sz w:val="24"/>
          <w:szCs w:val="24"/>
          <w:lang w:val="en-GB"/>
        </w:rPr>
        <w:t xml:space="preserve"> of the Framework Convention</w:t>
      </w:r>
      <w:bookmarkEnd w:id="22"/>
      <w:r w:rsidRPr="00875DD2">
        <w:rPr>
          <w:rFonts w:ascii="Times New Roman" w:hAnsi="Times New Roman" w:cs="Times New Roman"/>
          <w:b/>
          <w:color w:val="auto"/>
          <w:sz w:val="24"/>
          <w:szCs w:val="24"/>
          <w:lang w:val="en-GB"/>
        </w:rPr>
        <w:t xml:space="preserve"> </w:t>
      </w:r>
      <w:r w:rsidR="00272ED8" w:rsidRPr="00875DD2">
        <w:rPr>
          <w:rFonts w:ascii="Times New Roman" w:hAnsi="Times New Roman" w:cs="Times New Roman"/>
          <w:b/>
          <w:color w:val="auto"/>
          <w:sz w:val="24"/>
          <w:szCs w:val="24"/>
          <w:lang w:val="en-GB"/>
        </w:rPr>
        <w:t xml:space="preserve"> </w:t>
      </w:r>
    </w:p>
    <w:p w14:paraId="61888252" w14:textId="77777777" w:rsidR="00272ED8" w:rsidRPr="00D62D04" w:rsidRDefault="00875DD2" w:rsidP="00F333CD">
      <w:pPr>
        <w:pStyle w:val="Heading3"/>
        <w:jc w:val="center"/>
        <w:rPr>
          <w:rFonts w:ascii="Times New Roman" w:hAnsi="Times New Roman" w:cs="Times New Roman"/>
          <w:b/>
          <w:highlight w:val="cyan"/>
          <w:lang w:val="en-GB"/>
        </w:rPr>
      </w:pPr>
      <w:bookmarkStart w:id="23" w:name="_Toc112932724"/>
      <w:r w:rsidRPr="00875DD2">
        <w:rPr>
          <w:rFonts w:ascii="Times New Roman" w:hAnsi="Times New Roman" w:cs="Times New Roman"/>
          <w:b/>
          <w:color w:val="auto"/>
          <w:lang w:val="en-GB"/>
        </w:rPr>
        <w:t>Access to print and electronic media in minority languages</w:t>
      </w:r>
      <w:bookmarkEnd w:id="23"/>
    </w:p>
    <w:p w14:paraId="4CFC7B60" w14:textId="77777777" w:rsidR="00813A58" w:rsidRPr="00D62D04" w:rsidRDefault="00813A58" w:rsidP="00272ED8">
      <w:pPr>
        <w:spacing w:after="0"/>
        <w:rPr>
          <w:b/>
          <w:sz w:val="24"/>
          <w:szCs w:val="24"/>
          <w:highlight w:val="cyan"/>
          <w:lang w:val="en-GB"/>
        </w:rPr>
      </w:pPr>
    </w:p>
    <w:p w14:paraId="0D15E7D2" w14:textId="77777777" w:rsidR="0007170E" w:rsidRPr="0007170E" w:rsidRDefault="00272ED8" w:rsidP="0007170E">
      <w:pPr>
        <w:spacing w:after="0"/>
        <w:jc w:val="both"/>
        <w:rPr>
          <w:i/>
          <w:sz w:val="24"/>
          <w:szCs w:val="24"/>
          <w:lang w:val="en-GB"/>
        </w:rPr>
      </w:pPr>
      <w:r w:rsidRPr="0007170E">
        <w:rPr>
          <w:i/>
          <w:sz w:val="24"/>
          <w:szCs w:val="24"/>
          <w:lang w:val="en-GB"/>
        </w:rPr>
        <w:t xml:space="preserve">75. </w:t>
      </w:r>
      <w:r w:rsidR="0007170E" w:rsidRPr="0007170E">
        <w:rPr>
          <w:i/>
          <w:sz w:val="24"/>
          <w:szCs w:val="24"/>
          <w:lang w:val="en-GB"/>
        </w:rPr>
        <w:t>The Advisory Committee calls on the authorities to closely monitor the impact of the privati</w:t>
      </w:r>
      <w:r w:rsidR="00700100">
        <w:rPr>
          <w:i/>
          <w:sz w:val="24"/>
          <w:szCs w:val="24"/>
          <w:lang w:val="en-GB"/>
        </w:rPr>
        <w:t>s</w:t>
      </w:r>
      <w:r w:rsidR="0007170E" w:rsidRPr="0007170E">
        <w:rPr>
          <w:i/>
          <w:sz w:val="24"/>
          <w:szCs w:val="24"/>
          <w:lang w:val="en-GB"/>
        </w:rPr>
        <w:t xml:space="preserve">ation process on minority media and to commission a comprehensive and independent study on the subject. The Advisory Committee also calls on the authorities to take the necessary </w:t>
      </w:r>
      <w:r w:rsidR="0007170E" w:rsidRPr="0007170E">
        <w:rPr>
          <w:i/>
          <w:sz w:val="24"/>
          <w:szCs w:val="24"/>
          <w:lang w:val="en-GB"/>
        </w:rPr>
        <w:lastRenderedPageBreak/>
        <w:t xml:space="preserve">measures to </w:t>
      </w:r>
      <w:r w:rsidR="00700100">
        <w:rPr>
          <w:i/>
          <w:sz w:val="24"/>
          <w:szCs w:val="24"/>
          <w:lang w:val="en-GB"/>
        </w:rPr>
        <w:t>provide</w:t>
      </w:r>
      <w:r w:rsidR="0007170E" w:rsidRPr="0007170E">
        <w:rPr>
          <w:i/>
          <w:sz w:val="24"/>
          <w:szCs w:val="24"/>
          <w:lang w:val="en-GB"/>
        </w:rPr>
        <w:t xml:space="preserve"> the independence of private and public media, including those owned by political representatives of national minorities.</w:t>
      </w:r>
    </w:p>
    <w:p w14:paraId="1C6B23E1" w14:textId="77777777" w:rsidR="0007170E" w:rsidRPr="0007170E" w:rsidRDefault="0007170E" w:rsidP="0007170E">
      <w:pPr>
        <w:spacing w:after="0"/>
        <w:jc w:val="both"/>
        <w:rPr>
          <w:i/>
          <w:sz w:val="24"/>
          <w:szCs w:val="24"/>
          <w:lang w:val="en-GB"/>
        </w:rPr>
      </w:pPr>
    </w:p>
    <w:p w14:paraId="554C383E" w14:textId="77777777" w:rsidR="0007170E" w:rsidRDefault="0007170E" w:rsidP="0007170E">
      <w:pPr>
        <w:spacing w:after="0"/>
        <w:jc w:val="both"/>
        <w:rPr>
          <w:i/>
          <w:sz w:val="24"/>
          <w:szCs w:val="24"/>
          <w:lang w:val="en-GB"/>
        </w:rPr>
      </w:pPr>
      <w:r w:rsidRPr="0007170E">
        <w:rPr>
          <w:i/>
          <w:sz w:val="24"/>
          <w:szCs w:val="24"/>
          <w:lang w:val="en-GB"/>
        </w:rPr>
        <w:t>76. In the context of developing a new media strategy, the Advisory Committee calls on the authorities to consider minority media, from a quantitative and qualitative point of view, and thus consult representatives of national minorities, taking into account the diversity of opinion within each community, as well as media experts and independent researchers.</w:t>
      </w:r>
    </w:p>
    <w:p w14:paraId="681683A1" w14:textId="77777777" w:rsidR="00272ED8" w:rsidRPr="00D62D04" w:rsidRDefault="00272ED8" w:rsidP="00272ED8">
      <w:pPr>
        <w:spacing w:after="0"/>
        <w:jc w:val="both"/>
        <w:rPr>
          <w:sz w:val="24"/>
          <w:szCs w:val="24"/>
          <w:highlight w:val="cyan"/>
          <w:lang w:val="en-GB"/>
        </w:rPr>
      </w:pPr>
    </w:p>
    <w:p w14:paraId="42C4A0EA" w14:textId="1EA11828" w:rsidR="008C4849" w:rsidRDefault="005D7572" w:rsidP="00A51CE6">
      <w:pPr>
        <w:spacing w:after="0"/>
        <w:jc w:val="both"/>
        <w:rPr>
          <w:sz w:val="24"/>
          <w:szCs w:val="24"/>
          <w:lang w:val="en-GB"/>
        </w:rPr>
      </w:pPr>
      <w:r w:rsidRPr="005D7572">
        <w:rPr>
          <w:sz w:val="24"/>
          <w:szCs w:val="24"/>
          <w:lang w:val="en-GB"/>
        </w:rPr>
        <w:t xml:space="preserve">The </w:t>
      </w:r>
      <w:r w:rsidR="008B23D1">
        <w:rPr>
          <w:sz w:val="24"/>
          <w:szCs w:val="24"/>
          <w:lang w:val="en-GB"/>
        </w:rPr>
        <w:t>response</w:t>
      </w:r>
      <w:r w:rsidRPr="005D7572">
        <w:rPr>
          <w:sz w:val="24"/>
          <w:szCs w:val="24"/>
          <w:lang w:val="en-GB"/>
        </w:rPr>
        <w:t xml:space="preserve"> to this recommendation is given in the </w:t>
      </w:r>
      <w:r w:rsidR="008B23D1">
        <w:rPr>
          <w:sz w:val="24"/>
          <w:szCs w:val="24"/>
          <w:lang w:val="en-GB"/>
        </w:rPr>
        <w:t>response</w:t>
      </w:r>
      <w:r w:rsidRPr="005D7572">
        <w:rPr>
          <w:sz w:val="24"/>
          <w:szCs w:val="24"/>
          <w:lang w:val="en-GB"/>
        </w:rPr>
        <w:t xml:space="preserve"> to recommendation </w:t>
      </w:r>
      <w:r>
        <w:rPr>
          <w:sz w:val="24"/>
          <w:szCs w:val="24"/>
          <w:lang w:val="en-GB"/>
        </w:rPr>
        <w:t>9</w:t>
      </w:r>
      <w:r w:rsidRPr="005D7572">
        <w:rPr>
          <w:sz w:val="24"/>
          <w:szCs w:val="24"/>
          <w:lang w:val="en-GB"/>
        </w:rPr>
        <w:t xml:space="preserve"> of the </w:t>
      </w:r>
      <w:r w:rsidR="00AC33C4">
        <w:rPr>
          <w:sz w:val="24"/>
          <w:szCs w:val="24"/>
          <w:lang w:val="en-GB"/>
        </w:rPr>
        <w:t>Committee of Ministers Resolution</w:t>
      </w:r>
      <w:r w:rsidRPr="005D7572">
        <w:rPr>
          <w:sz w:val="24"/>
          <w:szCs w:val="24"/>
          <w:lang w:val="en-GB"/>
        </w:rPr>
        <w:t>.</w:t>
      </w:r>
    </w:p>
    <w:p w14:paraId="0C5DFA4B" w14:textId="77777777" w:rsidR="005D7572" w:rsidRPr="00D62D04" w:rsidRDefault="005D7572" w:rsidP="00A51CE6">
      <w:pPr>
        <w:spacing w:after="0"/>
        <w:jc w:val="both"/>
        <w:rPr>
          <w:sz w:val="24"/>
          <w:szCs w:val="24"/>
          <w:highlight w:val="cyan"/>
          <w:lang w:val="en-GB"/>
        </w:rPr>
      </w:pPr>
    </w:p>
    <w:p w14:paraId="0C57B517" w14:textId="77777777" w:rsidR="00E75319" w:rsidRPr="000B6F58" w:rsidRDefault="000B6F58" w:rsidP="00F333CD">
      <w:pPr>
        <w:pStyle w:val="Heading2"/>
        <w:jc w:val="center"/>
        <w:rPr>
          <w:rFonts w:ascii="Times New Roman" w:hAnsi="Times New Roman" w:cs="Times New Roman"/>
          <w:b/>
          <w:sz w:val="24"/>
          <w:szCs w:val="24"/>
          <w:lang w:val="en-GB"/>
        </w:rPr>
      </w:pPr>
      <w:bookmarkStart w:id="24" w:name="_Toc112932725"/>
      <w:r w:rsidRPr="000B6F58">
        <w:rPr>
          <w:rFonts w:ascii="Times New Roman" w:hAnsi="Times New Roman" w:cs="Times New Roman"/>
          <w:b/>
          <w:color w:val="auto"/>
          <w:sz w:val="24"/>
          <w:szCs w:val="24"/>
          <w:lang w:val="en-GB"/>
        </w:rPr>
        <w:t>Article 10 of the Framework Convention</w:t>
      </w:r>
      <w:bookmarkEnd w:id="24"/>
      <w:r w:rsidR="00E75319" w:rsidRPr="000B6F58">
        <w:rPr>
          <w:rFonts w:ascii="Times New Roman" w:hAnsi="Times New Roman" w:cs="Times New Roman"/>
          <w:b/>
          <w:color w:val="auto"/>
          <w:sz w:val="24"/>
          <w:szCs w:val="24"/>
          <w:lang w:val="en-GB"/>
        </w:rPr>
        <w:t xml:space="preserve"> </w:t>
      </w:r>
    </w:p>
    <w:p w14:paraId="1BCADC6B" w14:textId="77777777" w:rsidR="00E75319" w:rsidRPr="00D62D04" w:rsidRDefault="000B6F58" w:rsidP="00F333CD">
      <w:pPr>
        <w:pStyle w:val="Heading3"/>
        <w:jc w:val="center"/>
        <w:rPr>
          <w:rFonts w:ascii="Times New Roman" w:hAnsi="Times New Roman" w:cs="Times New Roman"/>
          <w:b/>
          <w:highlight w:val="cyan"/>
          <w:lang w:val="en-GB"/>
        </w:rPr>
      </w:pPr>
      <w:bookmarkStart w:id="25" w:name="_Toc112932726"/>
      <w:r w:rsidRPr="000B6F58">
        <w:rPr>
          <w:rFonts w:ascii="Times New Roman" w:hAnsi="Times New Roman" w:cs="Times New Roman"/>
          <w:b/>
          <w:color w:val="auto"/>
          <w:lang w:val="en-GB"/>
        </w:rPr>
        <w:t>The use of minority languages in relations with the authorities</w:t>
      </w:r>
      <w:bookmarkEnd w:id="25"/>
    </w:p>
    <w:p w14:paraId="5076BD07" w14:textId="77777777" w:rsidR="00E75319" w:rsidRPr="00D62D04" w:rsidRDefault="00E75319" w:rsidP="00E75319">
      <w:pPr>
        <w:spacing w:after="0"/>
        <w:jc w:val="both"/>
        <w:rPr>
          <w:sz w:val="24"/>
          <w:szCs w:val="24"/>
          <w:highlight w:val="cyan"/>
          <w:lang w:val="en-GB"/>
        </w:rPr>
      </w:pPr>
    </w:p>
    <w:p w14:paraId="763E8C4F" w14:textId="77777777" w:rsidR="001570C3" w:rsidRDefault="00E75319" w:rsidP="00E75319">
      <w:pPr>
        <w:spacing w:after="0"/>
        <w:jc w:val="both"/>
        <w:rPr>
          <w:i/>
          <w:sz w:val="24"/>
          <w:szCs w:val="24"/>
          <w:lang w:val="en-GB"/>
        </w:rPr>
      </w:pPr>
      <w:r w:rsidRPr="001570C3">
        <w:rPr>
          <w:i/>
          <w:sz w:val="24"/>
          <w:szCs w:val="24"/>
          <w:lang w:val="en-GB"/>
        </w:rPr>
        <w:t xml:space="preserve">81. </w:t>
      </w:r>
      <w:r w:rsidR="001570C3" w:rsidRPr="001570C3">
        <w:rPr>
          <w:i/>
          <w:sz w:val="24"/>
          <w:szCs w:val="24"/>
          <w:lang w:val="en-GB"/>
        </w:rPr>
        <w:t>The Advisory Committee calls on the authorities to commission a study to assess the level of implementation of legal provisions on official use of minority languages and ensure that in all municipalities where legal requirements are met, minority languages have effective official use.</w:t>
      </w:r>
    </w:p>
    <w:p w14:paraId="58999993" w14:textId="77777777" w:rsidR="00E75319" w:rsidRPr="00D62D04" w:rsidRDefault="00E75319" w:rsidP="00E75319">
      <w:pPr>
        <w:spacing w:after="0"/>
        <w:jc w:val="both"/>
        <w:rPr>
          <w:i/>
          <w:sz w:val="24"/>
          <w:szCs w:val="24"/>
          <w:highlight w:val="cyan"/>
          <w:lang w:val="en-GB"/>
        </w:rPr>
      </w:pPr>
    </w:p>
    <w:p w14:paraId="17A58561" w14:textId="1F208ABB" w:rsidR="005E2B1F" w:rsidRPr="005E2B1F" w:rsidRDefault="005E2B1F" w:rsidP="005E2B1F">
      <w:pPr>
        <w:spacing w:after="0"/>
        <w:ind w:firstLine="720"/>
        <w:jc w:val="both"/>
        <w:rPr>
          <w:sz w:val="24"/>
          <w:szCs w:val="24"/>
          <w:lang w:val="en-GB"/>
        </w:rPr>
      </w:pPr>
      <w:r w:rsidRPr="005E2B1F">
        <w:rPr>
          <w:sz w:val="24"/>
          <w:szCs w:val="24"/>
          <w:lang w:val="en-GB"/>
        </w:rPr>
        <w:t xml:space="preserve">Data on studies </w:t>
      </w:r>
      <w:r>
        <w:rPr>
          <w:sz w:val="24"/>
          <w:szCs w:val="24"/>
          <w:lang w:val="en-GB"/>
        </w:rPr>
        <w:t>based on</w:t>
      </w:r>
      <w:r w:rsidRPr="005E2B1F">
        <w:rPr>
          <w:sz w:val="24"/>
          <w:szCs w:val="24"/>
          <w:lang w:val="en-GB"/>
        </w:rPr>
        <w:t xml:space="preserve"> which the level of application of legal provisions on the official use of minority languages can be assessed are provided in the response to recommendation 10 from the </w:t>
      </w:r>
      <w:r w:rsidR="00AC33C4">
        <w:rPr>
          <w:sz w:val="24"/>
          <w:szCs w:val="24"/>
          <w:lang w:val="en-GB"/>
        </w:rPr>
        <w:t>Committee of Ministers Resolution</w:t>
      </w:r>
      <w:r w:rsidRPr="005E2B1F">
        <w:rPr>
          <w:sz w:val="24"/>
          <w:szCs w:val="24"/>
          <w:lang w:val="en-GB"/>
        </w:rPr>
        <w:t>.</w:t>
      </w:r>
    </w:p>
    <w:p w14:paraId="43FAA012" w14:textId="24C571CB" w:rsidR="005E2B1F" w:rsidRDefault="005E2B1F" w:rsidP="005E2B1F">
      <w:pPr>
        <w:spacing w:after="0"/>
        <w:ind w:firstLine="720"/>
        <w:jc w:val="both"/>
        <w:rPr>
          <w:sz w:val="24"/>
          <w:szCs w:val="24"/>
          <w:lang w:val="en-GB"/>
        </w:rPr>
      </w:pPr>
      <w:r w:rsidRPr="005E2B1F">
        <w:rPr>
          <w:sz w:val="24"/>
          <w:szCs w:val="24"/>
          <w:lang w:val="en-GB"/>
        </w:rPr>
        <w:t xml:space="preserve">In the context of this recommendation of the Advisory Committee, and in </w:t>
      </w:r>
      <w:r>
        <w:rPr>
          <w:sz w:val="24"/>
          <w:szCs w:val="24"/>
          <w:lang w:val="en-GB"/>
        </w:rPr>
        <w:t>terms of</w:t>
      </w:r>
      <w:r w:rsidRPr="005E2B1F">
        <w:rPr>
          <w:sz w:val="24"/>
          <w:szCs w:val="24"/>
          <w:lang w:val="en-GB"/>
        </w:rPr>
        <w:t xml:space="preserve"> ensuring that in all municipalities where legal requirements are met, the languages of minorities have effective official use, it is important to point out that administrative supervision over the implementation of legal decisions on the official use of languages and scripts of national minorities is carried out by the Administrative Inspectora</w:t>
      </w:r>
      <w:r>
        <w:rPr>
          <w:sz w:val="24"/>
          <w:szCs w:val="24"/>
          <w:lang w:val="en-GB"/>
        </w:rPr>
        <w:t>te</w:t>
      </w:r>
      <w:r w:rsidRPr="005E2B1F">
        <w:rPr>
          <w:sz w:val="24"/>
          <w:szCs w:val="24"/>
          <w:lang w:val="en-GB"/>
        </w:rPr>
        <w:t xml:space="preserve">, and </w:t>
      </w:r>
      <w:r>
        <w:rPr>
          <w:sz w:val="24"/>
          <w:szCs w:val="24"/>
          <w:lang w:val="en-GB"/>
        </w:rPr>
        <w:t>i</w:t>
      </w:r>
      <w:r w:rsidRPr="005E2B1F">
        <w:rPr>
          <w:sz w:val="24"/>
          <w:szCs w:val="24"/>
          <w:lang w:val="en-GB"/>
        </w:rPr>
        <w:t xml:space="preserve">n the territory of AP </w:t>
      </w:r>
      <w:r>
        <w:rPr>
          <w:sz w:val="24"/>
          <w:szCs w:val="24"/>
          <w:lang w:val="en-GB"/>
        </w:rPr>
        <w:t xml:space="preserve">of </w:t>
      </w:r>
      <w:proofErr w:type="spellStart"/>
      <w:r w:rsidRPr="005E2B1F">
        <w:rPr>
          <w:sz w:val="24"/>
          <w:szCs w:val="24"/>
          <w:lang w:val="en-GB"/>
        </w:rPr>
        <w:t>Vojvodina</w:t>
      </w:r>
      <w:proofErr w:type="spellEnd"/>
      <w:r w:rsidRPr="005E2B1F">
        <w:rPr>
          <w:sz w:val="24"/>
          <w:szCs w:val="24"/>
          <w:lang w:val="en-GB"/>
        </w:rPr>
        <w:t>, the Provincial Secretariat for Education, Regulations, Administration and National Minorities - National Communities.</w:t>
      </w:r>
    </w:p>
    <w:p w14:paraId="00DBB779" w14:textId="77777777" w:rsidR="00B807D9" w:rsidRDefault="00B807D9" w:rsidP="007310B0">
      <w:pPr>
        <w:spacing w:after="0"/>
        <w:ind w:firstLine="720"/>
        <w:jc w:val="both"/>
        <w:rPr>
          <w:sz w:val="24"/>
          <w:szCs w:val="24"/>
          <w:lang w:val="en-GB"/>
        </w:rPr>
      </w:pPr>
      <w:r w:rsidRPr="00B807D9">
        <w:rPr>
          <w:sz w:val="24"/>
          <w:szCs w:val="24"/>
          <w:lang w:val="en-GB"/>
        </w:rPr>
        <w:t xml:space="preserve">In its work, the administrative inspection, with the aim of ensuring the </w:t>
      </w:r>
      <w:r>
        <w:rPr>
          <w:sz w:val="24"/>
          <w:szCs w:val="24"/>
          <w:lang w:val="en-GB"/>
        </w:rPr>
        <w:t>implementation</w:t>
      </w:r>
      <w:r w:rsidRPr="00B807D9">
        <w:rPr>
          <w:sz w:val="24"/>
          <w:szCs w:val="24"/>
          <w:lang w:val="en-GB"/>
        </w:rPr>
        <w:t xml:space="preserve"> of the principle of legality in the work and actions of the supervised authorities and the protection of public and private interests, undertakes preventive measures and warns the supervised authorities of their obligations under the regulations, that is, points out to them the possible harmful consequences due to improper application of the regulations regulat</w:t>
      </w:r>
      <w:r>
        <w:rPr>
          <w:sz w:val="24"/>
          <w:szCs w:val="24"/>
          <w:lang w:val="en-GB"/>
        </w:rPr>
        <w:t>ing</w:t>
      </w:r>
      <w:r w:rsidRPr="00B807D9">
        <w:rPr>
          <w:sz w:val="24"/>
          <w:szCs w:val="24"/>
          <w:lang w:val="en-GB"/>
        </w:rPr>
        <w:t xml:space="preserve"> </w:t>
      </w:r>
      <w:r>
        <w:rPr>
          <w:sz w:val="24"/>
          <w:szCs w:val="24"/>
          <w:lang w:val="en-GB"/>
        </w:rPr>
        <w:t>exercise</w:t>
      </w:r>
      <w:r w:rsidRPr="00B807D9">
        <w:rPr>
          <w:sz w:val="24"/>
          <w:szCs w:val="24"/>
          <w:lang w:val="en-GB"/>
        </w:rPr>
        <w:t xml:space="preserve"> of the rights of members of the national minority (the right to be registered in the special voter</w:t>
      </w:r>
      <w:r>
        <w:rPr>
          <w:sz w:val="24"/>
          <w:szCs w:val="24"/>
          <w:lang w:val="en-GB"/>
        </w:rPr>
        <w:t>s`</w:t>
      </w:r>
      <w:r w:rsidRPr="00B807D9">
        <w:rPr>
          <w:sz w:val="24"/>
          <w:szCs w:val="24"/>
          <w:lang w:val="en-GB"/>
        </w:rPr>
        <w:t xml:space="preserve"> list of the national minority, the right to use the language and script of the national minority and other rights).</w:t>
      </w:r>
    </w:p>
    <w:p w14:paraId="081A43C6" w14:textId="45AB3D28" w:rsidR="00A80946" w:rsidRDefault="00A80946" w:rsidP="007310B0">
      <w:pPr>
        <w:spacing w:after="0"/>
        <w:ind w:firstLine="720"/>
        <w:jc w:val="both"/>
        <w:rPr>
          <w:sz w:val="24"/>
          <w:szCs w:val="24"/>
          <w:lang w:val="en-GB"/>
        </w:rPr>
      </w:pPr>
      <w:r w:rsidRPr="00A80946">
        <w:rPr>
          <w:sz w:val="24"/>
          <w:szCs w:val="24"/>
          <w:lang w:val="en-GB"/>
        </w:rPr>
        <w:t>In the mentioned period, the Administrative Inspection, as part of the inspection supervision over the implementation of the Law on National Councils of National Minorities, in the part that regulates the special voter</w:t>
      </w:r>
      <w:r>
        <w:rPr>
          <w:sz w:val="24"/>
          <w:szCs w:val="24"/>
          <w:lang w:val="en-GB"/>
        </w:rPr>
        <w:t>s`</w:t>
      </w:r>
      <w:r w:rsidRPr="00A80946">
        <w:rPr>
          <w:sz w:val="24"/>
          <w:szCs w:val="24"/>
          <w:lang w:val="en-GB"/>
        </w:rPr>
        <w:t xml:space="preserve"> list, ordered the supervised authorities to carry out seven measures re</w:t>
      </w:r>
      <w:r>
        <w:rPr>
          <w:sz w:val="24"/>
          <w:szCs w:val="24"/>
          <w:lang w:val="en-GB"/>
        </w:rPr>
        <w:t>ferring</w:t>
      </w:r>
      <w:r w:rsidRPr="00A80946">
        <w:rPr>
          <w:sz w:val="24"/>
          <w:szCs w:val="24"/>
          <w:lang w:val="en-GB"/>
        </w:rPr>
        <w:t xml:space="preserve"> to the obligation to make decisions on changes in the special voter</w:t>
      </w:r>
      <w:r>
        <w:rPr>
          <w:sz w:val="24"/>
          <w:szCs w:val="24"/>
          <w:lang w:val="en-GB"/>
        </w:rPr>
        <w:t>s`</w:t>
      </w:r>
      <w:r w:rsidRPr="00A80946">
        <w:rPr>
          <w:sz w:val="24"/>
          <w:szCs w:val="24"/>
          <w:lang w:val="en-GB"/>
        </w:rPr>
        <w:t xml:space="preserve"> list in the language</w:t>
      </w:r>
      <w:r w:rsidR="00411980">
        <w:rPr>
          <w:sz w:val="24"/>
          <w:szCs w:val="24"/>
          <w:lang w:val="en-GB"/>
        </w:rPr>
        <w:t>s</w:t>
      </w:r>
      <w:r w:rsidRPr="00A80946">
        <w:rPr>
          <w:sz w:val="24"/>
          <w:szCs w:val="24"/>
          <w:lang w:val="en-GB"/>
        </w:rPr>
        <w:t xml:space="preserve"> and script</w:t>
      </w:r>
      <w:r w:rsidR="00411980">
        <w:rPr>
          <w:sz w:val="24"/>
          <w:szCs w:val="24"/>
          <w:lang w:val="en-GB"/>
        </w:rPr>
        <w:t>s</w:t>
      </w:r>
      <w:r w:rsidRPr="00A80946">
        <w:rPr>
          <w:sz w:val="24"/>
          <w:szCs w:val="24"/>
          <w:lang w:val="en-GB"/>
        </w:rPr>
        <w:t xml:space="preserve"> of the national minorit</w:t>
      </w:r>
      <w:r w:rsidR="00411980">
        <w:rPr>
          <w:sz w:val="24"/>
          <w:szCs w:val="24"/>
          <w:lang w:val="en-GB"/>
        </w:rPr>
        <w:t>ies</w:t>
      </w:r>
      <w:r>
        <w:rPr>
          <w:sz w:val="24"/>
          <w:szCs w:val="24"/>
          <w:lang w:val="en-GB"/>
        </w:rPr>
        <w:t xml:space="preserve"> as well</w:t>
      </w:r>
      <w:r w:rsidRPr="00A80946">
        <w:rPr>
          <w:sz w:val="24"/>
          <w:szCs w:val="24"/>
          <w:lang w:val="en-GB"/>
        </w:rPr>
        <w:t>. Also, the administrative inspection carried out 515 inspection</w:t>
      </w:r>
      <w:r w:rsidR="00411980">
        <w:rPr>
          <w:sz w:val="24"/>
          <w:szCs w:val="24"/>
          <w:lang w:val="en-GB"/>
        </w:rPr>
        <w:t xml:space="preserve"> </w:t>
      </w:r>
      <w:r w:rsidRPr="00A80946">
        <w:rPr>
          <w:sz w:val="24"/>
          <w:szCs w:val="24"/>
          <w:lang w:val="en-GB"/>
        </w:rPr>
        <w:t>s</w:t>
      </w:r>
      <w:r w:rsidR="00411980">
        <w:rPr>
          <w:sz w:val="24"/>
          <w:szCs w:val="24"/>
          <w:lang w:val="en-GB"/>
        </w:rPr>
        <w:t>upervisions</w:t>
      </w:r>
      <w:r w:rsidRPr="00A80946">
        <w:rPr>
          <w:sz w:val="24"/>
          <w:szCs w:val="24"/>
          <w:lang w:val="en-GB"/>
        </w:rPr>
        <w:t xml:space="preserve"> of the application of regulations on civil </w:t>
      </w:r>
      <w:r w:rsidRPr="00A80946">
        <w:rPr>
          <w:sz w:val="24"/>
          <w:szCs w:val="24"/>
          <w:lang w:val="en-GB"/>
        </w:rPr>
        <w:lastRenderedPageBreak/>
        <w:t xml:space="preserve">registers, including, among other things, the part regulating the right of members of national minorities to enter their personal names in civil registers according to the language and spelling of members of national minorities. In the records of inspection supervision, the supervised bodies were proposed to carry out 28 measures </w:t>
      </w:r>
      <w:r w:rsidR="00A273A3">
        <w:rPr>
          <w:sz w:val="24"/>
          <w:szCs w:val="24"/>
          <w:lang w:val="en-GB"/>
        </w:rPr>
        <w:t>referring to</w:t>
      </w:r>
      <w:r w:rsidRPr="00A80946">
        <w:rPr>
          <w:sz w:val="24"/>
          <w:szCs w:val="24"/>
          <w:lang w:val="en-GB"/>
        </w:rPr>
        <w:t xml:space="preserve"> the aforementioned rights of members of national minorities. In addition, 122 inspection</w:t>
      </w:r>
      <w:r w:rsidR="00A273A3">
        <w:rPr>
          <w:sz w:val="24"/>
          <w:szCs w:val="24"/>
          <w:lang w:val="en-GB"/>
        </w:rPr>
        <w:t xml:space="preserve"> </w:t>
      </w:r>
      <w:r w:rsidRPr="00A80946">
        <w:rPr>
          <w:sz w:val="24"/>
          <w:szCs w:val="24"/>
          <w:lang w:val="en-GB"/>
        </w:rPr>
        <w:t>s</w:t>
      </w:r>
      <w:r w:rsidR="00A273A3">
        <w:rPr>
          <w:sz w:val="24"/>
          <w:szCs w:val="24"/>
          <w:lang w:val="en-GB"/>
        </w:rPr>
        <w:t>upervisions</w:t>
      </w:r>
      <w:r w:rsidRPr="00A80946">
        <w:rPr>
          <w:sz w:val="24"/>
          <w:szCs w:val="24"/>
          <w:lang w:val="en-GB"/>
        </w:rPr>
        <w:t xml:space="preserve"> were carried out over the implementation of regulations governing the official use of languages and letters. In the minutes of the inspection supervision, the supervised bodies were proposed to carry out 10 measures to eliminate the established illegalities, irregularities and deficiencies in the work.</w:t>
      </w:r>
    </w:p>
    <w:p w14:paraId="72A6B9DA" w14:textId="2A00A7E0" w:rsidR="00C40F47" w:rsidRDefault="00C40F47" w:rsidP="00315702">
      <w:pPr>
        <w:spacing w:after="0"/>
        <w:ind w:firstLine="720"/>
        <w:jc w:val="both"/>
        <w:rPr>
          <w:sz w:val="24"/>
          <w:szCs w:val="24"/>
          <w:lang w:val="en-GB"/>
        </w:rPr>
      </w:pPr>
      <w:r w:rsidRPr="00C40F47">
        <w:rPr>
          <w:sz w:val="24"/>
          <w:szCs w:val="24"/>
          <w:lang w:val="en-GB"/>
        </w:rPr>
        <w:t xml:space="preserve">The tasks of inspection supervision in the field of official use of languages ​​and </w:t>
      </w:r>
      <w:r>
        <w:rPr>
          <w:sz w:val="24"/>
          <w:szCs w:val="24"/>
          <w:lang w:val="en-GB"/>
        </w:rPr>
        <w:t>scripts</w:t>
      </w:r>
      <w:r w:rsidRPr="00C40F47">
        <w:rPr>
          <w:sz w:val="24"/>
          <w:szCs w:val="24"/>
          <w:lang w:val="en-GB"/>
        </w:rPr>
        <w:t xml:space="preserve"> in the territory of the Autonomous Province of </w:t>
      </w:r>
      <w:proofErr w:type="spellStart"/>
      <w:r w:rsidRPr="00C40F47">
        <w:rPr>
          <w:sz w:val="24"/>
          <w:szCs w:val="24"/>
          <w:lang w:val="en-GB"/>
        </w:rPr>
        <w:t>Vojvodina</w:t>
      </w:r>
      <w:proofErr w:type="spellEnd"/>
      <w:r w:rsidRPr="00C40F47">
        <w:rPr>
          <w:sz w:val="24"/>
          <w:szCs w:val="24"/>
          <w:lang w:val="en-GB"/>
        </w:rPr>
        <w:t xml:space="preserve"> are performed as entrusted tasks that fall under the purview of the Provincial Secretariat for Education, Regulations, Administration and National Minorities - National Communities. In case of </w:t>
      </w:r>
      <w:r w:rsidR="003B7F46">
        <w:rPr>
          <w:sz w:val="24"/>
          <w:szCs w:val="24"/>
          <w:lang w:val="en-GB"/>
        </w:rPr>
        <w:t>finding</w:t>
      </w:r>
      <w:r w:rsidRPr="00C40F47">
        <w:rPr>
          <w:sz w:val="24"/>
          <w:szCs w:val="24"/>
          <w:lang w:val="en-GB"/>
        </w:rPr>
        <w:t xml:space="preserve"> illegality with regard to the official use of languages and </w:t>
      </w:r>
      <w:r w:rsidR="003B7F46">
        <w:rPr>
          <w:sz w:val="24"/>
          <w:szCs w:val="24"/>
          <w:lang w:val="en-GB"/>
        </w:rPr>
        <w:t>scripts</w:t>
      </w:r>
      <w:r w:rsidRPr="00C40F47">
        <w:rPr>
          <w:sz w:val="24"/>
          <w:szCs w:val="24"/>
          <w:lang w:val="en-GB"/>
        </w:rPr>
        <w:t xml:space="preserve">, first </w:t>
      </w:r>
      <w:r w:rsidR="003B7F46">
        <w:rPr>
          <w:sz w:val="24"/>
          <w:szCs w:val="24"/>
          <w:lang w:val="en-GB"/>
        </w:rPr>
        <w:t xml:space="preserve">in </w:t>
      </w:r>
      <w:r w:rsidRPr="00C40F47">
        <w:rPr>
          <w:sz w:val="24"/>
          <w:szCs w:val="24"/>
          <w:lang w:val="en-GB"/>
        </w:rPr>
        <w:t xml:space="preserve">the minutes, and in the case of failure to act according to the minutes - and the decision, the elimination of the established illegalities </w:t>
      </w:r>
      <w:r w:rsidR="003B7F46">
        <w:rPr>
          <w:sz w:val="24"/>
          <w:szCs w:val="24"/>
          <w:lang w:val="en-GB"/>
        </w:rPr>
        <w:t>shall be</w:t>
      </w:r>
      <w:r w:rsidRPr="00C40F47">
        <w:rPr>
          <w:sz w:val="24"/>
          <w:szCs w:val="24"/>
          <w:lang w:val="en-GB"/>
        </w:rPr>
        <w:t xml:space="preserve"> ordered. The control monitoring determines the action according to the ordered measures, or requests are submitted for the initiation of </w:t>
      </w:r>
      <w:proofErr w:type="spellStart"/>
      <w:r w:rsidRPr="00C40F47">
        <w:rPr>
          <w:sz w:val="24"/>
          <w:szCs w:val="24"/>
          <w:lang w:val="en-GB"/>
        </w:rPr>
        <w:t>misdemeanor</w:t>
      </w:r>
      <w:proofErr w:type="spellEnd"/>
      <w:r w:rsidRPr="00C40F47">
        <w:rPr>
          <w:sz w:val="24"/>
          <w:szCs w:val="24"/>
          <w:lang w:val="en-GB"/>
        </w:rPr>
        <w:t xml:space="preserve"> proceedings. The inspection in the field of official use of languages and </w:t>
      </w:r>
      <w:r w:rsidR="00C878A3">
        <w:rPr>
          <w:sz w:val="24"/>
          <w:szCs w:val="24"/>
          <w:lang w:val="en-GB"/>
        </w:rPr>
        <w:t>scripts</w:t>
      </w:r>
      <w:r w:rsidRPr="00C40F47">
        <w:rPr>
          <w:sz w:val="24"/>
          <w:szCs w:val="24"/>
          <w:lang w:val="en-GB"/>
        </w:rPr>
        <w:t xml:space="preserve"> acts both preventively and </w:t>
      </w:r>
      <w:r w:rsidR="00C878A3">
        <w:rPr>
          <w:sz w:val="24"/>
          <w:szCs w:val="24"/>
          <w:lang w:val="en-GB"/>
        </w:rPr>
        <w:t>in advisory manner</w:t>
      </w:r>
      <w:r w:rsidRPr="00C40F47">
        <w:rPr>
          <w:sz w:val="24"/>
          <w:szCs w:val="24"/>
          <w:lang w:val="en-GB"/>
        </w:rPr>
        <w:t xml:space="preserve"> within the framework of official advisory visits. Official advisory visits are also conducted for the purpose of familiari</w:t>
      </w:r>
      <w:r w:rsidR="00C878A3">
        <w:rPr>
          <w:sz w:val="24"/>
          <w:szCs w:val="24"/>
          <w:lang w:val="en-GB"/>
        </w:rPr>
        <w:t>s</w:t>
      </w:r>
      <w:r w:rsidRPr="00C40F47">
        <w:rPr>
          <w:sz w:val="24"/>
          <w:szCs w:val="24"/>
          <w:lang w:val="en-GB"/>
        </w:rPr>
        <w:t>ation and interpretation of regulations for authorities and organi</w:t>
      </w:r>
      <w:r w:rsidR="00C878A3">
        <w:rPr>
          <w:sz w:val="24"/>
          <w:szCs w:val="24"/>
          <w:lang w:val="en-GB"/>
        </w:rPr>
        <w:t>s</w:t>
      </w:r>
      <w:r w:rsidRPr="00C40F47">
        <w:rPr>
          <w:sz w:val="24"/>
          <w:szCs w:val="24"/>
          <w:lang w:val="en-GB"/>
        </w:rPr>
        <w:t xml:space="preserve">ations and other supervised subjects, for the proper and complete application of regulations governing the field of official use of languages and </w:t>
      </w:r>
      <w:r w:rsidR="00C878A3">
        <w:rPr>
          <w:sz w:val="24"/>
          <w:szCs w:val="24"/>
          <w:lang w:val="en-GB"/>
        </w:rPr>
        <w:t>scripts</w:t>
      </w:r>
      <w:r w:rsidRPr="00C40F47">
        <w:rPr>
          <w:sz w:val="24"/>
          <w:szCs w:val="24"/>
          <w:lang w:val="en-GB"/>
        </w:rPr>
        <w:t>. In the reporting period, 77 inspections were conducted in connection with the official use of languages and scripts.</w:t>
      </w:r>
    </w:p>
    <w:p w14:paraId="0134CB02" w14:textId="77777777" w:rsidR="007B3DFC" w:rsidRDefault="007B3DFC" w:rsidP="00315702">
      <w:pPr>
        <w:spacing w:after="0"/>
        <w:ind w:firstLine="720"/>
        <w:jc w:val="both"/>
        <w:rPr>
          <w:sz w:val="24"/>
          <w:szCs w:val="24"/>
          <w:lang w:val="en-GB"/>
        </w:rPr>
      </w:pPr>
      <w:r>
        <w:rPr>
          <w:sz w:val="24"/>
          <w:szCs w:val="24"/>
          <w:lang w:val="en-GB"/>
        </w:rPr>
        <w:t>In the period 2018-2021</w:t>
      </w:r>
      <w:r w:rsidRPr="007B3DFC">
        <w:rPr>
          <w:sz w:val="24"/>
          <w:szCs w:val="24"/>
          <w:lang w:val="en-GB"/>
        </w:rPr>
        <w:t xml:space="preserve">, there were several complaints and petitions regarding the application of regulations in the field of official use of languages and </w:t>
      </w:r>
      <w:r>
        <w:rPr>
          <w:sz w:val="24"/>
          <w:szCs w:val="24"/>
          <w:lang w:val="en-GB"/>
        </w:rPr>
        <w:t>scripts</w:t>
      </w:r>
      <w:r w:rsidRPr="007B3DFC">
        <w:rPr>
          <w:sz w:val="24"/>
          <w:szCs w:val="24"/>
          <w:lang w:val="en-GB"/>
        </w:rPr>
        <w:t xml:space="preserve"> in administrative bodies, public enterprises and organi</w:t>
      </w:r>
      <w:r>
        <w:rPr>
          <w:sz w:val="24"/>
          <w:szCs w:val="24"/>
          <w:lang w:val="en-GB"/>
        </w:rPr>
        <w:t>s</w:t>
      </w:r>
      <w:r w:rsidRPr="007B3DFC">
        <w:rPr>
          <w:sz w:val="24"/>
          <w:szCs w:val="24"/>
          <w:lang w:val="en-GB"/>
        </w:rPr>
        <w:t xml:space="preserve">ations with public powers in the territory of the Autonomous Province of </w:t>
      </w:r>
      <w:proofErr w:type="spellStart"/>
      <w:r w:rsidRPr="007B3DFC">
        <w:rPr>
          <w:sz w:val="24"/>
          <w:szCs w:val="24"/>
          <w:lang w:val="en-GB"/>
        </w:rPr>
        <w:t>Vojvodina</w:t>
      </w:r>
      <w:proofErr w:type="spellEnd"/>
      <w:r w:rsidRPr="007B3DFC">
        <w:rPr>
          <w:sz w:val="24"/>
          <w:szCs w:val="24"/>
          <w:lang w:val="en-GB"/>
        </w:rPr>
        <w:t>, which the Provincial Secretariat acted on independently of the regular inspections it carries out.</w:t>
      </w:r>
    </w:p>
    <w:p w14:paraId="615CCFAF" w14:textId="77777777" w:rsidR="00155A83" w:rsidRPr="00D62D04" w:rsidRDefault="00155A83" w:rsidP="00062C64">
      <w:pPr>
        <w:spacing w:after="0"/>
        <w:jc w:val="both"/>
        <w:rPr>
          <w:sz w:val="24"/>
          <w:szCs w:val="24"/>
          <w:highlight w:val="cyan"/>
          <w:lang w:val="en-GB"/>
        </w:rPr>
      </w:pPr>
    </w:p>
    <w:tbl>
      <w:tblPr>
        <w:tblStyle w:val="TableGrid"/>
        <w:tblW w:w="9067" w:type="dxa"/>
        <w:tblLook w:val="04A0" w:firstRow="1" w:lastRow="0" w:firstColumn="1" w:lastColumn="0" w:noHBand="0" w:noVBand="1"/>
      </w:tblPr>
      <w:tblGrid>
        <w:gridCol w:w="1440"/>
        <w:gridCol w:w="2666"/>
        <w:gridCol w:w="2693"/>
        <w:gridCol w:w="2268"/>
      </w:tblGrid>
      <w:tr w:rsidR="00155A83" w:rsidRPr="00D62D04" w14:paraId="311F1C1D" w14:textId="77777777" w:rsidTr="00315702">
        <w:trPr>
          <w:trHeight w:val="315"/>
        </w:trPr>
        <w:tc>
          <w:tcPr>
            <w:tcW w:w="9067" w:type="dxa"/>
            <w:gridSpan w:val="4"/>
          </w:tcPr>
          <w:p w14:paraId="4098631D" w14:textId="77777777" w:rsidR="00155A83" w:rsidRPr="00862032" w:rsidRDefault="00155A83" w:rsidP="00862032">
            <w:pPr>
              <w:spacing w:after="0"/>
              <w:jc w:val="center"/>
              <w:rPr>
                <w:b/>
                <w:sz w:val="20"/>
                <w:szCs w:val="20"/>
                <w:lang w:val="en-GB"/>
              </w:rPr>
            </w:pPr>
            <w:r w:rsidRPr="00862032">
              <w:rPr>
                <w:b/>
                <w:sz w:val="20"/>
                <w:szCs w:val="20"/>
                <w:lang w:val="en-GB"/>
              </w:rPr>
              <w:t>2018</w:t>
            </w:r>
          </w:p>
        </w:tc>
      </w:tr>
      <w:tr w:rsidR="00155A83" w:rsidRPr="00D62D04" w14:paraId="2A238097" w14:textId="77777777" w:rsidTr="00315702">
        <w:trPr>
          <w:trHeight w:val="548"/>
        </w:trPr>
        <w:tc>
          <w:tcPr>
            <w:tcW w:w="1440" w:type="dxa"/>
          </w:tcPr>
          <w:p w14:paraId="11865071" w14:textId="77777777" w:rsidR="00155A83" w:rsidRPr="00D62D04" w:rsidRDefault="00862032" w:rsidP="00D64384">
            <w:pPr>
              <w:spacing w:after="0"/>
              <w:jc w:val="center"/>
              <w:rPr>
                <w:b/>
                <w:sz w:val="20"/>
                <w:szCs w:val="20"/>
                <w:highlight w:val="cyan"/>
                <w:lang w:val="en-GB"/>
              </w:rPr>
            </w:pPr>
            <w:r w:rsidRPr="00862032">
              <w:rPr>
                <w:b/>
                <w:sz w:val="20"/>
                <w:szCs w:val="20"/>
                <w:lang w:val="en-GB"/>
              </w:rPr>
              <w:t>Complainant</w:t>
            </w:r>
          </w:p>
        </w:tc>
        <w:tc>
          <w:tcPr>
            <w:tcW w:w="2666" w:type="dxa"/>
          </w:tcPr>
          <w:p w14:paraId="68C8B299" w14:textId="77777777" w:rsidR="00155A83" w:rsidRPr="00862032" w:rsidRDefault="00862032" w:rsidP="00D64384">
            <w:pPr>
              <w:spacing w:after="0"/>
              <w:jc w:val="center"/>
              <w:rPr>
                <w:b/>
                <w:sz w:val="20"/>
                <w:szCs w:val="20"/>
                <w:lang w:val="en-GB"/>
              </w:rPr>
            </w:pPr>
            <w:r w:rsidRPr="00862032">
              <w:rPr>
                <w:b/>
                <w:sz w:val="20"/>
                <w:szCs w:val="20"/>
                <w:lang w:val="en-GB"/>
              </w:rPr>
              <w:t>Grounds for complaint</w:t>
            </w:r>
          </w:p>
        </w:tc>
        <w:tc>
          <w:tcPr>
            <w:tcW w:w="2693" w:type="dxa"/>
          </w:tcPr>
          <w:p w14:paraId="76789695" w14:textId="77777777" w:rsidR="00155A83" w:rsidRPr="00D62D04" w:rsidRDefault="00862032" w:rsidP="00862032">
            <w:pPr>
              <w:spacing w:after="0"/>
              <w:jc w:val="center"/>
              <w:rPr>
                <w:b/>
                <w:sz w:val="20"/>
                <w:szCs w:val="20"/>
                <w:highlight w:val="cyan"/>
                <w:lang w:val="en-GB"/>
              </w:rPr>
            </w:pPr>
            <w:r w:rsidRPr="00862032">
              <w:rPr>
                <w:b/>
                <w:sz w:val="20"/>
                <w:szCs w:val="20"/>
                <w:lang w:val="en-GB"/>
              </w:rPr>
              <w:t xml:space="preserve">Complaint presented </w:t>
            </w:r>
            <w:r>
              <w:rPr>
                <w:b/>
                <w:sz w:val="20"/>
                <w:szCs w:val="20"/>
                <w:lang w:val="en-GB"/>
              </w:rPr>
              <w:t>pertaining</w:t>
            </w:r>
            <w:r w:rsidRPr="00862032">
              <w:rPr>
                <w:b/>
                <w:sz w:val="20"/>
                <w:szCs w:val="20"/>
                <w:lang w:val="en-GB"/>
              </w:rPr>
              <w:t xml:space="preserve"> to</w:t>
            </w:r>
          </w:p>
        </w:tc>
        <w:tc>
          <w:tcPr>
            <w:tcW w:w="2268" w:type="dxa"/>
          </w:tcPr>
          <w:p w14:paraId="0B35CDC4" w14:textId="77777777" w:rsidR="00155A83" w:rsidRPr="00862032" w:rsidRDefault="00862032" w:rsidP="00D64384">
            <w:pPr>
              <w:spacing w:after="0"/>
              <w:jc w:val="center"/>
              <w:rPr>
                <w:b/>
                <w:sz w:val="20"/>
                <w:szCs w:val="20"/>
                <w:lang w:val="en-GB"/>
              </w:rPr>
            </w:pPr>
            <w:r w:rsidRPr="00862032">
              <w:rPr>
                <w:b/>
                <w:sz w:val="20"/>
                <w:szCs w:val="20"/>
                <w:lang w:val="en-GB"/>
              </w:rPr>
              <w:t>Inspection activity</w:t>
            </w:r>
          </w:p>
        </w:tc>
      </w:tr>
      <w:tr w:rsidR="00155A83" w:rsidRPr="00D62D04" w14:paraId="16E55C10" w14:textId="77777777" w:rsidTr="00155A83">
        <w:tc>
          <w:tcPr>
            <w:tcW w:w="1440" w:type="dxa"/>
          </w:tcPr>
          <w:p w14:paraId="2F08F706" w14:textId="77777777" w:rsidR="00A946A3" w:rsidRPr="00A946A3" w:rsidRDefault="00A946A3" w:rsidP="00A946A3">
            <w:pPr>
              <w:spacing w:after="0"/>
              <w:rPr>
                <w:sz w:val="20"/>
                <w:szCs w:val="20"/>
                <w:lang w:val="en-GB"/>
              </w:rPr>
            </w:pPr>
            <w:r w:rsidRPr="00A946A3">
              <w:rPr>
                <w:sz w:val="20"/>
                <w:szCs w:val="20"/>
                <w:lang w:val="en-GB"/>
              </w:rPr>
              <w:t>National Council of the Hungarian National Minority</w:t>
            </w:r>
          </w:p>
          <w:p w14:paraId="05F976AD" w14:textId="77777777" w:rsidR="00A946A3" w:rsidRPr="00A946A3" w:rsidRDefault="00A946A3" w:rsidP="00A946A3">
            <w:pPr>
              <w:spacing w:after="0"/>
              <w:rPr>
                <w:sz w:val="20"/>
                <w:szCs w:val="20"/>
                <w:lang w:val="en-GB"/>
              </w:rPr>
            </w:pPr>
          </w:p>
          <w:p w14:paraId="4E4A87FD" w14:textId="77777777" w:rsidR="00155A83" w:rsidRPr="00D62D04" w:rsidRDefault="00A946A3" w:rsidP="00A946A3">
            <w:pPr>
              <w:spacing w:after="0"/>
              <w:rPr>
                <w:sz w:val="20"/>
                <w:szCs w:val="20"/>
                <w:highlight w:val="cyan"/>
                <w:lang w:val="en-GB"/>
              </w:rPr>
            </w:pPr>
            <w:r w:rsidRPr="00A946A3">
              <w:rPr>
                <w:sz w:val="20"/>
                <w:szCs w:val="20"/>
                <w:lang w:val="en-GB"/>
              </w:rPr>
              <w:t>Hungarian movement</w:t>
            </w:r>
          </w:p>
        </w:tc>
        <w:tc>
          <w:tcPr>
            <w:tcW w:w="2666" w:type="dxa"/>
          </w:tcPr>
          <w:p w14:paraId="1C4FD725" w14:textId="77777777" w:rsidR="00155A83" w:rsidRPr="00D62D04" w:rsidRDefault="00A946A3" w:rsidP="00A946A3">
            <w:pPr>
              <w:spacing w:after="0"/>
              <w:rPr>
                <w:sz w:val="20"/>
                <w:szCs w:val="20"/>
                <w:highlight w:val="cyan"/>
                <w:lang w:val="en-GB"/>
              </w:rPr>
            </w:pPr>
            <w:r w:rsidRPr="00A946A3">
              <w:rPr>
                <w:sz w:val="20"/>
                <w:szCs w:val="20"/>
                <w:lang w:val="en-GB"/>
              </w:rPr>
              <w:t xml:space="preserve">Failure to write </w:t>
            </w:r>
            <w:r w:rsidR="00ED4D1C">
              <w:rPr>
                <w:sz w:val="20"/>
                <w:szCs w:val="20"/>
                <w:lang w:val="en-GB"/>
              </w:rPr>
              <w:t xml:space="preserve">on the signboard </w:t>
            </w:r>
            <w:r w:rsidRPr="00A946A3">
              <w:rPr>
                <w:sz w:val="20"/>
                <w:szCs w:val="20"/>
                <w:lang w:val="en-GB"/>
              </w:rPr>
              <w:t xml:space="preserve">the name of the </w:t>
            </w:r>
            <w:proofErr w:type="spellStart"/>
            <w:r w:rsidRPr="00A946A3">
              <w:rPr>
                <w:sz w:val="20"/>
                <w:szCs w:val="20"/>
                <w:lang w:val="en-GB"/>
              </w:rPr>
              <w:t>Palić</w:t>
            </w:r>
            <w:proofErr w:type="spellEnd"/>
            <w:r w:rsidRPr="00A946A3">
              <w:rPr>
                <w:sz w:val="20"/>
                <w:szCs w:val="20"/>
                <w:lang w:val="en-GB"/>
              </w:rPr>
              <w:t xml:space="preserve"> </w:t>
            </w:r>
            <w:r>
              <w:rPr>
                <w:sz w:val="20"/>
                <w:szCs w:val="20"/>
                <w:lang w:val="en-GB"/>
              </w:rPr>
              <w:t xml:space="preserve">settlement </w:t>
            </w:r>
            <w:r w:rsidRPr="00A946A3">
              <w:rPr>
                <w:sz w:val="20"/>
                <w:szCs w:val="20"/>
                <w:lang w:val="en-GB"/>
              </w:rPr>
              <w:t xml:space="preserve">in all languages that are in official use </w:t>
            </w:r>
            <w:r>
              <w:rPr>
                <w:sz w:val="20"/>
                <w:szCs w:val="20"/>
                <w:lang w:val="en-GB"/>
              </w:rPr>
              <w:t>i</w:t>
            </w:r>
            <w:r w:rsidRPr="00A946A3">
              <w:rPr>
                <w:sz w:val="20"/>
                <w:szCs w:val="20"/>
                <w:lang w:val="en-GB"/>
              </w:rPr>
              <w:t>n the territory of the City of Subotica</w:t>
            </w:r>
          </w:p>
        </w:tc>
        <w:tc>
          <w:tcPr>
            <w:tcW w:w="2693" w:type="dxa"/>
          </w:tcPr>
          <w:p w14:paraId="3DFD5EF0" w14:textId="77777777" w:rsidR="00155A83" w:rsidRPr="00D62D04" w:rsidRDefault="00A946A3" w:rsidP="00D64384">
            <w:pPr>
              <w:spacing w:after="0"/>
              <w:rPr>
                <w:sz w:val="20"/>
                <w:szCs w:val="20"/>
                <w:highlight w:val="cyan"/>
                <w:lang w:val="en-GB"/>
              </w:rPr>
            </w:pPr>
            <w:r w:rsidRPr="00A946A3">
              <w:rPr>
                <w:sz w:val="20"/>
                <w:szCs w:val="20"/>
                <w:lang w:val="en-GB"/>
              </w:rPr>
              <w:t>City administration of Subotica</w:t>
            </w:r>
          </w:p>
        </w:tc>
        <w:tc>
          <w:tcPr>
            <w:tcW w:w="2268" w:type="dxa"/>
          </w:tcPr>
          <w:p w14:paraId="3C2FF561" w14:textId="77777777" w:rsidR="00155A83" w:rsidRPr="00D62D04" w:rsidRDefault="00A946A3" w:rsidP="00A946A3">
            <w:pPr>
              <w:spacing w:after="0"/>
              <w:rPr>
                <w:sz w:val="20"/>
                <w:szCs w:val="20"/>
                <w:highlight w:val="cyan"/>
                <w:lang w:val="en-GB"/>
              </w:rPr>
            </w:pPr>
            <w:r w:rsidRPr="00A946A3">
              <w:rPr>
                <w:sz w:val="20"/>
                <w:szCs w:val="20"/>
                <w:lang w:val="en-GB"/>
              </w:rPr>
              <w:t xml:space="preserve">An extraordinary inspection was carried out. Ordered measures for </w:t>
            </w:r>
            <w:r>
              <w:rPr>
                <w:sz w:val="20"/>
                <w:szCs w:val="20"/>
                <w:lang w:val="en-GB"/>
              </w:rPr>
              <w:t>inscription</w:t>
            </w:r>
            <w:r w:rsidRPr="00A946A3">
              <w:rPr>
                <w:sz w:val="20"/>
                <w:szCs w:val="20"/>
                <w:lang w:val="en-GB"/>
              </w:rPr>
              <w:t>. Measures taken.</w:t>
            </w:r>
          </w:p>
        </w:tc>
      </w:tr>
      <w:tr w:rsidR="00155A83" w:rsidRPr="00D62D04" w14:paraId="389F2850" w14:textId="77777777" w:rsidTr="00155A83">
        <w:tc>
          <w:tcPr>
            <w:tcW w:w="1440" w:type="dxa"/>
          </w:tcPr>
          <w:p w14:paraId="780992C6" w14:textId="77777777" w:rsidR="00155A83" w:rsidRPr="00A946A3" w:rsidRDefault="00A946A3" w:rsidP="00D64384">
            <w:pPr>
              <w:spacing w:after="0"/>
              <w:rPr>
                <w:sz w:val="20"/>
                <w:szCs w:val="20"/>
                <w:lang w:val="en-GB"/>
              </w:rPr>
            </w:pPr>
            <w:r w:rsidRPr="00A946A3">
              <w:rPr>
                <w:sz w:val="20"/>
                <w:szCs w:val="20"/>
                <w:lang w:val="en-GB"/>
              </w:rPr>
              <w:t>Natural entity</w:t>
            </w:r>
          </w:p>
        </w:tc>
        <w:tc>
          <w:tcPr>
            <w:tcW w:w="2666" w:type="dxa"/>
          </w:tcPr>
          <w:p w14:paraId="2250A247" w14:textId="77777777" w:rsidR="00155A83" w:rsidRPr="00D62D04" w:rsidRDefault="00A946A3" w:rsidP="00A946A3">
            <w:pPr>
              <w:spacing w:after="0"/>
              <w:rPr>
                <w:sz w:val="20"/>
                <w:szCs w:val="20"/>
                <w:highlight w:val="cyan"/>
                <w:lang w:val="en-GB"/>
              </w:rPr>
            </w:pPr>
            <w:r w:rsidRPr="00A946A3">
              <w:rPr>
                <w:sz w:val="20"/>
                <w:szCs w:val="20"/>
                <w:lang w:val="en-GB"/>
              </w:rPr>
              <w:t xml:space="preserve">Incomplete application of the official use of language and script in the part </w:t>
            </w:r>
            <w:r>
              <w:rPr>
                <w:sz w:val="20"/>
                <w:szCs w:val="20"/>
                <w:lang w:val="en-GB"/>
              </w:rPr>
              <w:t>referring</w:t>
            </w:r>
            <w:r w:rsidRPr="00A946A3">
              <w:rPr>
                <w:sz w:val="20"/>
                <w:szCs w:val="20"/>
                <w:lang w:val="en-GB"/>
              </w:rPr>
              <w:t xml:space="preserve"> to the trilingual </w:t>
            </w:r>
            <w:r>
              <w:rPr>
                <w:sz w:val="20"/>
                <w:szCs w:val="20"/>
                <w:lang w:val="en-GB"/>
              </w:rPr>
              <w:t>writing</w:t>
            </w:r>
            <w:r w:rsidRPr="00A946A3">
              <w:rPr>
                <w:sz w:val="20"/>
                <w:szCs w:val="20"/>
                <w:lang w:val="en-GB"/>
              </w:rPr>
              <w:t xml:space="preserve"> of notices for the elections of members of the Council of the </w:t>
            </w:r>
            <w:proofErr w:type="spellStart"/>
            <w:r w:rsidRPr="00A946A3">
              <w:rPr>
                <w:sz w:val="20"/>
                <w:szCs w:val="20"/>
                <w:lang w:val="en-GB"/>
              </w:rPr>
              <w:lastRenderedPageBreak/>
              <w:t>Ruski</w:t>
            </w:r>
            <w:proofErr w:type="spellEnd"/>
            <w:r w:rsidRPr="00A946A3">
              <w:rPr>
                <w:sz w:val="20"/>
                <w:szCs w:val="20"/>
                <w:lang w:val="en-GB"/>
              </w:rPr>
              <w:t xml:space="preserve"> </w:t>
            </w:r>
            <w:proofErr w:type="spellStart"/>
            <w:r w:rsidRPr="00A946A3">
              <w:rPr>
                <w:sz w:val="20"/>
                <w:szCs w:val="20"/>
                <w:lang w:val="en-GB"/>
              </w:rPr>
              <w:t>Krstur</w:t>
            </w:r>
            <w:proofErr w:type="spellEnd"/>
            <w:r>
              <w:rPr>
                <w:sz w:val="20"/>
                <w:szCs w:val="20"/>
                <w:lang w:val="en-GB"/>
              </w:rPr>
              <w:t xml:space="preserve"> Local Community</w:t>
            </w:r>
          </w:p>
        </w:tc>
        <w:tc>
          <w:tcPr>
            <w:tcW w:w="2693" w:type="dxa"/>
          </w:tcPr>
          <w:p w14:paraId="0A6E4A73" w14:textId="77777777" w:rsidR="00155A83" w:rsidRPr="00D62D04" w:rsidRDefault="00A946A3" w:rsidP="00D64384">
            <w:pPr>
              <w:spacing w:after="0"/>
              <w:rPr>
                <w:sz w:val="20"/>
                <w:szCs w:val="20"/>
                <w:highlight w:val="cyan"/>
                <w:lang w:val="en-GB"/>
              </w:rPr>
            </w:pPr>
            <w:r w:rsidRPr="00A946A3">
              <w:rPr>
                <w:sz w:val="20"/>
                <w:szCs w:val="20"/>
                <w:lang w:val="en-GB"/>
              </w:rPr>
              <w:lastRenderedPageBreak/>
              <w:t>Municipal Administration</w:t>
            </w:r>
            <w:r>
              <w:rPr>
                <w:sz w:val="20"/>
                <w:szCs w:val="20"/>
                <w:lang w:val="en-GB"/>
              </w:rPr>
              <w:t xml:space="preserve"> of </w:t>
            </w:r>
            <w:r w:rsidRPr="00A946A3">
              <w:rPr>
                <w:sz w:val="20"/>
                <w:szCs w:val="20"/>
                <w:lang w:val="en-GB"/>
              </w:rPr>
              <w:t>Kula</w:t>
            </w:r>
          </w:p>
        </w:tc>
        <w:tc>
          <w:tcPr>
            <w:tcW w:w="2268" w:type="dxa"/>
          </w:tcPr>
          <w:p w14:paraId="442ACA49" w14:textId="77777777" w:rsidR="00155A83" w:rsidRPr="00D62D04" w:rsidRDefault="00977594" w:rsidP="00D64384">
            <w:pPr>
              <w:spacing w:after="0"/>
              <w:rPr>
                <w:sz w:val="20"/>
                <w:szCs w:val="20"/>
                <w:highlight w:val="cyan"/>
                <w:lang w:val="en-GB"/>
              </w:rPr>
            </w:pPr>
            <w:r w:rsidRPr="00977594">
              <w:rPr>
                <w:sz w:val="20"/>
                <w:szCs w:val="20"/>
                <w:lang w:val="en-GB"/>
              </w:rPr>
              <w:t>An extraordinary inspection was carried out. Ordered measures for providing a</w:t>
            </w:r>
            <w:r w:rsidR="00CF1605">
              <w:rPr>
                <w:sz w:val="20"/>
                <w:szCs w:val="20"/>
                <w:lang w:val="en-GB"/>
              </w:rPr>
              <w:t>ll voting and election material</w:t>
            </w:r>
            <w:r w:rsidRPr="00977594">
              <w:rPr>
                <w:sz w:val="20"/>
                <w:szCs w:val="20"/>
                <w:lang w:val="en-GB"/>
              </w:rPr>
              <w:t xml:space="preserve"> in languages that are in </w:t>
            </w:r>
            <w:r w:rsidRPr="00977594">
              <w:rPr>
                <w:sz w:val="20"/>
                <w:szCs w:val="20"/>
                <w:lang w:val="en-GB"/>
              </w:rPr>
              <w:lastRenderedPageBreak/>
              <w:t>official use in the Municipality of Kula.</w:t>
            </w:r>
          </w:p>
        </w:tc>
      </w:tr>
      <w:tr w:rsidR="00155A83" w:rsidRPr="00D62D04" w14:paraId="5484D024" w14:textId="77777777" w:rsidTr="00155A83">
        <w:trPr>
          <w:trHeight w:val="1125"/>
        </w:trPr>
        <w:tc>
          <w:tcPr>
            <w:tcW w:w="1440" w:type="dxa"/>
          </w:tcPr>
          <w:p w14:paraId="4CDA5E14" w14:textId="77777777" w:rsidR="00ED4D1C" w:rsidRPr="00ED4D1C" w:rsidRDefault="00ED4D1C" w:rsidP="00ED4D1C">
            <w:pPr>
              <w:spacing w:after="0"/>
              <w:rPr>
                <w:sz w:val="20"/>
                <w:szCs w:val="20"/>
                <w:lang w:val="en-GB"/>
              </w:rPr>
            </w:pPr>
            <w:r w:rsidRPr="00ED4D1C">
              <w:rPr>
                <w:sz w:val="20"/>
                <w:szCs w:val="20"/>
                <w:lang w:val="en-GB"/>
              </w:rPr>
              <w:lastRenderedPageBreak/>
              <w:t>National Council of the Croatian National Minority</w:t>
            </w:r>
          </w:p>
          <w:p w14:paraId="7057F703" w14:textId="77777777" w:rsidR="00ED4D1C" w:rsidRPr="00ED4D1C" w:rsidRDefault="00ED4D1C" w:rsidP="00ED4D1C">
            <w:pPr>
              <w:spacing w:after="0"/>
              <w:rPr>
                <w:sz w:val="20"/>
                <w:szCs w:val="20"/>
                <w:lang w:val="en-GB"/>
              </w:rPr>
            </w:pPr>
          </w:p>
          <w:p w14:paraId="79AC0E72" w14:textId="77777777" w:rsidR="00155A83" w:rsidRPr="00D62D04" w:rsidRDefault="00ED4D1C" w:rsidP="00ED4D1C">
            <w:pPr>
              <w:spacing w:after="0"/>
              <w:rPr>
                <w:sz w:val="20"/>
                <w:szCs w:val="20"/>
                <w:highlight w:val="cyan"/>
                <w:lang w:val="en-GB"/>
              </w:rPr>
            </w:pPr>
            <w:r w:rsidRPr="00ED4D1C">
              <w:rPr>
                <w:sz w:val="20"/>
                <w:szCs w:val="20"/>
                <w:lang w:val="en-GB"/>
              </w:rPr>
              <w:t>National Council of the Hungarian National Minority</w:t>
            </w:r>
          </w:p>
        </w:tc>
        <w:tc>
          <w:tcPr>
            <w:tcW w:w="2666" w:type="dxa"/>
          </w:tcPr>
          <w:p w14:paraId="58B31C08" w14:textId="77777777" w:rsidR="00ED4D1C" w:rsidRDefault="00ED4D1C" w:rsidP="00D64384">
            <w:pPr>
              <w:spacing w:after="0"/>
              <w:rPr>
                <w:sz w:val="20"/>
                <w:szCs w:val="20"/>
                <w:highlight w:val="cyan"/>
                <w:lang w:val="en-GB"/>
              </w:rPr>
            </w:pPr>
            <w:r w:rsidRPr="00A946A3">
              <w:rPr>
                <w:sz w:val="20"/>
                <w:szCs w:val="20"/>
                <w:lang w:val="en-GB"/>
              </w:rPr>
              <w:t xml:space="preserve">Failure to write </w:t>
            </w:r>
            <w:r>
              <w:rPr>
                <w:sz w:val="20"/>
                <w:szCs w:val="20"/>
                <w:lang w:val="en-GB"/>
              </w:rPr>
              <w:t xml:space="preserve">on the signboard </w:t>
            </w:r>
            <w:r w:rsidRPr="00A946A3">
              <w:rPr>
                <w:sz w:val="20"/>
                <w:szCs w:val="20"/>
                <w:lang w:val="en-GB"/>
              </w:rPr>
              <w:t xml:space="preserve">the name of the </w:t>
            </w:r>
            <w:proofErr w:type="spellStart"/>
            <w:r>
              <w:rPr>
                <w:sz w:val="20"/>
                <w:szCs w:val="20"/>
                <w:lang w:val="en-GB"/>
              </w:rPr>
              <w:t>Bajmok</w:t>
            </w:r>
            <w:proofErr w:type="spellEnd"/>
            <w:r w:rsidRPr="00A946A3">
              <w:rPr>
                <w:sz w:val="20"/>
                <w:szCs w:val="20"/>
                <w:lang w:val="en-GB"/>
              </w:rPr>
              <w:t xml:space="preserve"> </w:t>
            </w:r>
            <w:r>
              <w:rPr>
                <w:sz w:val="20"/>
                <w:szCs w:val="20"/>
                <w:lang w:val="en-GB"/>
              </w:rPr>
              <w:t xml:space="preserve">settlement </w:t>
            </w:r>
            <w:r w:rsidRPr="00A946A3">
              <w:rPr>
                <w:sz w:val="20"/>
                <w:szCs w:val="20"/>
                <w:lang w:val="en-GB"/>
              </w:rPr>
              <w:t xml:space="preserve">in all languages that are in official use </w:t>
            </w:r>
            <w:r>
              <w:rPr>
                <w:sz w:val="20"/>
                <w:szCs w:val="20"/>
                <w:lang w:val="en-GB"/>
              </w:rPr>
              <w:t>i</w:t>
            </w:r>
            <w:r w:rsidRPr="00A946A3">
              <w:rPr>
                <w:sz w:val="20"/>
                <w:szCs w:val="20"/>
                <w:lang w:val="en-GB"/>
              </w:rPr>
              <w:t>n the territory of the City of Subotica</w:t>
            </w:r>
            <w:r w:rsidRPr="00D62D04">
              <w:rPr>
                <w:sz w:val="20"/>
                <w:szCs w:val="20"/>
                <w:highlight w:val="cyan"/>
                <w:lang w:val="en-GB"/>
              </w:rPr>
              <w:t xml:space="preserve"> </w:t>
            </w:r>
          </w:p>
          <w:p w14:paraId="6A47390B" w14:textId="77777777" w:rsidR="00155A83" w:rsidRPr="00D62D04" w:rsidRDefault="00155A83" w:rsidP="00D64384">
            <w:pPr>
              <w:spacing w:after="0"/>
              <w:rPr>
                <w:sz w:val="20"/>
                <w:szCs w:val="20"/>
                <w:highlight w:val="cyan"/>
                <w:lang w:val="en-GB"/>
              </w:rPr>
            </w:pPr>
          </w:p>
        </w:tc>
        <w:tc>
          <w:tcPr>
            <w:tcW w:w="2693" w:type="dxa"/>
          </w:tcPr>
          <w:p w14:paraId="4964488A" w14:textId="77777777" w:rsidR="00155A83" w:rsidRPr="00ED4D1C" w:rsidRDefault="00ED4D1C" w:rsidP="00D64384">
            <w:pPr>
              <w:spacing w:after="0"/>
              <w:rPr>
                <w:sz w:val="20"/>
                <w:szCs w:val="20"/>
                <w:lang w:val="en-GB"/>
              </w:rPr>
            </w:pPr>
            <w:r w:rsidRPr="00ED4D1C">
              <w:rPr>
                <w:sz w:val="20"/>
                <w:szCs w:val="20"/>
                <w:lang w:val="en-GB"/>
              </w:rPr>
              <w:t xml:space="preserve">Local Community of </w:t>
            </w:r>
            <w:proofErr w:type="spellStart"/>
            <w:r w:rsidRPr="00ED4D1C">
              <w:rPr>
                <w:sz w:val="20"/>
                <w:szCs w:val="20"/>
                <w:lang w:val="en-GB"/>
              </w:rPr>
              <w:t>Bajmok</w:t>
            </w:r>
            <w:proofErr w:type="spellEnd"/>
          </w:p>
        </w:tc>
        <w:tc>
          <w:tcPr>
            <w:tcW w:w="2268" w:type="dxa"/>
          </w:tcPr>
          <w:p w14:paraId="273FC567" w14:textId="77777777" w:rsidR="00155A83" w:rsidRPr="00D62D04" w:rsidRDefault="00ED4D1C" w:rsidP="00ED4D1C">
            <w:pPr>
              <w:spacing w:after="0"/>
              <w:rPr>
                <w:sz w:val="20"/>
                <w:szCs w:val="20"/>
                <w:highlight w:val="cyan"/>
                <w:lang w:val="en-GB"/>
              </w:rPr>
            </w:pPr>
            <w:r w:rsidRPr="00ED4D1C">
              <w:rPr>
                <w:sz w:val="20"/>
                <w:szCs w:val="20"/>
                <w:lang w:val="en-GB"/>
              </w:rPr>
              <w:t xml:space="preserve">An extraordinary inspection was carried out. Ordered measures for </w:t>
            </w:r>
            <w:r>
              <w:rPr>
                <w:sz w:val="20"/>
                <w:szCs w:val="20"/>
                <w:lang w:val="en-GB"/>
              </w:rPr>
              <w:t>inscription</w:t>
            </w:r>
            <w:r w:rsidRPr="00ED4D1C">
              <w:rPr>
                <w:sz w:val="20"/>
                <w:szCs w:val="20"/>
                <w:lang w:val="en-GB"/>
              </w:rPr>
              <w:t>. Measures taken.</w:t>
            </w:r>
          </w:p>
        </w:tc>
      </w:tr>
      <w:tr w:rsidR="00155A83" w:rsidRPr="00D62D04" w14:paraId="199133BD" w14:textId="77777777" w:rsidTr="00155A83">
        <w:tc>
          <w:tcPr>
            <w:tcW w:w="1440" w:type="dxa"/>
          </w:tcPr>
          <w:p w14:paraId="0631D91C" w14:textId="77777777" w:rsidR="00155A83" w:rsidRPr="00D62D04" w:rsidRDefault="007870C7" w:rsidP="00D64384">
            <w:pPr>
              <w:spacing w:after="0"/>
              <w:rPr>
                <w:sz w:val="20"/>
                <w:szCs w:val="20"/>
                <w:highlight w:val="cyan"/>
                <w:lang w:val="en-GB"/>
              </w:rPr>
            </w:pPr>
            <w:r w:rsidRPr="007870C7">
              <w:rPr>
                <w:sz w:val="20"/>
                <w:szCs w:val="20"/>
                <w:lang w:val="en-GB"/>
              </w:rPr>
              <w:t>National Council of the Hungarian National Minority</w:t>
            </w:r>
          </w:p>
        </w:tc>
        <w:tc>
          <w:tcPr>
            <w:tcW w:w="2666" w:type="dxa"/>
          </w:tcPr>
          <w:p w14:paraId="4162CD74" w14:textId="77777777" w:rsidR="00155A83" w:rsidRPr="00D62D04" w:rsidRDefault="007870C7" w:rsidP="007870C7">
            <w:pPr>
              <w:spacing w:after="0"/>
              <w:rPr>
                <w:sz w:val="20"/>
                <w:szCs w:val="20"/>
                <w:highlight w:val="cyan"/>
                <w:lang w:val="en-GB"/>
              </w:rPr>
            </w:pPr>
            <w:r w:rsidRPr="007870C7">
              <w:rPr>
                <w:sz w:val="20"/>
                <w:szCs w:val="20"/>
                <w:lang w:val="en-GB"/>
              </w:rPr>
              <w:t>Placement of sign</w:t>
            </w:r>
            <w:r>
              <w:rPr>
                <w:sz w:val="20"/>
                <w:szCs w:val="20"/>
                <w:lang w:val="en-GB"/>
              </w:rPr>
              <w:t>board</w:t>
            </w:r>
            <w:r w:rsidRPr="007870C7">
              <w:rPr>
                <w:sz w:val="20"/>
                <w:szCs w:val="20"/>
                <w:lang w:val="en-GB"/>
              </w:rPr>
              <w:t xml:space="preserve">s with the names of </w:t>
            </w:r>
            <w:r>
              <w:rPr>
                <w:sz w:val="20"/>
                <w:szCs w:val="20"/>
                <w:lang w:val="en-GB"/>
              </w:rPr>
              <w:t>settlements</w:t>
            </w:r>
            <w:r w:rsidRPr="007870C7">
              <w:rPr>
                <w:sz w:val="20"/>
                <w:szCs w:val="20"/>
                <w:lang w:val="en-GB"/>
              </w:rPr>
              <w:t xml:space="preserve"> with incomplete application of regulations on the official use of languages and </w:t>
            </w:r>
            <w:r>
              <w:rPr>
                <w:sz w:val="20"/>
                <w:szCs w:val="20"/>
                <w:lang w:val="en-GB"/>
              </w:rPr>
              <w:t>scripts</w:t>
            </w:r>
          </w:p>
        </w:tc>
        <w:tc>
          <w:tcPr>
            <w:tcW w:w="2693" w:type="dxa"/>
          </w:tcPr>
          <w:p w14:paraId="0670C385" w14:textId="77777777" w:rsidR="00155A83" w:rsidRPr="007870C7" w:rsidRDefault="007870C7" w:rsidP="007870C7">
            <w:pPr>
              <w:spacing w:after="0"/>
              <w:rPr>
                <w:sz w:val="20"/>
                <w:szCs w:val="20"/>
                <w:lang w:val="en-GB"/>
              </w:rPr>
            </w:pPr>
            <w:r w:rsidRPr="007870C7">
              <w:rPr>
                <w:sz w:val="20"/>
                <w:szCs w:val="20"/>
                <w:lang w:val="en-GB"/>
              </w:rPr>
              <w:t>PC “</w:t>
            </w:r>
            <w:proofErr w:type="spellStart"/>
            <w:r w:rsidRPr="007870C7">
              <w:rPr>
                <w:sz w:val="20"/>
                <w:szCs w:val="20"/>
                <w:lang w:val="en-GB"/>
              </w:rPr>
              <w:t>Putevi</w:t>
            </w:r>
            <w:proofErr w:type="spellEnd"/>
            <w:r w:rsidRPr="007870C7">
              <w:rPr>
                <w:sz w:val="20"/>
                <w:szCs w:val="20"/>
                <w:lang w:val="en-GB"/>
              </w:rPr>
              <w:t xml:space="preserve"> </w:t>
            </w:r>
            <w:proofErr w:type="spellStart"/>
            <w:r w:rsidRPr="007870C7">
              <w:rPr>
                <w:sz w:val="20"/>
                <w:szCs w:val="20"/>
                <w:lang w:val="en-GB"/>
              </w:rPr>
              <w:t>Srbije</w:t>
            </w:r>
            <w:proofErr w:type="spellEnd"/>
            <w:r w:rsidRPr="007870C7">
              <w:rPr>
                <w:sz w:val="20"/>
                <w:szCs w:val="20"/>
                <w:lang w:val="en-GB"/>
              </w:rPr>
              <w:t>”</w:t>
            </w:r>
          </w:p>
        </w:tc>
        <w:tc>
          <w:tcPr>
            <w:tcW w:w="2268" w:type="dxa"/>
          </w:tcPr>
          <w:p w14:paraId="2F0979C4" w14:textId="77777777" w:rsidR="00155A83" w:rsidRPr="00D62D04" w:rsidRDefault="007870C7" w:rsidP="007870C7">
            <w:pPr>
              <w:spacing w:after="0"/>
              <w:rPr>
                <w:sz w:val="20"/>
                <w:szCs w:val="20"/>
                <w:highlight w:val="cyan"/>
                <w:lang w:val="en-GB"/>
              </w:rPr>
            </w:pPr>
            <w:r w:rsidRPr="007870C7">
              <w:rPr>
                <w:sz w:val="20"/>
                <w:szCs w:val="20"/>
                <w:lang w:val="en-GB"/>
              </w:rPr>
              <w:t>Notification of PC “</w:t>
            </w:r>
            <w:proofErr w:type="spellStart"/>
            <w:r w:rsidRPr="007870C7">
              <w:rPr>
                <w:sz w:val="20"/>
                <w:szCs w:val="20"/>
                <w:lang w:val="en-GB"/>
              </w:rPr>
              <w:t>Putevi</w:t>
            </w:r>
            <w:proofErr w:type="spellEnd"/>
            <w:r w:rsidRPr="007870C7">
              <w:rPr>
                <w:sz w:val="20"/>
                <w:szCs w:val="20"/>
                <w:lang w:val="en-GB"/>
              </w:rPr>
              <w:t xml:space="preserve"> </w:t>
            </w:r>
            <w:proofErr w:type="spellStart"/>
            <w:r w:rsidRPr="007870C7">
              <w:rPr>
                <w:sz w:val="20"/>
                <w:szCs w:val="20"/>
                <w:lang w:val="en-GB"/>
              </w:rPr>
              <w:t>Srbije”and</w:t>
            </w:r>
            <w:proofErr w:type="spellEnd"/>
            <w:r w:rsidRPr="007870C7">
              <w:rPr>
                <w:sz w:val="20"/>
                <w:szCs w:val="20"/>
                <w:lang w:val="en-GB"/>
              </w:rPr>
              <w:t xml:space="preserve"> joint work on the full implementation of regulations in the field of official use of language and script in the part of writing traditional names of </w:t>
            </w:r>
            <w:r>
              <w:rPr>
                <w:sz w:val="20"/>
                <w:szCs w:val="20"/>
                <w:lang w:val="en-GB"/>
              </w:rPr>
              <w:t>settlements</w:t>
            </w:r>
            <w:r w:rsidRPr="007870C7">
              <w:rPr>
                <w:sz w:val="20"/>
                <w:szCs w:val="20"/>
                <w:lang w:val="en-GB"/>
              </w:rPr>
              <w:t>.</w:t>
            </w:r>
          </w:p>
        </w:tc>
      </w:tr>
      <w:tr w:rsidR="00155A83" w:rsidRPr="00D62D04" w14:paraId="65EC4233" w14:textId="77777777" w:rsidTr="00155A83">
        <w:tc>
          <w:tcPr>
            <w:tcW w:w="9067" w:type="dxa"/>
            <w:gridSpan w:val="4"/>
          </w:tcPr>
          <w:p w14:paraId="727AA3D6" w14:textId="77777777" w:rsidR="00155A83" w:rsidRPr="003E20A5" w:rsidRDefault="00155A83" w:rsidP="003E20A5">
            <w:pPr>
              <w:spacing w:after="0"/>
              <w:jc w:val="center"/>
              <w:rPr>
                <w:b/>
                <w:sz w:val="20"/>
                <w:szCs w:val="20"/>
                <w:lang w:val="en-GB"/>
              </w:rPr>
            </w:pPr>
            <w:r w:rsidRPr="003E20A5">
              <w:rPr>
                <w:b/>
                <w:sz w:val="20"/>
                <w:szCs w:val="20"/>
                <w:lang w:val="en-GB"/>
              </w:rPr>
              <w:t>2019</w:t>
            </w:r>
          </w:p>
        </w:tc>
      </w:tr>
      <w:tr w:rsidR="003E20A5" w:rsidRPr="00D62D04" w14:paraId="57D686D5" w14:textId="77777777" w:rsidTr="002F25BF">
        <w:trPr>
          <w:trHeight w:val="548"/>
        </w:trPr>
        <w:tc>
          <w:tcPr>
            <w:tcW w:w="1440" w:type="dxa"/>
          </w:tcPr>
          <w:p w14:paraId="33B4894D" w14:textId="77777777" w:rsidR="003E20A5" w:rsidRPr="00D62D04" w:rsidRDefault="003E20A5" w:rsidP="002F25BF">
            <w:pPr>
              <w:spacing w:after="0"/>
              <w:jc w:val="center"/>
              <w:rPr>
                <w:b/>
                <w:sz w:val="20"/>
                <w:szCs w:val="20"/>
                <w:highlight w:val="cyan"/>
                <w:lang w:val="en-GB"/>
              </w:rPr>
            </w:pPr>
            <w:r w:rsidRPr="00862032">
              <w:rPr>
                <w:b/>
                <w:sz w:val="20"/>
                <w:szCs w:val="20"/>
                <w:lang w:val="en-GB"/>
              </w:rPr>
              <w:t>Complainant</w:t>
            </w:r>
          </w:p>
        </w:tc>
        <w:tc>
          <w:tcPr>
            <w:tcW w:w="2666" w:type="dxa"/>
          </w:tcPr>
          <w:p w14:paraId="30042298" w14:textId="77777777" w:rsidR="003E20A5" w:rsidRPr="00862032" w:rsidRDefault="003E20A5" w:rsidP="002F25BF">
            <w:pPr>
              <w:spacing w:after="0"/>
              <w:jc w:val="center"/>
              <w:rPr>
                <w:b/>
                <w:sz w:val="20"/>
                <w:szCs w:val="20"/>
                <w:lang w:val="en-GB"/>
              </w:rPr>
            </w:pPr>
            <w:r w:rsidRPr="00862032">
              <w:rPr>
                <w:b/>
                <w:sz w:val="20"/>
                <w:szCs w:val="20"/>
                <w:lang w:val="en-GB"/>
              </w:rPr>
              <w:t>Grounds for complaint</w:t>
            </w:r>
          </w:p>
        </w:tc>
        <w:tc>
          <w:tcPr>
            <w:tcW w:w="2693" w:type="dxa"/>
          </w:tcPr>
          <w:p w14:paraId="29AFEFF8" w14:textId="77777777" w:rsidR="003E20A5" w:rsidRPr="00D62D04" w:rsidRDefault="003E20A5" w:rsidP="002F25BF">
            <w:pPr>
              <w:spacing w:after="0"/>
              <w:jc w:val="center"/>
              <w:rPr>
                <w:b/>
                <w:sz w:val="20"/>
                <w:szCs w:val="20"/>
                <w:highlight w:val="cyan"/>
                <w:lang w:val="en-GB"/>
              </w:rPr>
            </w:pPr>
            <w:r w:rsidRPr="00862032">
              <w:rPr>
                <w:b/>
                <w:sz w:val="20"/>
                <w:szCs w:val="20"/>
                <w:lang w:val="en-GB"/>
              </w:rPr>
              <w:t xml:space="preserve">Complaint presented </w:t>
            </w:r>
            <w:r>
              <w:rPr>
                <w:b/>
                <w:sz w:val="20"/>
                <w:szCs w:val="20"/>
                <w:lang w:val="en-GB"/>
              </w:rPr>
              <w:t>pertaining</w:t>
            </w:r>
            <w:r w:rsidRPr="00862032">
              <w:rPr>
                <w:b/>
                <w:sz w:val="20"/>
                <w:szCs w:val="20"/>
                <w:lang w:val="en-GB"/>
              </w:rPr>
              <w:t xml:space="preserve"> to</w:t>
            </w:r>
          </w:p>
        </w:tc>
        <w:tc>
          <w:tcPr>
            <w:tcW w:w="2268" w:type="dxa"/>
          </w:tcPr>
          <w:p w14:paraId="5D95D343" w14:textId="77777777" w:rsidR="003E20A5" w:rsidRPr="00862032" w:rsidRDefault="003E20A5" w:rsidP="002F25BF">
            <w:pPr>
              <w:spacing w:after="0"/>
              <w:jc w:val="center"/>
              <w:rPr>
                <w:b/>
                <w:sz w:val="20"/>
                <w:szCs w:val="20"/>
                <w:lang w:val="en-GB"/>
              </w:rPr>
            </w:pPr>
            <w:r w:rsidRPr="00862032">
              <w:rPr>
                <w:b/>
                <w:sz w:val="20"/>
                <w:szCs w:val="20"/>
                <w:lang w:val="en-GB"/>
              </w:rPr>
              <w:t>Inspection activity</w:t>
            </w:r>
          </w:p>
        </w:tc>
      </w:tr>
      <w:tr w:rsidR="00155A83" w:rsidRPr="00D62D04" w14:paraId="1D4F2DC3" w14:textId="77777777" w:rsidTr="00155A83">
        <w:tc>
          <w:tcPr>
            <w:tcW w:w="1440" w:type="dxa"/>
          </w:tcPr>
          <w:p w14:paraId="5BFF7CE2" w14:textId="77777777" w:rsidR="00155A83" w:rsidRPr="000E1A89" w:rsidRDefault="000E1A89" w:rsidP="00D64384">
            <w:pPr>
              <w:spacing w:after="0"/>
              <w:rPr>
                <w:sz w:val="20"/>
                <w:szCs w:val="20"/>
                <w:lang w:val="en-GB"/>
              </w:rPr>
            </w:pPr>
            <w:r w:rsidRPr="000E1A89">
              <w:rPr>
                <w:sz w:val="20"/>
                <w:szCs w:val="20"/>
                <w:lang w:val="en-GB"/>
              </w:rPr>
              <w:t>Natural entity</w:t>
            </w:r>
          </w:p>
        </w:tc>
        <w:tc>
          <w:tcPr>
            <w:tcW w:w="2666" w:type="dxa"/>
          </w:tcPr>
          <w:p w14:paraId="7366CC54" w14:textId="77777777" w:rsidR="00155A83" w:rsidRPr="00D62D04" w:rsidRDefault="000E1A89" w:rsidP="000E1A89">
            <w:pPr>
              <w:spacing w:after="0"/>
              <w:rPr>
                <w:sz w:val="20"/>
                <w:szCs w:val="20"/>
                <w:highlight w:val="cyan"/>
                <w:lang w:val="en-GB"/>
              </w:rPr>
            </w:pPr>
            <w:r w:rsidRPr="000E1A89">
              <w:rPr>
                <w:sz w:val="20"/>
                <w:szCs w:val="20"/>
                <w:lang w:val="en-GB"/>
              </w:rPr>
              <w:t xml:space="preserve">Application of regulations on the official use of languages and </w:t>
            </w:r>
            <w:r>
              <w:rPr>
                <w:sz w:val="20"/>
                <w:szCs w:val="20"/>
                <w:lang w:val="en-GB"/>
              </w:rPr>
              <w:t>scripts</w:t>
            </w:r>
            <w:r w:rsidRPr="000E1A89">
              <w:rPr>
                <w:sz w:val="20"/>
                <w:szCs w:val="20"/>
                <w:lang w:val="en-GB"/>
              </w:rPr>
              <w:t xml:space="preserve"> at school</w:t>
            </w:r>
          </w:p>
        </w:tc>
        <w:tc>
          <w:tcPr>
            <w:tcW w:w="2693" w:type="dxa"/>
          </w:tcPr>
          <w:p w14:paraId="49B9B7BD" w14:textId="77777777" w:rsidR="00155A83" w:rsidRPr="00D62D04" w:rsidRDefault="000E1A89" w:rsidP="00D64384">
            <w:pPr>
              <w:spacing w:after="0"/>
              <w:rPr>
                <w:sz w:val="20"/>
                <w:szCs w:val="20"/>
                <w:highlight w:val="cyan"/>
                <w:lang w:val="en-GB"/>
              </w:rPr>
            </w:pPr>
            <w:r w:rsidRPr="000E1A89">
              <w:rPr>
                <w:sz w:val="20"/>
                <w:szCs w:val="20"/>
                <w:lang w:val="en-GB"/>
              </w:rPr>
              <w:t xml:space="preserve">"Branko </w:t>
            </w:r>
            <w:proofErr w:type="spellStart"/>
            <w:r w:rsidRPr="000E1A89">
              <w:rPr>
                <w:sz w:val="20"/>
                <w:szCs w:val="20"/>
                <w:lang w:val="en-GB"/>
              </w:rPr>
              <w:t>Ćopić</w:t>
            </w:r>
            <w:proofErr w:type="spellEnd"/>
            <w:r w:rsidRPr="000E1A89">
              <w:rPr>
                <w:sz w:val="20"/>
                <w:szCs w:val="20"/>
                <w:lang w:val="en-GB"/>
              </w:rPr>
              <w:t>"</w:t>
            </w:r>
            <w:r>
              <w:rPr>
                <w:sz w:val="20"/>
                <w:szCs w:val="20"/>
                <w:lang w:val="en-GB"/>
              </w:rPr>
              <w:t xml:space="preserve"> Primary School</w:t>
            </w:r>
            <w:r w:rsidRPr="000E1A89">
              <w:rPr>
                <w:sz w:val="20"/>
                <w:szCs w:val="20"/>
                <w:lang w:val="en-GB"/>
              </w:rPr>
              <w:t xml:space="preserve"> in </w:t>
            </w:r>
            <w:proofErr w:type="spellStart"/>
            <w:r w:rsidRPr="000E1A89">
              <w:rPr>
                <w:sz w:val="20"/>
                <w:szCs w:val="20"/>
                <w:lang w:val="en-GB"/>
              </w:rPr>
              <w:t>Lukićevo</w:t>
            </w:r>
            <w:proofErr w:type="spellEnd"/>
          </w:p>
        </w:tc>
        <w:tc>
          <w:tcPr>
            <w:tcW w:w="2268" w:type="dxa"/>
          </w:tcPr>
          <w:p w14:paraId="74CAA5FF" w14:textId="77777777" w:rsidR="00155A83" w:rsidRPr="00D62D04" w:rsidRDefault="000E1A89" w:rsidP="000E1A89">
            <w:pPr>
              <w:spacing w:after="0"/>
              <w:rPr>
                <w:sz w:val="20"/>
                <w:szCs w:val="20"/>
                <w:highlight w:val="cyan"/>
                <w:lang w:val="en-GB"/>
              </w:rPr>
            </w:pPr>
            <w:r w:rsidRPr="000E1A89">
              <w:rPr>
                <w:sz w:val="20"/>
                <w:szCs w:val="20"/>
                <w:lang w:val="en-GB"/>
              </w:rPr>
              <w:t xml:space="preserve">The </w:t>
            </w:r>
            <w:r>
              <w:rPr>
                <w:sz w:val="20"/>
                <w:szCs w:val="20"/>
                <w:lang w:val="en-GB"/>
              </w:rPr>
              <w:t>complainant</w:t>
            </w:r>
            <w:r w:rsidRPr="000E1A89">
              <w:rPr>
                <w:sz w:val="20"/>
                <w:szCs w:val="20"/>
                <w:lang w:val="en-GB"/>
              </w:rPr>
              <w:t xml:space="preserve"> was informed about the groundlessness of the complaint.</w:t>
            </w:r>
          </w:p>
        </w:tc>
      </w:tr>
      <w:tr w:rsidR="00155A83" w:rsidRPr="00D62D04" w14:paraId="328FDB9C" w14:textId="77777777" w:rsidTr="00155A83">
        <w:tc>
          <w:tcPr>
            <w:tcW w:w="1440" w:type="dxa"/>
          </w:tcPr>
          <w:p w14:paraId="019B4AB7" w14:textId="77777777" w:rsidR="00155A83" w:rsidRPr="00D62D04" w:rsidRDefault="000E1A89" w:rsidP="00D64384">
            <w:pPr>
              <w:spacing w:after="0"/>
              <w:rPr>
                <w:sz w:val="20"/>
                <w:szCs w:val="20"/>
                <w:highlight w:val="cyan"/>
                <w:lang w:val="en-GB"/>
              </w:rPr>
            </w:pPr>
            <w:r w:rsidRPr="000E1A89">
              <w:rPr>
                <w:sz w:val="20"/>
                <w:szCs w:val="20"/>
                <w:lang w:val="en-GB"/>
              </w:rPr>
              <w:t>National Council of the Hungarian National Minority</w:t>
            </w:r>
          </w:p>
        </w:tc>
        <w:tc>
          <w:tcPr>
            <w:tcW w:w="2666" w:type="dxa"/>
          </w:tcPr>
          <w:p w14:paraId="3D8DFCC9" w14:textId="77777777" w:rsidR="00155A83" w:rsidRPr="00D62D04" w:rsidRDefault="000E1A89" w:rsidP="000E1A89">
            <w:pPr>
              <w:spacing w:after="0"/>
              <w:rPr>
                <w:sz w:val="20"/>
                <w:szCs w:val="20"/>
                <w:highlight w:val="cyan"/>
                <w:lang w:val="en-GB"/>
              </w:rPr>
            </w:pPr>
            <w:r w:rsidRPr="000E1A89">
              <w:rPr>
                <w:sz w:val="20"/>
                <w:szCs w:val="20"/>
                <w:lang w:val="en-GB"/>
              </w:rPr>
              <w:t xml:space="preserve">By amending the Statute of the City of </w:t>
            </w:r>
            <w:proofErr w:type="spellStart"/>
            <w:r w:rsidRPr="000E1A89">
              <w:rPr>
                <w:sz w:val="20"/>
                <w:szCs w:val="20"/>
                <w:lang w:val="en-GB"/>
              </w:rPr>
              <w:t>Pan</w:t>
            </w:r>
            <w:r>
              <w:rPr>
                <w:sz w:val="20"/>
                <w:szCs w:val="20"/>
                <w:lang w:val="en-GB"/>
              </w:rPr>
              <w:t>č</w:t>
            </w:r>
            <w:r w:rsidRPr="000E1A89">
              <w:rPr>
                <w:sz w:val="20"/>
                <w:szCs w:val="20"/>
                <w:lang w:val="en-GB"/>
              </w:rPr>
              <w:t>evo</w:t>
            </w:r>
            <w:proofErr w:type="spellEnd"/>
            <w:r w:rsidRPr="000E1A89">
              <w:rPr>
                <w:sz w:val="20"/>
                <w:szCs w:val="20"/>
                <w:lang w:val="en-GB"/>
              </w:rPr>
              <w:t xml:space="preserve">, it is no longer foreseen that the Hungarian language and script will be in official use in </w:t>
            </w:r>
            <w:r>
              <w:rPr>
                <w:sz w:val="20"/>
                <w:szCs w:val="20"/>
                <w:lang w:val="en-GB"/>
              </w:rPr>
              <w:t>the Cadastral Municipality of</w:t>
            </w:r>
            <w:r w:rsidRPr="000E1A89">
              <w:rPr>
                <w:sz w:val="20"/>
                <w:szCs w:val="20"/>
                <w:lang w:val="en-GB"/>
              </w:rPr>
              <w:t xml:space="preserve"> </w:t>
            </w:r>
            <w:proofErr w:type="spellStart"/>
            <w:r w:rsidRPr="000E1A89">
              <w:rPr>
                <w:sz w:val="20"/>
                <w:szCs w:val="20"/>
                <w:lang w:val="en-GB"/>
              </w:rPr>
              <w:t>Vojlovica</w:t>
            </w:r>
            <w:proofErr w:type="spellEnd"/>
            <w:r w:rsidRPr="000E1A89">
              <w:rPr>
                <w:sz w:val="20"/>
                <w:szCs w:val="20"/>
                <w:lang w:val="en-GB"/>
              </w:rPr>
              <w:t>, as was prescribed by the previous Statute</w:t>
            </w:r>
          </w:p>
        </w:tc>
        <w:tc>
          <w:tcPr>
            <w:tcW w:w="2693" w:type="dxa"/>
          </w:tcPr>
          <w:p w14:paraId="0B278E9B" w14:textId="77777777" w:rsidR="00155A83" w:rsidRPr="00D62D04" w:rsidRDefault="000E1A89" w:rsidP="000E1A89">
            <w:pPr>
              <w:spacing w:after="0"/>
              <w:rPr>
                <w:sz w:val="20"/>
                <w:szCs w:val="20"/>
                <w:highlight w:val="cyan"/>
                <w:lang w:val="en-GB"/>
              </w:rPr>
            </w:pPr>
            <w:r>
              <w:rPr>
                <w:sz w:val="20"/>
                <w:szCs w:val="20"/>
                <w:lang w:val="en-GB"/>
              </w:rPr>
              <w:t>C</w:t>
            </w:r>
            <w:r w:rsidRPr="000E1A89">
              <w:rPr>
                <w:sz w:val="20"/>
                <w:szCs w:val="20"/>
                <w:lang w:val="en-GB"/>
              </w:rPr>
              <w:t xml:space="preserve">ity </w:t>
            </w:r>
            <w:r>
              <w:rPr>
                <w:sz w:val="20"/>
                <w:szCs w:val="20"/>
                <w:lang w:val="en-GB"/>
              </w:rPr>
              <w:t>A</w:t>
            </w:r>
            <w:r w:rsidRPr="000E1A89">
              <w:rPr>
                <w:sz w:val="20"/>
                <w:szCs w:val="20"/>
                <w:lang w:val="en-GB"/>
              </w:rPr>
              <w:t xml:space="preserve">dministration </w:t>
            </w:r>
            <w:proofErr w:type="spellStart"/>
            <w:r w:rsidRPr="000E1A89">
              <w:rPr>
                <w:sz w:val="20"/>
                <w:szCs w:val="20"/>
                <w:lang w:val="en-GB"/>
              </w:rPr>
              <w:t>Pančevo</w:t>
            </w:r>
            <w:proofErr w:type="spellEnd"/>
          </w:p>
        </w:tc>
        <w:tc>
          <w:tcPr>
            <w:tcW w:w="2268" w:type="dxa"/>
          </w:tcPr>
          <w:p w14:paraId="07967840" w14:textId="77777777" w:rsidR="00155A83" w:rsidRPr="00D62D04" w:rsidRDefault="000E1A89" w:rsidP="000E1A89">
            <w:pPr>
              <w:spacing w:after="0"/>
              <w:rPr>
                <w:sz w:val="20"/>
                <w:szCs w:val="20"/>
                <w:highlight w:val="cyan"/>
                <w:lang w:val="en-GB"/>
              </w:rPr>
            </w:pPr>
            <w:r w:rsidRPr="000E1A89">
              <w:rPr>
                <w:sz w:val="20"/>
                <w:szCs w:val="20"/>
                <w:lang w:val="en-GB"/>
              </w:rPr>
              <w:t xml:space="preserve">Regular inspection supervision was carried out. Ordered measures. The re-prescription of the official use of the Hungarian language and </w:t>
            </w:r>
            <w:r>
              <w:rPr>
                <w:sz w:val="20"/>
                <w:szCs w:val="20"/>
                <w:lang w:val="en-GB"/>
              </w:rPr>
              <w:t xml:space="preserve">script in the Cadastral Municipality of </w:t>
            </w:r>
            <w:proofErr w:type="spellStart"/>
            <w:r w:rsidRPr="000E1A89">
              <w:rPr>
                <w:sz w:val="20"/>
                <w:szCs w:val="20"/>
                <w:lang w:val="en-GB"/>
              </w:rPr>
              <w:t>Vojlovica</w:t>
            </w:r>
            <w:proofErr w:type="spellEnd"/>
            <w:r w:rsidRPr="000E1A89">
              <w:rPr>
                <w:sz w:val="20"/>
                <w:szCs w:val="20"/>
                <w:lang w:val="en-GB"/>
              </w:rPr>
              <w:t xml:space="preserve">, by amending the Statute of the City of </w:t>
            </w:r>
            <w:proofErr w:type="spellStart"/>
            <w:r w:rsidRPr="000E1A89">
              <w:rPr>
                <w:sz w:val="20"/>
                <w:szCs w:val="20"/>
                <w:lang w:val="en-GB"/>
              </w:rPr>
              <w:t>Pančevo</w:t>
            </w:r>
            <w:proofErr w:type="spellEnd"/>
            <w:r w:rsidRPr="000E1A89">
              <w:rPr>
                <w:sz w:val="20"/>
                <w:szCs w:val="20"/>
                <w:lang w:val="en-GB"/>
              </w:rPr>
              <w:t>.</w:t>
            </w:r>
          </w:p>
        </w:tc>
      </w:tr>
      <w:tr w:rsidR="00155A83" w:rsidRPr="00D62D04" w14:paraId="4D8A9F16" w14:textId="77777777" w:rsidTr="00155A83">
        <w:tc>
          <w:tcPr>
            <w:tcW w:w="1440" w:type="dxa"/>
          </w:tcPr>
          <w:p w14:paraId="53E8B787" w14:textId="77777777" w:rsidR="00155A83" w:rsidRPr="00D62D04" w:rsidRDefault="00C0295F" w:rsidP="00C0295F">
            <w:pPr>
              <w:spacing w:after="0"/>
              <w:rPr>
                <w:sz w:val="20"/>
                <w:szCs w:val="20"/>
                <w:highlight w:val="cyan"/>
                <w:lang w:val="en-GB"/>
              </w:rPr>
            </w:pPr>
            <w:r w:rsidRPr="00C0295F">
              <w:rPr>
                <w:sz w:val="20"/>
                <w:szCs w:val="20"/>
                <w:lang w:val="en-GB"/>
              </w:rPr>
              <w:t xml:space="preserve">Proceedings on the assigned case of the Ministry of Education, Science and Technological Development, on the initiative of the petition of a natural </w:t>
            </w:r>
            <w:r>
              <w:rPr>
                <w:sz w:val="20"/>
                <w:szCs w:val="20"/>
                <w:lang w:val="en-GB"/>
              </w:rPr>
              <w:t>entity</w:t>
            </w:r>
          </w:p>
        </w:tc>
        <w:tc>
          <w:tcPr>
            <w:tcW w:w="2666" w:type="dxa"/>
          </w:tcPr>
          <w:p w14:paraId="21D5974D" w14:textId="77777777" w:rsidR="00155A83" w:rsidRPr="00D62D04" w:rsidRDefault="00C0295F" w:rsidP="00D64384">
            <w:pPr>
              <w:spacing w:after="0"/>
              <w:rPr>
                <w:sz w:val="20"/>
                <w:szCs w:val="20"/>
                <w:highlight w:val="cyan"/>
                <w:lang w:val="en-GB"/>
              </w:rPr>
            </w:pPr>
            <w:r>
              <w:rPr>
                <w:sz w:val="20"/>
                <w:szCs w:val="20"/>
                <w:lang w:val="en-GB"/>
              </w:rPr>
              <w:t xml:space="preserve">Writing </w:t>
            </w:r>
            <w:r w:rsidRPr="00C0295F">
              <w:rPr>
                <w:sz w:val="20"/>
                <w:szCs w:val="20"/>
                <w:lang w:val="en-GB"/>
              </w:rPr>
              <w:t>notices only in Hungarian language and script</w:t>
            </w:r>
          </w:p>
        </w:tc>
        <w:tc>
          <w:tcPr>
            <w:tcW w:w="2693" w:type="dxa"/>
          </w:tcPr>
          <w:p w14:paraId="1A1A35F9" w14:textId="77777777" w:rsidR="00155A83" w:rsidRPr="00D62D04" w:rsidRDefault="00C0295F" w:rsidP="00C0295F">
            <w:pPr>
              <w:spacing w:after="0"/>
              <w:rPr>
                <w:sz w:val="20"/>
                <w:szCs w:val="20"/>
                <w:highlight w:val="cyan"/>
                <w:lang w:val="en-GB"/>
              </w:rPr>
            </w:pPr>
            <w:r w:rsidRPr="00C0295F">
              <w:rPr>
                <w:sz w:val="20"/>
                <w:szCs w:val="20"/>
                <w:lang w:val="en-GB"/>
              </w:rPr>
              <w:t>"</w:t>
            </w:r>
            <w:proofErr w:type="spellStart"/>
            <w:r w:rsidRPr="00C0295F">
              <w:rPr>
                <w:sz w:val="20"/>
                <w:szCs w:val="20"/>
                <w:lang w:val="en-GB"/>
              </w:rPr>
              <w:t>Besedeš</w:t>
            </w:r>
            <w:proofErr w:type="spellEnd"/>
            <w:r w:rsidRPr="00C0295F">
              <w:rPr>
                <w:sz w:val="20"/>
                <w:szCs w:val="20"/>
                <w:lang w:val="en-GB"/>
              </w:rPr>
              <w:t xml:space="preserve"> </w:t>
            </w:r>
            <w:proofErr w:type="spellStart"/>
            <w:r w:rsidRPr="00C0295F">
              <w:rPr>
                <w:sz w:val="20"/>
                <w:szCs w:val="20"/>
                <w:lang w:val="en-GB"/>
              </w:rPr>
              <w:t>Jožef</w:t>
            </w:r>
            <w:proofErr w:type="spellEnd"/>
            <w:r w:rsidRPr="00C0295F">
              <w:rPr>
                <w:sz w:val="20"/>
                <w:szCs w:val="20"/>
                <w:lang w:val="en-GB"/>
              </w:rPr>
              <w:t xml:space="preserve">" Agricultural Technical - </w:t>
            </w:r>
            <w:r>
              <w:rPr>
                <w:sz w:val="20"/>
                <w:szCs w:val="20"/>
                <w:lang w:val="en-GB"/>
              </w:rPr>
              <w:t>Secondary</w:t>
            </w:r>
            <w:r w:rsidRPr="00C0295F">
              <w:rPr>
                <w:sz w:val="20"/>
                <w:szCs w:val="20"/>
                <w:lang w:val="en-GB"/>
              </w:rPr>
              <w:t xml:space="preserve"> School Cent</w:t>
            </w:r>
            <w:r>
              <w:rPr>
                <w:sz w:val="20"/>
                <w:szCs w:val="20"/>
                <w:lang w:val="en-GB"/>
              </w:rPr>
              <w:t>re</w:t>
            </w:r>
            <w:r w:rsidRPr="00C0295F">
              <w:rPr>
                <w:sz w:val="20"/>
                <w:szCs w:val="20"/>
                <w:lang w:val="en-GB"/>
              </w:rPr>
              <w:t xml:space="preserve"> in </w:t>
            </w:r>
            <w:proofErr w:type="spellStart"/>
            <w:r w:rsidRPr="00C0295F">
              <w:rPr>
                <w:sz w:val="20"/>
                <w:szCs w:val="20"/>
                <w:lang w:val="en-GB"/>
              </w:rPr>
              <w:t>Kanjiža</w:t>
            </w:r>
            <w:proofErr w:type="spellEnd"/>
          </w:p>
        </w:tc>
        <w:tc>
          <w:tcPr>
            <w:tcW w:w="2268" w:type="dxa"/>
          </w:tcPr>
          <w:p w14:paraId="7A95527E" w14:textId="77777777" w:rsidR="00155A83" w:rsidRPr="00D62D04" w:rsidRDefault="009B18E6" w:rsidP="00D64384">
            <w:pPr>
              <w:spacing w:after="0"/>
              <w:rPr>
                <w:sz w:val="20"/>
                <w:szCs w:val="20"/>
                <w:highlight w:val="cyan"/>
                <w:lang w:val="en-GB"/>
              </w:rPr>
            </w:pPr>
            <w:r w:rsidRPr="009B18E6">
              <w:rPr>
                <w:sz w:val="20"/>
                <w:szCs w:val="20"/>
                <w:lang w:val="en-GB"/>
              </w:rPr>
              <w:t>An extraordinary inspection was carried out. Ordered measures for writing</w:t>
            </w:r>
            <w:r>
              <w:rPr>
                <w:sz w:val="20"/>
                <w:szCs w:val="20"/>
                <w:lang w:val="en-GB"/>
              </w:rPr>
              <w:t xml:space="preserve"> the notices</w:t>
            </w:r>
            <w:r w:rsidRPr="009B18E6">
              <w:rPr>
                <w:sz w:val="20"/>
                <w:szCs w:val="20"/>
                <w:lang w:val="en-GB"/>
              </w:rPr>
              <w:t>. Measures taken</w:t>
            </w:r>
          </w:p>
        </w:tc>
      </w:tr>
      <w:tr w:rsidR="00155A83" w:rsidRPr="00D62D04" w14:paraId="32E6E0D7" w14:textId="77777777" w:rsidTr="00155A83">
        <w:tc>
          <w:tcPr>
            <w:tcW w:w="9067" w:type="dxa"/>
            <w:gridSpan w:val="4"/>
          </w:tcPr>
          <w:p w14:paraId="5A05FDCF" w14:textId="77777777" w:rsidR="00155A83" w:rsidRPr="00C0295F" w:rsidRDefault="00155A83" w:rsidP="00C0295F">
            <w:pPr>
              <w:spacing w:after="0"/>
              <w:jc w:val="center"/>
              <w:rPr>
                <w:b/>
                <w:sz w:val="20"/>
                <w:szCs w:val="20"/>
                <w:lang w:val="en-GB"/>
              </w:rPr>
            </w:pPr>
            <w:r w:rsidRPr="00C0295F">
              <w:rPr>
                <w:b/>
                <w:sz w:val="20"/>
                <w:szCs w:val="20"/>
                <w:lang w:val="en-GB"/>
              </w:rPr>
              <w:lastRenderedPageBreak/>
              <w:t>2020</w:t>
            </w:r>
          </w:p>
        </w:tc>
      </w:tr>
      <w:tr w:rsidR="003E20A5" w:rsidRPr="00D62D04" w14:paraId="14EF004C" w14:textId="77777777" w:rsidTr="002F25BF">
        <w:trPr>
          <w:trHeight w:val="548"/>
        </w:trPr>
        <w:tc>
          <w:tcPr>
            <w:tcW w:w="1440" w:type="dxa"/>
          </w:tcPr>
          <w:p w14:paraId="5E4C6E7F" w14:textId="77777777" w:rsidR="003E20A5" w:rsidRPr="00D62D04" w:rsidRDefault="003E20A5" w:rsidP="002F25BF">
            <w:pPr>
              <w:spacing w:after="0"/>
              <w:jc w:val="center"/>
              <w:rPr>
                <w:b/>
                <w:sz w:val="20"/>
                <w:szCs w:val="20"/>
                <w:highlight w:val="cyan"/>
                <w:lang w:val="en-GB"/>
              </w:rPr>
            </w:pPr>
            <w:r w:rsidRPr="00862032">
              <w:rPr>
                <w:b/>
                <w:sz w:val="20"/>
                <w:szCs w:val="20"/>
                <w:lang w:val="en-GB"/>
              </w:rPr>
              <w:t>Complainant</w:t>
            </w:r>
          </w:p>
        </w:tc>
        <w:tc>
          <w:tcPr>
            <w:tcW w:w="2666" w:type="dxa"/>
          </w:tcPr>
          <w:p w14:paraId="3537E889" w14:textId="77777777" w:rsidR="003E20A5" w:rsidRPr="00862032" w:rsidRDefault="003E20A5" w:rsidP="002F25BF">
            <w:pPr>
              <w:spacing w:after="0"/>
              <w:jc w:val="center"/>
              <w:rPr>
                <w:b/>
                <w:sz w:val="20"/>
                <w:szCs w:val="20"/>
                <w:lang w:val="en-GB"/>
              </w:rPr>
            </w:pPr>
            <w:r w:rsidRPr="00862032">
              <w:rPr>
                <w:b/>
                <w:sz w:val="20"/>
                <w:szCs w:val="20"/>
                <w:lang w:val="en-GB"/>
              </w:rPr>
              <w:t>Grounds for complaint</w:t>
            </w:r>
          </w:p>
        </w:tc>
        <w:tc>
          <w:tcPr>
            <w:tcW w:w="2693" w:type="dxa"/>
          </w:tcPr>
          <w:p w14:paraId="3CE0A6E9" w14:textId="77777777" w:rsidR="003E20A5" w:rsidRPr="00D62D04" w:rsidRDefault="003E20A5" w:rsidP="002F25BF">
            <w:pPr>
              <w:spacing w:after="0"/>
              <w:jc w:val="center"/>
              <w:rPr>
                <w:b/>
                <w:sz w:val="20"/>
                <w:szCs w:val="20"/>
                <w:highlight w:val="cyan"/>
                <w:lang w:val="en-GB"/>
              </w:rPr>
            </w:pPr>
            <w:r w:rsidRPr="00862032">
              <w:rPr>
                <w:b/>
                <w:sz w:val="20"/>
                <w:szCs w:val="20"/>
                <w:lang w:val="en-GB"/>
              </w:rPr>
              <w:t xml:space="preserve">Complaint presented </w:t>
            </w:r>
            <w:r>
              <w:rPr>
                <w:b/>
                <w:sz w:val="20"/>
                <w:szCs w:val="20"/>
                <w:lang w:val="en-GB"/>
              </w:rPr>
              <w:t>pertaining</w:t>
            </w:r>
            <w:r w:rsidRPr="00862032">
              <w:rPr>
                <w:b/>
                <w:sz w:val="20"/>
                <w:szCs w:val="20"/>
                <w:lang w:val="en-GB"/>
              </w:rPr>
              <w:t xml:space="preserve"> to</w:t>
            </w:r>
          </w:p>
        </w:tc>
        <w:tc>
          <w:tcPr>
            <w:tcW w:w="2268" w:type="dxa"/>
          </w:tcPr>
          <w:p w14:paraId="11701C01" w14:textId="77777777" w:rsidR="003E20A5" w:rsidRPr="00862032" w:rsidRDefault="003E20A5" w:rsidP="002F25BF">
            <w:pPr>
              <w:spacing w:after="0"/>
              <w:jc w:val="center"/>
              <w:rPr>
                <w:b/>
                <w:sz w:val="20"/>
                <w:szCs w:val="20"/>
                <w:lang w:val="en-GB"/>
              </w:rPr>
            </w:pPr>
            <w:r w:rsidRPr="00862032">
              <w:rPr>
                <w:b/>
                <w:sz w:val="20"/>
                <w:szCs w:val="20"/>
                <w:lang w:val="en-GB"/>
              </w:rPr>
              <w:t>Inspection activity</w:t>
            </w:r>
          </w:p>
        </w:tc>
      </w:tr>
      <w:tr w:rsidR="00155A83" w:rsidRPr="00D62D04" w14:paraId="0CAD18A9" w14:textId="77777777" w:rsidTr="00155A83">
        <w:tc>
          <w:tcPr>
            <w:tcW w:w="1440" w:type="dxa"/>
          </w:tcPr>
          <w:p w14:paraId="2FEB2459" w14:textId="77777777" w:rsidR="007B3F49" w:rsidRPr="007B3F49" w:rsidRDefault="007B3F49" w:rsidP="007B3F49">
            <w:pPr>
              <w:spacing w:after="0"/>
              <w:jc w:val="both"/>
              <w:rPr>
                <w:sz w:val="20"/>
                <w:szCs w:val="20"/>
                <w:lang w:val="en-GB"/>
              </w:rPr>
            </w:pPr>
            <w:r w:rsidRPr="007B3F49">
              <w:rPr>
                <w:sz w:val="20"/>
                <w:szCs w:val="20"/>
                <w:lang w:val="en-GB"/>
              </w:rPr>
              <w:t>Immediate knowledge of the inspection</w:t>
            </w:r>
          </w:p>
          <w:p w14:paraId="6ADE41C5" w14:textId="77777777" w:rsidR="007B3F49" w:rsidRPr="007B3F49" w:rsidRDefault="007B3F49" w:rsidP="007B3F49">
            <w:pPr>
              <w:spacing w:after="0"/>
              <w:jc w:val="both"/>
              <w:rPr>
                <w:sz w:val="20"/>
                <w:szCs w:val="20"/>
                <w:lang w:val="en-GB"/>
              </w:rPr>
            </w:pPr>
          </w:p>
          <w:p w14:paraId="6B8E21CB" w14:textId="77777777" w:rsidR="007B3F49" w:rsidRPr="007B3F49" w:rsidRDefault="007B3F49" w:rsidP="007B3F49">
            <w:pPr>
              <w:spacing w:after="0"/>
              <w:jc w:val="both"/>
              <w:rPr>
                <w:sz w:val="20"/>
                <w:szCs w:val="20"/>
                <w:lang w:val="en-GB"/>
              </w:rPr>
            </w:pPr>
            <w:r w:rsidRPr="007B3F49">
              <w:rPr>
                <w:sz w:val="20"/>
                <w:szCs w:val="20"/>
                <w:lang w:val="en-GB"/>
              </w:rPr>
              <w:t>The media</w:t>
            </w:r>
          </w:p>
          <w:p w14:paraId="46B35312" w14:textId="77777777" w:rsidR="007B3F49" w:rsidRPr="007B3F49" w:rsidRDefault="007B3F49" w:rsidP="007B3F49">
            <w:pPr>
              <w:spacing w:after="0"/>
              <w:jc w:val="both"/>
              <w:rPr>
                <w:sz w:val="20"/>
                <w:szCs w:val="20"/>
                <w:lang w:val="en-GB"/>
              </w:rPr>
            </w:pPr>
          </w:p>
          <w:p w14:paraId="6886A9C9" w14:textId="77777777" w:rsidR="00155A83" w:rsidRPr="00D62D04" w:rsidRDefault="007B3F49" w:rsidP="007B3F49">
            <w:pPr>
              <w:spacing w:after="0"/>
              <w:jc w:val="both"/>
              <w:rPr>
                <w:sz w:val="20"/>
                <w:szCs w:val="20"/>
                <w:highlight w:val="cyan"/>
                <w:lang w:val="en-GB"/>
              </w:rPr>
            </w:pPr>
            <w:r w:rsidRPr="007B3F49">
              <w:rPr>
                <w:sz w:val="20"/>
                <w:szCs w:val="20"/>
                <w:lang w:val="en-GB"/>
              </w:rPr>
              <w:t>Anonymous petition</w:t>
            </w:r>
          </w:p>
        </w:tc>
        <w:tc>
          <w:tcPr>
            <w:tcW w:w="2666" w:type="dxa"/>
          </w:tcPr>
          <w:p w14:paraId="112C7278" w14:textId="77777777" w:rsidR="00155A83" w:rsidRPr="00D62D04" w:rsidRDefault="007B3F49" w:rsidP="00D64384">
            <w:pPr>
              <w:spacing w:after="0"/>
              <w:jc w:val="both"/>
              <w:rPr>
                <w:sz w:val="20"/>
                <w:szCs w:val="20"/>
                <w:highlight w:val="cyan"/>
                <w:lang w:val="en-GB"/>
              </w:rPr>
            </w:pPr>
            <w:r w:rsidRPr="007B3F49">
              <w:rPr>
                <w:sz w:val="20"/>
                <w:szCs w:val="20"/>
                <w:lang w:val="en-GB"/>
              </w:rPr>
              <w:t>Absence of writing public inscriptions and notices in the Hungarian language and script</w:t>
            </w:r>
          </w:p>
        </w:tc>
        <w:tc>
          <w:tcPr>
            <w:tcW w:w="2693" w:type="dxa"/>
          </w:tcPr>
          <w:p w14:paraId="71300F07" w14:textId="77777777" w:rsidR="00155A83" w:rsidRPr="00D62D04" w:rsidRDefault="007B3F49" w:rsidP="007B3F49">
            <w:pPr>
              <w:spacing w:after="0"/>
              <w:jc w:val="both"/>
              <w:rPr>
                <w:sz w:val="20"/>
                <w:szCs w:val="20"/>
                <w:highlight w:val="cyan"/>
                <w:lang w:val="en-GB"/>
              </w:rPr>
            </w:pPr>
            <w:r w:rsidRPr="007B3F49">
              <w:rPr>
                <w:sz w:val="20"/>
                <w:szCs w:val="20"/>
                <w:lang w:val="en-GB"/>
              </w:rPr>
              <w:t xml:space="preserve">Municipal </w:t>
            </w:r>
            <w:r>
              <w:rPr>
                <w:sz w:val="20"/>
                <w:szCs w:val="20"/>
                <w:lang w:val="en-GB"/>
              </w:rPr>
              <w:t>A</w:t>
            </w:r>
            <w:r w:rsidRPr="007B3F49">
              <w:rPr>
                <w:sz w:val="20"/>
                <w:szCs w:val="20"/>
                <w:lang w:val="en-GB"/>
              </w:rPr>
              <w:t xml:space="preserve">dministration of </w:t>
            </w:r>
            <w:proofErr w:type="spellStart"/>
            <w:r w:rsidRPr="007B3F49">
              <w:rPr>
                <w:sz w:val="20"/>
                <w:szCs w:val="20"/>
                <w:lang w:val="en-GB"/>
              </w:rPr>
              <w:t>Temerin</w:t>
            </w:r>
            <w:proofErr w:type="spellEnd"/>
          </w:p>
        </w:tc>
        <w:tc>
          <w:tcPr>
            <w:tcW w:w="2268" w:type="dxa"/>
          </w:tcPr>
          <w:p w14:paraId="5BBD6A8A" w14:textId="77777777" w:rsidR="00155A83" w:rsidRPr="00D62D04" w:rsidRDefault="007B3F49" w:rsidP="007B3F49">
            <w:pPr>
              <w:spacing w:after="0"/>
              <w:rPr>
                <w:sz w:val="20"/>
                <w:szCs w:val="20"/>
                <w:highlight w:val="cyan"/>
                <w:lang w:val="en-GB"/>
              </w:rPr>
            </w:pPr>
            <w:r w:rsidRPr="007B3F49">
              <w:rPr>
                <w:sz w:val="20"/>
                <w:szCs w:val="20"/>
                <w:lang w:val="en-GB"/>
              </w:rPr>
              <w:t xml:space="preserve">An extraordinary inspection was carried out. Ordered measures for </w:t>
            </w:r>
            <w:r>
              <w:rPr>
                <w:sz w:val="20"/>
                <w:szCs w:val="20"/>
                <w:lang w:val="en-GB"/>
              </w:rPr>
              <w:t>inscription</w:t>
            </w:r>
            <w:r w:rsidRPr="007B3F49">
              <w:rPr>
                <w:sz w:val="20"/>
                <w:szCs w:val="20"/>
                <w:lang w:val="en-GB"/>
              </w:rPr>
              <w:t>. Measures taken</w:t>
            </w:r>
          </w:p>
        </w:tc>
      </w:tr>
      <w:tr w:rsidR="00155A83" w:rsidRPr="00D62D04" w14:paraId="1FB63AC3" w14:textId="77777777" w:rsidTr="00155A83">
        <w:tc>
          <w:tcPr>
            <w:tcW w:w="1440" w:type="dxa"/>
          </w:tcPr>
          <w:p w14:paraId="6797CDC7" w14:textId="77777777" w:rsidR="00D7577D" w:rsidRPr="00D7577D" w:rsidRDefault="00D7577D" w:rsidP="00D7577D">
            <w:pPr>
              <w:spacing w:after="0"/>
              <w:jc w:val="both"/>
              <w:rPr>
                <w:sz w:val="20"/>
                <w:szCs w:val="20"/>
                <w:lang w:val="en-GB"/>
              </w:rPr>
            </w:pPr>
            <w:r w:rsidRPr="00D7577D">
              <w:rPr>
                <w:sz w:val="20"/>
                <w:szCs w:val="20"/>
                <w:lang w:val="en-GB"/>
              </w:rPr>
              <w:t>Immediate knowledge of the inspection</w:t>
            </w:r>
          </w:p>
          <w:p w14:paraId="45BE48F3" w14:textId="77777777" w:rsidR="00D7577D" w:rsidRPr="00D7577D" w:rsidRDefault="00D7577D" w:rsidP="00D7577D">
            <w:pPr>
              <w:spacing w:after="0"/>
              <w:jc w:val="both"/>
              <w:rPr>
                <w:sz w:val="20"/>
                <w:szCs w:val="20"/>
                <w:lang w:val="en-GB"/>
              </w:rPr>
            </w:pPr>
          </w:p>
          <w:p w14:paraId="30015D35" w14:textId="77777777" w:rsidR="00155A83" w:rsidRPr="00D62D04" w:rsidRDefault="00D7577D" w:rsidP="00D7577D">
            <w:pPr>
              <w:spacing w:after="0"/>
              <w:jc w:val="both"/>
              <w:rPr>
                <w:sz w:val="20"/>
                <w:szCs w:val="20"/>
                <w:highlight w:val="cyan"/>
                <w:lang w:val="en-GB"/>
              </w:rPr>
            </w:pPr>
            <w:r w:rsidRPr="00D7577D">
              <w:rPr>
                <w:sz w:val="20"/>
                <w:szCs w:val="20"/>
                <w:lang w:val="en-GB"/>
              </w:rPr>
              <w:t>The media</w:t>
            </w:r>
          </w:p>
        </w:tc>
        <w:tc>
          <w:tcPr>
            <w:tcW w:w="2666" w:type="dxa"/>
          </w:tcPr>
          <w:p w14:paraId="3F61864E" w14:textId="77777777" w:rsidR="00155A83" w:rsidRPr="00D62D04" w:rsidRDefault="00D7577D" w:rsidP="00D7577D">
            <w:pPr>
              <w:spacing w:after="0"/>
              <w:rPr>
                <w:sz w:val="20"/>
                <w:szCs w:val="20"/>
                <w:highlight w:val="cyan"/>
                <w:lang w:val="en-GB"/>
              </w:rPr>
            </w:pPr>
            <w:r w:rsidRPr="00D7577D">
              <w:rPr>
                <w:sz w:val="20"/>
                <w:szCs w:val="20"/>
                <w:lang w:val="en-GB"/>
              </w:rPr>
              <w:t xml:space="preserve">Absence of </w:t>
            </w:r>
            <w:r>
              <w:rPr>
                <w:sz w:val="20"/>
                <w:szCs w:val="20"/>
                <w:lang w:val="en-GB"/>
              </w:rPr>
              <w:t>writing</w:t>
            </w:r>
            <w:r w:rsidRPr="00D7577D">
              <w:rPr>
                <w:sz w:val="20"/>
                <w:szCs w:val="20"/>
                <w:lang w:val="en-GB"/>
              </w:rPr>
              <w:t xml:space="preserve"> and incorrect </w:t>
            </w:r>
            <w:r>
              <w:rPr>
                <w:sz w:val="20"/>
                <w:szCs w:val="20"/>
                <w:lang w:val="en-GB"/>
              </w:rPr>
              <w:t>writing</w:t>
            </w:r>
            <w:r w:rsidRPr="00D7577D">
              <w:rPr>
                <w:sz w:val="20"/>
                <w:szCs w:val="20"/>
                <w:lang w:val="en-GB"/>
              </w:rPr>
              <w:t xml:space="preserve"> of public inscriptions and notices in the Hungarian language and script</w:t>
            </w:r>
          </w:p>
        </w:tc>
        <w:tc>
          <w:tcPr>
            <w:tcW w:w="2693" w:type="dxa"/>
          </w:tcPr>
          <w:p w14:paraId="1B6A4630" w14:textId="77777777" w:rsidR="00155A83" w:rsidRPr="00D62D04" w:rsidRDefault="00D7577D" w:rsidP="00D64384">
            <w:pPr>
              <w:spacing w:after="0"/>
              <w:rPr>
                <w:sz w:val="20"/>
                <w:szCs w:val="20"/>
                <w:highlight w:val="cyan"/>
                <w:lang w:val="en-GB"/>
              </w:rPr>
            </w:pPr>
            <w:r w:rsidRPr="00D7577D">
              <w:rPr>
                <w:sz w:val="20"/>
                <w:szCs w:val="20"/>
                <w:lang w:val="en-GB"/>
              </w:rPr>
              <w:t>General Hospital in Subotica</w:t>
            </w:r>
          </w:p>
        </w:tc>
        <w:tc>
          <w:tcPr>
            <w:tcW w:w="2268" w:type="dxa"/>
          </w:tcPr>
          <w:p w14:paraId="57136FD6" w14:textId="77777777" w:rsidR="00155A83" w:rsidRPr="00D62D04" w:rsidRDefault="00D7577D" w:rsidP="00D64384">
            <w:pPr>
              <w:spacing w:after="0"/>
              <w:rPr>
                <w:sz w:val="20"/>
                <w:szCs w:val="20"/>
                <w:highlight w:val="cyan"/>
                <w:lang w:val="en-GB"/>
              </w:rPr>
            </w:pPr>
            <w:r w:rsidRPr="00D7577D">
              <w:rPr>
                <w:sz w:val="20"/>
                <w:szCs w:val="20"/>
                <w:lang w:val="en-GB"/>
              </w:rPr>
              <w:t>An extraordinary inspection was carried out. Ordered measures for writing. Measures taken</w:t>
            </w:r>
          </w:p>
        </w:tc>
      </w:tr>
      <w:tr w:rsidR="00D7577D" w:rsidRPr="00D62D04" w14:paraId="00EFFCB9" w14:textId="77777777" w:rsidTr="00155A83">
        <w:tc>
          <w:tcPr>
            <w:tcW w:w="1440" w:type="dxa"/>
          </w:tcPr>
          <w:p w14:paraId="2CF91266" w14:textId="77777777" w:rsidR="00D7577D" w:rsidRPr="000E1A89" w:rsidRDefault="00D7577D" w:rsidP="00D7577D">
            <w:pPr>
              <w:spacing w:after="0"/>
              <w:rPr>
                <w:sz w:val="20"/>
                <w:szCs w:val="20"/>
                <w:lang w:val="en-GB"/>
              </w:rPr>
            </w:pPr>
            <w:r w:rsidRPr="000E1A89">
              <w:rPr>
                <w:sz w:val="20"/>
                <w:szCs w:val="20"/>
                <w:lang w:val="en-GB"/>
              </w:rPr>
              <w:t>Natural entity</w:t>
            </w:r>
          </w:p>
        </w:tc>
        <w:tc>
          <w:tcPr>
            <w:tcW w:w="2666" w:type="dxa"/>
          </w:tcPr>
          <w:p w14:paraId="6A439870" w14:textId="77777777" w:rsidR="00D7577D" w:rsidRPr="00D62D04" w:rsidRDefault="00D7577D" w:rsidP="00D7577D">
            <w:pPr>
              <w:spacing w:after="0"/>
              <w:rPr>
                <w:sz w:val="20"/>
                <w:szCs w:val="20"/>
                <w:highlight w:val="cyan"/>
                <w:lang w:val="en-GB"/>
              </w:rPr>
            </w:pPr>
            <w:r w:rsidRPr="00D7577D">
              <w:rPr>
                <w:sz w:val="20"/>
                <w:szCs w:val="20"/>
                <w:lang w:val="en-GB"/>
              </w:rPr>
              <w:t xml:space="preserve">Improper and incomplete official use of language and </w:t>
            </w:r>
            <w:r>
              <w:rPr>
                <w:sz w:val="20"/>
                <w:szCs w:val="20"/>
                <w:lang w:val="en-GB"/>
              </w:rPr>
              <w:t>script</w:t>
            </w:r>
            <w:r w:rsidRPr="00D7577D">
              <w:rPr>
                <w:sz w:val="20"/>
                <w:szCs w:val="20"/>
                <w:lang w:val="en-GB"/>
              </w:rPr>
              <w:t xml:space="preserve"> in "</w:t>
            </w:r>
            <w:proofErr w:type="spellStart"/>
            <w:r w:rsidRPr="00D7577D">
              <w:rPr>
                <w:sz w:val="20"/>
                <w:szCs w:val="20"/>
                <w:lang w:val="en-GB"/>
              </w:rPr>
              <w:t>Uroš</w:t>
            </w:r>
            <w:proofErr w:type="spellEnd"/>
            <w:r w:rsidRPr="00D7577D">
              <w:rPr>
                <w:sz w:val="20"/>
                <w:szCs w:val="20"/>
                <w:lang w:val="en-GB"/>
              </w:rPr>
              <w:t xml:space="preserve"> </w:t>
            </w:r>
            <w:proofErr w:type="spellStart"/>
            <w:r w:rsidRPr="00D7577D">
              <w:rPr>
                <w:sz w:val="20"/>
                <w:szCs w:val="20"/>
                <w:lang w:val="en-GB"/>
              </w:rPr>
              <w:t>Predić</w:t>
            </w:r>
            <w:proofErr w:type="spellEnd"/>
            <w:r w:rsidRPr="00D7577D">
              <w:rPr>
                <w:sz w:val="20"/>
                <w:szCs w:val="20"/>
                <w:lang w:val="en-GB"/>
              </w:rPr>
              <w:t xml:space="preserve">" </w:t>
            </w:r>
            <w:r>
              <w:rPr>
                <w:sz w:val="20"/>
                <w:szCs w:val="20"/>
                <w:lang w:val="en-GB"/>
              </w:rPr>
              <w:t>Primary School in</w:t>
            </w:r>
            <w:r w:rsidRPr="00D7577D">
              <w:rPr>
                <w:sz w:val="20"/>
                <w:szCs w:val="20"/>
                <w:lang w:val="en-GB"/>
              </w:rPr>
              <w:t xml:space="preserve"> </w:t>
            </w:r>
            <w:proofErr w:type="spellStart"/>
            <w:r w:rsidRPr="00D7577D">
              <w:rPr>
                <w:sz w:val="20"/>
                <w:szCs w:val="20"/>
                <w:lang w:val="en-GB"/>
              </w:rPr>
              <w:t>Orlovat</w:t>
            </w:r>
            <w:proofErr w:type="spellEnd"/>
            <w:r w:rsidRPr="00D7577D">
              <w:rPr>
                <w:sz w:val="20"/>
                <w:szCs w:val="20"/>
                <w:lang w:val="en-GB"/>
              </w:rPr>
              <w:t xml:space="preserve"> regarding the writing of the board with the name of the school</w:t>
            </w:r>
          </w:p>
        </w:tc>
        <w:tc>
          <w:tcPr>
            <w:tcW w:w="2693" w:type="dxa"/>
          </w:tcPr>
          <w:p w14:paraId="3E3BE22B" w14:textId="77777777" w:rsidR="00D7577D" w:rsidRPr="00D62D04" w:rsidRDefault="00D7577D" w:rsidP="00D7577D">
            <w:pPr>
              <w:spacing w:after="0"/>
              <w:rPr>
                <w:sz w:val="20"/>
                <w:szCs w:val="20"/>
                <w:highlight w:val="cyan"/>
                <w:lang w:val="en-GB"/>
              </w:rPr>
            </w:pPr>
            <w:r w:rsidRPr="00D7577D">
              <w:rPr>
                <w:sz w:val="20"/>
                <w:szCs w:val="20"/>
                <w:lang w:val="en-GB"/>
              </w:rPr>
              <w:t>"</w:t>
            </w:r>
            <w:proofErr w:type="spellStart"/>
            <w:r w:rsidRPr="00D7577D">
              <w:rPr>
                <w:sz w:val="20"/>
                <w:szCs w:val="20"/>
                <w:lang w:val="en-GB"/>
              </w:rPr>
              <w:t>Uroš</w:t>
            </w:r>
            <w:proofErr w:type="spellEnd"/>
            <w:r w:rsidRPr="00D7577D">
              <w:rPr>
                <w:sz w:val="20"/>
                <w:szCs w:val="20"/>
                <w:lang w:val="en-GB"/>
              </w:rPr>
              <w:t xml:space="preserve"> </w:t>
            </w:r>
            <w:proofErr w:type="spellStart"/>
            <w:r w:rsidRPr="00D7577D">
              <w:rPr>
                <w:sz w:val="20"/>
                <w:szCs w:val="20"/>
                <w:lang w:val="en-GB"/>
              </w:rPr>
              <w:t>Predić</w:t>
            </w:r>
            <w:proofErr w:type="spellEnd"/>
            <w:r w:rsidRPr="00D7577D">
              <w:rPr>
                <w:sz w:val="20"/>
                <w:szCs w:val="20"/>
                <w:lang w:val="en-GB"/>
              </w:rPr>
              <w:t xml:space="preserve">" </w:t>
            </w:r>
            <w:r>
              <w:rPr>
                <w:sz w:val="20"/>
                <w:szCs w:val="20"/>
                <w:lang w:val="en-GB"/>
              </w:rPr>
              <w:t>Primary School in</w:t>
            </w:r>
            <w:r w:rsidRPr="00D7577D">
              <w:rPr>
                <w:sz w:val="20"/>
                <w:szCs w:val="20"/>
                <w:lang w:val="en-GB"/>
              </w:rPr>
              <w:t xml:space="preserve"> </w:t>
            </w:r>
            <w:proofErr w:type="spellStart"/>
            <w:r w:rsidRPr="00D7577D">
              <w:rPr>
                <w:sz w:val="20"/>
                <w:szCs w:val="20"/>
                <w:lang w:val="en-GB"/>
              </w:rPr>
              <w:t>Orlovat</w:t>
            </w:r>
            <w:proofErr w:type="spellEnd"/>
          </w:p>
        </w:tc>
        <w:tc>
          <w:tcPr>
            <w:tcW w:w="2268" w:type="dxa"/>
          </w:tcPr>
          <w:p w14:paraId="1A607187" w14:textId="77777777" w:rsidR="00D7577D" w:rsidRPr="00D62D04" w:rsidRDefault="00D7577D" w:rsidP="00D7577D">
            <w:pPr>
              <w:spacing w:after="0"/>
              <w:rPr>
                <w:sz w:val="20"/>
                <w:szCs w:val="20"/>
                <w:highlight w:val="cyan"/>
                <w:lang w:val="en-GB"/>
              </w:rPr>
            </w:pPr>
            <w:r w:rsidRPr="00D7577D">
              <w:rPr>
                <w:sz w:val="20"/>
                <w:szCs w:val="20"/>
                <w:lang w:val="en-GB"/>
              </w:rPr>
              <w:t xml:space="preserve">The inspection issued an act on the application of regulations in the form of a recommendation regarding the proper application of the provisions of the Law on the Official Use of Languages and </w:t>
            </w:r>
            <w:r>
              <w:rPr>
                <w:sz w:val="20"/>
                <w:szCs w:val="20"/>
                <w:lang w:val="en-GB"/>
              </w:rPr>
              <w:t>Scripts</w:t>
            </w:r>
            <w:r w:rsidRPr="00D7577D">
              <w:rPr>
                <w:sz w:val="20"/>
                <w:szCs w:val="20"/>
                <w:lang w:val="en-GB"/>
              </w:rPr>
              <w:t>. The act was executed</w:t>
            </w:r>
          </w:p>
        </w:tc>
      </w:tr>
      <w:tr w:rsidR="00D7577D" w:rsidRPr="00D62D04" w14:paraId="573EB7EB" w14:textId="77777777" w:rsidTr="00155A83">
        <w:tc>
          <w:tcPr>
            <w:tcW w:w="1440" w:type="dxa"/>
          </w:tcPr>
          <w:p w14:paraId="11BEECEC" w14:textId="77777777" w:rsidR="00D7577D" w:rsidRPr="000E1A89" w:rsidRDefault="00D7577D" w:rsidP="00D7577D">
            <w:pPr>
              <w:spacing w:after="0"/>
              <w:rPr>
                <w:sz w:val="20"/>
                <w:szCs w:val="20"/>
                <w:lang w:val="en-GB"/>
              </w:rPr>
            </w:pPr>
            <w:r w:rsidRPr="000E1A89">
              <w:rPr>
                <w:sz w:val="20"/>
                <w:szCs w:val="20"/>
                <w:lang w:val="en-GB"/>
              </w:rPr>
              <w:t>Natural entity</w:t>
            </w:r>
          </w:p>
        </w:tc>
        <w:tc>
          <w:tcPr>
            <w:tcW w:w="2666" w:type="dxa"/>
          </w:tcPr>
          <w:p w14:paraId="6493D78D" w14:textId="77777777" w:rsidR="00D7577D" w:rsidRPr="00D62D04" w:rsidRDefault="0025467F" w:rsidP="00D7577D">
            <w:pPr>
              <w:spacing w:after="0"/>
              <w:rPr>
                <w:sz w:val="20"/>
                <w:szCs w:val="20"/>
                <w:highlight w:val="cyan"/>
                <w:lang w:val="en-GB"/>
              </w:rPr>
            </w:pPr>
            <w:r>
              <w:rPr>
                <w:sz w:val="20"/>
                <w:szCs w:val="20"/>
                <w:lang w:val="en-GB"/>
              </w:rPr>
              <w:t>Incorrectness</w:t>
            </w:r>
            <w:r w:rsidRPr="0025467F">
              <w:rPr>
                <w:sz w:val="20"/>
                <w:szCs w:val="20"/>
                <w:lang w:val="en-GB"/>
              </w:rPr>
              <w:t xml:space="preserve"> and omissions when writing the names of institutions in the Hungarian language in the City of </w:t>
            </w:r>
            <w:proofErr w:type="spellStart"/>
            <w:r w:rsidRPr="0025467F">
              <w:rPr>
                <w:sz w:val="20"/>
                <w:szCs w:val="20"/>
                <w:lang w:val="en-GB"/>
              </w:rPr>
              <w:t>Kikinda</w:t>
            </w:r>
            <w:proofErr w:type="spellEnd"/>
          </w:p>
        </w:tc>
        <w:tc>
          <w:tcPr>
            <w:tcW w:w="2693" w:type="dxa"/>
          </w:tcPr>
          <w:p w14:paraId="16C11BF2" w14:textId="77777777" w:rsidR="00D7577D" w:rsidRPr="00D62D04" w:rsidRDefault="0025467F" w:rsidP="0025467F">
            <w:pPr>
              <w:spacing w:after="0"/>
              <w:rPr>
                <w:sz w:val="20"/>
                <w:szCs w:val="20"/>
                <w:highlight w:val="cyan"/>
                <w:lang w:val="en-GB"/>
              </w:rPr>
            </w:pPr>
            <w:r w:rsidRPr="0025467F">
              <w:rPr>
                <w:sz w:val="20"/>
                <w:szCs w:val="20"/>
                <w:lang w:val="en-GB"/>
              </w:rPr>
              <w:t xml:space="preserve">City </w:t>
            </w:r>
            <w:r>
              <w:rPr>
                <w:sz w:val="20"/>
                <w:szCs w:val="20"/>
                <w:lang w:val="en-GB"/>
              </w:rPr>
              <w:t>A</w:t>
            </w:r>
            <w:r w:rsidRPr="0025467F">
              <w:rPr>
                <w:sz w:val="20"/>
                <w:szCs w:val="20"/>
                <w:lang w:val="en-GB"/>
              </w:rPr>
              <w:t xml:space="preserve">dministration of </w:t>
            </w:r>
            <w:proofErr w:type="spellStart"/>
            <w:r w:rsidRPr="0025467F">
              <w:rPr>
                <w:sz w:val="20"/>
                <w:szCs w:val="20"/>
                <w:lang w:val="en-GB"/>
              </w:rPr>
              <w:t>Kikinda</w:t>
            </w:r>
            <w:proofErr w:type="spellEnd"/>
          </w:p>
        </w:tc>
        <w:tc>
          <w:tcPr>
            <w:tcW w:w="2268" w:type="dxa"/>
          </w:tcPr>
          <w:p w14:paraId="0959DB4C" w14:textId="77777777" w:rsidR="00D7577D" w:rsidRPr="00D62D04" w:rsidRDefault="0090185E" w:rsidP="00D7577D">
            <w:pPr>
              <w:spacing w:after="0"/>
              <w:rPr>
                <w:sz w:val="20"/>
                <w:szCs w:val="20"/>
                <w:highlight w:val="cyan"/>
                <w:lang w:val="en-GB"/>
              </w:rPr>
            </w:pPr>
            <w:r w:rsidRPr="0090185E">
              <w:rPr>
                <w:sz w:val="20"/>
                <w:szCs w:val="20"/>
                <w:lang w:val="en-GB"/>
              </w:rPr>
              <w:t>An extraordinary inspection was carried out. Ordered measures for writing. Measures taken</w:t>
            </w:r>
          </w:p>
        </w:tc>
      </w:tr>
      <w:tr w:rsidR="00155A83" w:rsidRPr="00D62D04" w14:paraId="7483A41F" w14:textId="77777777" w:rsidTr="00155A83">
        <w:tc>
          <w:tcPr>
            <w:tcW w:w="9067" w:type="dxa"/>
            <w:gridSpan w:val="4"/>
          </w:tcPr>
          <w:p w14:paraId="1C228CE3" w14:textId="77777777" w:rsidR="00155A83" w:rsidRPr="0090185E" w:rsidRDefault="00155A83" w:rsidP="0090185E">
            <w:pPr>
              <w:spacing w:after="0"/>
              <w:jc w:val="center"/>
              <w:rPr>
                <w:b/>
                <w:sz w:val="20"/>
                <w:szCs w:val="20"/>
                <w:lang w:val="en-GB"/>
              </w:rPr>
            </w:pPr>
            <w:r w:rsidRPr="0090185E">
              <w:rPr>
                <w:b/>
                <w:sz w:val="20"/>
                <w:szCs w:val="20"/>
                <w:lang w:val="en-GB"/>
              </w:rPr>
              <w:t>2021</w:t>
            </w:r>
          </w:p>
        </w:tc>
      </w:tr>
      <w:tr w:rsidR="00D7577D" w:rsidRPr="00D62D04" w14:paraId="25C6655B" w14:textId="77777777" w:rsidTr="002F25BF">
        <w:trPr>
          <w:trHeight w:val="548"/>
        </w:trPr>
        <w:tc>
          <w:tcPr>
            <w:tcW w:w="1440" w:type="dxa"/>
          </w:tcPr>
          <w:p w14:paraId="793C3A49" w14:textId="77777777" w:rsidR="00D7577D" w:rsidRPr="00D62D04" w:rsidRDefault="00D7577D" w:rsidP="002F25BF">
            <w:pPr>
              <w:spacing w:after="0"/>
              <w:jc w:val="center"/>
              <w:rPr>
                <w:b/>
                <w:sz w:val="20"/>
                <w:szCs w:val="20"/>
                <w:highlight w:val="cyan"/>
                <w:lang w:val="en-GB"/>
              </w:rPr>
            </w:pPr>
            <w:r w:rsidRPr="00862032">
              <w:rPr>
                <w:b/>
                <w:sz w:val="20"/>
                <w:szCs w:val="20"/>
                <w:lang w:val="en-GB"/>
              </w:rPr>
              <w:t>Complainant</w:t>
            </w:r>
          </w:p>
        </w:tc>
        <w:tc>
          <w:tcPr>
            <w:tcW w:w="2666" w:type="dxa"/>
          </w:tcPr>
          <w:p w14:paraId="1694FAA2" w14:textId="77777777" w:rsidR="00D7577D" w:rsidRPr="00862032" w:rsidRDefault="00D7577D" w:rsidP="002F25BF">
            <w:pPr>
              <w:spacing w:after="0"/>
              <w:jc w:val="center"/>
              <w:rPr>
                <w:b/>
                <w:sz w:val="20"/>
                <w:szCs w:val="20"/>
                <w:lang w:val="en-GB"/>
              </w:rPr>
            </w:pPr>
            <w:r w:rsidRPr="00862032">
              <w:rPr>
                <w:b/>
                <w:sz w:val="20"/>
                <w:szCs w:val="20"/>
                <w:lang w:val="en-GB"/>
              </w:rPr>
              <w:t>Grounds for complaint</w:t>
            </w:r>
          </w:p>
        </w:tc>
        <w:tc>
          <w:tcPr>
            <w:tcW w:w="2693" w:type="dxa"/>
          </w:tcPr>
          <w:p w14:paraId="6C5FD2EB" w14:textId="77777777" w:rsidR="00D7577D" w:rsidRPr="00D62D04" w:rsidRDefault="00D7577D" w:rsidP="002F25BF">
            <w:pPr>
              <w:spacing w:after="0"/>
              <w:jc w:val="center"/>
              <w:rPr>
                <w:b/>
                <w:sz w:val="20"/>
                <w:szCs w:val="20"/>
                <w:highlight w:val="cyan"/>
                <w:lang w:val="en-GB"/>
              </w:rPr>
            </w:pPr>
            <w:r w:rsidRPr="00862032">
              <w:rPr>
                <w:b/>
                <w:sz w:val="20"/>
                <w:szCs w:val="20"/>
                <w:lang w:val="en-GB"/>
              </w:rPr>
              <w:t xml:space="preserve">Complaint presented </w:t>
            </w:r>
            <w:r>
              <w:rPr>
                <w:b/>
                <w:sz w:val="20"/>
                <w:szCs w:val="20"/>
                <w:lang w:val="en-GB"/>
              </w:rPr>
              <w:t>pertaining</w:t>
            </w:r>
            <w:r w:rsidRPr="00862032">
              <w:rPr>
                <w:b/>
                <w:sz w:val="20"/>
                <w:szCs w:val="20"/>
                <w:lang w:val="en-GB"/>
              </w:rPr>
              <w:t xml:space="preserve"> to</w:t>
            </w:r>
          </w:p>
        </w:tc>
        <w:tc>
          <w:tcPr>
            <w:tcW w:w="2268" w:type="dxa"/>
          </w:tcPr>
          <w:p w14:paraId="332B78CF" w14:textId="77777777" w:rsidR="00D7577D" w:rsidRPr="00862032" w:rsidRDefault="00D7577D" w:rsidP="002F25BF">
            <w:pPr>
              <w:spacing w:after="0"/>
              <w:jc w:val="center"/>
              <w:rPr>
                <w:b/>
                <w:sz w:val="20"/>
                <w:szCs w:val="20"/>
                <w:lang w:val="en-GB"/>
              </w:rPr>
            </w:pPr>
            <w:r w:rsidRPr="00862032">
              <w:rPr>
                <w:b/>
                <w:sz w:val="20"/>
                <w:szCs w:val="20"/>
                <w:lang w:val="en-GB"/>
              </w:rPr>
              <w:t>Inspection activity</w:t>
            </w:r>
          </w:p>
        </w:tc>
      </w:tr>
      <w:tr w:rsidR="0090185E" w:rsidRPr="00D62D04" w14:paraId="4A09D358" w14:textId="77777777" w:rsidTr="00155A83">
        <w:tc>
          <w:tcPr>
            <w:tcW w:w="1440" w:type="dxa"/>
          </w:tcPr>
          <w:p w14:paraId="472B2AD3" w14:textId="77777777" w:rsidR="0090185E" w:rsidRPr="000E1A89" w:rsidRDefault="0090185E" w:rsidP="0090185E">
            <w:pPr>
              <w:spacing w:after="0"/>
              <w:rPr>
                <w:sz w:val="20"/>
                <w:szCs w:val="20"/>
                <w:lang w:val="en-GB"/>
              </w:rPr>
            </w:pPr>
            <w:r w:rsidRPr="000E1A89">
              <w:rPr>
                <w:sz w:val="20"/>
                <w:szCs w:val="20"/>
                <w:lang w:val="en-GB"/>
              </w:rPr>
              <w:t>Natural entity</w:t>
            </w:r>
          </w:p>
        </w:tc>
        <w:tc>
          <w:tcPr>
            <w:tcW w:w="2666" w:type="dxa"/>
          </w:tcPr>
          <w:p w14:paraId="5E16C787" w14:textId="77777777" w:rsidR="0090185E" w:rsidRPr="00D62D04" w:rsidRDefault="00D94553" w:rsidP="00D94553">
            <w:pPr>
              <w:spacing w:after="0"/>
              <w:rPr>
                <w:sz w:val="20"/>
                <w:szCs w:val="20"/>
                <w:highlight w:val="cyan"/>
                <w:lang w:val="en-GB"/>
              </w:rPr>
            </w:pPr>
            <w:r w:rsidRPr="00D94553">
              <w:rPr>
                <w:sz w:val="20"/>
                <w:szCs w:val="20"/>
                <w:lang w:val="en-GB"/>
              </w:rPr>
              <w:t xml:space="preserve">Incomplete application of the right to the official use of languages and </w:t>
            </w:r>
            <w:r>
              <w:rPr>
                <w:sz w:val="20"/>
                <w:szCs w:val="20"/>
                <w:lang w:val="en-GB"/>
              </w:rPr>
              <w:t>script</w:t>
            </w:r>
            <w:r w:rsidRPr="00D94553">
              <w:rPr>
                <w:sz w:val="20"/>
                <w:szCs w:val="20"/>
                <w:lang w:val="en-GB"/>
              </w:rPr>
              <w:t>s when marking cemeteries in the territory of the City of Novi Sad</w:t>
            </w:r>
          </w:p>
        </w:tc>
        <w:tc>
          <w:tcPr>
            <w:tcW w:w="2693" w:type="dxa"/>
          </w:tcPr>
          <w:p w14:paraId="2AF16EF2" w14:textId="77777777" w:rsidR="0090185E" w:rsidRPr="00D94553" w:rsidRDefault="00D94553" w:rsidP="0090185E">
            <w:pPr>
              <w:spacing w:after="0"/>
              <w:rPr>
                <w:sz w:val="20"/>
                <w:szCs w:val="20"/>
                <w:lang w:val="en-GB"/>
              </w:rPr>
            </w:pPr>
            <w:r w:rsidRPr="00D94553">
              <w:rPr>
                <w:sz w:val="20"/>
                <w:szCs w:val="20"/>
                <w:lang w:val="en-GB"/>
              </w:rPr>
              <w:t>PUC “</w:t>
            </w:r>
            <w:proofErr w:type="spellStart"/>
            <w:r w:rsidRPr="00D94553">
              <w:rPr>
                <w:sz w:val="20"/>
                <w:szCs w:val="20"/>
                <w:lang w:val="en-GB"/>
              </w:rPr>
              <w:t>Lisje</w:t>
            </w:r>
            <w:proofErr w:type="spellEnd"/>
            <w:r w:rsidRPr="00D94553">
              <w:rPr>
                <w:sz w:val="20"/>
                <w:szCs w:val="20"/>
                <w:lang w:val="en-GB"/>
              </w:rPr>
              <w:t xml:space="preserve"> Novi Sad</w:t>
            </w:r>
          </w:p>
        </w:tc>
        <w:tc>
          <w:tcPr>
            <w:tcW w:w="2268" w:type="dxa"/>
          </w:tcPr>
          <w:p w14:paraId="0B39F8C8" w14:textId="77777777" w:rsidR="0090185E" w:rsidRPr="00D62D04" w:rsidRDefault="005C26A8" w:rsidP="005C26A8">
            <w:pPr>
              <w:spacing w:after="0"/>
              <w:rPr>
                <w:sz w:val="20"/>
                <w:szCs w:val="20"/>
                <w:highlight w:val="cyan"/>
                <w:lang w:val="en-GB"/>
              </w:rPr>
            </w:pPr>
            <w:r w:rsidRPr="005C26A8">
              <w:rPr>
                <w:sz w:val="20"/>
                <w:szCs w:val="20"/>
                <w:lang w:val="en-GB"/>
              </w:rPr>
              <w:t>An official advisory visit was made to PU</w:t>
            </w:r>
            <w:r>
              <w:rPr>
                <w:sz w:val="20"/>
                <w:szCs w:val="20"/>
                <w:lang w:val="en-GB"/>
              </w:rPr>
              <w:t>C</w:t>
            </w:r>
            <w:r w:rsidRPr="005C26A8">
              <w:rPr>
                <w:sz w:val="20"/>
                <w:szCs w:val="20"/>
                <w:lang w:val="en-GB"/>
              </w:rPr>
              <w:t xml:space="preserve"> "</w:t>
            </w:r>
            <w:proofErr w:type="spellStart"/>
            <w:r w:rsidRPr="005C26A8">
              <w:rPr>
                <w:sz w:val="20"/>
                <w:szCs w:val="20"/>
                <w:lang w:val="en-GB"/>
              </w:rPr>
              <w:t>Lisje</w:t>
            </w:r>
            <w:proofErr w:type="spellEnd"/>
            <w:r w:rsidRPr="005C26A8">
              <w:rPr>
                <w:sz w:val="20"/>
                <w:szCs w:val="20"/>
                <w:lang w:val="en-GB"/>
              </w:rPr>
              <w:t xml:space="preserve">" Novi Sad and the City Administration of Novi Sad. A recommendation was issued regarding the provision of complete and correct </w:t>
            </w:r>
            <w:r>
              <w:rPr>
                <w:sz w:val="20"/>
                <w:szCs w:val="20"/>
                <w:lang w:val="en-GB"/>
              </w:rPr>
              <w:t>inscriptions</w:t>
            </w:r>
            <w:r w:rsidRPr="005C26A8">
              <w:rPr>
                <w:sz w:val="20"/>
                <w:szCs w:val="20"/>
                <w:lang w:val="en-GB"/>
              </w:rPr>
              <w:t>.</w:t>
            </w:r>
          </w:p>
        </w:tc>
      </w:tr>
      <w:tr w:rsidR="00155A83" w:rsidRPr="00D62D04" w14:paraId="6EA28E7C" w14:textId="77777777" w:rsidTr="00155A83">
        <w:tc>
          <w:tcPr>
            <w:tcW w:w="1440" w:type="dxa"/>
          </w:tcPr>
          <w:p w14:paraId="75FDA3C4" w14:textId="77777777" w:rsidR="00155A83" w:rsidRPr="00D62D04" w:rsidRDefault="008D1B3E" w:rsidP="008D1B3E">
            <w:pPr>
              <w:spacing w:after="0"/>
              <w:rPr>
                <w:sz w:val="20"/>
                <w:szCs w:val="20"/>
                <w:highlight w:val="cyan"/>
                <w:lang w:val="en-GB"/>
              </w:rPr>
            </w:pPr>
            <w:r w:rsidRPr="008D1B3E">
              <w:rPr>
                <w:sz w:val="20"/>
                <w:szCs w:val="20"/>
                <w:lang w:val="en-GB"/>
              </w:rPr>
              <w:t xml:space="preserve">A natural </w:t>
            </w:r>
            <w:r>
              <w:rPr>
                <w:sz w:val="20"/>
                <w:szCs w:val="20"/>
                <w:lang w:val="en-GB"/>
              </w:rPr>
              <w:t>entity</w:t>
            </w:r>
            <w:r w:rsidRPr="008D1B3E">
              <w:rPr>
                <w:sz w:val="20"/>
                <w:szCs w:val="20"/>
                <w:lang w:val="en-GB"/>
              </w:rPr>
              <w:t xml:space="preserve"> on behalf of the Democratic Union of </w:t>
            </w:r>
            <w:proofErr w:type="spellStart"/>
            <w:r w:rsidRPr="008D1B3E">
              <w:rPr>
                <w:sz w:val="20"/>
                <w:szCs w:val="20"/>
                <w:lang w:val="en-GB"/>
              </w:rPr>
              <w:t>Vojvodina</w:t>
            </w:r>
            <w:proofErr w:type="spellEnd"/>
            <w:r w:rsidRPr="008D1B3E">
              <w:rPr>
                <w:sz w:val="20"/>
                <w:szCs w:val="20"/>
                <w:lang w:val="en-GB"/>
              </w:rPr>
              <w:t xml:space="preserve"> Hungarians (D</w:t>
            </w:r>
            <w:r>
              <w:rPr>
                <w:sz w:val="20"/>
                <w:szCs w:val="20"/>
                <w:lang w:val="en-GB"/>
              </w:rPr>
              <w:t>UVH</w:t>
            </w:r>
            <w:r w:rsidRPr="008D1B3E">
              <w:rPr>
                <w:sz w:val="20"/>
                <w:szCs w:val="20"/>
                <w:lang w:val="en-GB"/>
              </w:rPr>
              <w:t>)</w:t>
            </w:r>
          </w:p>
        </w:tc>
        <w:tc>
          <w:tcPr>
            <w:tcW w:w="2666" w:type="dxa"/>
          </w:tcPr>
          <w:p w14:paraId="1E809D60" w14:textId="77777777" w:rsidR="00155A83" w:rsidRPr="00D62D04" w:rsidRDefault="008D1B3E" w:rsidP="008D1B3E">
            <w:pPr>
              <w:spacing w:after="0"/>
              <w:rPr>
                <w:sz w:val="20"/>
                <w:szCs w:val="20"/>
                <w:highlight w:val="cyan"/>
                <w:lang w:val="en-GB"/>
              </w:rPr>
            </w:pPr>
            <w:r>
              <w:rPr>
                <w:sz w:val="20"/>
                <w:szCs w:val="20"/>
                <w:lang w:val="en-GB"/>
              </w:rPr>
              <w:t>Indicating</w:t>
            </w:r>
            <w:r w:rsidRPr="008D1B3E">
              <w:rPr>
                <w:sz w:val="20"/>
                <w:szCs w:val="20"/>
                <w:lang w:val="en-GB"/>
              </w:rPr>
              <w:t xml:space="preserve"> the incomplete implementation of the regulations on the official use of languages and </w:t>
            </w:r>
            <w:r>
              <w:rPr>
                <w:sz w:val="20"/>
                <w:szCs w:val="20"/>
                <w:lang w:val="en-GB"/>
              </w:rPr>
              <w:t>scripts</w:t>
            </w:r>
            <w:r w:rsidRPr="008D1B3E">
              <w:rPr>
                <w:sz w:val="20"/>
                <w:szCs w:val="20"/>
                <w:lang w:val="en-GB"/>
              </w:rPr>
              <w:t xml:space="preserve"> in traffic signs on road routes</w:t>
            </w:r>
          </w:p>
        </w:tc>
        <w:tc>
          <w:tcPr>
            <w:tcW w:w="2693" w:type="dxa"/>
          </w:tcPr>
          <w:p w14:paraId="4722396D" w14:textId="77777777" w:rsidR="00155A83" w:rsidRPr="00D62D04" w:rsidRDefault="008D1B3E" w:rsidP="008D1B3E">
            <w:pPr>
              <w:spacing w:after="0"/>
              <w:rPr>
                <w:sz w:val="20"/>
                <w:szCs w:val="20"/>
                <w:highlight w:val="cyan"/>
                <w:lang w:val="en-GB"/>
              </w:rPr>
            </w:pPr>
            <w:r w:rsidRPr="008D1B3E">
              <w:rPr>
                <w:sz w:val="20"/>
                <w:szCs w:val="20"/>
                <w:lang w:val="en-GB"/>
              </w:rPr>
              <w:t>Several local self-government</w:t>
            </w:r>
            <w:r>
              <w:rPr>
                <w:sz w:val="20"/>
                <w:szCs w:val="20"/>
                <w:lang w:val="en-GB"/>
              </w:rPr>
              <w:t xml:space="preserve"> unit</w:t>
            </w:r>
            <w:r w:rsidRPr="008D1B3E">
              <w:rPr>
                <w:sz w:val="20"/>
                <w:szCs w:val="20"/>
                <w:lang w:val="en-GB"/>
              </w:rPr>
              <w:t xml:space="preserve">s in North </w:t>
            </w:r>
            <w:proofErr w:type="spellStart"/>
            <w:r w:rsidRPr="008D1B3E">
              <w:rPr>
                <w:sz w:val="20"/>
                <w:szCs w:val="20"/>
                <w:lang w:val="en-GB"/>
              </w:rPr>
              <w:t>Bačka</w:t>
            </w:r>
            <w:proofErr w:type="spellEnd"/>
            <w:r w:rsidRPr="008D1B3E">
              <w:rPr>
                <w:sz w:val="20"/>
                <w:szCs w:val="20"/>
                <w:lang w:val="en-GB"/>
              </w:rPr>
              <w:t xml:space="preserve"> District</w:t>
            </w:r>
            <w:r>
              <w:rPr>
                <w:sz w:val="20"/>
                <w:szCs w:val="20"/>
                <w:lang w:val="en-GB"/>
              </w:rPr>
              <w:t xml:space="preserve"> </w:t>
            </w:r>
            <w:r w:rsidRPr="008D1B3E">
              <w:rPr>
                <w:sz w:val="20"/>
                <w:szCs w:val="20"/>
                <w:lang w:val="en-GB"/>
              </w:rPr>
              <w:t>and North Ba</w:t>
            </w:r>
            <w:r>
              <w:rPr>
                <w:sz w:val="20"/>
                <w:szCs w:val="20"/>
                <w:lang w:val="en-GB"/>
              </w:rPr>
              <w:t>nat</w:t>
            </w:r>
            <w:r w:rsidRPr="008D1B3E">
              <w:rPr>
                <w:sz w:val="20"/>
                <w:szCs w:val="20"/>
                <w:lang w:val="en-GB"/>
              </w:rPr>
              <w:t xml:space="preserve"> District</w:t>
            </w:r>
          </w:p>
        </w:tc>
        <w:tc>
          <w:tcPr>
            <w:tcW w:w="2268" w:type="dxa"/>
          </w:tcPr>
          <w:p w14:paraId="0701E45E" w14:textId="77777777" w:rsidR="00155A83" w:rsidRPr="00D62D04" w:rsidRDefault="008D1B3E" w:rsidP="008D1B3E">
            <w:pPr>
              <w:spacing w:after="0"/>
              <w:rPr>
                <w:sz w:val="20"/>
                <w:szCs w:val="20"/>
                <w:highlight w:val="cyan"/>
                <w:lang w:val="en-GB"/>
              </w:rPr>
            </w:pPr>
            <w:r w:rsidRPr="008D1B3E">
              <w:rPr>
                <w:sz w:val="20"/>
                <w:szCs w:val="20"/>
                <w:lang w:val="en-GB"/>
              </w:rPr>
              <w:t xml:space="preserve">The inspection submitted a notice on the implementation of the opinion of the Secretariat for Legislation </w:t>
            </w:r>
            <w:r>
              <w:rPr>
                <w:sz w:val="20"/>
                <w:szCs w:val="20"/>
                <w:lang w:val="en-GB"/>
              </w:rPr>
              <w:t xml:space="preserve">of the </w:t>
            </w:r>
            <w:r w:rsidRPr="008D1B3E">
              <w:rPr>
                <w:sz w:val="20"/>
                <w:szCs w:val="20"/>
                <w:lang w:val="en-GB"/>
              </w:rPr>
              <w:t>Republic</w:t>
            </w:r>
            <w:r>
              <w:rPr>
                <w:sz w:val="20"/>
                <w:szCs w:val="20"/>
                <w:lang w:val="en-GB"/>
              </w:rPr>
              <w:t xml:space="preserve"> of Serbia</w:t>
            </w:r>
            <w:r w:rsidRPr="008D1B3E">
              <w:rPr>
                <w:sz w:val="20"/>
                <w:szCs w:val="20"/>
                <w:lang w:val="en-GB"/>
              </w:rPr>
              <w:t xml:space="preserve">, number 011-00-00065/2021-01 </w:t>
            </w:r>
            <w:r>
              <w:rPr>
                <w:sz w:val="20"/>
                <w:szCs w:val="20"/>
                <w:lang w:val="en-GB"/>
              </w:rPr>
              <w:t>from</w:t>
            </w:r>
            <w:r w:rsidRPr="008D1B3E">
              <w:rPr>
                <w:sz w:val="20"/>
                <w:szCs w:val="20"/>
                <w:lang w:val="en-GB"/>
              </w:rPr>
              <w:t xml:space="preserve"> </w:t>
            </w:r>
            <w:r>
              <w:rPr>
                <w:sz w:val="20"/>
                <w:szCs w:val="20"/>
                <w:lang w:val="en-GB"/>
              </w:rPr>
              <w:t xml:space="preserve">19 </w:t>
            </w:r>
            <w:r w:rsidRPr="008D1B3E">
              <w:rPr>
                <w:sz w:val="20"/>
                <w:szCs w:val="20"/>
                <w:lang w:val="en-GB"/>
              </w:rPr>
              <w:t xml:space="preserve">March 2021. No </w:t>
            </w:r>
            <w:r w:rsidRPr="008D1B3E">
              <w:rPr>
                <w:sz w:val="20"/>
                <w:szCs w:val="20"/>
                <w:lang w:val="en-GB"/>
              </w:rPr>
              <w:lastRenderedPageBreak/>
              <w:t>inspection has been initiated.</w:t>
            </w:r>
          </w:p>
        </w:tc>
      </w:tr>
      <w:tr w:rsidR="0090185E" w:rsidRPr="00D62D04" w14:paraId="4601E0CA" w14:textId="77777777" w:rsidTr="00155A83">
        <w:tc>
          <w:tcPr>
            <w:tcW w:w="1440" w:type="dxa"/>
          </w:tcPr>
          <w:p w14:paraId="6D412EEB" w14:textId="77777777" w:rsidR="0090185E" w:rsidRPr="000E1A89" w:rsidRDefault="0090185E" w:rsidP="0090185E">
            <w:pPr>
              <w:spacing w:after="0"/>
              <w:rPr>
                <w:sz w:val="20"/>
                <w:szCs w:val="20"/>
                <w:lang w:val="en-GB"/>
              </w:rPr>
            </w:pPr>
            <w:r w:rsidRPr="000E1A89">
              <w:rPr>
                <w:sz w:val="20"/>
                <w:szCs w:val="20"/>
                <w:lang w:val="en-GB"/>
              </w:rPr>
              <w:lastRenderedPageBreak/>
              <w:t>Natural entity</w:t>
            </w:r>
          </w:p>
        </w:tc>
        <w:tc>
          <w:tcPr>
            <w:tcW w:w="2666" w:type="dxa"/>
          </w:tcPr>
          <w:p w14:paraId="78B1E195" w14:textId="77777777" w:rsidR="0090185E" w:rsidRPr="00146118" w:rsidRDefault="00146118" w:rsidP="0090185E">
            <w:pPr>
              <w:spacing w:after="0"/>
              <w:rPr>
                <w:sz w:val="20"/>
                <w:szCs w:val="20"/>
                <w:lang w:val="en-GB"/>
              </w:rPr>
            </w:pPr>
            <w:r>
              <w:rPr>
                <w:sz w:val="20"/>
                <w:szCs w:val="20"/>
                <w:lang w:val="en-GB"/>
              </w:rPr>
              <w:t>Indicating</w:t>
            </w:r>
            <w:r w:rsidRPr="00146118">
              <w:rPr>
                <w:sz w:val="20"/>
                <w:szCs w:val="20"/>
                <w:lang w:val="en-GB"/>
              </w:rPr>
              <w:t xml:space="preserve"> the crossing out of signs with the names of </w:t>
            </w:r>
            <w:r>
              <w:rPr>
                <w:sz w:val="20"/>
                <w:szCs w:val="20"/>
                <w:lang w:val="en-GB"/>
              </w:rPr>
              <w:t>settlements</w:t>
            </w:r>
            <w:r w:rsidRPr="00146118">
              <w:rPr>
                <w:sz w:val="20"/>
                <w:szCs w:val="20"/>
                <w:lang w:val="en-GB"/>
              </w:rPr>
              <w:t xml:space="preserve"> in the Municipality of </w:t>
            </w:r>
            <w:proofErr w:type="spellStart"/>
            <w:r w:rsidRPr="00146118">
              <w:rPr>
                <w:sz w:val="20"/>
                <w:szCs w:val="20"/>
                <w:lang w:val="en-GB"/>
              </w:rPr>
              <w:t>Kovačica</w:t>
            </w:r>
            <w:proofErr w:type="spellEnd"/>
            <w:r w:rsidRPr="00146118">
              <w:rPr>
                <w:sz w:val="20"/>
                <w:szCs w:val="20"/>
                <w:lang w:val="en-GB"/>
              </w:rPr>
              <w:t xml:space="preserve"> and the writing of inscriptions on the building of the Municipality of </w:t>
            </w:r>
            <w:proofErr w:type="spellStart"/>
            <w:r w:rsidRPr="00146118">
              <w:rPr>
                <w:sz w:val="20"/>
                <w:szCs w:val="20"/>
                <w:lang w:val="en-GB"/>
              </w:rPr>
              <w:t>Kovačica</w:t>
            </w:r>
            <w:proofErr w:type="spellEnd"/>
            <w:r w:rsidRPr="00146118">
              <w:rPr>
                <w:sz w:val="20"/>
                <w:szCs w:val="20"/>
                <w:lang w:val="en-GB"/>
              </w:rPr>
              <w:t xml:space="preserve">. Incomplete implementation of the official use of the language and </w:t>
            </w:r>
            <w:r>
              <w:rPr>
                <w:sz w:val="20"/>
                <w:szCs w:val="20"/>
                <w:lang w:val="en-GB"/>
              </w:rPr>
              <w:t>script</w:t>
            </w:r>
            <w:r w:rsidRPr="00146118">
              <w:rPr>
                <w:sz w:val="20"/>
                <w:szCs w:val="20"/>
                <w:lang w:val="en-GB"/>
              </w:rPr>
              <w:t xml:space="preserve"> on the "Mihajlo Pupin" </w:t>
            </w:r>
            <w:r>
              <w:rPr>
                <w:sz w:val="20"/>
                <w:szCs w:val="20"/>
                <w:lang w:val="en-GB"/>
              </w:rPr>
              <w:t>Grammar School signboard</w:t>
            </w:r>
            <w:r w:rsidRPr="00146118">
              <w:rPr>
                <w:sz w:val="20"/>
                <w:szCs w:val="20"/>
                <w:lang w:val="en-GB"/>
              </w:rPr>
              <w:t xml:space="preserve"> in </w:t>
            </w:r>
            <w:proofErr w:type="spellStart"/>
            <w:r w:rsidRPr="00146118">
              <w:rPr>
                <w:sz w:val="20"/>
                <w:szCs w:val="20"/>
                <w:lang w:val="en-GB"/>
              </w:rPr>
              <w:t>Kovačica</w:t>
            </w:r>
            <w:proofErr w:type="spellEnd"/>
            <w:r w:rsidRPr="00146118">
              <w:rPr>
                <w:sz w:val="20"/>
                <w:szCs w:val="20"/>
                <w:lang w:val="en-GB"/>
              </w:rPr>
              <w:t xml:space="preserve">, National Employment Service </w:t>
            </w:r>
            <w:r>
              <w:rPr>
                <w:sz w:val="20"/>
                <w:szCs w:val="20"/>
                <w:lang w:val="en-GB"/>
              </w:rPr>
              <w:t xml:space="preserve">of the </w:t>
            </w:r>
            <w:r w:rsidRPr="00146118">
              <w:rPr>
                <w:sz w:val="20"/>
                <w:szCs w:val="20"/>
                <w:lang w:val="en-GB"/>
              </w:rPr>
              <w:t xml:space="preserve">Provincial Employment Service </w:t>
            </w:r>
            <w:proofErr w:type="spellStart"/>
            <w:r>
              <w:rPr>
                <w:sz w:val="20"/>
                <w:szCs w:val="20"/>
                <w:lang w:val="en-GB"/>
              </w:rPr>
              <w:t>Pančevo</w:t>
            </w:r>
            <w:proofErr w:type="spellEnd"/>
            <w:r>
              <w:rPr>
                <w:sz w:val="20"/>
                <w:szCs w:val="20"/>
                <w:lang w:val="en-GB"/>
              </w:rPr>
              <w:t xml:space="preserve"> </w:t>
            </w:r>
            <w:r w:rsidRPr="00146118">
              <w:rPr>
                <w:sz w:val="20"/>
                <w:szCs w:val="20"/>
                <w:lang w:val="en-GB"/>
              </w:rPr>
              <w:t xml:space="preserve">Branch - </w:t>
            </w:r>
            <w:proofErr w:type="spellStart"/>
            <w:r w:rsidRPr="00146118">
              <w:rPr>
                <w:sz w:val="20"/>
                <w:szCs w:val="20"/>
                <w:lang w:val="en-GB"/>
              </w:rPr>
              <w:t>Kovačica</w:t>
            </w:r>
            <w:proofErr w:type="spellEnd"/>
            <w:r w:rsidRPr="00146118">
              <w:rPr>
                <w:sz w:val="20"/>
                <w:szCs w:val="20"/>
                <w:lang w:val="en-GB"/>
              </w:rPr>
              <w:t xml:space="preserve"> Branch, Cent</w:t>
            </w:r>
            <w:r>
              <w:rPr>
                <w:sz w:val="20"/>
                <w:szCs w:val="20"/>
                <w:lang w:val="en-GB"/>
              </w:rPr>
              <w:t>re</w:t>
            </w:r>
            <w:r w:rsidRPr="00146118">
              <w:rPr>
                <w:sz w:val="20"/>
                <w:szCs w:val="20"/>
                <w:lang w:val="en-GB"/>
              </w:rPr>
              <w:t xml:space="preserve"> for Social Work in </w:t>
            </w:r>
            <w:proofErr w:type="spellStart"/>
            <w:r w:rsidRPr="00146118">
              <w:rPr>
                <w:sz w:val="20"/>
                <w:szCs w:val="20"/>
                <w:lang w:val="en-GB"/>
              </w:rPr>
              <w:t>Kovačica</w:t>
            </w:r>
            <w:proofErr w:type="spellEnd"/>
            <w:r w:rsidRPr="00146118">
              <w:rPr>
                <w:sz w:val="20"/>
                <w:szCs w:val="20"/>
                <w:lang w:val="en-GB"/>
              </w:rPr>
              <w:t xml:space="preserve">, National Health Insurance Fund - </w:t>
            </w:r>
            <w:proofErr w:type="spellStart"/>
            <w:r w:rsidRPr="00146118">
              <w:rPr>
                <w:sz w:val="20"/>
                <w:szCs w:val="20"/>
                <w:lang w:val="en-GB"/>
              </w:rPr>
              <w:t>Kovačica</w:t>
            </w:r>
            <w:proofErr w:type="spellEnd"/>
            <w:r w:rsidRPr="00146118">
              <w:rPr>
                <w:sz w:val="20"/>
                <w:szCs w:val="20"/>
                <w:lang w:val="en-GB"/>
              </w:rPr>
              <w:t xml:space="preserve"> Branch, RG</w:t>
            </w:r>
            <w:r>
              <w:rPr>
                <w:sz w:val="20"/>
                <w:szCs w:val="20"/>
                <w:lang w:val="en-GB"/>
              </w:rPr>
              <w:t>A</w:t>
            </w:r>
            <w:r w:rsidRPr="00146118">
              <w:rPr>
                <w:sz w:val="20"/>
                <w:szCs w:val="20"/>
                <w:lang w:val="en-GB"/>
              </w:rPr>
              <w:t xml:space="preserve"> </w:t>
            </w:r>
            <w:r>
              <w:rPr>
                <w:sz w:val="20"/>
                <w:szCs w:val="20"/>
                <w:lang w:val="en-GB"/>
              </w:rPr>
              <w:t>–</w:t>
            </w:r>
            <w:r w:rsidRPr="00146118">
              <w:rPr>
                <w:sz w:val="20"/>
                <w:szCs w:val="20"/>
                <w:lang w:val="en-GB"/>
              </w:rPr>
              <w:t xml:space="preserve"> </w:t>
            </w:r>
            <w:r>
              <w:rPr>
                <w:sz w:val="20"/>
                <w:szCs w:val="20"/>
                <w:lang w:val="en-GB"/>
              </w:rPr>
              <w:t xml:space="preserve">Real Estate Cadastre in </w:t>
            </w:r>
            <w:proofErr w:type="spellStart"/>
            <w:r w:rsidRPr="00146118">
              <w:rPr>
                <w:sz w:val="20"/>
                <w:szCs w:val="20"/>
                <w:lang w:val="en-GB"/>
              </w:rPr>
              <w:t>Kovačica</w:t>
            </w:r>
            <w:proofErr w:type="spellEnd"/>
          </w:p>
        </w:tc>
        <w:tc>
          <w:tcPr>
            <w:tcW w:w="2693" w:type="dxa"/>
          </w:tcPr>
          <w:p w14:paraId="5B2806D7" w14:textId="77777777" w:rsidR="0090185E" w:rsidRPr="00D62D04" w:rsidRDefault="00146118" w:rsidP="00146118">
            <w:pPr>
              <w:spacing w:after="0"/>
              <w:jc w:val="both"/>
              <w:rPr>
                <w:sz w:val="20"/>
                <w:szCs w:val="20"/>
                <w:highlight w:val="cyan"/>
                <w:lang w:val="en-GB"/>
              </w:rPr>
            </w:pPr>
            <w:r w:rsidRPr="00146118">
              <w:rPr>
                <w:sz w:val="20"/>
                <w:szCs w:val="20"/>
                <w:lang w:val="en-GB"/>
              </w:rPr>
              <w:t xml:space="preserve">Municipal </w:t>
            </w:r>
            <w:r>
              <w:rPr>
                <w:sz w:val="20"/>
                <w:szCs w:val="20"/>
                <w:lang w:val="en-GB"/>
              </w:rPr>
              <w:t>A</w:t>
            </w:r>
            <w:r w:rsidRPr="00146118">
              <w:rPr>
                <w:sz w:val="20"/>
                <w:szCs w:val="20"/>
                <w:lang w:val="en-GB"/>
              </w:rPr>
              <w:t xml:space="preserve">dministration of </w:t>
            </w:r>
            <w:proofErr w:type="spellStart"/>
            <w:r w:rsidRPr="00146118">
              <w:rPr>
                <w:sz w:val="20"/>
                <w:szCs w:val="20"/>
                <w:lang w:val="en-GB"/>
              </w:rPr>
              <w:t>Kovačica</w:t>
            </w:r>
            <w:proofErr w:type="spellEnd"/>
          </w:p>
        </w:tc>
        <w:tc>
          <w:tcPr>
            <w:tcW w:w="2268" w:type="dxa"/>
          </w:tcPr>
          <w:p w14:paraId="299B4DBC" w14:textId="77777777" w:rsidR="0090185E" w:rsidRPr="00782729" w:rsidRDefault="00146118" w:rsidP="0090185E">
            <w:pPr>
              <w:spacing w:after="0"/>
              <w:rPr>
                <w:sz w:val="20"/>
                <w:szCs w:val="20"/>
                <w:lang w:val="en-GB"/>
              </w:rPr>
            </w:pPr>
            <w:r w:rsidRPr="00146118">
              <w:rPr>
                <w:sz w:val="20"/>
                <w:szCs w:val="20"/>
                <w:lang w:val="en-GB"/>
              </w:rPr>
              <w:t xml:space="preserve">The </w:t>
            </w:r>
            <w:r>
              <w:rPr>
                <w:sz w:val="20"/>
                <w:szCs w:val="20"/>
                <w:lang w:val="en-GB"/>
              </w:rPr>
              <w:t>complainant</w:t>
            </w:r>
            <w:r w:rsidRPr="00146118">
              <w:rPr>
                <w:sz w:val="20"/>
                <w:szCs w:val="20"/>
                <w:lang w:val="en-GB"/>
              </w:rPr>
              <w:t xml:space="preserve"> was informed about the inspection procedure. No supervision was initiated due to the situation outside the jurisdiction of the inspection and the absence of an appropriate degree of risk. Acts have been issued on the implementation of regulations with recommendations for the full implementation of the official use of language and </w:t>
            </w:r>
            <w:r w:rsidR="00782729">
              <w:rPr>
                <w:sz w:val="20"/>
                <w:szCs w:val="20"/>
                <w:lang w:val="en-GB"/>
              </w:rPr>
              <w:t>script</w:t>
            </w:r>
            <w:r w:rsidRPr="00146118">
              <w:rPr>
                <w:sz w:val="20"/>
                <w:szCs w:val="20"/>
                <w:lang w:val="en-GB"/>
              </w:rPr>
              <w:t xml:space="preserve"> in the </w:t>
            </w:r>
            <w:r w:rsidR="00782729" w:rsidRPr="00146118">
              <w:rPr>
                <w:sz w:val="20"/>
                <w:szCs w:val="20"/>
                <w:lang w:val="en-GB"/>
              </w:rPr>
              <w:t xml:space="preserve">"Mihajlo Pupin" </w:t>
            </w:r>
            <w:r w:rsidR="00782729">
              <w:rPr>
                <w:sz w:val="20"/>
                <w:szCs w:val="20"/>
                <w:lang w:val="en-GB"/>
              </w:rPr>
              <w:t xml:space="preserve">Grammar School </w:t>
            </w:r>
            <w:r w:rsidRPr="00146118">
              <w:rPr>
                <w:sz w:val="20"/>
                <w:szCs w:val="20"/>
                <w:lang w:val="en-GB"/>
              </w:rPr>
              <w:t xml:space="preserve">in </w:t>
            </w:r>
            <w:proofErr w:type="spellStart"/>
            <w:r w:rsidRPr="00146118">
              <w:rPr>
                <w:sz w:val="20"/>
                <w:szCs w:val="20"/>
                <w:lang w:val="en-GB"/>
              </w:rPr>
              <w:t>Kovačica</w:t>
            </w:r>
            <w:proofErr w:type="spellEnd"/>
            <w:r w:rsidRPr="00146118">
              <w:rPr>
                <w:sz w:val="20"/>
                <w:szCs w:val="20"/>
                <w:lang w:val="en-GB"/>
              </w:rPr>
              <w:t xml:space="preserve">, </w:t>
            </w:r>
            <w:r w:rsidR="00782729" w:rsidRPr="00146118">
              <w:rPr>
                <w:sz w:val="20"/>
                <w:szCs w:val="20"/>
                <w:lang w:val="en-GB"/>
              </w:rPr>
              <w:t xml:space="preserve">National Employment Service </w:t>
            </w:r>
            <w:r w:rsidR="00782729">
              <w:rPr>
                <w:sz w:val="20"/>
                <w:szCs w:val="20"/>
                <w:lang w:val="en-GB"/>
              </w:rPr>
              <w:t xml:space="preserve">of the </w:t>
            </w:r>
            <w:r w:rsidR="00782729" w:rsidRPr="00146118">
              <w:rPr>
                <w:sz w:val="20"/>
                <w:szCs w:val="20"/>
                <w:lang w:val="en-GB"/>
              </w:rPr>
              <w:t xml:space="preserve">Provincial Employment Service </w:t>
            </w:r>
            <w:proofErr w:type="spellStart"/>
            <w:r w:rsidR="00782729">
              <w:rPr>
                <w:sz w:val="20"/>
                <w:szCs w:val="20"/>
                <w:lang w:val="en-GB"/>
              </w:rPr>
              <w:t>Pančevo</w:t>
            </w:r>
            <w:proofErr w:type="spellEnd"/>
            <w:r w:rsidR="00782729">
              <w:rPr>
                <w:sz w:val="20"/>
                <w:szCs w:val="20"/>
                <w:lang w:val="en-GB"/>
              </w:rPr>
              <w:t xml:space="preserve"> </w:t>
            </w:r>
            <w:r w:rsidR="00782729" w:rsidRPr="00146118">
              <w:rPr>
                <w:sz w:val="20"/>
                <w:szCs w:val="20"/>
                <w:lang w:val="en-GB"/>
              </w:rPr>
              <w:t xml:space="preserve">Branch - </w:t>
            </w:r>
            <w:proofErr w:type="spellStart"/>
            <w:r w:rsidR="00782729" w:rsidRPr="00146118">
              <w:rPr>
                <w:sz w:val="20"/>
                <w:szCs w:val="20"/>
                <w:lang w:val="en-GB"/>
              </w:rPr>
              <w:t>Kovačica</w:t>
            </w:r>
            <w:proofErr w:type="spellEnd"/>
            <w:r w:rsidR="00782729" w:rsidRPr="00146118">
              <w:rPr>
                <w:sz w:val="20"/>
                <w:szCs w:val="20"/>
                <w:lang w:val="en-GB"/>
              </w:rPr>
              <w:t xml:space="preserve"> Branch, Cent</w:t>
            </w:r>
            <w:r w:rsidR="00782729">
              <w:rPr>
                <w:sz w:val="20"/>
                <w:szCs w:val="20"/>
                <w:lang w:val="en-GB"/>
              </w:rPr>
              <w:t>re</w:t>
            </w:r>
            <w:r w:rsidR="00782729" w:rsidRPr="00146118">
              <w:rPr>
                <w:sz w:val="20"/>
                <w:szCs w:val="20"/>
                <w:lang w:val="en-GB"/>
              </w:rPr>
              <w:t xml:space="preserve"> for Social Work in </w:t>
            </w:r>
            <w:proofErr w:type="spellStart"/>
            <w:r w:rsidR="00782729" w:rsidRPr="00146118">
              <w:rPr>
                <w:sz w:val="20"/>
                <w:szCs w:val="20"/>
                <w:lang w:val="en-GB"/>
              </w:rPr>
              <w:t>Kovačica</w:t>
            </w:r>
            <w:proofErr w:type="spellEnd"/>
            <w:r w:rsidR="00782729" w:rsidRPr="00146118">
              <w:rPr>
                <w:sz w:val="20"/>
                <w:szCs w:val="20"/>
                <w:lang w:val="en-GB"/>
              </w:rPr>
              <w:t xml:space="preserve">, National Health Insurance Fund - </w:t>
            </w:r>
            <w:proofErr w:type="spellStart"/>
            <w:r w:rsidR="00782729" w:rsidRPr="00146118">
              <w:rPr>
                <w:sz w:val="20"/>
                <w:szCs w:val="20"/>
                <w:lang w:val="en-GB"/>
              </w:rPr>
              <w:t>Kovačica</w:t>
            </w:r>
            <w:proofErr w:type="spellEnd"/>
            <w:r w:rsidR="00782729" w:rsidRPr="00146118">
              <w:rPr>
                <w:sz w:val="20"/>
                <w:szCs w:val="20"/>
                <w:lang w:val="en-GB"/>
              </w:rPr>
              <w:t xml:space="preserve"> Branch, RG</w:t>
            </w:r>
            <w:r w:rsidR="00782729">
              <w:rPr>
                <w:sz w:val="20"/>
                <w:szCs w:val="20"/>
                <w:lang w:val="en-GB"/>
              </w:rPr>
              <w:t>A</w:t>
            </w:r>
            <w:r w:rsidR="00782729" w:rsidRPr="00146118">
              <w:rPr>
                <w:sz w:val="20"/>
                <w:szCs w:val="20"/>
                <w:lang w:val="en-GB"/>
              </w:rPr>
              <w:t xml:space="preserve"> </w:t>
            </w:r>
            <w:r w:rsidR="00782729">
              <w:rPr>
                <w:sz w:val="20"/>
                <w:szCs w:val="20"/>
                <w:lang w:val="en-GB"/>
              </w:rPr>
              <w:t>–</w:t>
            </w:r>
            <w:r w:rsidR="00782729" w:rsidRPr="00146118">
              <w:rPr>
                <w:sz w:val="20"/>
                <w:szCs w:val="20"/>
                <w:lang w:val="en-GB"/>
              </w:rPr>
              <w:t xml:space="preserve"> </w:t>
            </w:r>
            <w:r w:rsidR="00782729">
              <w:rPr>
                <w:sz w:val="20"/>
                <w:szCs w:val="20"/>
                <w:lang w:val="en-GB"/>
              </w:rPr>
              <w:t xml:space="preserve">Real Estate Cadastre in </w:t>
            </w:r>
            <w:proofErr w:type="spellStart"/>
            <w:r w:rsidR="00782729" w:rsidRPr="00146118">
              <w:rPr>
                <w:sz w:val="20"/>
                <w:szCs w:val="20"/>
                <w:lang w:val="en-GB"/>
              </w:rPr>
              <w:t>Kovačica</w:t>
            </w:r>
            <w:proofErr w:type="spellEnd"/>
          </w:p>
        </w:tc>
      </w:tr>
      <w:tr w:rsidR="0090185E" w:rsidRPr="00D62D04" w14:paraId="67950372" w14:textId="77777777" w:rsidTr="00155A83">
        <w:tc>
          <w:tcPr>
            <w:tcW w:w="1440" w:type="dxa"/>
          </w:tcPr>
          <w:p w14:paraId="511987C3" w14:textId="77777777" w:rsidR="0090185E" w:rsidRPr="000E1A89" w:rsidRDefault="0090185E" w:rsidP="0090185E">
            <w:pPr>
              <w:spacing w:after="0"/>
              <w:rPr>
                <w:sz w:val="20"/>
                <w:szCs w:val="20"/>
                <w:lang w:val="en-GB"/>
              </w:rPr>
            </w:pPr>
            <w:r w:rsidRPr="000E1A89">
              <w:rPr>
                <w:sz w:val="20"/>
                <w:szCs w:val="20"/>
                <w:lang w:val="en-GB"/>
              </w:rPr>
              <w:t>Natural entity</w:t>
            </w:r>
          </w:p>
        </w:tc>
        <w:tc>
          <w:tcPr>
            <w:tcW w:w="2666" w:type="dxa"/>
          </w:tcPr>
          <w:p w14:paraId="5B7A30A2" w14:textId="77777777" w:rsidR="0090185E" w:rsidRPr="00D62D04" w:rsidRDefault="0026673C" w:rsidP="0026673C">
            <w:pPr>
              <w:spacing w:after="0"/>
              <w:rPr>
                <w:sz w:val="20"/>
                <w:szCs w:val="20"/>
                <w:highlight w:val="cyan"/>
                <w:lang w:val="en-GB"/>
              </w:rPr>
            </w:pPr>
            <w:r w:rsidRPr="0026673C">
              <w:rPr>
                <w:sz w:val="20"/>
                <w:szCs w:val="20"/>
                <w:lang w:val="en-GB"/>
              </w:rPr>
              <w:t xml:space="preserve">Irregularities regarding the application of regulations when writing the name of a </w:t>
            </w:r>
            <w:r>
              <w:rPr>
                <w:sz w:val="20"/>
                <w:szCs w:val="20"/>
                <w:lang w:val="en-GB"/>
              </w:rPr>
              <w:t>settlement</w:t>
            </w:r>
            <w:r w:rsidRPr="0026673C">
              <w:rPr>
                <w:sz w:val="20"/>
                <w:szCs w:val="20"/>
                <w:lang w:val="en-GB"/>
              </w:rPr>
              <w:t xml:space="preserve"> in the municipality of Kula</w:t>
            </w:r>
          </w:p>
        </w:tc>
        <w:tc>
          <w:tcPr>
            <w:tcW w:w="2693" w:type="dxa"/>
          </w:tcPr>
          <w:p w14:paraId="79A8AD29" w14:textId="77777777" w:rsidR="0090185E" w:rsidRPr="00D62D04" w:rsidRDefault="0026673C" w:rsidP="0090185E">
            <w:pPr>
              <w:spacing w:after="0"/>
              <w:jc w:val="both"/>
              <w:rPr>
                <w:sz w:val="20"/>
                <w:szCs w:val="20"/>
                <w:highlight w:val="cyan"/>
                <w:lang w:val="en-GB"/>
              </w:rPr>
            </w:pPr>
            <w:r w:rsidRPr="0026673C">
              <w:rPr>
                <w:sz w:val="20"/>
                <w:szCs w:val="20"/>
                <w:lang w:val="en-GB"/>
              </w:rPr>
              <w:t xml:space="preserve">Municipal Administration </w:t>
            </w:r>
            <w:r>
              <w:rPr>
                <w:sz w:val="20"/>
                <w:szCs w:val="20"/>
                <w:lang w:val="en-GB"/>
              </w:rPr>
              <w:t xml:space="preserve">of </w:t>
            </w:r>
            <w:r w:rsidRPr="0026673C">
              <w:rPr>
                <w:sz w:val="20"/>
                <w:szCs w:val="20"/>
                <w:lang w:val="en-GB"/>
              </w:rPr>
              <w:t>Kula</w:t>
            </w:r>
          </w:p>
        </w:tc>
        <w:tc>
          <w:tcPr>
            <w:tcW w:w="2268" w:type="dxa"/>
          </w:tcPr>
          <w:p w14:paraId="5707F6D4" w14:textId="77777777" w:rsidR="0090185E" w:rsidRPr="00D62D04" w:rsidRDefault="0026673C" w:rsidP="0090185E">
            <w:pPr>
              <w:spacing w:after="0"/>
              <w:rPr>
                <w:sz w:val="20"/>
                <w:szCs w:val="20"/>
                <w:highlight w:val="cyan"/>
                <w:lang w:val="en-GB"/>
              </w:rPr>
            </w:pPr>
            <w:r w:rsidRPr="0026673C">
              <w:rPr>
                <w:sz w:val="20"/>
                <w:szCs w:val="20"/>
                <w:lang w:val="en-GB"/>
              </w:rPr>
              <w:t>An extraordinary inspection was carried out. Ordered measures for writing. The deadline for the execution of the ordered measures has not expired.</w:t>
            </w:r>
          </w:p>
        </w:tc>
      </w:tr>
      <w:tr w:rsidR="00155A83" w:rsidRPr="00D62D04" w14:paraId="06FBDF85" w14:textId="77777777" w:rsidTr="00155A83">
        <w:tc>
          <w:tcPr>
            <w:tcW w:w="1440" w:type="dxa"/>
          </w:tcPr>
          <w:p w14:paraId="5AB223D9" w14:textId="77777777" w:rsidR="00155A83" w:rsidRPr="00D62D04" w:rsidRDefault="00F145B7" w:rsidP="00D64384">
            <w:pPr>
              <w:spacing w:after="0"/>
              <w:jc w:val="both"/>
              <w:rPr>
                <w:sz w:val="20"/>
                <w:szCs w:val="20"/>
                <w:highlight w:val="cyan"/>
                <w:lang w:val="en-GB"/>
              </w:rPr>
            </w:pPr>
            <w:r w:rsidRPr="00F145B7">
              <w:rPr>
                <w:sz w:val="20"/>
                <w:szCs w:val="20"/>
                <w:lang w:val="en-GB"/>
              </w:rPr>
              <w:t>National Council of the Hungarian National Minority</w:t>
            </w:r>
          </w:p>
        </w:tc>
        <w:tc>
          <w:tcPr>
            <w:tcW w:w="2666" w:type="dxa"/>
          </w:tcPr>
          <w:p w14:paraId="7F162A33" w14:textId="77777777" w:rsidR="00155A83" w:rsidRPr="00D62D04" w:rsidRDefault="00F145B7" w:rsidP="00F145B7">
            <w:pPr>
              <w:spacing w:after="0"/>
              <w:rPr>
                <w:sz w:val="20"/>
                <w:szCs w:val="20"/>
                <w:highlight w:val="cyan"/>
                <w:lang w:val="en-GB"/>
              </w:rPr>
            </w:pPr>
            <w:r w:rsidRPr="00F145B7">
              <w:rPr>
                <w:sz w:val="20"/>
                <w:szCs w:val="20"/>
                <w:lang w:val="en-GB"/>
              </w:rPr>
              <w:t xml:space="preserve">Damage to </w:t>
            </w:r>
            <w:proofErr w:type="spellStart"/>
            <w:r w:rsidRPr="00F145B7">
              <w:rPr>
                <w:sz w:val="20"/>
                <w:szCs w:val="20"/>
                <w:lang w:val="en-GB"/>
              </w:rPr>
              <w:t>sign</w:t>
            </w:r>
            <w:r>
              <w:rPr>
                <w:sz w:val="20"/>
                <w:szCs w:val="20"/>
                <w:lang w:val="en-GB"/>
              </w:rPr>
              <w:t>oard</w:t>
            </w:r>
            <w:r w:rsidRPr="00F145B7">
              <w:rPr>
                <w:sz w:val="20"/>
                <w:szCs w:val="20"/>
                <w:lang w:val="en-GB"/>
              </w:rPr>
              <w:t>s</w:t>
            </w:r>
            <w:proofErr w:type="spellEnd"/>
            <w:r w:rsidRPr="00F145B7">
              <w:rPr>
                <w:sz w:val="20"/>
                <w:szCs w:val="20"/>
                <w:lang w:val="en-GB"/>
              </w:rPr>
              <w:t xml:space="preserve"> with the names of </w:t>
            </w:r>
            <w:r>
              <w:rPr>
                <w:sz w:val="20"/>
                <w:szCs w:val="20"/>
                <w:lang w:val="en-GB"/>
              </w:rPr>
              <w:t>settlements i</w:t>
            </w:r>
            <w:r w:rsidRPr="00F145B7">
              <w:rPr>
                <w:sz w:val="20"/>
                <w:szCs w:val="20"/>
                <w:lang w:val="en-GB"/>
              </w:rPr>
              <w:t xml:space="preserve">n the territory of the municipality of </w:t>
            </w:r>
            <w:proofErr w:type="spellStart"/>
            <w:r w:rsidRPr="00F145B7">
              <w:rPr>
                <w:sz w:val="20"/>
                <w:szCs w:val="20"/>
                <w:lang w:val="en-GB"/>
              </w:rPr>
              <w:t>Temerin</w:t>
            </w:r>
            <w:proofErr w:type="spellEnd"/>
          </w:p>
        </w:tc>
        <w:tc>
          <w:tcPr>
            <w:tcW w:w="2693" w:type="dxa"/>
          </w:tcPr>
          <w:p w14:paraId="105DD5B9" w14:textId="77777777" w:rsidR="00155A83" w:rsidRPr="00F145B7" w:rsidRDefault="0026673C" w:rsidP="00F145B7">
            <w:pPr>
              <w:spacing w:after="0"/>
              <w:jc w:val="both"/>
              <w:rPr>
                <w:sz w:val="20"/>
                <w:szCs w:val="20"/>
                <w:lang w:val="en-GB"/>
              </w:rPr>
            </w:pPr>
            <w:r w:rsidRPr="00F145B7">
              <w:rPr>
                <w:sz w:val="20"/>
                <w:szCs w:val="20"/>
                <w:lang w:val="en-GB"/>
              </w:rPr>
              <w:t xml:space="preserve">Municipal Administration of </w:t>
            </w:r>
            <w:proofErr w:type="spellStart"/>
            <w:r w:rsidR="00F145B7" w:rsidRPr="00F145B7">
              <w:rPr>
                <w:sz w:val="20"/>
                <w:szCs w:val="20"/>
                <w:lang w:val="en-GB"/>
              </w:rPr>
              <w:t>Temerin</w:t>
            </w:r>
            <w:proofErr w:type="spellEnd"/>
          </w:p>
        </w:tc>
        <w:tc>
          <w:tcPr>
            <w:tcW w:w="2268" w:type="dxa"/>
          </w:tcPr>
          <w:p w14:paraId="7ADCE2F6" w14:textId="77777777" w:rsidR="00155A83" w:rsidRPr="00D62D04" w:rsidRDefault="00F145B7" w:rsidP="00D64384">
            <w:pPr>
              <w:spacing w:after="0"/>
              <w:rPr>
                <w:sz w:val="20"/>
                <w:szCs w:val="20"/>
                <w:highlight w:val="cyan"/>
                <w:lang w:val="en-GB"/>
              </w:rPr>
            </w:pPr>
            <w:r w:rsidRPr="00F145B7">
              <w:rPr>
                <w:sz w:val="20"/>
                <w:szCs w:val="20"/>
                <w:lang w:val="en-GB"/>
              </w:rPr>
              <w:t xml:space="preserve">The </w:t>
            </w:r>
            <w:r>
              <w:rPr>
                <w:sz w:val="20"/>
                <w:szCs w:val="20"/>
                <w:lang w:val="en-GB"/>
              </w:rPr>
              <w:t xml:space="preserve">official </w:t>
            </w:r>
            <w:r w:rsidRPr="00F145B7">
              <w:rPr>
                <w:sz w:val="20"/>
                <w:szCs w:val="20"/>
                <w:lang w:val="en-GB"/>
              </w:rPr>
              <w:t>letter was forwarded to the competent inspection. Extraordinary inspection supervision of the competent inspection of ordered and executed measures was carried out.</w:t>
            </w:r>
          </w:p>
        </w:tc>
      </w:tr>
      <w:tr w:rsidR="00155A83" w:rsidRPr="00D62D04" w14:paraId="7AB328F0" w14:textId="77777777" w:rsidTr="00155A83">
        <w:tc>
          <w:tcPr>
            <w:tcW w:w="1440" w:type="dxa"/>
          </w:tcPr>
          <w:p w14:paraId="07BAB761" w14:textId="77777777" w:rsidR="00155A83" w:rsidRPr="00D62D04" w:rsidRDefault="00761325" w:rsidP="00D64384">
            <w:pPr>
              <w:spacing w:after="0"/>
              <w:jc w:val="both"/>
              <w:rPr>
                <w:sz w:val="20"/>
                <w:szCs w:val="20"/>
                <w:highlight w:val="cyan"/>
                <w:lang w:val="en-GB"/>
              </w:rPr>
            </w:pPr>
            <w:r w:rsidRPr="00761325">
              <w:rPr>
                <w:sz w:val="20"/>
                <w:szCs w:val="20"/>
                <w:lang w:val="en-GB"/>
              </w:rPr>
              <w:t>Newspaper article</w:t>
            </w:r>
          </w:p>
        </w:tc>
        <w:tc>
          <w:tcPr>
            <w:tcW w:w="2666" w:type="dxa"/>
          </w:tcPr>
          <w:p w14:paraId="2119B159" w14:textId="77777777" w:rsidR="00155A83" w:rsidRPr="00D62D04" w:rsidRDefault="00761325" w:rsidP="00761325">
            <w:pPr>
              <w:spacing w:after="0"/>
              <w:rPr>
                <w:sz w:val="20"/>
                <w:szCs w:val="20"/>
                <w:highlight w:val="cyan"/>
                <w:lang w:val="en-GB"/>
              </w:rPr>
            </w:pPr>
            <w:r w:rsidRPr="00761325">
              <w:rPr>
                <w:sz w:val="20"/>
                <w:szCs w:val="20"/>
                <w:lang w:val="en-GB"/>
              </w:rPr>
              <w:t>Placing sign</w:t>
            </w:r>
            <w:r>
              <w:rPr>
                <w:sz w:val="20"/>
                <w:szCs w:val="20"/>
                <w:lang w:val="en-GB"/>
              </w:rPr>
              <w:t>board</w:t>
            </w:r>
            <w:r w:rsidRPr="00761325">
              <w:rPr>
                <w:sz w:val="20"/>
                <w:szCs w:val="20"/>
                <w:lang w:val="en-GB"/>
              </w:rPr>
              <w:t xml:space="preserve">s with the names of </w:t>
            </w:r>
            <w:r>
              <w:rPr>
                <w:sz w:val="20"/>
                <w:szCs w:val="20"/>
                <w:lang w:val="en-GB"/>
              </w:rPr>
              <w:t>settlements</w:t>
            </w:r>
            <w:r w:rsidRPr="00761325">
              <w:rPr>
                <w:sz w:val="20"/>
                <w:szCs w:val="20"/>
                <w:lang w:val="en-GB"/>
              </w:rPr>
              <w:t xml:space="preserve"> only in the Serbian language and script, </w:t>
            </w:r>
            <w:r>
              <w:rPr>
                <w:sz w:val="20"/>
                <w:szCs w:val="20"/>
                <w:lang w:val="en-GB"/>
              </w:rPr>
              <w:t>violating</w:t>
            </w:r>
            <w:r w:rsidRPr="00761325">
              <w:rPr>
                <w:sz w:val="20"/>
                <w:szCs w:val="20"/>
                <w:lang w:val="en-GB"/>
              </w:rPr>
              <w:t xml:space="preserve"> the </w:t>
            </w:r>
            <w:r w:rsidRPr="00761325">
              <w:rPr>
                <w:sz w:val="20"/>
                <w:szCs w:val="20"/>
                <w:lang w:val="en-GB"/>
              </w:rPr>
              <w:lastRenderedPageBreak/>
              <w:t>regulations on the official use of languages and scripts</w:t>
            </w:r>
          </w:p>
        </w:tc>
        <w:tc>
          <w:tcPr>
            <w:tcW w:w="2693" w:type="dxa"/>
          </w:tcPr>
          <w:p w14:paraId="71B56424" w14:textId="77777777" w:rsidR="00155A83" w:rsidRPr="00761325" w:rsidRDefault="0026673C" w:rsidP="00761325">
            <w:pPr>
              <w:spacing w:after="0"/>
              <w:jc w:val="both"/>
              <w:rPr>
                <w:sz w:val="20"/>
                <w:szCs w:val="20"/>
                <w:lang w:val="en-GB"/>
              </w:rPr>
            </w:pPr>
            <w:r w:rsidRPr="00761325">
              <w:rPr>
                <w:sz w:val="20"/>
                <w:szCs w:val="20"/>
                <w:lang w:val="en-GB"/>
              </w:rPr>
              <w:lastRenderedPageBreak/>
              <w:t xml:space="preserve">Municipal Administration of </w:t>
            </w:r>
            <w:proofErr w:type="spellStart"/>
            <w:r w:rsidR="00761325" w:rsidRPr="00761325">
              <w:rPr>
                <w:sz w:val="20"/>
                <w:szCs w:val="20"/>
                <w:lang w:val="en-GB"/>
              </w:rPr>
              <w:t>Vrbas</w:t>
            </w:r>
            <w:proofErr w:type="spellEnd"/>
          </w:p>
        </w:tc>
        <w:tc>
          <w:tcPr>
            <w:tcW w:w="2268" w:type="dxa"/>
          </w:tcPr>
          <w:p w14:paraId="56CFBDDA" w14:textId="77777777" w:rsidR="00155A83" w:rsidRPr="00D62D04" w:rsidRDefault="00761325" w:rsidP="00D64384">
            <w:pPr>
              <w:spacing w:after="0"/>
              <w:rPr>
                <w:sz w:val="20"/>
                <w:szCs w:val="20"/>
                <w:highlight w:val="cyan"/>
                <w:lang w:val="en-GB"/>
              </w:rPr>
            </w:pPr>
            <w:r w:rsidRPr="00761325">
              <w:rPr>
                <w:sz w:val="20"/>
                <w:szCs w:val="20"/>
                <w:lang w:val="en-GB"/>
              </w:rPr>
              <w:t xml:space="preserve">An extraordinary inspection was carried out. Ordered measures to </w:t>
            </w:r>
            <w:r w:rsidRPr="00761325">
              <w:rPr>
                <w:sz w:val="20"/>
                <w:szCs w:val="20"/>
                <w:lang w:val="en-GB"/>
              </w:rPr>
              <w:lastRenderedPageBreak/>
              <w:t>be issued and implemented measures.</w:t>
            </w:r>
          </w:p>
        </w:tc>
      </w:tr>
      <w:tr w:rsidR="00155A83" w:rsidRPr="00D62D04" w14:paraId="69990A1A" w14:textId="77777777" w:rsidTr="00155A83">
        <w:tc>
          <w:tcPr>
            <w:tcW w:w="1440" w:type="dxa"/>
          </w:tcPr>
          <w:p w14:paraId="463669BC" w14:textId="77777777" w:rsidR="00155A83" w:rsidRPr="00D62D04" w:rsidRDefault="005C4D3B" w:rsidP="00D64384">
            <w:pPr>
              <w:spacing w:after="0"/>
              <w:jc w:val="both"/>
              <w:rPr>
                <w:sz w:val="20"/>
                <w:szCs w:val="20"/>
                <w:highlight w:val="cyan"/>
                <w:lang w:val="en-GB"/>
              </w:rPr>
            </w:pPr>
            <w:r w:rsidRPr="005C4D3B">
              <w:rPr>
                <w:sz w:val="20"/>
                <w:szCs w:val="20"/>
                <w:lang w:val="en-GB"/>
              </w:rPr>
              <w:lastRenderedPageBreak/>
              <w:t>Anonymous petition</w:t>
            </w:r>
          </w:p>
        </w:tc>
        <w:tc>
          <w:tcPr>
            <w:tcW w:w="2666" w:type="dxa"/>
          </w:tcPr>
          <w:p w14:paraId="30833687" w14:textId="77777777" w:rsidR="00155A83" w:rsidRPr="00D62D04" w:rsidRDefault="005C4D3B" w:rsidP="00D64384">
            <w:pPr>
              <w:spacing w:after="0"/>
              <w:rPr>
                <w:sz w:val="20"/>
                <w:szCs w:val="20"/>
                <w:highlight w:val="cyan"/>
                <w:lang w:val="en-GB"/>
              </w:rPr>
            </w:pPr>
            <w:r w:rsidRPr="005C4D3B">
              <w:rPr>
                <w:sz w:val="20"/>
                <w:szCs w:val="20"/>
                <w:lang w:val="en-GB"/>
              </w:rPr>
              <w:t>The existence of a public sign</w:t>
            </w:r>
            <w:r>
              <w:rPr>
                <w:sz w:val="20"/>
                <w:szCs w:val="20"/>
                <w:lang w:val="en-GB"/>
              </w:rPr>
              <w:t>board</w:t>
            </w:r>
            <w:r w:rsidRPr="005C4D3B">
              <w:rPr>
                <w:sz w:val="20"/>
                <w:szCs w:val="20"/>
                <w:lang w:val="en-GB"/>
              </w:rPr>
              <w:t xml:space="preserve"> in the populated place of </w:t>
            </w:r>
            <w:proofErr w:type="spellStart"/>
            <w:r w:rsidRPr="005C4D3B">
              <w:rPr>
                <w:sz w:val="20"/>
                <w:szCs w:val="20"/>
                <w:lang w:val="en-GB"/>
              </w:rPr>
              <w:t>Stara</w:t>
            </w:r>
            <w:proofErr w:type="spellEnd"/>
            <w:r w:rsidRPr="005C4D3B">
              <w:rPr>
                <w:sz w:val="20"/>
                <w:szCs w:val="20"/>
                <w:lang w:val="en-GB"/>
              </w:rPr>
              <w:t xml:space="preserve"> </w:t>
            </w:r>
            <w:proofErr w:type="spellStart"/>
            <w:r w:rsidRPr="005C4D3B">
              <w:rPr>
                <w:sz w:val="20"/>
                <w:szCs w:val="20"/>
                <w:lang w:val="en-GB"/>
              </w:rPr>
              <w:t>Pazova</w:t>
            </w:r>
            <w:proofErr w:type="spellEnd"/>
            <w:r w:rsidRPr="005C4D3B">
              <w:rPr>
                <w:sz w:val="20"/>
                <w:szCs w:val="20"/>
                <w:lang w:val="en-GB"/>
              </w:rPr>
              <w:t xml:space="preserve"> only in the Serbian language and script</w:t>
            </w:r>
          </w:p>
        </w:tc>
        <w:tc>
          <w:tcPr>
            <w:tcW w:w="2693" w:type="dxa"/>
          </w:tcPr>
          <w:p w14:paraId="34CF9BBB" w14:textId="77777777" w:rsidR="00155A83" w:rsidRPr="00D62D04" w:rsidRDefault="0026673C" w:rsidP="005C4D3B">
            <w:pPr>
              <w:spacing w:after="0"/>
              <w:rPr>
                <w:sz w:val="20"/>
                <w:szCs w:val="20"/>
                <w:highlight w:val="cyan"/>
                <w:lang w:val="en-GB"/>
              </w:rPr>
            </w:pPr>
            <w:r w:rsidRPr="0026673C">
              <w:rPr>
                <w:sz w:val="20"/>
                <w:szCs w:val="20"/>
                <w:lang w:val="en-GB"/>
              </w:rPr>
              <w:t xml:space="preserve">Municipal Administration </w:t>
            </w:r>
            <w:r>
              <w:rPr>
                <w:sz w:val="20"/>
                <w:szCs w:val="20"/>
                <w:lang w:val="en-GB"/>
              </w:rPr>
              <w:t xml:space="preserve">of </w:t>
            </w:r>
            <w:proofErr w:type="spellStart"/>
            <w:r w:rsidR="005C4D3B">
              <w:rPr>
                <w:sz w:val="20"/>
                <w:szCs w:val="20"/>
                <w:lang w:val="en-GB"/>
              </w:rPr>
              <w:t>Stara</w:t>
            </w:r>
            <w:proofErr w:type="spellEnd"/>
            <w:r w:rsidR="005C4D3B">
              <w:rPr>
                <w:sz w:val="20"/>
                <w:szCs w:val="20"/>
                <w:lang w:val="en-GB"/>
              </w:rPr>
              <w:t xml:space="preserve"> </w:t>
            </w:r>
            <w:proofErr w:type="spellStart"/>
            <w:r w:rsidR="005C4D3B">
              <w:rPr>
                <w:sz w:val="20"/>
                <w:szCs w:val="20"/>
                <w:lang w:val="en-GB"/>
              </w:rPr>
              <w:t>Pazova</w:t>
            </w:r>
            <w:proofErr w:type="spellEnd"/>
            <w:r w:rsidR="005C4D3B">
              <w:rPr>
                <w:sz w:val="20"/>
                <w:szCs w:val="20"/>
                <w:lang w:val="en-GB"/>
              </w:rPr>
              <w:t xml:space="preserve"> </w:t>
            </w:r>
          </w:p>
        </w:tc>
        <w:tc>
          <w:tcPr>
            <w:tcW w:w="2268" w:type="dxa"/>
          </w:tcPr>
          <w:p w14:paraId="1B9621BD" w14:textId="77777777" w:rsidR="00155A83" w:rsidRPr="00D62D04" w:rsidRDefault="005C4D3B" w:rsidP="005C4D3B">
            <w:pPr>
              <w:spacing w:after="0"/>
              <w:rPr>
                <w:sz w:val="20"/>
                <w:szCs w:val="20"/>
                <w:highlight w:val="cyan"/>
                <w:lang w:val="en-GB"/>
              </w:rPr>
            </w:pPr>
            <w:r w:rsidRPr="005C4D3B">
              <w:rPr>
                <w:sz w:val="20"/>
                <w:szCs w:val="20"/>
                <w:lang w:val="en-GB"/>
              </w:rPr>
              <w:t xml:space="preserve">An extraordinary inspection was carried out. Ordered measures for writing </w:t>
            </w:r>
            <w:r>
              <w:rPr>
                <w:sz w:val="20"/>
                <w:szCs w:val="20"/>
                <w:lang w:val="en-GB"/>
              </w:rPr>
              <w:t xml:space="preserve">inscriptions </w:t>
            </w:r>
            <w:r w:rsidRPr="005C4D3B">
              <w:rPr>
                <w:sz w:val="20"/>
                <w:szCs w:val="20"/>
                <w:lang w:val="en-GB"/>
              </w:rPr>
              <w:t xml:space="preserve">in the Slovak language and script. The ordered measures were not </w:t>
            </w:r>
            <w:r>
              <w:rPr>
                <w:sz w:val="20"/>
                <w:szCs w:val="20"/>
                <w:lang w:val="en-GB"/>
              </w:rPr>
              <w:t>implemented</w:t>
            </w:r>
            <w:r w:rsidRPr="005C4D3B">
              <w:rPr>
                <w:sz w:val="20"/>
                <w:szCs w:val="20"/>
                <w:lang w:val="en-GB"/>
              </w:rPr>
              <w:t>, the control supervision is planned in July 2022.</w:t>
            </w:r>
          </w:p>
        </w:tc>
      </w:tr>
      <w:tr w:rsidR="00155A83" w:rsidRPr="00D62D04" w14:paraId="5041DEB5" w14:textId="77777777" w:rsidTr="00155A83">
        <w:tc>
          <w:tcPr>
            <w:tcW w:w="1440" w:type="dxa"/>
          </w:tcPr>
          <w:p w14:paraId="2F257B5C" w14:textId="77777777" w:rsidR="00155A83" w:rsidRPr="00D62D04" w:rsidRDefault="00637F48" w:rsidP="00D64384">
            <w:pPr>
              <w:spacing w:after="0"/>
              <w:jc w:val="both"/>
              <w:rPr>
                <w:sz w:val="20"/>
                <w:szCs w:val="20"/>
                <w:highlight w:val="cyan"/>
                <w:lang w:val="en-GB"/>
              </w:rPr>
            </w:pPr>
            <w:r w:rsidRPr="00637F48">
              <w:rPr>
                <w:sz w:val="20"/>
                <w:szCs w:val="20"/>
                <w:lang w:val="en-GB"/>
              </w:rPr>
              <w:t>National Council of the Hungarian National Minority</w:t>
            </w:r>
          </w:p>
        </w:tc>
        <w:tc>
          <w:tcPr>
            <w:tcW w:w="2666" w:type="dxa"/>
          </w:tcPr>
          <w:p w14:paraId="4BFA5230" w14:textId="77777777" w:rsidR="00155A83" w:rsidRPr="00D62D04" w:rsidRDefault="00637F48" w:rsidP="0009781E">
            <w:pPr>
              <w:spacing w:after="0"/>
              <w:rPr>
                <w:sz w:val="20"/>
                <w:szCs w:val="20"/>
                <w:highlight w:val="cyan"/>
                <w:lang w:val="en-GB"/>
              </w:rPr>
            </w:pPr>
            <w:r w:rsidRPr="00637F48">
              <w:rPr>
                <w:sz w:val="20"/>
                <w:szCs w:val="20"/>
                <w:lang w:val="en-GB"/>
              </w:rPr>
              <w:t xml:space="preserve">Incomplete implementation of the regulations on the official use of languages and </w:t>
            </w:r>
            <w:r w:rsidR="0009781E">
              <w:rPr>
                <w:sz w:val="20"/>
                <w:szCs w:val="20"/>
                <w:lang w:val="en-GB"/>
              </w:rPr>
              <w:t>scripts</w:t>
            </w:r>
            <w:r w:rsidRPr="00637F48">
              <w:rPr>
                <w:sz w:val="20"/>
                <w:szCs w:val="20"/>
                <w:lang w:val="en-GB"/>
              </w:rPr>
              <w:t xml:space="preserve"> when writing the name of the </w:t>
            </w:r>
            <w:proofErr w:type="spellStart"/>
            <w:r w:rsidRPr="00637F48">
              <w:rPr>
                <w:sz w:val="20"/>
                <w:szCs w:val="20"/>
                <w:lang w:val="en-GB"/>
              </w:rPr>
              <w:t>Elemir</w:t>
            </w:r>
            <w:proofErr w:type="spellEnd"/>
            <w:r w:rsidR="0009781E" w:rsidRPr="00637F48">
              <w:rPr>
                <w:sz w:val="20"/>
                <w:szCs w:val="20"/>
                <w:lang w:val="en-GB"/>
              </w:rPr>
              <w:t xml:space="preserve"> settlement</w:t>
            </w:r>
          </w:p>
        </w:tc>
        <w:tc>
          <w:tcPr>
            <w:tcW w:w="2693" w:type="dxa"/>
          </w:tcPr>
          <w:p w14:paraId="5D2FC624" w14:textId="77777777" w:rsidR="00155A83" w:rsidRPr="0009781E" w:rsidRDefault="0009781E" w:rsidP="00D64384">
            <w:pPr>
              <w:spacing w:after="0"/>
              <w:rPr>
                <w:sz w:val="20"/>
                <w:szCs w:val="20"/>
                <w:lang w:val="en-GB"/>
              </w:rPr>
            </w:pPr>
            <w:r w:rsidRPr="0009781E">
              <w:rPr>
                <w:sz w:val="20"/>
                <w:szCs w:val="20"/>
                <w:lang w:val="en-GB"/>
              </w:rPr>
              <w:t xml:space="preserve">Local Community of </w:t>
            </w:r>
            <w:proofErr w:type="spellStart"/>
            <w:r w:rsidRPr="0009781E">
              <w:rPr>
                <w:sz w:val="20"/>
                <w:szCs w:val="20"/>
                <w:lang w:val="en-GB"/>
              </w:rPr>
              <w:t>Elemir</w:t>
            </w:r>
            <w:proofErr w:type="spellEnd"/>
            <w:r w:rsidRPr="0009781E">
              <w:rPr>
                <w:sz w:val="20"/>
                <w:szCs w:val="20"/>
                <w:lang w:val="en-GB"/>
              </w:rPr>
              <w:t xml:space="preserve"> </w:t>
            </w:r>
          </w:p>
        </w:tc>
        <w:tc>
          <w:tcPr>
            <w:tcW w:w="2268" w:type="dxa"/>
          </w:tcPr>
          <w:p w14:paraId="0CD13098" w14:textId="77777777" w:rsidR="00155A83" w:rsidRPr="00D62D04" w:rsidRDefault="0009781E" w:rsidP="00D64384">
            <w:pPr>
              <w:spacing w:after="0"/>
              <w:rPr>
                <w:sz w:val="20"/>
                <w:szCs w:val="20"/>
                <w:highlight w:val="cyan"/>
                <w:lang w:val="en-GB"/>
              </w:rPr>
            </w:pPr>
            <w:r w:rsidRPr="0009781E">
              <w:rPr>
                <w:sz w:val="20"/>
                <w:szCs w:val="20"/>
                <w:lang w:val="en-GB"/>
              </w:rPr>
              <w:t>An extraordinary inspection was carried out. Ordered measures for writing. The deadline for the execution of the ordered measures has not expired.</w:t>
            </w:r>
          </w:p>
        </w:tc>
      </w:tr>
      <w:tr w:rsidR="00155A83" w:rsidRPr="00D62D04" w14:paraId="09CF22C4" w14:textId="77777777" w:rsidTr="00155A83">
        <w:tc>
          <w:tcPr>
            <w:tcW w:w="1440" w:type="dxa"/>
          </w:tcPr>
          <w:p w14:paraId="0A099508" w14:textId="77777777" w:rsidR="00155A83" w:rsidRPr="00D62D04" w:rsidRDefault="000A2A37" w:rsidP="000A2A37">
            <w:pPr>
              <w:spacing w:after="0"/>
              <w:rPr>
                <w:sz w:val="20"/>
                <w:szCs w:val="20"/>
                <w:highlight w:val="cyan"/>
                <w:lang w:val="en-GB"/>
              </w:rPr>
            </w:pPr>
            <w:r w:rsidRPr="000A2A37">
              <w:rPr>
                <w:sz w:val="20"/>
                <w:szCs w:val="20"/>
                <w:lang w:val="en-GB"/>
              </w:rPr>
              <w:t>"Slovaks and Co</w:t>
            </w:r>
            <w:r>
              <w:rPr>
                <w:sz w:val="20"/>
                <w:szCs w:val="20"/>
                <w:lang w:val="en-GB"/>
              </w:rPr>
              <w:t>habitation</w:t>
            </w:r>
            <w:r w:rsidRPr="000A2A37">
              <w:rPr>
                <w:sz w:val="20"/>
                <w:szCs w:val="20"/>
                <w:lang w:val="en-GB"/>
              </w:rPr>
              <w:t>" Association</w:t>
            </w:r>
          </w:p>
        </w:tc>
        <w:tc>
          <w:tcPr>
            <w:tcW w:w="2666" w:type="dxa"/>
          </w:tcPr>
          <w:p w14:paraId="2CA70E21" w14:textId="77777777" w:rsidR="00155A83" w:rsidRPr="00D62D04" w:rsidRDefault="000D4F89" w:rsidP="000D4F89">
            <w:pPr>
              <w:spacing w:after="0"/>
              <w:rPr>
                <w:sz w:val="20"/>
                <w:szCs w:val="20"/>
                <w:highlight w:val="cyan"/>
                <w:lang w:val="en-GB"/>
              </w:rPr>
            </w:pPr>
            <w:r>
              <w:rPr>
                <w:sz w:val="20"/>
                <w:szCs w:val="20"/>
                <w:lang w:val="en-GB"/>
              </w:rPr>
              <w:t>Indicating</w:t>
            </w:r>
            <w:r w:rsidRPr="000D4F89">
              <w:rPr>
                <w:sz w:val="20"/>
                <w:szCs w:val="20"/>
                <w:lang w:val="en-GB"/>
              </w:rPr>
              <w:t xml:space="preserve"> the incomplete implementation of the regulations on the official use of languages and </w:t>
            </w:r>
            <w:r>
              <w:rPr>
                <w:sz w:val="20"/>
                <w:szCs w:val="20"/>
                <w:lang w:val="en-GB"/>
              </w:rPr>
              <w:t>scripts</w:t>
            </w:r>
            <w:r w:rsidRPr="000D4F89">
              <w:rPr>
                <w:sz w:val="20"/>
                <w:szCs w:val="20"/>
                <w:lang w:val="en-GB"/>
              </w:rPr>
              <w:t xml:space="preserve"> in traffic signs on road</w:t>
            </w:r>
            <w:r>
              <w:rPr>
                <w:sz w:val="20"/>
                <w:szCs w:val="20"/>
                <w:lang w:val="en-GB"/>
              </w:rPr>
              <w:t>s</w:t>
            </w:r>
          </w:p>
        </w:tc>
        <w:tc>
          <w:tcPr>
            <w:tcW w:w="2693" w:type="dxa"/>
          </w:tcPr>
          <w:p w14:paraId="1FD5C0A3" w14:textId="77777777" w:rsidR="00155A83" w:rsidRPr="00D62D04" w:rsidRDefault="0026673C" w:rsidP="000D4F89">
            <w:pPr>
              <w:spacing w:after="0"/>
              <w:rPr>
                <w:sz w:val="20"/>
                <w:szCs w:val="20"/>
                <w:highlight w:val="cyan"/>
                <w:lang w:val="en-GB"/>
              </w:rPr>
            </w:pPr>
            <w:r w:rsidRPr="0026673C">
              <w:rPr>
                <w:sz w:val="20"/>
                <w:szCs w:val="20"/>
                <w:lang w:val="en-GB"/>
              </w:rPr>
              <w:t xml:space="preserve">Municipal Administration </w:t>
            </w:r>
            <w:r>
              <w:rPr>
                <w:sz w:val="20"/>
                <w:szCs w:val="20"/>
                <w:lang w:val="en-GB"/>
              </w:rPr>
              <w:t xml:space="preserve">of </w:t>
            </w:r>
            <w:proofErr w:type="spellStart"/>
            <w:r w:rsidR="000D4F89">
              <w:rPr>
                <w:sz w:val="20"/>
                <w:szCs w:val="20"/>
                <w:lang w:val="en-GB"/>
              </w:rPr>
              <w:t>Bački</w:t>
            </w:r>
            <w:proofErr w:type="spellEnd"/>
            <w:r w:rsidR="000D4F89">
              <w:rPr>
                <w:sz w:val="20"/>
                <w:szCs w:val="20"/>
                <w:lang w:val="en-GB"/>
              </w:rPr>
              <w:t xml:space="preserve"> </w:t>
            </w:r>
            <w:proofErr w:type="spellStart"/>
            <w:r w:rsidR="000D4F89">
              <w:rPr>
                <w:sz w:val="20"/>
                <w:szCs w:val="20"/>
                <w:lang w:val="en-GB"/>
              </w:rPr>
              <w:t>Petrovac</w:t>
            </w:r>
            <w:proofErr w:type="spellEnd"/>
            <w:r w:rsidR="000D4F89">
              <w:rPr>
                <w:sz w:val="20"/>
                <w:szCs w:val="20"/>
                <w:lang w:val="en-GB"/>
              </w:rPr>
              <w:t xml:space="preserve"> </w:t>
            </w:r>
          </w:p>
        </w:tc>
        <w:tc>
          <w:tcPr>
            <w:tcW w:w="2268" w:type="dxa"/>
          </w:tcPr>
          <w:p w14:paraId="664BECFA" w14:textId="77777777" w:rsidR="00155A83" w:rsidRPr="00D62D04" w:rsidRDefault="000D4F89" w:rsidP="000D4F89">
            <w:pPr>
              <w:spacing w:after="0"/>
              <w:rPr>
                <w:sz w:val="20"/>
                <w:szCs w:val="20"/>
                <w:highlight w:val="cyan"/>
                <w:lang w:val="en-GB"/>
              </w:rPr>
            </w:pPr>
            <w:r w:rsidRPr="000D4F89">
              <w:rPr>
                <w:sz w:val="20"/>
                <w:szCs w:val="20"/>
                <w:lang w:val="en-GB"/>
              </w:rPr>
              <w:t xml:space="preserve">Regular inspection supervision was carried out in the field of official use of languages and </w:t>
            </w:r>
            <w:r>
              <w:rPr>
                <w:sz w:val="20"/>
                <w:szCs w:val="20"/>
                <w:lang w:val="en-GB"/>
              </w:rPr>
              <w:t>scripts. The complainant</w:t>
            </w:r>
            <w:r w:rsidRPr="000D4F89">
              <w:rPr>
                <w:sz w:val="20"/>
                <w:szCs w:val="20"/>
                <w:lang w:val="en-GB"/>
              </w:rPr>
              <w:t xml:space="preserve"> was informed about the Opinion of the Secretariat for Legislation </w:t>
            </w:r>
            <w:r>
              <w:rPr>
                <w:sz w:val="20"/>
                <w:szCs w:val="20"/>
                <w:lang w:val="en-GB"/>
              </w:rPr>
              <w:t xml:space="preserve">of the </w:t>
            </w:r>
            <w:r w:rsidRPr="000D4F89">
              <w:rPr>
                <w:sz w:val="20"/>
                <w:szCs w:val="20"/>
                <w:lang w:val="en-GB"/>
              </w:rPr>
              <w:t xml:space="preserve">Republic </w:t>
            </w:r>
            <w:r>
              <w:rPr>
                <w:sz w:val="20"/>
                <w:szCs w:val="20"/>
                <w:lang w:val="en-GB"/>
              </w:rPr>
              <w:t xml:space="preserve">of Serbia, </w:t>
            </w:r>
            <w:r w:rsidRPr="000D4F89">
              <w:rPr>
                <w:sz w:val="20"/>
                <w:szCs w:val="20"/>
                <w:lang w:val="en-GB"/>
              </w:rPr>
              <w:t xml:space="preserve">No. 011-00-00065/2021-01 </w:t>
            </w:r>
            <w:r>
              <w:rPr>
                <w:sz w:val="20"/>
                <w:szCs w:val="20"/>
                <w:lang w:val="en-GB"/>
              </w:rPr>
              <w:t xml:space="preserve">from 19 March </w:t>
            </w:r>
            <w:r w:rsidRPr="000D4F89">
              <w:rPr>
                <w:sz w:val="20"/>
                <w:szCs w:val="20"/>
                <w:lang w:val="en-GB"/>
              </w:rPr>
              <w:t>2021</w:t>
            </w:r>
          </w:p>
        </w:tc>
      </w:tr>
      <w:tr w:rsidR="00155A83" w:rsidRPr="00D62D04" w14:paraId="710BE302" w14:textId="77777777" w:rsidTr="00155A83">
        <w:tc>
          <w:tcPr>
            <w:tcW w:w="1440" w:type="dxa"/>
          </w:tcPr>
          <w:p w14:paraId="6A757AEA" w14:textId="77777777" w:rsidR="00155A83" w:rsidRPr="00D62D04" w:rsidRDefault="00866A7F" w:rsidP="00D64384">
            <w:pPr>
              <w:spacing w:after="0"/>
              <w:rPr>
                <w:sz w:val="20"/>
                <w:szCs w:val="20"/>
                <w:highlight w:val="cyan"/>
                <w:lang w:val="en-GB"/>
              </w:rPr>
            </w:pPr>
            <w:r w:rsidRPr="00866A7F">
              <w:rPr>
                <w:sz w:val="20"/>
                <w:szCs w:val="20"/>
                <w:lang w:val="en-GB"/>
              </w:rPr>
              <w:t>Submitted anonymous application by the Ministry of Education, Science and Technological Development</w:t>
            </w:r>
          </w:p>
        </w:tc>
        <w:tc>
          <w:tcPr>
            <w:tcW w:w="2666" w:type="dxa"/>
          </w:tcPr>
          <w:p w14:paraId="37F94850" w14:textId="77777777" w:rsidR="00155A83" w:rsidRPr="00D62D04" w:rsidRDefault="00866A7F" w:rsidP="00866A7F">
            <w:pPr>
              <w:spacing w:after="0"/>
              <w:rPr>
                <w:sz w:val="20"/>
                <w:szCs w:val="20"/>
                <w:highlight w:val="cyan"/>
                <w:lang w:val="en-GB"/>
              </w:rPr>
            </w:pPr>
            <w:r>
              <w:rPr>
                <w:sz w:val="20"/>
                <w:szCs w:val="20"/>
                <w:lang w:val="en-GB"/>
              </w:rPr>
              <w:t>Indicating</w:t>
            </w:r>
            <w:r w:rsidRPr="00866A7F">
              <w:rPr>
                <w:sz w:val="20"/>
                <w:szCs w:val="20"/>
                <w:lang w:val="en-GB"/>
              </w:rPr>
              <w:t xml:space="preserve"> the incomplete implementation of the official use of the language and script at the "Jan </w:t>
            </w:r>
            <w:proofErr w:type="spellStart"/>
            <w:r w:rsidRPr="00866A7F">
              <w:rPr>
                <w:sz w:val="20"/>
                <w:szCs w:val="20"/>
                <w:lang w:val="en-GB"/>
              </w:rPr>
              <w:t>Čajak</w:t>
            </w:r>
            <w:proofErr w:type="spellEnd"/>
            <w:r w:rsidRPr="00866A7F">
              <w:rPr>
                <w:sz w:val="20"/>
                <w:szCs w:val="20"/>
                <w:lang w:val="en-GB"/>
              </w:rPr>
              <w:t xml:space="preserve">" </w:t>
            </w:r>
            <w:r>
              <w:rPr>
                <w:sz w:val="20"/>
                <w:szCs w:val="20"/>
                <w:lang w:val="en-GB"/>
              </w:rPr>
              <w:t>Primary</w:t>
            </w:r>
            <w:r w:rsidRPr="00866A7F">
              <w:rPr>
                <w:sz w:val="20"/>
                <w:szCs w:val="20"/>
                <w:lang w:val="en-GB"/>
              </w:rPr>
              <w:t xml:space="preserve"> School in </w:t>
            </w:r>
            <w:proofErr w:type="spellStart"/>
            <w:r w:rsidRPr="00866A7F">
              <w:rPr>
                <w:sz w:val="20"/>
                <w:szCs w:val="20"/>
                <w:lang w:val="en-GB"/>
              </w:rPr>
              <w:t>Bački</w:t>
            </w:r>
            <w:proofErr w:type="spellEnd"/>
            <w:r w:rsidRPr="00866A7F">
              <w:rPr>
                <w:sz w:val="20"/>
                <w:szCs w:val="20"/>
                <w:lang w:val="en-GB"/>
              </w:rPr>
              <w:t xml:space="preserve"> </w:t>
            </w:r>
            <w:proofErr w:type="spellStart"/>
            <w:r w:rsidRPr="00866A7F">
              <w:rPr>
                <w:sz w:val="20"/>
                <w:szCs w:val="20"/>
                <w:lang w:val="en-GB"/>
              </w:rPr>
              <w:t>Petrovac</w:t>
            </w:r>
            <w:proofErr w:type="spellEnd"/>
            <w:r w:rsidRPr="00866A7F">
              <w:rPr>
                <w:sz w:val="20"/>
                <w:szCs w:val="20"/>
                <w:lang w:val="en-GB"/>
              </w:rPr>
              <w:t xml:space="preserve"> due to the absence of public sign</w:t>
            </w:r>
            <w:r>
              <w:rPr>
                <w:sz w:val="20"/>
                <w:szCs w:val="20"/>
                <w:lang w:val="en-GB"/>
              </w:rPr>
              <w:t>board</w:t>
            </w:r>
            <w:r w:rsidRPr="00866A7F">
              <w:rPr>
                <w:sz w:val="20"/>
                <w:szCs w:val="20"/>
                <w:lang w:val="en-GB"/>
              </w:rPr>
              <w:t>s in the Serbian language and script</w:t>
            </w:r>
          </w:p>
        </w:tc>
        <w:tc>
          <w:tcPr>
            <w:tcW w:w="2693" w:type="dxa"/>
          </w:tcPr>
          <w:p w14:paraId="7157EEB7" w14:textId="77777777" w:rsidR="00155A83" w:rsidRPr="00D62D04" w:rsidRDefault="00866A7F" w:rsidP="00D64384">
            <w:pPr>
              <w:spacing w:after="0"/>
              <w:rPr>
                <w:sz w:val="20"/>
                <w:szCs w:val="20"/>
                <w:highlight w:val="cyan"/>
                <w:lang w:val="en-GB"/>
              </w:rPr>
            </w:pPr>
            <w:r w:rsidRPr="00866A7F">
              <w:rPr>
                <w:sz w:val="20"/>
                <w:szCs w:val="20"/>
                <w:lang w:val="en-GB"/>
              </w:rPr>
              <w:t xml:space="preserve">"Jan </w:t>
            </w:r>
            <w:proofErr w:type="spellStart"/>
            <w:r w:rsidRPr="00866A7F">
              <w:rPr>
                <w:sz w:val="20"/>
                <w:szCs w:val="20"/>
                <w:lang w:val="en-GB"/>
              </w:rPr>
              <w:t>Čajak</w:t>
            </w:r>
            <w:proofErr w:type="spellEnd"/>
            <w:r w:rsidRPr="00866A7F">
              <w:rPr>
                <w:sz w:val="20"/>
                <w:szCs w:val="20"/>
                <w:lang w:val="en-GB"/>
              </w:rPr>
              <w:t xml:space="preserve">" </w:t>
            </w:r>
            <w:r>
              <w:rPr>
                <w:sz w:val="20"/>
                <w:szCs w:val="20"/>
                <w:lang w:val="en-GB"/>
              </w:rPr>
              <w:t>Primary</w:t>
            </w:r>
            <w:r w:rsidRPr="00866A7F">
              <w:rPr>
                <w:sz w:val="20"/>
                <w:szCs w:val="20"/>
                <w:lang w:val="en-GB"/>
              </w:rPr>
              <w:t xml:space="preserve"> School in </w:t>
            </w:r>
            <w:proofErr w:type="spellStart"/>
            <w:r w:rsidRPr="00866A7F">
              <w:rPr>
                <w:sz w:val="20"/>
                <w:szCs w:val="20"/>
                <w:lang w:val="en-GB"/>
              </w:rPr>
              <w:t>Bački</w:t>
            </w:r>
            <w:proofErr w:type="spellEnd"/>
            <w:r w:rsidRPr="00866A7F">
              <w:rPr>
                <w:sz w:val="20"/>
                <w:szCs w:val="20"/>
                <w:lang w:val="en-GB"/>
              </w:rPr>
              <w:t xml:space="preserve"> </w:t>
            </w:r>
            <w:proofErr w:type="spellStart"/>
            <w:r w:rsidRPr="00866A7F">
              <w:rPr>
                <w:sz w:val="20"/>
                <w:szCs w:val="20"/>
                <w:lang w:val="en-GB"/>
              </w:rPr>
              <w:t>Petrovac</w:t>
            </w:r>
            <w:proofErr w:type="spellEnd"/>
          </w:p>
        </w:tc>
        <w:tc>
          <w:tcPr>
            <w:tcW w:w="2268" w:type="dxa"/>
          </w:tcPr>
          <w:p w14:paraId="556DD186" w14:textId="77777777" w:rsidR="00155A83" w:rsidRPr="00D62D04" w:rsidRDefault="00866A7F" w:rsidP="00866A7F">
            <w:pPr>
              <w:spacing w:after="0"/>
              <w:rPr>
                <w:sz w:val="20"/>
                <w:szCs w:val="20"/>
                <w:highlight w:val="cyan"/>
                <w:lang w:val="en-GB"/>
              </w:rPr>
            </w:pPr>
            <w:r w:rsidRPr="00866A7F">
              <w:rPr>
                <w:sz w:val="20"/>
                <w:szCs w:val="20"/>
                <w:lang w:val="en-GB"/>
              </w:rPr>
              <w:t>An extraordinary inspection was carried out. Ordered measures for writing</w:t>
            </w:r>
            <w:r>
              <w:rPr>
                <w:sz w:val="20"/>
                <w:szCs w:val="20"/>
                <w:lang w:val="en-GB"/>
              </w:rPr>
              <w:t xml:space="preserve"> inscriptions</w:t>
            </w:r>
            <w:r w:rsidRPr="00866A7F">
              <w:rPr>
                <w:sz w:val="20"/>
                <w:szCs w:val="20"/>
                <w:lang w:val="en-GB"/>
              </w:rPr>
              <w:t xml:space="preserve">. Measure </w:t>
            </w:r>
            <w:r>
              <w:rPr>
                <w:sz w:val="20"/>
                <w:szCs w:val="20"/>
                <w:lang w:val="en-GB"/>
              </w:rPr>
              <w:t>implemented</w:t>
            </w:r>
          </w:p>
        </w:tc>
      </w:tr>
    </w:tbl>
    <w:p w14:paraId="7010C20E" w14:textId="77777777" w:rsidR="00034AD3" w:rsidRPr="00D62D04" w:rsidRDefault="00034AD3" w:rsidP="00F11EE4">
      <w:pPr>
        <w:spacing w:after="0"/>
        <w:jc w:val="both"/>
        <w:rPr>
          <w:sz w:val="24"/>
          <w:szCs w:val="24"/>
          <w:highlight w:val="cyan"/>
          <w:lang w:val="en-GB"/>
        </w:rPr>
      </w:pPr>
    </w:p>
    <w:p w14:paraId="4DF17684" w14:textId="6E0988FE" w:rsidR="00752780" w:rsidRDefault="00034AD3" w:rsidP="00034AD3">
      <w:pPr>
        <w:spacing w:after="0"/>
        <w:jc w:val="both"/>
        <w:rPr>
          <w:i/>
          <w:sz w:val="24"/>
          <w:szCs w:val="24"/>
          <w:lang w:val="en-GB"/>
        </w:rPr>
      </w:pPr>
      <w:r w:rsidRPr="00752780">
        <w:rPr>
          <w:i/>
          <w:sz w:val="24"/>
          <w:szCs w:val="24"/>
          <w:lang w:val="en-GB"/>
        </w:rPr>
        <w:t xml:space="preserve">82. </w:t>
      </w:r>
      <w:r w:rsidR="00752780" w:rsidRPr="00752780">
        <w:rPr>
          <w:i/>
          <w:sz w:val="24"/>
          <w:szCs w:val="24"/>
          <w:lang w:val="en-GB"/>
        </w:rPr>
        <w:t>The Advisory Committee calls on the authorities to increase their efforts, in areas traditionally inhabited by members of national minorities or where they live in large numbers, to collect data on the number of minority languages spoken by civil servants in national, provincial and local governments and, in the light of such data, to take the necessary measures, including adequate training for the members of the national minorities in question, in order to ensure that the number of speakers in these administrations corresponds as much as possible to the proportion of the population that speaks minority languages.</w:t>
      </w:r>
    </w:p>
    <w:p w14:paraId="435C814A" w14:textId="77777777" w:rsidR="00034AD3" w:rsidRPr="00D62D04" w:rsidRDefault="00034AD3" w:rsidP="00034AD3">
      <w:pPr>
        <w:spacing w:after="0"/>
        <w:jc w:val="both"/>
        <w:rPr>
          <w:i/>
          <w:sz w:val="24"/>
          <w:szCs w:val="24"/>
          <w:highlight w:val="cyan"/>
          <w:lang w:val="en-GB"/>
        </w:rPr>
      </w:pPr>
    </w:p>
    <w:p w14:paraId="4ED8DDD5" w14:textId="77777777" w:rsidR="0001614F" w:rsidRDefault="00034AD3" w:rsidP="00034AD3">
      <w:pPr>
        <w:spacing w:after="0"/>
        <w:jc w:val="both"/>
        <w:rPr>
          <w:i/>
          <w:sz w:val="24"/>
          <w:szCs w:val="24"/>
          <w:lang w:val="en-GB"/>
        </w:rPr>
      </w:pPr>
      <w:r w:rsidRPr="0001614F">
        <w:rPr>
          <w:i/>
          <w:sz w:val="24"/>
          <w:szCs w:val="24"/>
          <w:lang w:val="en-GB"/>
        </w:rPr>
        <w:lastRenderedPageBreak/>
        <w:t xml:space="preserve">83. </w:t>
      </w:r>
      <w:r w:rsidR="0001614F" w:rsidRPr="0001614F">
        <w:rPr>
          <w:i/>
          <w:sz w:val="24"/>
          <w:szCs w:val="24"/>
          <w:lang w:val="en-GB"/>
        </w:rPr>
        <w:t>The Advisory Committee calls on the authorities to intensify their efforts to inform all members of national minorities in the respective areas that they have the right to use their minority language in contacts with state, provincial and local administration.</w:t>
      </w:r>
    </w:p>
    <w:p w14:paraId="70C30812" w14:textId="77777777" w:rsidR="00315702" w:rsidRPr="00D62D04" w:rsidRDefault="00315702" w:rsidP="00034AD3">
      <w:pPr>
        <w:spacing w:after="0"/>
        <w:jc w:val="both"/>
        <w:rPr>
          <w:i/>
          <w:sz w:val="24"/>
          <w:szCs w:val="24"/>
          <w:highlight w:val="cyan"/>
          <w:lang w:val="en-GB"/>
        </w:rPr>
      </w:pPr>
    </w:p>
    <w:p w14:paraId="051996A0" w14:textId="7324E1C9" w:rsidR="00501E37" w:rsidRDefault="0001614F" w:rsidP="00F11EE4">
      <w:pPr>
        <w:spacing w:after="0"/>
        <w:jc w:val="both"/>
        <w:rPr>
          <w:sz w:val="24"/>
          <w:szCs w:val="24"/>
          <w:lang w:val="en-GB"/>
        </w:rPr>
      </w:pPr>
      <w:r w:rsidRPr="0001614F">
        <w:rPr>
          <w:sz w:val="24"/>
          <w:szCs w:val="24"/>
          <w:lang w:val="en-GB"/>
        </w:rPr>
        <w:t xml:space="preserve">The </w:t>
      </w:r>
      <w:r w:rsidR="008B23D1">
        <w:rPr>
          <w:sz w:val="24"/>
          <w:szCs w:val="24"/>
          <w:lang w:val="en-GB"/>
        </w:rPr>
        <w:t>response</w:t>
      </w:r>
      <w:r w:rsidRPr="0001614F">
        <w:rPr>
          <w:sz w:val="24"/>
          <w:szCs w:val="24"/>
          <w:lang w:val="en-GB"/>
        </w:rPr>
        <w:t xml:space="preserve"> to this recommendation is </w:t>
      </w:r>
      <w:r>
        <w:rPr>
          <w:sz w:val="24"/>
          <w:szCs w:val="24"/>
          <w:lang w:val="en-GB"/>
        </w:rPr>
        <w:t>given</w:t>
      </w:r>
      <w:r w:rsidRPr="0001614F">
        <w:rPr>
          <w:sz w:val="24"/>
          <w:szCs w:val="24"/>
          <w:lang w:val="en-GB"/>
        </w:rPr>
        <w:t xml:space="preserve"> in the </w:t>
      </w:r>
      <w:r w:rsidR="008B23D1">
        <w:rPr>
          <w:sz w:val="24"/>
          <w:szCs w:val="24"/>
          <w:lang w:val="en-GB"/>
        </w:rPr>
        <w:t>response</w:t>
      </w:r>
      <w:r w:rsidRPr="0001614F">
        <w:rPr>
          <w:sz w:val="24"/>
          <w:szCs w:val="24"/>
          <w:lang w:val="en-GB"/>
        </w:rPr>
        <w:t xml:space="preserve"> to recommendation 10 </w:t>
      </w:r>
      <w:r>
        <w:rPr>
          <w:sz w:val="24"/>
          <w:szCs w:val="24"/>
          <w:lang w:val="en-GB"/>
        </w:rPr>
        <w:t>of</w:t>
      </w:r>
      <w:r w:rsidRPr="0001614F">
        <w:rPr>
          <w:sz w:val="24"/>
          <w:szCs w:val="24"/>
          <w:lang w:val="en-GB"/>
        </w:rPr>
        <w:t xml:space="preserve"> the </w:t>
      </w:r>
      <w:r w:rsidR="00AC33C4">
        <w:rPr>
          <w:sz w:val="24"/>
          <w:szCs w:val="24"/>
          <w:lang w:val="en-GB"/>
        </w:rPr>
        <w:t>Committee of Ministers Resolution</w:t>
      </w:r>
      <w:r w:rsidRPr="0001614F">
        <w:rPr>
          <w:sz w:val="24"/>
          <w:szCs w:val="24"/>
          <w:lang w:val="en-GB"/>
        </w:rPr>
        <w:t>.</w:t>
      </w:r>
    </w:p>
    <w:p w14:paraId="41B423CF" w14:textId="77777777" w:rsidR="0001614F" w:rsidRPr="00D62D04" w:rsidRDefault="0001614F" w:rsidP="00F11EE4">
      <w:pPr>
        <w:spacing w:after="0"/>
        <w:jc w:val="both"/>
        <w:rPr>
          <w:sz w:val="24"/>
          <w:szCs w:val="24"/>
          <w:highlight w:val="cyan"/>
          <w:lang w:val="en-GB"/>
        </w:rPr>
      </w:pPr>
    </w:p>
    <w:p w14:paraId="36CE9211" w14:textId="77777777" w:rsidR="00CE5B5C" w:rsidRPr="003E17F7" w:rsidRDefault="003E17F7" w:rsidP="00F333CD">
      <w:pPr>
        <w:pStyle w:val="Heading2"/>
        <w:jc w:val="center"/>
        <w:rPr>
          <w:rFonts w:ascii="Times New Roman" w:hAnsi="Times New Roman" w:cs="Times New Roman"/>
          <w:b/>
          <w:sz w:val="24"/>
          <w:szCs w:val="24"/>
          <w:lang w:val="en-GB"/>
        </w:rPr>
      </w:pPr>
      <w:bookmarkStart w:id="26" w:name="_Toc112932727"/>
      <w:r w:rsidRPr="003E17F7">
        <w:rPr>
          <w:rFonts w:ascii="Times New Roman" w:hAnsi="Times New Roman" w:cs="Times New Roman"/>
          <w:b/>
          <w:color w:val="auto"/>
          <w:sz w:val="24"/>
          <w:szCs w:val="24"/>
          <w:lang w:val="en-GB"/>
        </w:rPr>
        <w:t>Article 11 of the Framework Convention</w:t>
      </w:r>
      <w:bookmarkEnd w:id="26"/>
      <w:r w:rsidRPr="003E17F7">
        <w:rPr>
          <w:rFonts w:ascii="Times New Roman" w:hAnsi="Times New Roman" w:cs="Times New Roman"/>
          <w:b/>
          <w:color w:val="auto"/>
          <w:sz w:val="24"/>
          <w:szCs w:val="24"/>
          <w:lang w:val="en-GB"/>
        </w:rPr>
        <w:t xml:space="preserve"> </w:t>
      </w:r>
      <w:r w:rsidR="00CE5B5C" w:rsidRPr="003E17F7">
        <w:rPr>
          <w:rFonts w:ascii="Times New Roman" w:hAnsi="Times New Roman" w:cs="Times New Roman"/>
          <w:b/>
          <w:color w:val="auto"/>
          <w:sz w:val="24"/>
          <w:szCs w:val="24"/>
          <w:lang w:val="en-GB"/>
        </w:rPr>
        <w:t xml:space="preserve"> </w:t>
      </w:r>
    </w:p>
    <w:p w14:paraId="2DC67629" w14:textId="77777777" w:rsidR="00CE5B5C" w:rsidRPr="00D62D04" w:rsidRDefault="003E17F7" w:rsidP="00F333CD">
      <w:pPr>
        <w:pStyle w:val="Heading3"/>
        <w:jc w:val="center"/>
        <w:rPr>
          <w:rFonts w:ascii="Times New Roman" w:hAnsi="Times New Roman" w:cs="Times New Roman"/>
          <w:b/>
          <w:highlight w:val="cyan"/>
          <w:lang w:val="en-GB"/>
        </w:rPr>
      </w:pPr>
      <w:bookmarkStart w:id="27" w:name="_Toc112932728"/>
      <w:r w:rsidRPr="003E17F7">
        <w:rPr>
          <w:rFonts w:ascii="Times New Roman" w:hAnsi="Times New Roman" w:cs="Times New Roman"/>
          <w:b/>
          <w:color w:val="auto"/>
          <w:lang w:val="en-GB"/>
        </w:rPr>
        <w:t>Personal names, topographical marks and other signs and inscriptions</w:t>
      </w:r>
      <w:bookmarkEnd w:id="27"/>
    </w:p>
    <w:p w14:paraId="31AFD085" w14:textId="77777777" w:rsidR="00CE5B5C" w:rsidRPr="00D62D04" w:rsidRDefault="00CE5B5C" w:rsidP="00CE5B5C">
      <w:pPr>
        <w:spacing w:after="0"/>
        <w:jc w:val="both"/>
        <w:rPr>
          <w:i/>
          <w:sz w:val="24"/>
          <w:szCs w:val="24"/>
          <w:highlight w:val="cyan"/>
          <w:lang w:val="en-GB"/>
        </w:rPr>
      </w:pPr>
    </w:p>
    <w:p w14:paraId="40DF5F0D" w14:textId="77777777" w:rsidR="00B87FAF" w:rsidRDefault="00CE5B5C" w:rsidP="00CE5B5C">
      <w:pPr>
        <w:spacing w:after="0"/>
        <w:jc w:val="both"/>
        <w:rPr>
          <w:i/>
          <w:sz w:val="24"/>
          <w:szCs w:val="24"/>
          <w:lang w:val="en-GB"/>
        </w:rPr>
      </w:pPr>
      <w:r w:rsidRPr="00B87FAF">
        <w:rPr>
          <w:i/>
          <w:sz w:val="24"/>
          <w:szCs w:val="24"/>
          <w:lang w:val="en-GB"/>
        </w:rPr>
        <w:t>86.</w:t>
      </w:r>
      <w:r w:rsidR="00B87FAF" w:rsidRPr="00B87FAF">
        <w:t xml:space="preserve"> </w:t>
      </w:r>
      <w:r w:rsidR="00B87FAF" w:rsidRPr="00B87FAF">
        <w:rPr>
          <w:i/>
          <w:sz w:val="24"/>
          <w:szCs w:val="24"/>
          <w:lang w:val="en-GB"/>
        </w:rPr>
        <w:t xml:space="preserve">The Advisory Committee calls on the authorities to ensure that </w:t>
      </w:r>
      <w:proofErr w:type="spellStart"/>
      <w:r w:rsidR="00B87FAF" w:rsidRPr="00B87FAF">
        <w:rPr>
          <w:i/>
          <w:sz w:val="24"/>
          <w:szCs w:val="24"/>
          <w:lang w:val="en-GB"/>
        </w:rPr>
        <w:t>exerpts</w:t>
      </w:r>
      <w:proofErr w:type="spellEnd"/>
      <w:r w:rsidR="00B87FAF" w:rsidRPr="00B87FAF">
        <w:rPr>
          <w:i/>
          <w:sz w:val="24"/>
          <w:szCs w:val="24"/>
          <w:lang w:val="en-GB"/>
        </w:rPr>
        <w:t xml:space="preserve"> from registers can be printed bilingually or </w:t>
      </w:r>
      <w:proofErr w:type="spellStart"/>
      <w:r w:rsidR="00B87FAF" w:rsidRPr="00B87FAF">
        <w:rPr>
          <w:i/>
          <w:sz w:val="24"/>
          <w:szCs w:val="24"/>
          <w:lang w:val="en-GB"/>
        </w:rPr>
        <w:t>multilingually</w:t>
      </w:r>
      <w:proofErr w:type="spellEnd"/>
      <w:r w:rsidR="00B87FAF" w:rsidRPr="00B87FAF">
        <w:rPr>
          <w:i/>
          <w:sz w:val="24"/>
          <w:szCs w:val="24"/>
          <w:lang w:val="en-GB"/>
        </w:rPr>
        <w:t xml:space="preserve"> in the territory of Serbia when registers contain information in the Serbian language and in one or more minority languages.</w:t>
      </w:r>
    </w:p>
    <w:p w14:paraId="544E3C4E" w14:textId="77777777" w:rsidR="008A7E1F" w:rsidRPr="00D62D04" w:rsidRDefault="008A7E1F" w:rsidP="00CE5B5C">
      <w:pPr>
        <w:spacing w:after="0"/>
        <w:jc w:val="both"/>
        <w:rPr>
          <w:i/>
          <w:sz w:val="24"/>
          <w:szCs w:val="24"/>
          <w:highlight w:val="cyan"/>
          <w:lang w:val="en-GB"/>
        </w:rPr>
      </w:pPr>
    </w:p>
    <w:p w14:paraId="586C5A38" w14:textId="77777777" w:rsidR="002F25BF" w:rsidRPr="002F25BF" w:rsidRDefault="002F25BF" w:rsidP="002F25BF">
      <w:pPr>
        <w:spacing w:after="0"/>
        <w:ind w:firstLine="720"/>
        <w:jc w:val="both"/>
        <w:rPr>
          <w:sz w:val="24"/>
          <w:szCs w:val="24"/>
          <w:lang w:val="en-GB"/>
        </w:rPr>
      </w:pPr>
      <w:r>
        <w:rPr>
          <w:sz w:val="24"/>
          <w:szCs w:val="24"/>
          <w:lang w:val="en-GB"/>
        </w:rPr>
        <w:t>Pursuant to</w:t>
      </w:r>
      <w:r w:rsidRPr="002F25BF">
        <w:rPr>
          <w:sz w:val="24"/>
          <w:szCs w:val="24"/>
          <w:lang w:val="en-GB"/>
        </w:rPr>
        <w:t xml:space="preserve"> the Law on the Official Use of Languages ​​and Scripts, in areas where the languages ​​and scripts of national minorities are in official use, documents that are of interest for the </w:t>
      </w:r>
      <w:r w:rsidR="0008582B">
        <w:rPr>
          <w:sz w:val="24"/>
          <w:szCs w:val="24"/>
          <w:lang w:val="en-GB"/>
        </w:rPr>
        <w:t>exercise</w:t>
      </w:r>
      <w:r w:rsidRPr="002F25BF">
        <w:rPr>
          <w:sz w:val="24"/>
          <w:szCs w:val="24"/>
          <w:lang w:val="en-GB"/>
        </w:rPr>
        <w:t xml:space="preserve"> of the rights of citizens established by law</w:t>
      </w:r>
      <w:r w:rsidR="0008582B">
        <w:rPr>
          <w:sz w:val="24"/>
          <w:szCs w:val="24"/>
          <w:lang w:val="en-GB"/>
        </w:rPr>
        <w:t xml:space="preserve"> shall</w:t>
      </w:r>
      <w:r w:rsidRPr="002F25BF">
        <w:rPr>
          <w:sz w:val="24"/>
          <w:szCs w:val="24"/>
          <w:lang w:val="en-GB"/>
        </w:rPr>
        <w:t xml:space="preserve"> also </w:t>
      </w:r>
      <w:r w:rsidR="0008582B">
        <w:rPr>
          <w:sz w:val="24"/>
          <w:szCs w:val="24"/>
          <w:lang w:val="en-GB"/>
        </w:rPr>
        <w:t xml:space="preserve">be </w:t>
      </w:r>
      <w:r w:rsidRPr="002F25BF">
        <w:rPr>
          <w:sz w:val="24"/>
          <w:szCs w:val="24"/>
          <w:lang w:val="en-GB"/>
        </w:rPr>
        <w:t>issued in their language</w:t>
      </w:r>
      <w:r w:rsidR="0008582B" w:rsidRPr="002F25BF">
        <w:rPr>
          <w:sz w:val="24"/>
          <w:szCs w:val="24"/>
          <w:lang w:val="en-GB"/>
        </w:rPr>
        <w:t>, at the request of</w:t>
      </w:r>
      <w:r w:rsidR="0008582B">
        <w:rPr>
          <w:sz w:val="24"/>
          <w:szCs w:val="24"/>
          <w:lang w:val="en-GB"/>
        </w:rPr>
        <w:t xml:space="preserve"> members of a national minority</w:t>
      </w:r>
      <w:r w:rsidRPr="002F25BF">
        <w:rPr>
          <w:sz w:val="24"/>
          <w:szCs w:val="24"/>
          <w:lang w:val="en-GB"/>
        </w:rPr>
        <w:t xml:space="preserve">. This </w:t>
      </w:r>
      <w:r w:rsidR="0008582B">
        <w:rPr>
          <w:sz w:val="24"/>
          <w:szCs w:val="24"/>
          <w:lang w:val="en-GB"/>
        </w:rPr>
        <w:t xml:space="preserve">shall </w:t>
      </w:r>
      <w:r w:rsidRPr="002F25BF">
        <w:rPr>
          <w:sz w:val="24"/>
          <w:szCs w:val="24"/>
          <w:lang w:val="en-GB"/>
        </w:rPr>
        <w:t>also appl</w:t>
      </w:r>
      <w:r w:rsidR="0008582B">
        <w:rPr>
          <w:sz w:val="24"/>
          <w:szCs w:val="24"/>
          <w:lang w:val="en-GB"/>
        </w:rPr>
        <w:t>y</w:t>
      </w:r>
      <w:r w:rsidRPr="002F25BF">
        <w:rPr>
          <w:sz w:val="24"/>
          <w:szCs w:val="24"/>
          <w:lang w:val="en-GB"/>
        </w:rPr>
        <w:t xml:space="preserve"> to ex</w:t>
      </w:r>
      <w:r w:rsidR="0008582B">
        <w:rPr>
          <w:sz w:val="24"/>
          <w:szCs w:val="24"/>
          <w:lang w:val="en-GB"/>
        </w:rPr>
        <w:t>cerpts</w:t>
      </w:r>
      <w:r w:rsidRPr="002F25BF">
        <w:rPr>
          <w:sz w:val="24"/>
          <w:szCs w:val="24"/>
          <w:lang w:val="en-GB"/>
        </w:rPr>
        <w:t xml:space="preserve"> from registers that are issued bilingually, in the Serbian language, in the Cyrillic script and in the language and script of the national minority </w:t>
      </w:r>
      <w:r w:rsidR="0008582B">
        <w:rPr>
          <w:sz w:val="24"/>
          <w:szCs w:val="24"/>
          <w:lang w:val="en-GB"/>
        </w:rPr>
        <w:t>the</w:t>
      </w:r>
      <w:r w:rsidRPr="002F25BF">
        <w:rPr>
          <w:sz w:val="24"/>
          <w:szCs w:val="24"/>
          <w:lang w:val="en-GB"/>
        </w:rPr>
        <w:t xml:space="preserve"> language </w:t>
      </w:r>
      <w:r w:rsidR="0008582B">
        <w:rPr>
          <w:sz w:val="24"/>
          <w:szCs w:val="24"/>
          <w:lang w:val="en-GB"/>
        </w:rPr>
        <w:t>of which</w:t>
      </w:r>
      <w:r w:rsidR="00964B61">
        <w:rPr>
          <w:sz w:val="24"/>
          <w:szCs w:val="24"/>
          <w:lang w:val="en-GB"/>
        </w:rPr>
        <w:t xml:space="preserve"> </w:t>
      </w:r>
      <w:r w:rsidRPr="002F25BF">
        <w:rPr>
          <w:sz w:val="24"/>
          <w:szCs w:val="24"/>
          <w:lang w:val="en-GB"/>
        </w:rPr>
        <w:t>is in official use.</w:t>
      </w:r>
    </w:p>
    <w:p w14:paraId="4FCE0709" w14:textId="77777777" w:rsidR="002F25BF" w:rsidRDefault="002F25BF" w:rsidP="002F25BF">
      <w:pPr>
        <w:spacing w:after="0"/>
        <w:ind w:firstLine="720"/>
        <w:jc w:val="both"/>
        <w:rPr>
          <w:sz w:val="24"/>
          <w:szCs w:val="24"/>
          <w:lang w:val="en-GB"/>
        </w:rPr>
      </w:pPr>
      <w:r w:rsidRPr="002F25BF">
        <w:rPr>
          <w:sz w:val="24"/>
          <w:szCs w:val="24"/>
          <w:lang w:val="en-GB"/>
        </w:rPr>
        <w:t>In all other units of local self-government, ex</w:t>
      </w:r>
      <w:r w:rsidR="00964B61">
        <w:rPr>
          <w:sz w:val="24"/>
          <w:szCs w:val="24"/>
          <w:lang w:val="en-GB"/>
        </w:rPr>
        <w:t>cerpts</w:t>
      </w:r>
      <w:r w:rsidRPr="002F25BF">
        <w:rPr>
          <w:sz w:val="24"/>
          <w:szCs w:val="24"/>
          <w:lang w:val="en-GB"/>
        </w:rPr>
        <w:t xml:space="preserve"> are issued in the Serbian language, and in the ex</w:t>
      </w:r>
      <w:r w:rsidR="00964B61">
        <w:rPr>
          <w:sz w:val="24"/>
          <w:szCs w:val="24"/>
          <w:lang w:val="en-GB"/>
        </w:rPr>
        <w:t xml:space="preserve">cerpt </w:t>
      </w:r>
      <w:r w:rsidRPr="002F25BF">
        <w:rPr>
          <w:sz w:val="24"/>
          <w:szCs w:val="24"/>
          <w:lang w:val="en-GB"/>
        </w:rPr>
        <w:t xml:space="preserve">from the register, the personal name in the language and script of the member of the national minority </w:t>
      </w:r>
      <w:r w:rsidR="00964B61">
        <w:rPr>
          <w:sz w:val="24"/>
          <w:szCs w:val="24"/>
          <w:lang w:val="en-GB"/>
        </w:rPr>
        <w:t>shall be</w:t>
      </w:r>
      <w:r w:rsidRPr="002F25BF">
        <w:rPr>
          <w:sz w:val="24"/>
          <w:szCs w:val="24"/>
          <w:lang w:val="en-GB"/>
        </w:rPr>
        <w:t xml:space="preserve"> entered after the entry of the personal name in the Serbian language in the Cyrillic script, below it in the same shape and size of the letters, if the personal name of the child, parent, spouse or deceased member of the national minority</w:t>
      </w:r>
      <w:r w:rsidR="00964B61" w:rsidRPr="002F25BF">
        <w:rPr>
          <w:sz w:val="24"/>
          <w:szCs w:val="24"/>
          <w:lang w:val="en-GB"/>
        </w:rPr>
        <w:t xml:space="preserve"> </w:t>
      </w:r>
      <w:r w:rsidRPr="002F25BF">
        <w:rPr>
          <w:sz w:val="24"/>
          <w:szCs w:val="24"/>
          <w:lang w:val="en-GB"/>
        </w:rPr>
        <w:t>is entered</w:t>
      </w:r>
      <w:r w:rsidR="000B630F" w:rsidRPr="000B630F">
        <w:rPr>
          <w:sz w:val="24"/>
          <w:szCs w:val="24"/>
          <w:lang w:val="en-GB"/>
        </w:rPr>
        <w:t xml:space="preserve"> </w:t>
      </w:r>
      <w:r w:rsidR="000B630F" w:rsidRPr="002F25BF">
        <w:rPr>
          <w:sz w:val="24"/>
          <w:szCs w:val="24"/>
          <w:lang w:val="en-GB"/>
        </w:rPr>
        <w:t>in the register</w:t>
      </w:r>
      <w:r w:rsidRPr="002F25BF">
        <w:rPr>
          <w:sz w:val="24"/>
          <w:szCs w:val="24"/>
          <w:lang w:val="en-GB"/>
        </w:rPr>
        <w:t xml:space="preserve"> in the language and script of the national minority.</w:t>
      </w:r>
    </w:p>
    <w:p w14:paraId="2DF0C54E" w14:textId="77777777" w:rsidR="00DE18DA" w:rsidRDefault="00DE18DA" w:rsidP="00715BA5">
      <w:pPr>
        <w:spacing w:after="0"/>
        <w:ind w:firstLine="720"/>
        <w:jc w:val="both"/>
        <w:rPr>
          <w:sz w:val="24"/>
          <w:szCs w:val="24"/>
          <w:lang w:val="en-GB"/>
        </w:rPr>
      </w:pPr>
      <w:r w:rsidRPr="00DE18DA">
        <w:rPr>
          <w:sz w:val="24"/>
          <w:szCs w:val="24"/>
          <w:lang w:val="en-GB"/>
        </w:rPr>
        <w:t>In the p</w:t>
      </w:r>
      <w:r>
        <w:rPr>
          <w:sz w:val="24"/>
          <w:szCs w:val="24"/>
          <w:lang w:val="en-GB"/>
        </w:rPr>
        <w:t>ast</w:t>
      </w:r>
      <w:r w:rsidRPr="00DE18DA">
        <w:rPr>
          <w:sz w:val="24"/>
          <w:szCs w:val="24"/>
          <w:lang w:val="en-GB"/>
        </w:rPr>
        <w:t xml:space="preserve"> period, no obstacles were observed in the exercise of this right, nor were the registry offices or citizens addressing the ministry in charge of </w:t>
      </w:r>
      <w:r>
        <w:rPr>
          <w:sz w:val="24"/>
          <w:szCs w:val="24"/>
          <w:lang w:val="en-GB"/>
        </w:rPr>
        <w:t>public</w:t>
      </w:r>
      <w:r w:rsidRPr="00DE18DA">
        <w:rPr>
          <w:sz w:val="24"/>
          <w:szCs w:val="24"/>
          <w:lang w:val="en-GB"/>
        </w:rPr>
        <w:t xml:space="preserve"> administration and local </w:t>
      </w:r>
      <w:r>
        <w:rPr>
          <w:sz w:val="24"/>
          <w:szCs w:val="24"/>
          <w:lang w:val="en-GB"/>
        </w:rPr>
        <w:t>self-government</w:t>
      </w:r>
      <w:r w:rsidRPr="00DE18DA">
        <w:rPr>
          <w:sz w:val="24"/>
          <w:szCs w:val="24"/>
          <w:lang w:val="en-GB"/>
        </w:rPr>
        <w:t xml:space="preserve"> </w:t>
      </w:r>
      <w:r>
        <w:rPr>
          <w:sz w:val="24"/>
          <w:szCs w:val="24"/>
          <w:lang w:val="en-GB"/>
        </w:rPr>
        <w:t>indicating</w:t>
      </w:r>
      <w:r w:rsidRPr="00DE18DA">
        <w:rPr>
          <w:sz w:val="24"/>
          <w:szCs w:val="24"/>
          <w:lang w:val="en-GB"/>
        </w:rPr>
        <w:t xml:space="preserve"> problems in practice. The table below provides statistical data on the number of issued ex</w:t>
      </w:r>
      <w:r w:rsidR="004A173F">
        <w:rPr>
          <w:sz w:val="24"/>
          <w:szCs w:val="24"/>
          <w:lang w:val="en-GB"/>
        </w:rPr>
        <w:t>cerpts</w:t>
      </w:r>
      <w:r w:rsidRPr="00DE18DA">
        <w:rPr>
          <w:sz w:val="24"/>
          <w:szCs w:val="24"/>
          <w:lang w:val="en-GB"/>
        </w:rPr>
        <w:t xml:space="preserve"> from registers on bilingual forms for 2020 and 2021.</w:t>
      </w:r>
    </w:p>
    <w:p w14:paraId="08CDFD6F" w14:textId="77777777" w:rsidR="00715BA5" w:rsidRPr="00D62D04" w:rsidRDefault="00715BA5" w:rsidP="00715BA5">
      <w:pPr>
        <w:spacing w:after="0"/>
        <w:jc w:val="both"/>
        <w:rPr>
          <w:sz w:val="24"/>
          <w:szCs w:val="24"/>
          <w:highlight w:val="cyan"/>
          <w:lang w:val="en-GB"/>
        </w:rPr>
      </w:pPr>
    </w:p>
    <w:tbl>
      <w:tblPr>
        <w:tblStyle w:val="TableGrid"/>
        <w:tblW w:w="0" w:type="auto"/>
        <w:tblInd w:w="1320" w:type="dxa"/>
        <w:tblLook w:val="04A0" w:firstRow="1" w:lastRow="0" w:firstColumn="1" w:lastColumn="0" w:noHBand="0" w:noVBand="1"/>
      </w:tblPr>
      <w:tblGrid>
        <w:gridCol w:w="2972"/>
        <w:gridCol w:w="2972"/>
      </w:tblGrid>
      <w:tr w:rsidR="00715BA5" w:rsidRPr="00D62D04" w14:paraId="0E18E59E" w14:textId="77777777" w:rsidTr="009B5929">
        <w:trPr>
          <w:trHeight w:val="278"/>
        </w:trPr>
        <w:tc>
          <w:tcPr>
            <w:tcW w:w="5944" w:type="dxa"/>
            <w:gridSpan w:val="2"/>
          </w:tcPr>
          <w:p w14:paraId="6180325C" w14:textId="77777777" w:rsidR="00715BA5" w:rsidRPr="00101217" w:rsidRDefault="00715BA5" w:rsidP="00101217">
            <w:pPr>
              <w:spacing w:after="0"/>
              <w:jc w:val="center"/>
              <w:rPr>
                <w:sz w:val="20"/>
                <w:szCs w:val="20"/>
                <w:lang w:val="en-GB"/>
              </w:rPr>
            </w:pPr>
            <w:r w:rsidRPr="00101217">
              <w:rPr>
                <w:sz w:val="20"/>
                <w:szCs w:val="20"/>
                <w:lang w:val="en-GB"/>
              </w:rPr>
              <w:t>2020</w:t>
            </w:r>
          </w:p>
        </w:tc>
      </w:tr>
      <w:tr w:rsidR="00715BA5" w:rsidRPr="00CC2DBB" w14:paraId="7F2067F4" w14:textId="77777777" w:rsidTr="009B5929">
        <w:trPr>
          <w:trHeight w:val="287"/>
        </w:trPr>
        <w:tc>
          <w:tcPr>
            <w:tcW w:w="2972" w:type="dxa"/>
          </w:tcPr>
          <w:p w14:paraId="6C2D8AFA" w14:textId="77777777" w:rsidR="00715BA5" w:rsidRPr="00CC2DBB" w:rsidRDefault="00CC2DBB" w:rsidP="00715BA5">
            <w:pPr>
              <w:spacing w:after="0"/>
              <w:jc w:val="both"/>
              <w:rPr>
                <w:sz w:val="20"/>
                <w:szCs w:val="20"/>
                <w:lang w:val="en-GB"/>
              </w:rPr>
            </w:pPr>
            <w:r w:rsidRPr="00CC2DBB">
              <w:rPr>
                <w:sz w:val="20"/>
                <w:szCs w:val="20"/>
                <w:lang w:val="en-GB"/>
              </w:rPr>
              <w:t xml:space="preserve">Albanian </w:t>
            </w:r>
          </w:p>
        </w:tc>
        <w:tc>
          <w:tcPr>
            <w:tcW w:w="2972" w:type="dxa"/>
          </w:tcPr>
          <w:p w14:paraId="2A399BF2" w14:textId="77777777" w:rsidR="00715BA5" w:rsidRPr="00CC2DBB" w:rsidRDefault="00715BA5" w:rsidP="00715BA5">
            <w:pPr>
              <w:spacing w:after="0"/>
              <w:jc w:val="center"/>
              <w:rPr>
                <w:sz w:val="20"/>
                <w:szCs w:val="20"/>
                <w:lang w:val="en-GB"/>
              </w:rPr>
            </w:pPr>
            <w:r w:rsidRPr="00CC2DBB">
              <w:rPr>
                <w:sz w:val="20"/>
                <w:szCs w:val="20"/>
                <w:lang w:val="en-GB"/>
              </w:rPr>
              <w:t>1</w:t>
            </w:r>
          </w:p>
        </w:tc>
      </w:tr>
      <w:tr w:rsidR="00715BA5" w:rsidRPr="00CC2DBB" w14:paraId="02CAD623" w14:textId="77777777" w:rsidTr="009B5929">
        <w:trPr>
          <w:trHeight w:val="278"/>
        </w:trPr>
        <w:tc>
          <w:tcPr>
            <w:tcW w:w="2972" w:type="dxa"/>
          </w:tcPr>
          <w:p w14:paraId="19410211" w14:textId="77777777" w:rsidR="00715BA5" w:rsidRPr="00CC2DBB" w:rsidRDefault="00CC2DBB" w:rsidP="00715BA5">
            <w:pPr>
              <w:spacing w:after="0"/>
              <w:jc w:val="both"/>
              <w:rPr>
                <w:sz w:val="20"/>
                <w:szCs w:val="20"/>
                <w:lang w:val="en-GB"/>
              </w:rPr>
            </w:pPr>
            <w:proofErr w:type="spellStart"/>
            <w:r w:rsidRPr="00CC2DBB">
              <w:rPr>
                <w:sz w:val="20"/>
                <w:szCs w:val="20"/>
                <w:lang w:val="en-GB"/>
              </w:rPr>
              <w:t>Bosniak</w:t>
            </w:r>
            <w:proofErr w:type="spellEnd"/>
            <w:r w:rsidRPr="00CC2DBB">
              <w:rPr>
                <w:sz w:val="20"/>
                <w:szCs w:val="20"/>
                <w:lang w:val="en-GB"/>
              </w:rPr>
              <w:t xml:space="preserve"> </w:t>
            </w:r>
          </w:p>
        </w:tc>
        <w:tc>
          <w:tcPr>
            <w:tcW w:w="2972" w:type="dxa"/>
          </w:tcPr>
          <w:p w14:paraId="6DF8F48E" w14:textId="77777777" w:rsidR="00715BA5" w:rsidRPr="00CC2DBB" w:rsidRDefault="00715BA5" w:rsidP="00CC2DBB">
            <w:pPr>
              <w:spacing w:after="0"/>
              <w:jc w:val="center"/>
              <w:rPr>
                <w:sz w:val="20"/>
                <w:szCs w:val="20"/>
                <w:lang w:val="en-GB"/>
              </w:rPr>
            </w:pPr>
            <w:r w:rsidRPr="00CC2DBB">
              <w:rPr>
                <w:sz w:val="20"/>
                <w:szCs w:val="20"/>
                <w:lang w:val="en-GB"/>
              </w:rPr>
              <w:t>7</w:t>
            </w:r>
            <w:r w:rsidR="00CC2DBB" w:rsidRPr="00CC2DBB">
              <w:rPr>
                <w:sz w:val="20"/>
                <w:szCs w:val="20"/>
                <w:lang w:val="en-GB"/>
              </w:rPr>
              <w:t>,</w:t>
            </w:r>
            <w:r w:rsidRPr="00CC2DBB">
              <w:rPr>
                <w:sz w:val="20"/>
                <w:szCs w:val="20"/>
                <w:lang w:val="en-GB"/>
              </w:rPr>
              <w:t>378</w:t>
            </w:r>
          </w:p>
        </w:tc>
      </w:tr>
      <w:tr w:rsidR="00715BA5" w:rsidRPr="00CC2DBB" w14:paraId="5F3E06BB" w14:textId="77777777" w:rsidTr="009B5929">
        <w:trPr>
          <w:trHeight w:val="278"/>
        </w:trPr>
        <w:tc>
          <w:tcPr>
            <w:tcW w:w="2972" w:type="dxa"/>
          </w:tcPr>
          <w:p w14:paraId="3A85BB95" w14:textId="77777777" w:rsidR="00715BA5" w:rsidRPr="00CC2DBB" w:rsidRDefault="00CC2DBB" w:rsidP="00715BA5">
            <w:pPr>
              <w:spacing w:after="0"/>
              <w:jc w:val="both"/>
              <w:rPr>
                <w:sz w:val="20"/>
                <w:szCs w:val="20"/>
                <w:lang w:val="en-GB"/>
              </w:rPr>
            </w:pPr>
            <w:r w:rsidRPr="00CC2DBB">
              <w:rPr>
                <w:sz w:val="20"/>
                <w:szCs w:val="20"/>
                <w:lang w:val="en-GB"/>
              </w:rPr>
              <w:t xml:space="preserve">Hungarian </w:t>
            </w:r>
          </w:p>
        </w:tc>
        <w:tc>
          <w:tcPr>
            <w:tcW w:w="2972" w:type="dxa"/>
          </w:tcPr>
          <w:p w14:paraId="377A05D1" w14:textId="77777777" w:rsidR="00715BA5" w:rsidRPr="00CC2DBB" w:rsidRDefault="00715BA5" w:rsidP="00715BA5">
            <w:pPr>
              <w:spacing w:after="0"/>
              <w:jc w:val="center"/>
              <w:rPr>
                <w:sz w:val="20"/>
                <w:szCs w:val="20"/>
                <w:lang w:val="en-GB"/>
              </w:rPr>
            </w:pPr>
            <w:r w:rsidRPr="00CC2DBB">
              <w:rPr>
                <w:sz w:val="20"/>
                <w:szCs w:val="20"/>
                <w:lang w:val="en-GB"/>
              </w:rPr>
              <w:t>5.598</w:t>
            </w:r>
          </w:p>
        </w:tc>
      </w:tr>
      <w:tr w:rsidR="00715BA5" w:rsidRPr="00CC2DBB" w14:paraId="5C0DF665" w14:textId="77777777" w:rsidTr="009B5929">
        <w:trPr>
          <w:trHeight w:val="287"/>
        </w:trPr>
        <w:tc>
          <w:tcPr>
            <w:tcW w:w="2972" w:type="dxa"/>
          </w:tcPr>
          <w:p w14:paraId="69950BAC" w14:textId="77777777" w:rsidR="00715BA5" w:rsidRPr="00CC2DBB" w:rsidRDefault="00CC2DBB" w:rsidP="00715BA5">
            <w:pPr>
              <w:spacing w:after="0"/>
              <w:jc w:val="both"/>
              <w:rPr>
                <w:sz w:val="20"/>
                <w:szCs w:val="20"/>
                <w:lang w:val="en-GB"/>
              </w:rPr>
            </w:pPr>
            <w:r w:rsidRPr="00CC2DBB">
              <w:rPr>
                <w:sz w:val="20"/>
                <w:szCs w:val="20"/>
                <w:lang w:val="en-GB"/>
              </w:rPr>
              <w:t xml:space="preserve">Romanian </w:t>
            </w:r>
          </w:p>
        </w:tc>
        <w:tc>
          <w:tcPr>
            <w:tcW w:w="2972" w:type="dxa"/>
          </w:tcPr>
          <w:p w14:paraId="15EDBA3A" w14:textId="77777777" w:rsidR="00715BA5" w:rsidRPr="00CC2DBB" w:rsidRDefault="00715BA5" w:rsidP="00715BA5">
            <w:pPr>
              <w:spacing w:after="0"/>
              <w:jc w:val="center"/>
              <w:rPr>
                <w:sz w:val="20"/>
                <w:szCs w:val="20"/>
                <w:lang w:val="en-GB"/>
              </w:rPr>
            </w:pPr>
            <w:r w:rsidRPr="00CC2DBB">
              <w:rPr>
                <w:sz w:val="20"/>
                <w:szCs w:val="20"/>
                <w:lang w:val="en-GB"/>
              </w:rPr>
              <w:t>13</w:t>
            </w:r>
          </w:p>
        </w:tc>
      </w:tr>
      <w:tr w:rsidR="00715BA5" w:rsidRPr="00CC2DBB" w14:paraId="49DBCBEE" w14:textId="77777777" w:rsidTr="009B5929">
        <w:trPr>
          <w:trHeight w:val="278"/>
        </w:trPr>
        <w:tc>
          <w:tcPr>
            <w:tcW w:w="2972" w:type="dxa"/>
          </w:tcPr>
          <w:p w14:paraId="1EB26ACB" w14:textId="77777777" w:rsidR="00715BA5" w:rsidRPr="00CC2DBB" w:rsidRDefault="00CC2DBB" w:rsidP="00715BA5">
            <w:pPr>
              <w:spacing w:after="0"/>
              <w:jc w:val="both"/>
              <w:rPr>
                <w:sz w:val="20"/>
                <w:szCs w:val="20"/>
                <w:lang w:val="en-GB"/>
              </w:rPr>
            </w:pPr>
            <w:r w:rsidRPr="00CC2DBB">
              <w:rPr>
                <w:sz w:val="20"/>
                <w:szCs w:val="20"/>
                <w:lang w:val="en-GB"/>
              </w:rPr>
              <w:t xml:space="preserve">Slovak </w:t>
            </w:r>
          </w:p>
        </w:tc>
        <w:tc>
          <w:tcPr>
            <w:tcW w:w="2972" w:type="dxa"/>
          </w:tcPr>
          <w:p w14:paraId="3DB7A904" w14:textId="77777777" w:rsidR="00715BA5" w:rsidRPr="00CC2DBB" w:rsidRDefault="00715BA5" w:rsidP="00715BA5">
            <w:pPr>
              <w:spacing w:after="0"/>
              <w:jc w:val="center"/>
              <w:rPr>
                <w:sz w:val="20"/>
                <w:szCs w:val="20"/>
                <w:lang w:val="en-GB"/>
              </w:rPr>
            </w:pPr>
            <w:r w:rsidRPr="00CC2DBB">
              <w:rPr>
                <w:sz w:val="20"/>
                <w:szCs w:val="20"/>
                <w:lang w:val="en-GB"/>
              </w:rPr>
              <w:t>165</w:t>
            </w:r>
          </w:p>
        </w:tc>
      </w:tr>
      <w:tr w:rsidR="00715BA5" w:rsidRPr="00D62D04" w14:paraId="32145B9C" w14:textId="77777777" w:rsidTr="009B5929">
        <w:trPr>
          <w:trHeight w:val="278"/>
        </w:trPr>
        <w:tc>
          <w:tcPr>
            <w:tcW w:w="2972" w:type="dxa"/>
          </w:tcPr>
          <w:p w14:paraId="102B3C43" w14:textId="77777777" w:rsidR="00715BA5" w:rsidRPr="00CC2DBB" w:rsidRDefault="00CC2DBB" w:rsidP="00715BA5">
            <w:pPr>
              <w:spacing w:after="0"/>
              <w:jc w:val="both"/>
              <w:rPr>
                <w:sz w:val="20"/>
                <w:szCs w:val="20"/>
                <w:lang w:val="en-GB"/>
              </w:rPr>
            </w:pPr>
            <w:r w:rsidRPr="00CC2DBB">
              <w:rPr>
                <w:sz w:val="20"/>
                <w:szCs w:val="20"/>
                <w:lang w:val="en-GB"/>
              </w:rPr>
              <w:t xml:space="preserve">Croatian </w:t>
            </w:r>
          </w:p>
        </w:tc>
        <w:tc>
          <w:tcPr>
            <w:tcW w:w="2972" w:type="dxa"/>
          </w:tcPr>
          <w:p w14:paraId="65B37ECD" w14:textId="77777777" w:rsidR="00715BA5" w:rsidRPr="00CC2DBB" w:rsidRDefault="00715BA5" w:rsidP="00CC2DBB">
            <w:pPr>
              <w:spacing w:after="0"/>
              <w:jc w:val="center"/>
              <w:rPr>
                <w:sz w:val="20"/>
                <w:szCs w:val="20"/>
                <w:lang w:val="en-GB"/>
              </w:rPr>
            </w:pPr>
            <w:r w:rsidRPr="00CC2DBB">
              <w:rPr>
                <w:sz w:val="20"/>
                <w:szCs w:val="20"/>
                <w:lang w:val="en-GB"/>
              </w:rPr>
              <w:t>1</w:t>
            </w:r>
            <w:r w:rsidR="00CC2DBB" w:rsidRPr="00CC2DBB">
              <w:rPr>
                <w:sz w:val="20"/>
                <w:szCs w:val="20"/>
                <w:lang w:val="en-GB"/>
              </w:rPr>
              <w:t>,</w:t>
            </w:r>
            <w:r w:rsidRPr="00CC2DBB">
              <w:rPr>
                <w:sz w:val="20"/>
                <w:szCs w:val="20"/>
                <w:lang w:val="en-GB"/>
              </w:rPr>
              <w:t>405</w:t>
            </w:r>
          </w:p>
        </w:tc>
      </w:tr>
      <w:tr w:rsidR="00715BA5" w:rsidRPr="00D62D04" w14:paraId="14CB26E1" w14:textId="77777777" w:rsidTr="009B5929">
        <w:trPr>
          <w:trHeight w:val="278"/>
        </w:trPr>
        <w:tc>
          <w:tcPr>
            <w:tcW w:w="5944" w:type="dxa"/>
            <w:gridSpan w:val="2"/>
          </w:tcPr>
          <w:p w14:paraId="520B410B" w14:textId="77777777" w:rsidR="00715BA5" w:rsidRPr="00CC2DBB" w:rsidRDefault="00CC2DBB" w:rsidP="00715BA5">
            <w:pPr>
              <w:spacing w:after="0"/>
              <w:jc w:val="center"/>
              <w:rPr>
                <w:sz w:val="20"/>
                <w:szCs w:val="20"/>
                <w:lang w:val="en-GB"/>
              </w:rPr>
            </w:pPr>
            <w:r w:rsidRPr="00CC2DBB">
              <w:rPr>
                <w:sz w:val="20"/>
                <w:szCs w:val="20"/>
                <w:lang w:val="en-GB"/>
              </w:rPr>
              <w:t>2021</w:t>
            </w:r>
          </w:p>
        </w:tc>
      </w:tr>
      <w:tr w:rsidR="00CC2DBB" w:rsidRPr="00CC2DBB" w14:paraId="72FFF6F3" w14:textId="77777777" w:rsidTr="009B5929">
        <w:trPr>
          <w:trHeight w:val="287"/>
        </w:trPr>
        <w:tc>
          <w:tcPr>
            <w:tcW w:w="2972" w:type="dxa"/>
          </w:tcPr>
          <w:p w14:paraId="509F3E15" w14:textId="77777777" w:rsidR="00CC2DBB" w:rsidRPr="00CC2DBB" w:rsidRDefault="00CC2DBB" w:rsidP="00CC2DBB">
            <w:pPr>
              <w:spacing w:after="0"/>
              <w:jc w:val="both"/>
              <w:rPr>
                <w:sz w:val="20"/>
                <w:szCs w:val="20"/>
                <w:lang w:val="en-GB"/>
              </w:rPr>
            </w:pPr>
            <w:r w:rsidRPr="00CC2DBB">
              <w:rPr>
                <w:sz w:val="20"/>
                <w:szCs w:val="20"/>
                <w:lang w:val="en-GB"/>
              </w:rPr>
              <w:t xml:space="preserve">Albanian </w:t>
            </w:r>
          </w:p>
        </w:tc>
        <w:tc>
          <w:tcPr>
            <w:tcW w:w="2972" w:type="dxa"/>
          </w:tcPr>
          <w:p w14:paraId="081D9C40" w14:textId="77777777" w:rsidR="00CC2DBB" w:rsidRPr="00CC2DBB" w:rsidRDefault="00CC2DBB" w:rsidP="00CC2DBB">
            <w:pPr>
              <w:spacing w:after="0"/>
              <w:jc w:val="center"/>
              <w:rPr>
                <w:sz w:val="20"/>
                <w:szCs w:val="20"/>
                <w:lang w:val="en-GB"/>
              </w:rPr>
            </w:pPr>
            <w:r w:rsidRPr="00CC2DBB">
              <w:rPr>
                <w:sz w:val="20"/>
                <w:szCs w:val="20"/>
                <w:lang w:val="en-GB"/>
              </w:rPr>
              <w:t>2</w:t>
            </w:r>
          </w:p>
        </w:tc>
      </w:tr>
      <w:tr w:rsidR="00CC2DBB" w:rsidRPr="00CC2DBB" w14:paraId="2B242DB7" w14:textId="77777777" w:rsidTr="009B5929">
        <w:trPr>
          <w:trHeight w:val="278"/>
        </w:trPr>
        <w:tc>
          <w:tcPr>
            <w:tcW w:w="2972" w:type="dxa"/>
          </w:tcPr>
          <w:p w14:paraId="60B1AEDA" w14:textId="77777777" w:rsidR="00CC2DBB" w:rsidRPr="00CC2DBB" w:rsidRDefault="00CC2DBB" w:rsidP="00CC2DBB">
            <w:pPr>
              <w:spacing w:after="0"/>
              <w:jc w:val="both"/>
              <w:rPr>
                <w:sz w:val="20"/>
                <w:szCs w:val="20"/>
                <w:lang w:val="en-GB"/>
              </w:rPr>
            </w:pPr>
            <w:proofErr w:type="spellStart"/>
            <w:r w:rsidRPr="00CC2DBB">
              <w:rPr>
                <w:sz w:val="20"/>
                <w:szCs w:val="20"/>
                <w:lang w:val="en-GB"/>
              </w:rPr>
              <w:t>Bosniak</w:t>
            </w:r>
            <w:proofErr w:type="spellEnd"/>
            <w:r w:rsidRPr="00CC2DBB">
              <w:rPr>
                <w:sz w:val="20"/>
                <w:szCs w:val="20"/>
                <w:lang w:val="en-GB"/>
              </w:rPr>
              <w:t xml:space="preserve"> </w:t>
            </w:r>
          </w:p>
        </w:tc>
        <w:tc>
          <w:tcPr>
            <w:tcW w:w="2972" w:type="dxa"/>
          </w:tcPr>
          <w:p w14:paraId="1B8DD4AA" w14:textId="77777777" w:rsidR="00CC2DBB" w:rsidRPr="00CC2DBB" w:rsidRDefault="00CC2DBB" w:rsidP="00CC2DBB">
            <w:pPr>
              <w:spacing w:after="0"/>
              <w:jc w:val="center"/>
              <w:rPr>
                <w:sz w:val="20"/>
                <w:szCs w:val="20"/>
                <w:lang w:val="en-GB"/>
              </w:rPr>
            </w:pPr>
            <w:r w:rsidRPr="00CC2DBB">
              <w:rPr>
                <w:sz w:val="20"/>
                <w:szCs w:val="20"/>
                <w:lang w:val="en-GB"/>
              </w:rPr>
              <w:t>1,785</w:t>
            </w:r>
          </w:p>
        </w:tc>
      </w:tr>
      <w:tr w:rsidR="00715BA5" w:rsidRPr="00CC2DBB" w14:paraId="3DCA583E" w14:textId="77777777" w:rsidTr="009B5929">
        <w:trPr>
          <w:trHeight w:val="278"/>
        </w:trPr>
        <w:tc>
          <w:tcPr>
            <w:tcW w:w="2972" w:type="dxa"/>
          </w:tcPr>
          <w:p w14:paraId="25FA828D" w14:textId="77777777" w:rsidR="00715BA5" w:rsidRPr="00CC2DBB" w:rsidRDefault="00CC2DBB" w:rsidP="00715BA5">
            <w:pPr>
              <w:spacing w:after="0"/>
              <w:jc w:val="both"/>
              <w:rPr>
                <w:sz w:val="20"/>
                <w:szCs w:val="20"/>
                <w:lang w:val="en-GB"/>
              </w:rPr>
            </w:pPr>
            <w:r w:rsidRPr="00CC2DBB">
              <w:rPr>
                <w:sz w:val="20"/>
                <w:szCs w:val="20"/>
                <w:lang w:val="en-GB"/>
              </w:rPr>
              <w:t xml:space="preserve">Bulgarian </w:t>
            </w:r>
          </w:p>
        </w:tc>
        <w:tc>
          <w:tcPr>
            <w:tcW w:w="2972" w:type="dxa"/>
          </w:tcPr>
          <w:p w14:paraId="166F1020" w14:textId="77777777" w:rsidR="00715BA5" w:rsidRPr="00CC2DBB" w:rsidRDefault="00715BA5" w:rsidP="00715BA5">
            <w:pPr>
              <w:spacing w:after="0"/>
              <w:jc w:val="center"/>
              <w:rPr>
                <w:sz w:val="20"/>
                <w:szCs w:val="20"/>
                <w:lang w:val="en-GB"/>
              </w:rPr>
            </w:pPr>
            <w:r w:rsidRPr="00CC2DBB">
              <w:rPr>
                <w:sz w:val="20"/>
                <w:szCs w:val="20"/>
                <w:lang w:val="en-GB"/>
              </w:rPr>
              <w:t>6</w:t>
            </w:r>
          </w:p>
        </w:tc>
      </w:tr>
      <w:tr w:rsidR="00715BA5" w:rsidRPr="00CC2DBB" w14:paraId="15B94FD9" w14:textId="77777777" w:rsidTr="009B5929">
        <w:trPr>
          <w:trHeight w:val="287"/>
        </w:trPr>
        <w:tc>
          <w:tcPr>
            <w:tcW w:w="2972" w:type="dxa"/>
          </w:tcPr>
          <w:p w14:paraId="16A81A58" w14:textId="77777777" w:rsidR="00715BA5" w:rsidRPr="00CC2DBB" w:rsidRDefault="00CC2DBB" w:rsidP="00715BA5">
            <w:pPr>
              <w:spacing w:after="0"/>
              <w:jc w:val="both"/>
              <w:rPr>
                <w:sz w:val="20"/>
                <w:szCs w:val="20"/>
                <w:lang w:val="en-GB"/>
              </w:rPr>
            </w:pPr>
            <w:r w:rsidRPr="00CC2DBB">
              <w:rPr>
                <w:sz w:val="20"/>
                <w:szCs w:val="20"/>
                <w:lang w:val="en-GB"/>
              </w:rPr>
              <w:t xml:space="preserve">Hungarian </w:t>
            </w:r>
          </w:p>
        </w:tc>
        <w:tc>
          <w:tcPr>
            <w:tcW w:w="2972" w:type="dxa"/>
          </w:tcPr>
          <w:p w14:paraId="4A0750F3" w14:textId="77777777" w:rsidR="00715BA5" w:rsidRPr="00CC2DBB" w:rsidRDefault="00715BA5" w:rsidP="00CC2DBB">
            <w:pPr>
              <w:spacing w:after="0"/>
              <w:jc w:val="center"/>
              <w:rPr>
                <w:sz w:val="20"/>
                <w:szCs w:val="20"/>
                <w:lang w:val="en-GB"/>
              </w:rPr>
            </w:pPr>
            <w:r w:rsidRPr="00CC2DBB">
              <w:rPr>
                <w:sz w:val="20"/>
                <w:szCs w:val="20"/>
                <w:lang w:val="en-GB"/>
              </w:rPr>
              <w:t>5</w:t>
            </w:r>
            <w:r w:rsidR="00CC2DBB" w:rsidRPr="00CC2DBB">
              <w:rPr>
                <w:sz w:val="20"/>
                <w:szCs w:val="20"/>
                <w:lang w:val="en-GB"/>
              </w:rPr>
              <w:t>,</w:t>
            </w:r>
            <w:r w:rsidRPr="00CC2DBB">
              <w:rPr>
                <w:sz w:val="20"/>
                <w:szCs w:val="20"/>
                <w:lang w:val="en-GB"/>
              </w:rPr>
              <w:t>157</w:t>
            </w:r>
          </w:p>
        </w:tc>
      </w:tr>
      <w:tr w:rsidR="00CC2DBB" w:rsidRPr="00CC2DBB" w14:paraId="0D3F74A2" w14:textId="77777777" w:rsidTr="009B5929">
        <w:trPr>
          <w:trHeight w:val="278"/>
        </w:trPr>
        <w:tc>
          <w:tcPr>
            <w:tcW w:w="2972" w:type="dxa"/>
          </w:tcPr>
          <w:p w14:paraId="0138FBF2" w14:textId="77777777" w:rsidR="00CC2DBB" w:rsidRPr="00CC2DBB" w:rsidRDefault="00CC2DBB" w:rsidP="00CC2DBB">
            <w:pPr>
              <w:spacing w:after="0"/>
              <w:jc w:val="both"/>
              <w:rPr>
                <w:sz w:val="20"/>
                <w:szCs w:val="20"/>
                <w:lang w:val="en-GB"/>
              </w:rPr>
            </w:pPr>
            <w:r w:rsidRPr="00CC2DBB">
              <w:rPr>
                <w:sz w:val="20"/>
                <w:szCs w:val="20"/>
                <w:lang w:val="en-GB"/>
              </w:rPr>
              <w:t xml:space="preserve">Slovak </w:t>
            </w:r>
          </w:p>
        </w:tc>
        <w:tc>
          <w:tcPr>
            <w:tcW w:w="2972" w:type="dxa"/>
          </w:tcPr>
          <w:p w14:paraId="02262AAA" w14:textId="77777777" w:rsidR="00CC2DBB" w:rsidRPr="00CC2DBB" w:rsidRDefault="00CC2DBB" w:rsidP="00CC2DBB">
            <w:pPr>
              <w:spacing w:after="0"/>
              <w:jc w:val="center"/>
              <w:rPr>
                <w:sz w:val="20"/>
                <w:szCs w:val="20"/>
                <w:lang w:val="en-GB"/>
              </w:rPr>
            </w:pPr>
            <w:r w:rsidRPr="00CC2DBB">
              <w:rPr>
                <w:sz w:val="20"/>
                <w:szCs w:val="20"/>
                <w:lang w:val="en-GB"/>
              </w:rPr>
              <w:t>155</w:t>
            </w:r>
          </w:p>
        </w:tc>
      </w:tr>
      <w:tr w:rsidR="00CC2DBB" w:rsidRPr="00CC2DBB" w14:paraId="2F023844" w14:textId="77777777" w:rsidTr="009B5929">
        <w:trPr>
          <w:trHeight w:val="278"/>
        </w:trPr>
        <w:tc>
          <w:tcPr>
            <w:tcW w:w="2972" w:type="dxa"/>
          </w:tcPr>
          <w:p w14:paraId="566A24A8" w14:textId="77777777" w:rsidR="00CC2DBB" w:rsidRPr="00CC2DBB" w:rsidRDefault="00CC2DBB" w:rsidP="00CC2DBB">
            <w:pPr>
              <w:spacing w:after="0"/>
              <w:jc w:val="both"/>
              <w:rPr>
                <w:sz w:val="20"/>
                <w:szCs w:val="20"/>
                <w:lang w:val="en-GB"/>
              </w:rPr>
            </w:pPr>
            <w:r w:rsidRPr="00CC2DBB">
              <w:rPr>
                <w:sz w:val="20"/>
                <w:szCs w:val="20"/>
                <w:lang w:val="en-GB"/>
              </w:rPr>
              <w:lastRenderedPageBreak/>
              <w:t xml:space="preserve">Croatian </w:t>
            </w:r>
          </w:p>
        </w:tc>
        <w:tc>
          <w:tcPr>
            <w:tcW w:w="2972" w:type="dxa"/>
          </w:tcPr>
          <w:p w14:paraId="410D1C44" w14:textId="77777777" w:rsidR="00CC2DBB" w:rsidRPr="00CC2DBB" w:rsidRDefault="00CC2DBB" w:rsidP="00CC2DBB">
            <w:pPr>
              <w:spacing w:after="0"/>
              <w:jc w:val="center"/>
              <w:rPr>
                <w:sz w:val="20"/>
                <w:szCs w:val="20"/>
                <w:lang w:val="en-GB"/>
              </w:rPr>
            </w:pPr>
            <w:r w:rsidRPr="00CC2DBB">
              <w:rPr>
                <w:sz w:val="20"/>
                <w:szCs w:val="20"/>
                <w:lang w:val="en-GB"/>
              </w:rPr>
              <w:t>1,259</w:t>
            </w:r>
          </w:p>
        </w:tc>
      </w:tr>
      <w:tr w:rsidR="00715BA5" w:rsidRPr="00D62D04" w14:paraId="404118FB" w14:textId="77777777" w:rsidTr="009B5929">
        <w:trPr>
          <w:trHeight w:val="287"/>
        </w:trPr>
        <w:tc>
          <w:tcPr>
            <w:tcW w:w="2972" w:type="dxa"/>
          </w:tcPr>
          <w:p w14:paraId="03356133" w14:textId="77777777" w:rsidR="00715BA5" w:rsidRPr="00CC2DBB" w:rsidRDefault="00CC2DBB" w:rsidP="00715BA5">
            <w:pPr>
              <w:spacing w:after="0"/>
              <w:jc w:val="both"/>
              <w:rPr>
                <w:sz w:val="20"/>
                <w:szCs w:val="20"/>
                <w:lang w:val="en-GB"/>
              </w:rPr>
            </w:pPr>
            <w:r w:rsidRPr="00CC2DBB">
              <w:rPr>
                <w:sz w:val="20"/>
                <w:szCs w:val="20"/>
                <w:lang w:val="en-GB"/>
              </w:rPr>
              <w:t xml:space="preserve">Total </w:t>
            </w:r>
          </w:p>
        </w:tc>
        <w:tc>
          <w:tcPr>
            <w:tcW w:w="2972" w:type="dxa"/>
          </w:tcPr>
          <w:p w14:paraId="31DE827F" w14:textId="77777777" w:rsidR="00715BA5" w:rsidRPr="00CC2DBB" w:rsidRDefault="00715BA5" w:rsidP="00CC2DBB">
            <w:pPr>
              <w:spacing w:after="0"/>
              <w:jc w:val="center"/>
              <w:rPr>
                <w:sz w:val="20"/>
                <w:szCs w:val="20"/>
                <w:lang w:val="en-GB"/>
              </w:rPr>
            </w:pPr>
            <w:r w:rsidRPr="00CC2DBB">
              <w:rPr>
                <w:sz w:val="20"/>
                <w:szCs w:val="20"/>
                <w:lang w:val="en-GB"/>
              </w:rPr>
              <w:t>22</w:t>
            </w:r>
            <w:r w:rsidR="00CC2DBB" w:rsidRPr="00CC2DBB">
              <w:rPr>
                <w:sz w:val="20"/>
                <w:szCs w:val="20"/>
                <w:lang w:val="en-GB"/>
              </w:rPr>
              <w:t>,</w:t>
            </w:r>
            <w:r w:rsidRPr="00CC2DBB">
              <w:rPr>
                <w:sz w:val="20"/>
                <w:szCs w:val="20"/>
                <w:lang w:val="en-GB"/>
              </w:rPr>
              <w:t>924</w:t>
            </w:r>
          </w:p>
        </w:tc>
      </w:tr>
    </w:tbl>
    <w:p w14:paraId="1C6833AC" w14:textId="77777777" w:rsidR="00715BA5" w:rsidRPr="00D62D04" w:rsidRDefault="00715BA5" w:rsidP="00715BA5">
      <w:pPr>
        <w:spacing w:after="0"/>
        <w:jc w:val="both"/>
        <w:rPr>
          <w:sz w:val="24"/>
          <w:szCs w:val="24"/>
          <w:highlight w:val="cyan"/>
          <w:lang w:val="en-GB"/>
        </w:rPr>
      </w:pPr>
    </w:p>
    <w:p w14:paraId="649302D5" w14:textId="77777777" w:rsidR="00F72252" w:rsidRDefault="00F72252" w:rsidP="00666C31">
      <w:pPr>
        <w:spacing w:after="0"/>
        <w:ind w:firstLine="720"/>
        <w:jc w:val="both"/>
        <w:rPr>
          <w:sz w:val="24"/>
          <w:szCs w:val="24"/>
          <w:lang w:val="en-GB"/>
        </w:rPr>
      </w:pPr>
      <w:r w:rsidRPr="00F72252">
        <w:rPr>
          <w:sz w:val="24"/>
          <w:szCs w:val="24"/>
          <w:lang w:val="en-GB"/>
        </w:rPr>
        <w:t>The number of ex</w:t>
      </w:r>
      <w:r>
        <w:rPr>
          <w:sz w:val="24"/>
          <w:szCs w:val="24"/>
          <w:lang w:val="en-GB"/>
        </w:rPr>
        <w:t>cerpts</w:t>
      </w:r>
      <w:r w:rsidRPr="00F72252">
        <w:rPr>
          <w:sz w:val="24"/>
          <w:szCs w:val="24"/>
          <w:lang w:val="en-GB"/>
        </w:rPr>
        <w:t xml:space="preserve"> from registers that are not printed bilingually, and in which the personal names of members of national minorities are entered in their language</w:t>
      </w:r>
      <w:r w:rsidR="00F76E00">
        <w:rPr>
          <w:sz w:val="24"/>
          <w:szCs w:val="24"/>
          <w:lang w:val="en-GB"/>
        </w:rPr>
        <w:t xml:space="preserve"> as well</w:t>
      </w:r>
      <w:r w:rsidRPr="00F72252">
        <w:rPr>
          <w:sz w:val="24"/>
          <w:szCs w:val="24"/>
          <w:lang w:val="en-GB"/>
        </w:rPr>
        <w:t xml:space="preserve">, is many times higher. This was also contributed to by the fact that, acting on the recommendation of the Ombudsman from the Special Report on the Official Use of the Bulgarian Language and Script, the Ministry of </w:t>
      </w:r>
      <w:r w:rsidR="00F76E00">
        <w:rPr>
          <w:sz w:val="24"/>
          <w:szCs w:val="24"/>
          <w:lang w:val="en-GB"/>
        </w:rPr>
        <w:t>Public</w:t>
      </w:r>
      <w:r w:rsidRPr="00F72252">
        <w:rPr>
          <w:sz w:val="24"/>
          <w:szCs w:val="24"/>
          <w:lang w:val="en-GB"/>
        </w:rPr>
        <w:t xml:space="preserve"> Administration and Local Self-Government sent an instruction to all registry offices on </w:t>
      </w:r>
      <w:r w:rsidR="00F76E00">
        <w:rPr>
          <w:sz w:val="24"/>
          <w:szCs w:val="24"/>
          <w:lang w:val="en-GB"/>
        </w:rPr>
        <w:t xml:space="preserve">16 </w:t>
      </w:r>
      <w:r w:rsidRPr="00F72252">
        <w:rPr>
          <w:sz w:val="24"/>
          <w:szCs w:val="24"/>
          <w:lang w:val="en-GB"/>
        </w:rPr>
        <w:t xml:space="preserve">December 2021 to inform citizens about the right to enter a personal name in the language and script of the national minority, in which it is indicated that it is necessary for all registry offices to highlight </w:t>
      </w:r>
      <w:r w:rsidR="00F76E00" w:rsidRPr="00F72252">
        <w:rPr>
          <w:sz w:val="24"/>
          <w:szCs w:val="24"/>
          <w:lang w:val="en-GB"/>
        </w:rPr>
        <w:t>in a visible place (bulletin boards of the municipal/city administration and internet presentations of the municipality/city)</w:t>
      </w:r>
      <w:r w:rsidR="00F76E00" w:rsidRPr="00F76E00">
        <w:rPr>
          <w:sz w:val="24"/>
          <w:szCs w:val="24"/>
          <w:lang w:val="en-GB"/>
        </w:rPr>
        <w:t xml:space="preserve"> </w:t>
      </w:r>
      <w:r w:rsidR="00F76E00" w:rsidRPr="00F72252">
        <w:rPr>
          <w:sz w:val="24"/>
          <w:szCs w:val="24"/>
          <w:lang w:val="en-GB"/>
        </w:rPr>
        <w:t xml:space="preserve">the notification </w:t>
      </w:r>
      <w:r w:rsidRPr="00F72252">
        <w:rPr>
          <w:sz w:val="24"/>
          <w:szCs w:val="24"/>
          <w:lang w:val="en-GB"/>
        </w:rPr>
        <w:t xml:space="preserve">about the right of members of national minorities to enter their personal name in the language and script </w:t>
      </w:r>
      <w:r w:rsidR="00F76E00">
        <w:rPr>
          <w:sz w:val="24"/>
          <w:szCs w:val="24"/>
          <w:lang w:val="en-GB"/>
        </w:rPr>
        <w:t>of a n</w:t>
      </w:r>
      <w:r w:rsidRPr="00F72252">
        <w:rPr>
          <w:sz w:val="24"/>
          <w:szCs w:val="24"/>
          <w:lang w:val="en-GB"/>
        </w:rPr>
        <w:t xml:space="preserve">ational </w:t>
      </w:r>
      <w:r w:rsidR="00F76E00">
        <w:rPr>
          <w:sz w:val="24"/>
          <w:szCs w:val="24"/>
          <w:lang w:val="en-GB"/>
        </w:rPr>
        <w:t>m</w:t>
      </w:r>
      <w:r w:rsidRPr="00F72252">
        <w:rPr>
          <w:sz w:val="24"/>
          <w:szCs w:val="24"/>
          <w:lang w:val="en-GB"/>
        </w:rPr>
        <w:t>inorit</w:t>
      </w:r>
      <w:r w:rsidR="00F76E00">
        <w:rPr>
          <w:sz w:val="24"/>
          <w:szCs w:val="24"/>
          <w:lang w:val="en-GB"/>
        </w:rPr>
        <w:t>y</w:t>
      </w:r>
      <w:r w:rsidRPr="00F72252">
        <w:rPr>
          <w:sz w:val="24"/>
          <w:szCs w:val="24"/>
          <w:lang w:val="en-GB"/>
        </w:rPr>
        <w:t>.</w:t>
      </w:r>
    </w:p>
    <w:p w14:paraId="76E08BCE" w14:textId="77777777" w:rsidR="00C61962" w:rsidRDefault="00C61962" w:rsidP="006C1FBC">
      <w:pPr>
        <w:spacing w:after="0"/>
        <w:ind w:firstLine="720"/>
        <w:jc w:val="both"/>
        <w:rPr>
          <w:sz w:val="24"/>
          <w:szCs w:val="24"/>
          <w:lang w:val="en-GB"/>
        </w:rPr>
      </w:pPr>
      <w:r w:rsidRPr="00C61962">
        <w:rPr>
          <w:sz w:val="24"/>
          <w:szCs w:val="24"/>
          <w:lang w:val="en-GB"/>
        </w:rPr>
        <w:t xml:space="preserve">In accordance with the regulations, the Ministry of </w:t>
      </w:r>
      <w:r>
        <w:rPr>
          <w:sz w:val="24"/>
          <w:szCs w:val="24"/>
          <w:lang w:val="en-GB"/>
        </w:rPr>
        <w:t xml:space="preserve">Public </w:t>
      </w:r>
      <w:r w:rsidRPr="00C61962">
        <w:rPr>
          <w:sz w:val="24"/>
          <w:szCs w:val="24"/>
          <w:lang w:val="en-GB"/>
        </w:rPr>
        <w:t xml:space="preserve">Administration and Local Self-Government in 2020 established a special sectoral professional training of registrars in order to ensure the improvement of existing and the acquisition of new knowledge, skills and abilities of this category of employees in local self-government units for the successful execution of the tasks of keeping registers and </w:t>
      </w:r>
      <w:r>
        <w:rPr>
          <w:sz w:val="24"/>
          <w:szCs w:val="24"/>
          <w:lang w:val="en-GB"/>
        </w:rPr>
        <w:t>acting in</w:t>
      </w:r>
      <w:r w:rsidRPr="00C61962">
        <w:rPr>
          <w:sz w:val="24"/>
          <w:szCs w:val="24"/>
          <w:lang w:val="en-GB"/>
        </w:rPr>
        <w:t xml:space="preserve"> the first instance administrative procedure in the area of ​​registers, among other things, regarding the correct application of regulations re</w:t>
      </w:r>
      <w:r>
        <w:rPr>
          <w:sz w:val="24"/>
          <w:szCs w:val="24"/>
          <w:lang w:val="en-GB"/>
        </w:rPr>
        <w:t>ferring</w:t>
      </w:r>
      <w:r w:rsidRPr="00C61962">
        <w:rPr>
          <w:sz w:val="24"/>
          <w:szCs w:val="24"/>
          <w:lang w:val="en-GB"/>
        </w:rPr>
        <w:t xml:space="preserve"> to the official use of language and script in the keeping of registers, entry of data on the personal name of a member of a national minority in the language and script of the national minority, subsequent entry in registers with </w:t>
      </w:r>
      <w:proofErr w:type="spellStart"/>
      <w:r w:rsidRPr="00C61962">
        <w:rPr>
          <w:sz w:val="24"/>
          <w:szCs w:val="24"/>
          <w:lang w:val="en-GB"/>
        </w:rPr>
        <w:t>with</w:t>
      </w:r>
      <w:proofErr w:type="spellEnd"/>
      <w:r w:rsidRPr="00C61962">
        <w:rPr>
          <w:sz w:val="24"/>
          <w:szCs w:val="24"/>
          <w:lang w:val="en-GB"/>
        </w:rPr>
        <w:t xml:space="preserve"> special reference to the procedure for registering the fact of birth of a member of the Roma national minority in the birth register, determining the time and place of birth and entering the fact of birth in the birth register based on a court decision. The preparation and adoption of the training program</w:t>
      </w:r>
      <w:r>
        <w:rPr>
          <w:sz w:val="24"/>
          <w:szCs w:val="24"/>
          <w:lang w:val="en-GB"/>
        </w:rPr>
        <w:t>me</w:t>
      </w:r>
      <w:r w:rsidRPr="00C61962">
        <w:rPr>
          <w:sz w:val="24"/>
          <w:szCs w:val="24"/>
          <w:lang w:val="en-GB"/>
        </w:rPr>
        <w:t xml:space="preserve"> is preceded by an analysis of the needs for professional training, which is carried out for each calendar year. The sectoral special registrar training program</w:t>
      </w:r>
      <w:r>
        <w:rPr>
          <w:sz w:val="24"/>
          <w:szCs w:val="24"/>
          <w:lang w:val="en-GB"/>
        </w:rPr>
        <w:t>me</w:t>
      </w:r>
      <w:r w:rsidRPr="00C61962">
        <w:rPr>
          <w:sz w:val="24"/>
          <w:szCs w:val="24"/>
          <w:lang w:val="en-GB"/>
        </w:rPr>
        <w:t xml:space="preserve"> for 2020 contains seven areas of professional development and 10 thematic units. This program</w:t>
      </w:r>
      <w:r>
        <w:rPr>
          <w:sz w:val="24"/>
          <w:szCs w:val="24"/>
          <w:lang w:val="en-GB"/>
        </w:rPr>
        <w:t>me</w:t>
      </w:r>
      <w:r w:rsidRPr="00C61962">
        <w:rPr>
          <w:sz w:val="24"/>
          <w:szCs w:val="24"/>
          <w:lang w:val="en-GB"/>
        </w:rPr>
        <w:t xml:space="preserve"> was implemented in its entirety. 21 training</w:t>
      </w:r>
      <w:r>
        <w:rPr>
          <w:sz w:val="24"/>
          <w:szCs w:val="24"/>
          <w:lang w:val="en-GB"/>
        </w:rPr>
        <w:t xml:space="preserve"> </w:t>
      </w:r>
      <w:r w:rsidRPr="00C61962">
        <w:rPr>
          <w:sz w:val="24"/>
          <w:szCs w:val="24"/>
          <w:lang w:val="en-GB"/>
        </w:rPr>
        <w:t>s</w:t>
      </w:r>
      <w:r>
        <w:rPr>
          <w:sz w:val="24"/>
          <w:szCs w:val="24"/>
          <w:lang w:val="en-GB"/>
        </w:rPr>
        <w:t>essions</w:t>
      </w:r>
      <w:r w:rsidRPr="00C61962">
        <w:rPr>
          <w:sz w:val="24"/>
          <w:szCs w:val="24"/>
          <w:lang w:val="en-GB"/>
        </w:rPr>
        <w:t xml:space="preserve"> were held, and 718 registrars attended. The sectoral special training program</w:t>
      </w:r>
      <w:r>
        <w:rPr>
          <w:sz w:val="24"/>
          <w:szCs w:val="24"/>
          <w:lang w:val="en-GB"/>
        </w:rPr>
        <w:t>me</w:t>
      </w:r>
      <w:r w:rsidRPr="00C61962">
        <w:rPr>
          <w:sz w:val="24"/>
          <w:szCs w:val="24"/>
          <w:lang w:val="en-GB"/>
        </w:rPr>
        <w:t xml:space="preserve"> for registrars for 2021 has been significantly improved and contains six areas of professional development and within them 16 thematic units. This program</w:t>
      </w:r>
      <w:r>
        <w:rPr>
          <w:sz w:val="24"/>
          <w:szCs w:val="24"/>
          <w:lang w:val="en-GB"/>
        </w:rPr>
        <w:t>me</w:t>
      </w:r>
      <w:r w:rsidRPr="00C61962">
        <w:rPr>
          <w:sz w:val="24"/>
          <w:szCs w:val="24"/>
          <w:lang w:val="en-GB"/>
        </w:rPr>
        <w:t xml:space="preserve"> was also implemented as a whole. 28 training</w:t>
      </w:r>
      <w:r>
        <w:rPr>
          <w:sz w:val="24"/>
          <w:szCs w:val="24"/>
          <w:lang w:val="en-GB"/>
        </w:rPr>
        <w:t xml:space="preserve"> session</w:t>
      </w:r>
      <w:r w:rsidRPr="00C61962">
        <w:rPr>
          <w:sz w:val="24"/>
          <w:szCs w:val="24"/>
          <w:lang w:val="en-GB"/>
        </w:rPr>
        <w:t>s were held with a total of 1,125 training participants. Progress was made in the number of participants in 2021, since 37.9% more participants participated in this program</w:t>
      </w:r>
      <w:r>
        <w:rPr>
          <w:sz w:val="24"/>
          <w:szCs w:val="24"/>
          <w:lang w:val="en-GB"/>
        </w:rPr>
        <w:t>me</w:t>
      </w:r>
      <w:r w:rsidRPr="00C61962">
        <w:rPr>
          <w:sz w:val="24"/>
          <w:szCs w:val="24"/>
          <w:lang w:val="en-GB"/>
        </w:rPr>
        <w:t xml:space="preserve"> compared to the previous year. Based on the previously performed analysis of the needs for professional training of registrars for the year 2022, the Ministry adopted the Sectoral Special Training Program</w:t>
      </w:r>
      <w:r>
        <w:rPr>
          <w:sz w:val="24"/>
          <w:szCs w:val="24"/>
          <w:lang w:val="en-GB"/>
        </w:rPr>
        <w:t>me</w:t>
      </w:r>
      <w:r w:rsidRPr="00C61962">
        <w:rPr>
          <w:sz w:val="24"/>
          <w:szCs w:val="24"/>
          <w:lang w:val="en-GB"/>
        </w:rPr>
        <w:t xml:space="preserve"> for registrars for the year 2022. In this way, the Ministry has provided all the necessary prerequisites for continuous professional training of registrars and deputy registrars in order to perform the duties of keeping registers as successfully as possible.</w:t>
      </w:r>
    </w:p>
    <w:p w14:paraId="1F60434B" w14:textId="77777777" w:rsidR="009B5929" w:rsidRPr="00D62D04" w:rsidRDefault="009B5929" w:rsidP="00715BA5">
      <w:pPr>
        <w:spacing w:after="0"/>
        <w:jc w:val="both"/>
        <w:rPr>
          <w:sz w:val="24"/>
          <w:szCs w:val="24"/>
          <w:highlight w:val="cyan"/>
          <w:lang w:val="en-GB"/>
        </w:rPr>
      </w:pPr>
    </w:p>
    <w:p w14:paraId="4B0245A0" w14:textId="77777777" w:rsidR="00057511" w:rsidRDefault="009307A4" w:rsidP="009307A4">
      <w:pPr>
        <w:tabs>
          <w:tab w:val="left" w:pos="707"/>
        </w:tabs>
        <w:spacing w:after="0"/>
        <w:ind w:right="-46"/>
        <w:jc w:val="both"/>
        <w:rPr>
          <w:rFonts w:cs="Calibri"/>
          <w:i/>
          <w:sz w:val="24"/>
          <w:lang w:val="en-GB"/>
        </w:rPr>
      </w:pPr>
      <w:r w:rsidRPr="00057511">
        <w:rPr>
          <w:rFonts w:cs="Calibri"/>
          <w:i/>
          <w:sz w:val="24"/>
          <w:lang w:val="en-GB"/>
        </w:rPr>
        <w:t xml:space="preserve">87. </w:t>
      </w:r>
      <w:r w:rsidR="00057511" w:rsidRPr="00057511">
        <w:rPr>
          <w:rFonts w:cs="Calibri"/>
          <w:i/>
          <w:sz w:val="24"/>
          <w:lang w:val="en-GB"/>
        </w:rPr>
        <w:t xml:space="preserve">The Advisory Committee reiterates its call on the authorities to ensure that the necessary measures are taken so that all local authorities where a minority language or languages are in </w:t>
      </w:r>
      <w:r w:rsidR="00057511" w:rsidRPr="00057511">
        <w:rPr>
          <w:rFonts w:cs="Calibri"/>
          <w:i/>
          <w:sz w:val="24"/>
          <w:lang w:val="en-GB"/>
        </w:rPr>
        <w:lastRenderedPageBreak/>
        <w:t xml:space="preserve">official use </w:t>
      </w:r>
      <w:proofErr w:type="spellStart"/>
      <w:r w:rsidR="00057511" w:rsidRPr="00057511">
        <w:rPr>
          <w:rFonts w:cs="Calibri"/>
          <w:i/>
          <w:sz w:val="24"/>
          <w:lang w:val="en-GB"/>
        </w:rPr>
        <w:t>fulfill</w:t>
      </w:r>
      <w:proofErr w:type="spellEnd"/>
      <w:r w:rsidR="00057511" w:rsidRPr="00057511">
        <w:rPr>
          <w:rFonts w:cs="Calibri"/>
          <w:i/>
          <w:sz w:val="24"/>
          <w:lang w:val="en-GB"/>
        </w:rPr>
        <w:t xml:space="preserve"> their obligation to display topographical signs in the appropriate minority language or languages.</w:t>
      </w:r>
    </w:p>
    <w:p w14:paraId="3135D980" w14:textId="77777777" w:rsidR="009307A4" w:rsidRPr="00D62D04" w:rsidRDefault="009307A4" w:rsidP="009307A4">
      <w:pPr>
        <w:tabs>
          <w:tab w:val="left" w:pos="707"/>
        </w:tabs>
        <w:spacing w:after="0"/>
        <w:ind w:right="-46"/>
        <w:jc w:val="both"/>
        <w:rPr>
          <w:rFonts w:cs="Calibri"/>
          <w:i/>
          <w:sz w:val="24"/>
          <w:highlight w:val="cyan"/>
          <w:lang w:val="en-GB"/>
        </w:rPr>
      </w:pPr>
    </w:p>
    <w:p w14:paraId="79E5DD30" w14:textId="77777777" w:rsidR="00E81012" w:rsidRDefault="00C73A86" w:rsidP="009307A4">
      <w:pPr>
        <w:tabs>
          <w:tab w:val="left" w:pos="707"/>
        </w:tabs>
        <w:spacing w:after="0"/>
        <w:ind w:right="-46"/>
        <w:jc w:val="both"/>
        <w:rPr>
          <w:rFonts w:cs="Calibri"/>
          <w:sz w:val="24"/>
          <w:lang w:val="en-GB"/>
        </w:rPr>
      </w:pPr>
      <w:r w:rsidRPr="00E81012">
        <w:rPr>
          <w:rFonts w:cs="Calibri"/>
          <w:sz w:val="24"/>
          <w:lang w:val="en-GB"/>
        </w:rPr>
        <w:tab/>
      </w:r>
      <w:r w:rsidR="00E81012" w:rsidRPr="00E81012">
        <w:rPr>
          <w:rFonts w:cs="Calibri"/>
          <w:sz w:val="24"/>
          <w:lang w:val="en-GB"/>
        </w:rPr>
        <w:t>In 2020, the questionnaires sent to local self-government units (L</w:t>
      </w:r>
      <w:r w:rsidR="00E81012">
        <w:rPr>
          <w:rFonts w:cs="Calibri"/>
          <w:sz w:val="24"/>
          <w:lang w:val="en-GB"/>
        </w:rPr>
        <w:t>S</w:t>
      </w:r>
      <w:r w:rsidR="00E81012" w:rsidRPr="00E81012">
        <w:rPr>
          <w:rFonts w:cs="Calibri"/>
          <w:sz w:val="24"/>
          <w:lang w:val="en-GB"/>
        </w:rPr>
        <w:t>GUs) by the Office for Human and Minority Rights,</w:t>
      </w:r>
      <w:r w:rsidR="00E81012" w:rsidRPr="00E81012">
        <w:rPr>
          <w:rStyle w:val="FootnoteReference"/>
          <w:rFonts w:cs="Calibri"/>
          <w:sz w:val="24"/>
          <w:lang w:val="en-GB"/>
        </w:rPr>
        <w:footnoteReference w:id="98"/>
      </w:r>
      <w:r w:rsidR="00E81012" w:rsidRPr="00E81012">
        <w:rPr>
          <w:rFonts w:cs="Calibri"/>
          <w:sz w:val="24"/>
          <w:lang w:val="en-GB"/>
        </w:rPr>
        <w:t xml:space="preserve"> with the aim of assessing the use of languages and scripts of national minorities in L</w:t>
      </w:r>
      <w:r w:rsidR="00E81012">
        <w:rPr>
          <w:rFonts w:cs="Calibri"/>
          <w:sz w:val="24"/>
          <w:lang w:val="en-GB"/>
        </w:rPr>
        <w:t>S</w:t>
      </w:r>
      <w:r w:rsidR="00E81012" w:rsidRPr="00E81012">
        <w:rPr>
          <w:rFonts w:cs="Calibri"/>
          <w:sz w:val="24"/>
          <w:lang w:val="en-GB"/>
        </w:rPr>
        <w:t>GUs, also contained questions related to the spelling of place names, other geographical names and public inscriptions. Out of a total of 54 L</w:t>
      </w:r>
      <w:r w:rsidR="0087099C">
        <w:rPr>
          <w:rFonts w:cs="Calibri"/>
          <w:sz w:val="24"/>
          <w:lang w:val="en-GB"/>
        </w:rPr>
        <w:t>S</w:t>
      </w:r>
      <w:r w:rsidR="00E81012" w:rsidRPr="00E81012">
        <w:rPr>
          <w:rFonts w:cs="Calibri"/>
          <w:sz w:val="24"/>
          <w:lang w:val="en-GB"/>
        </w:rPr>
        <w:t xml:space="preserve">GUs in which there </w:t>
      </w:r>
      <w:r w:rsidR="0087099C">
        <w:rPr>
          <w:rFonts w:cs="Calibri"/>
          <w:sz w:val="24"/>
          <w:lang w:val="en-GB"/>
        </w:rPr>
        <w:t xml:space="preserve">are </w:t>
      </w:r>
      <w:r w:rsidR="00E81012" w:rsidRPr="00E81012">
        <w:rPr>
          <w:rFonts w:cs="Calibri"/>
          <w:sz w:val="24"/>
          <w:lang w:val="en-GB"/>
        </w:rPr>
        <w:t>languages and scripts of national minorities</w:t>
      </w:r>
      <w:r w:rsidR="0087099C" w:rsidRPr="0087099C">
        <w:rPr>
          <w:rFonts w:cs="Calibri"/>
          <w:sz w:val="24"/>
          <w:lang w:val="en-GB"/>
        </w:rPr>
        <w:t xml:space="preserve"> </w:t>
      </w:r>
      <w:r w:rsidR="0087099C">
        <w:rPr>
          <w:rFonts w:cs="Calibri"/>
          <w:sz w:val="24"/>
          <w:lang w:val="en-GB"/>
        </w:rPr>
        <w:t>in official use</w:t>
      </w:r>
      <w:r w:rsidR="00E81012" w:rsidRPr="00E81012">
        <w:rPr>
          <w:rFonts w:cs="Calibri"/>
          <w:sz w:val="24"/>
          <w:lang w:val="en-GB"/>
        </w:rPr>
        <w:t>, 32 or 59.26% of L</w:t>
      </w:r>
      <w:r w:rsidR="0087099C">
        <w:rPr>
          <w:rFonts w:cs="Calibri"/>
          <w:sz w:val="24"/>
          <w:lang w:val="en-GB"/>
        </w:rPr>
        <w:t>S</w:t>
      </w:r>
      <w:r w:rsidR="00E81012" w:rsidRPr="00E81012">
        <w:rPr>
          <w:rFonts w:cs="Calibri"/>
          <w:sz w:val="24"/>
          <w:lang w:val="en-GB"/>
        </w:rPr>
        <w:t xml:space="preserve">GUs submitted their </w:t>
      </w:r>
      <w:r w:rsidR="0087099C">
        <w:rPr>
          <w:rFonts w:cs="Calibri"/>
          <w:sz w:val="24"/>
          <w:lang w:val="en-GB"/>
        </w:rPr>
        <w:t>responses</w:t>
      </w:r>
      <w:r w:rsidR="00E81012" w:rsidRPr="00E81012">
        <w:rPr>
          <w:rFonts w:cs="Calibri"/>
          <w:sz w:val="24"/>
          <w:lang w:val="en-GB"/>
        </w:rPr>
        <w:t xml:space="preserve"> to this questionnaire.</w:t>
      </w:r>
    </w:p>
    <w:p w14:paraId="0263648A" w14:textId="6FDA6192" w:rsidR="009A2E4C" w:rsidRDefault="009A2E4C" w:rsidP="009307A4">
      <w:pPr>
        <w:tabs>
          <w:tab w:val="left" w:pos="707"/>
        </w:tabs>
        <w:spacing w:after="0"/>
        <w:ind w:right="-46"/>
        <w:jc w:val="both"/>
        <w:rPr>
          <w:rFonts w:cs="Calibri"/>
          <w:sz w:val="24"/>
          <w:lang w:val="en-GB"/>
        </w:rPr>
      </w:pPr>
      <w:r>
        <w:rPr>
          <w:rFonts w:cs="Calibri"/>
          <w:sz w:val="24"/>
          <w:lang w:val="en-GB"/>
        </w:rPr>
        <w:tab/>
      </w:r>
      <w:r w:rsidRPr="009A2E4C">
        <w:rPr>
          <w:rFonts w:cs="Calibri"/>
          <w:sz w:val="24"/>
          <w:lang w:val="en-GB"/>
        </w:rPr>
        <w:t>Out of the total number of L</w:t>
      </w:r>
      <w:r>
        <w:rPr>
          <w:rFonts w:cs="Calibri"/>
          <w:sz w:val="24"/>
          <w:lang w:val="en-GB"/>
        </w:rPr>
        <w:t>S</w:t>
      </w:r>
      <w:r w:rsidRPr="009A2E4C">
        <w:rPr>
          <w:rFonts w:cs="Calibri"/>
          <w:sz w:val="24"/>
          <w:lang w:val="en-GB"/>
        </w:rPr>
        <w:t xml:space="preserve">GUs that submitted their </w:t>
      </w:r>
      <w:r>
        <w:rPr>
          <w:rFonts w:cs="Calibri"/>
          <w:sz w:val="24"/>
          <w:lang w:val="en-GB"/>
        </w:rPr>
        <w:t>responses</w:t>
      </w:r>
      <w:r w:rsidRPr="009A2E4C">
        <w:rPr>
          <w:rFonts w:cs="Calibri"/>
          <w:sz w:val="24"/>
          <w:lang w:val="en-GB"/>
        </w:rPr>
        <w:t>, 24 or 75% of them answered affirmatively to the question of whether signs with the names of populated places are also written in the languages of national minorities that are in official use. Three L</w:t>
      </w:r>
      <w:r>
        <w:rPr>
          <w:rFonts w:cs="Calibri"/>
          <w:sz w:val="24"/>
          <w:lang w:val="en-GB"/>
        </w:rPr>
        <w:t>S</w:t>
      </w:r>
      <w:r w:rsidRPr="009A2E4C">
        <w:rPr>
          <w:rFonts w:cs="Calibri"/>
          <w:sz w:val="24"/>
          <w:lang w:val="en-GB"/>
        </w:rPr>
        <w:t xml:space="preserve">GUs, although they submitted questionnaires, did not answer that question at all, while 5 or 15.62% of those who submitted questionnaires highlighted the answer based on which it is clear that the relevant legal provisions on writing the names of </w:t>
      </w:r>
      <w:r>
        <w:rPr>
          <w:rFonts w:cs="Calibri"/>
          <w:sz w:val="24"/>
          <w:lang w:val="en-GB"/>
        </w:rPr>
        <w:t>settlements</w:t>
      </w:r>
      <w:r w:rsidRPr="009A2E4C">
        <w:rPr>
          <w:rFonts w:cs="Calibri"/>
          <w:sz w:val="24"/>
          <w:lang w:val="en-GB"/>
        </w:rPr>
        <w:t xml:space="preserve"> in languages </w:t>
      </w:r>
      <w:r>
        <w:rPr>
          <w:rFonts w:cs="Calibri"/>
          <w:sz w:val="24"/>
          <w:lang w:val="en-GB"/>
        </w:rPr>
        <w:t>and scripts of national minorities that are in official use are</w:t>
      </w:r>
      <w:r w:rsidRPr="009A2E4C">
        <w:rPr>
          <w:rFonts w:cs="Calibri"/>
          <w:sz w:val="24"/>
          <w:lang w:val="en-GB"/>
        </w:rPr>
        <w:t xml:space="preserve"> not fully </w:t>
      </w:r>
      <w:r>
        <w:rPr>
          <w:rFonts w:cs="Calibri"/>
          <w:sz w:val="24"/>
          <w:lang w:val="en-GB"/>
        </w:rPr>
        <w:t>complied with</w:t>
      </w:r>
      <w:r w:rsidRPr="009A2E4C">
        <w:rPr>
          <w:rFonts w:cs="Calibri"/>
          <w:sz w:val="24"/>
          <w:lang w:val="en-GB"/>
        </w:rPr>
        <w:t>. Of the 24 L</w:t>
      </w:r>
      <w:r w:rsidR="00804AA6">
        <w:rPr>
          <w:rFonts w:cs="Calibri"/>
          <w:sz w:val="24"/>
          <w:lang w:val="en-GB"/>
        </w:rPr>
        <w:t>S</w:t>
      </w:r>
      <w:r w:rsidRPr="009A2E4C">
        <w:rPr>
          <w:rFonts w:cs="Calibri"/>
          <w:sz w:val="24"/>
          <w:lang w:val="en-GB"/>
        </w:rPr>
        <w:t>GUs in which sign</w:t>
      </w:r>
      <w:r w:rsidR="00804AA6">
        <w:rPr>
          <w:rFonts w:cs="Calibri"/>
          <w:sz w:val="24"/>
          <w:lang w:val="en-GB"/>
        </w:rPr>
        <w:t>board</w:t>
      </w:r>
      <w:r w:rsidRPr="009A2E4C">
        <w:rPr>
          <w:rFonts w:cs="Calibri"/>
          <w:sz w:val="24"/>
          <w:lang w:val="en-GB"/>
        </w:rPr>
        <w:t xml:space="preserve">s with the names of </w:t>
      </w:r>
      <w:r w:rsidR="00804AA6">
        <w:rPr>
          <w:rFonts w:cs="Calibri"/>
          <w:sz w:val="24"/>
          <w:lang w:val="en-GB"/>
        </w:rPr>
        <w:t>settlements</w:t>
      </w:r>
      <w:r w:rsidRPr="009A2E4C">
        <w:rPr>
          <w:rFonts w:cs="Calibri"/>
          <w:sz w:val="24"/>
          <w:lang w:val="en-GB"/>
        </w:rPr>
        <w:t xml:space="preserve"> are written in the languages of national minorities, all stated that such </w:t>
      </w:r>
      <w:proofErr w:type="spellStart"/>
      <w:r w:rsidRPr="009A2E4C">
        <w:rPr>
          <w:rFonts w:cs="Calibri"/>
          <w:sz w:val="24"/>
          <w:lang w:val="en-GB"/>
        </w:rPr>
        <w:t>signs</w:t>
      </w:r>
      <w:r w:rsidR="00804AA6">
        <w:rPr>
          <w:rFonts w:cs="Calibri"/>
          <w:sz w:val="24"/>
          <w:lang w:val="en-GB"/>
        </w:rPr>
        <w:t>board</w:t>
      </w:r>
      <w:proofErr w:type="spellEnd"/>
      <w:r w:rsidRPr="009A2E4C">
        <w:rPr>
          <w:rFonts w:cs="Calibri"/>
          <w:sz w:val="24"/>
          <w:lang w:val="en-GB"/>
        </w:rPr>
        <w:t xml:space="preserve"> are written in all languages that are in official use. L</w:t>
      </w:r>
      <w:r w:rsidR="00804AA6">
        <w:rPr>
          <w:rFonts w:cs="Calibri"/>
          <w:sz w:val="24"/>
          <w:lang w:val="en-GB"/>
        </w:rPr>
        <w:t>S</w:t>
      </w:r>
      <w:r w:rsidRPr="009A2E4C">
        <w:rPr>
          <w:rFonts w:cs="Calibri"/>
          <w:sz w:val="24"/>
          <w:lang w:val="en-GB"/>
        </w:rPr>
        <w:t xml:space="preserve">GUs that responded that the </w:t>
      </w:r>
      <w:r w:rsidR="00112102">
        <w:rPr>
          <w:rFonts w:cs="Calibri"/>
          <w:sz w:val="24"/>
          <w:lang w:val="en-GB"/>
        </w:rPr>
        <w:t>sign</w:t>
      </w:r>
      <w:r w:rsidRPr="009A2E4C">
        <w:rPr>
          <w:rFonts w:cs="Calibri"/>
          <w:sz w:val="24"/>
          <w:lang w:val="en-GB"/>
        </w:rPr>
        <w:t>boards with the names of populated places were not written in the languages and scripts of national minorities that are in official use were offered answers in the questionnaire regarding the reasons for such absence. L</w:t>
      </w:r>
      <w:r w:rsidR="006005AF">
        <w:rPr>
          <w:rFonts w:cs="Calibri"/>
          <w:sz w:val="24"/>
          <w:lang w:val="en-GB"/>
        </w:rPr>
        <w:t>S</w:t>
      </w:r>
      <w:r w:rsidRPr="009A2E4C">
        <w:rPr>
          <w:rFonts w:cs="Calibri"/>
          <w:sz w:val="24"/>
          <w:lang w:val="en-GB"/>
        </w:rPr>
        <w:t>GUs in which the sign</w:t>
      </w:r>
      <w:r w:rsidR="006005AF">
        <w:rPr>
          <w:rFonts w:cs="Calibri"/>
          <w:sz w:val="24"/>
          <w:lang w:val="en-GB"/>
        </w:rPr>
        <w:t>board</w:t>
      </w:r>
      <w:r w:rsidRPr="009A2E4C">
        <w:rPr>
          <w:rFonts w:cs="Calibri"/>
          <w:sz w:val="24"/>
          <w:lang w:val="en-GB"/>
        </w:rPr>
        <w:t xml:space="preserve">s with the names of populated places are not written in the languages of national minorities that are in official use, </w:t>
      </w:r>
      <w:r w:rsidR="00BF1740">
        <w:rPr>
          <w:rFonts w:cs="Calibri"/>
          <w:sz w:val="24"/>
          <w:lang w:val="en-GB"/>
        </w:rPr>
        <w:t>indicated</w:t>
      </w:r>
      <w:r w:rsidRPr="009A2E4C">
        <w:rPr>
          <w:rFonts w:cs="Calibri"/>
          <w:sz w:val="24"/>
          <w:lang w:val="en-GB"/>
        </w:rPr>
        <w:t xml:space="preserve"> various reasons for such absence - from the lack of financial resources for those purposes, to the formulation that "most of the names of populated places on the territory of the municipality, especially in rural areas hilly-mountainous area </w:t>
      </w:r>
      <w:r w:rsidR="00BF1740">
        <w:rPr>
          <w:rFonts w:cs="Calibri"/>
          <w:sz w:val="24"/>
          <w:lang w:val="en-GB"/>
        </w:rPr>
        <w:t>are</w:t>
      </w:r>
      <w:r w:rsidRPr="009A2E4C">
        <w:rPr>
          <w:rFonts w:cs="Calibri"/>
          <w:sz w:val="24"/>
          <w:lang w:val="en-GB"/>
        </w:rPr>
        <w:t xml:space="preserve"> not marked at all".</w:t>
      </w:r>
    </w:p>
    <w:p w14:paraId="3A14BD67" w14:textId="5EC2072D" w:rsidR="00543E1B" w:rsidRPr="00543E1B" w:rsidRDefault="00543E1B" w:rsidP="00543E1B">
      <w:pPr>
        <w:spacing w:after="0"/>
        <w:ind w:firstLine="720"/>
        <w:jc w:val="both"/>
        <w:rPr>
          <w:sz w:val="24"/>
          <w:szCs w:val="24"/>
          <w:lang w:val="en-GB"/>
        </w:rPr>
      </w:pPr>
      <w:r w:rsidRPr="00543E1B">
        <w:rPr>
          <w:sz w:val="24"/>
          <w:szCs w:val="24"/>
          <w:lang w:val="en-GB"/>
        </w:rPr>
        <w:t xml:space="preserve">The research conducted in 2020 in cooperation with the Standing Conference of Municipalities and Cities and the Swedish Association of Local Authorities and Regions, which was mentioned in response to recommendation 3 </w:t>
      </w:r>
      <w:r w:rsidR="006E53F2">
        <w:rPr>
          <w:sz w:val="24"/>
          <w:szCs w:val="24"/>
          <w:lang w:val="en-GB"/>
        </w:rPr>
        <w:t>of</w:t>
      </w:r>
      <w:r w:rsidRPr="00543E1B">
        <w:rPr>
          <w:sz w:val="24"/>
          <w:szCs w:val="24"/>
          <w:lang w:val="en-GB"/>
        </w:rPr>
        <w:t xml:space="preserve"> the </w:t>
      </w:r>
      <w:r w:rsidR="00AC33C4">
        <w:rPr>
          <w:sz w:val="24"/>
          <w:szCs w:val="24"/>
          <w:lang w:val="en-GB"/>
        </w:rPr>
        <w:t>Committee of Ministers Resolution</w:t>
      </w:r>
      <w:r w:rsidRPr="006E53F2">
        <w:rPr>
          <w:sz w:val="24"/>
          <w:szCs w:val="24"/>
          <w:lang w:val="en-GB"/>
        </w:rPr>
        <w:t>, also re</w:t>
      </w:r>
      <w:r w:rsidR="006E53F2" w:rsidRPr="006E53F2">
        <w:rPr>
          <w:sz w:val="24"/>
          <w:szCs w:val="24"/>
          <w:lang w:val="en-GB"/>
        </w:rPr>
        <w:t>ferred</w:t>
      </w:r>
      <w:r w:rsidRPr="006E53F2">
        <w:rPr>
          <w:sz w:val="24"/>
          <w:szCs w:val="24"/>
          <w:lang w:val="en-GB"/>
        </w:rPr>
        <w:t xml:space="preserve"> to the official use of languages and </w:t>
      </w:r>
      <w:r w:rsidR="006E53F2" w:rsidRPr="006E53F2">
        <w:rPr>
          <w:sz w:val="24"/>
          <w:szCs w:val="24"/>
          <w:lang w:val="en-GB"/>
        </w:rPr>
        <w:t>scripts</w:t>
      </w:r>
      <w:r w:rsidRPr="006E53F2">
        <w:rPr>
          <w:sz w:val="24"/>
          <w:szCs w:val="24"/>
          <w:lang w:val="en-GB"/>
        </w:rPr>
        <w:t>, included 16 L</w:t>
      </w:r>
      <w:r w:rsidR="006E53F2" w:rsidRPr="006E53F2">
        <w:rPr>
          <w:sz w:val="24"/>
          <w:szCs w:val="24"/>
          <w:lang w:val="en-GB"/>
        </w:rPr>
        <w:t>S</w:t>
      </w:r>
      <w:r w:rsidRPr="006E53F2">
        <w:rPr>
          <w:sz w:val="24"/>
          <w:szCs w:val="24"/>
          <w:lang w:val="en-GB"/>
        </w:rPr>
        <w:t>GU</w:t>
      </w:r>
      <w:r w:rsidR="006E53F2" w:rsidRPr="006E53F2">
        <w:rPr>
          <w:sz w:val="24"/>
          <w:szCs w:val="24"/>
          <w:lang w:val="en-GB"/>
        </w:rPr>
        <w:t>s</w:t>
      </w:r>
      <w:r w:rsidRPr="006E53F2">
        <w:rPr>
          <w:sz w:val="24"/>
          <w:szCs w:val="24"/>
          <w:lang w:val="en-GB"/>
        </w:rPr>
        <w:t>.</w:t>
      </w:r>
      <w:r w:rsidR="006E53F2" w:rsidRPr="006E53F2">
        <w:rPr>
          <w:rStyle w:val="FootnoteReference"/>
          <w:sz w:val="24"/>
          <w:szCs w:val="24"/>
          <w:lang w:val="en-GB"/>
        </w:rPr>
        <w:footnoteReference w:id="99"/>
      </w:r>
      <w:r w:rsidRPr="00543E1B">
        <w:rPr>
          <w:sz w:val="24"/>
          <w:szCs w:val="24"/>
          <w:lang w:val="en-GB"/>
        </w:rPr>
        <w:t xml:space="preserve"> Among the </w:t>
      </w:r>
      <w:r w:rsidR="006E53F2">
        <w:rPr>
          <w:sz w:val="24"/>
          <w:szCs w:val="24"/>
          <w:lang w:val="en-GB"/>
        </w:rPr>
        <w:t>above</w:t>
      </w:r>
      <w:r w:rsidRPr="00543E1B">
        <w:rPr>
          <w:sz w:val="24"/>
          <w:szCs w:val="24"/>
          <w:lang w:val="en-GB"/>
        </w:rPr>
        <w:t>mentioned municipalities and cities, 4 L</w:t>
      </w:r>
      <w:r w:rsidR="006E53F2">
        <w:rPr>
          <w:sz w:val="24"/>
          <w:szCs w:val="24"/>
          <w:lang w:val="en-GB"/>
        </w:rPr>
        <w:t>S</w:t>
      </w:r>
      <w:r w:rsidRPr="00543E1B">
        <w:rPr>
          <w:sz w:val="24"/>
          <w:szCs w:val="24"/>
          <w:lang w:val="en-GB"/>
        </w:rPr>
        <w:t xml:space="preserve">GUs did not send </w:t>
      </w:r>
      <w:r w:rsidR="006E53F2">
        <w:rPr>
          <w:sz w:val="24"/>
          <w:szCs w:val="24"/>
          <w:lang w:val="en-GB"/>
        </w:rPr>
        <w:t>responses</w:t>
      </w:r>
      <w:r w:rsidRPr="00543E1B">
        <w:rPr>
          <w:sz w:val="24"/>
          <w:szCs w:val="24"/>
          <w:lang w:val="en-GB"/>
        </w:rPr>
        <w:t xml:space="preserve">, so the final sample for analysis </w:t>
      </w:r>
      <w:r w:rsidR="006E53F2">
        <w:rPr>
          <w:sz w:val="24"/>
          <w:szCs w:val="24"/>
          <w:lang w:val="en-GB"/>
        </w:rPr>
        <w:t xml:space="preserve">amounted to </w:t>
      </w:r>
      <w:r w:rsidRPr="00543E1B">
        <w:rPr>
          <w:sz w:val="24"/>
          <w:szCs w:val="24"/>
          <w:lang w:val="en-GB"/>
        </w:rPr>
        <w:t>12. Of the 12 L</w:t>
      </w:r>
      <w:r w:rsidR="006E53F2">
        <w:rPr>
          <w:sz w:val="24"/>
          <w:szCs w:val="24"/>
          <w:lang w:val="en-GB"/>
        </w:rPr>
        <w:t>S</w:t>
      </w:r>
      <w:r w:rsidRPr="00543E1B">
        <w:rPr>
          <w:sz w:val="24"/>
          <w:szCs w:val="24"/>
          <w:lang w:val="en-GB"/>
        </w:rPr>
        <w:t xml:space="preserve">GUs that submitted </w:t>
      </w:r>
      <w:r w:rsidR="006E53F2">
        <w:rPr>
          <w:sz w:val="24"/>
          <w:szCs w:val="24"/>
          <w:lang w:val="en-GB"/>
        </w:rPr>
        <w:t>responses</w:t>
      </w:r>
      <w:r w:rsidRPr="00543E1B">
        <w:rPr>
          <w:sz w:val="24"/>
          <w:szCs w:val="24"/>
          <w:lang w:val="en-GB"/>
        </w:rPr>
        <w:t>, the languages of national minorities are in official use in the entire territory of 7 L</w:t>
      </w:r>
      <w:r w:rsidR="006E53F2">
        <w:rPr>
          <w:sz w:val="24"/>
          <w:szCs w:val="24"/>
          <w:lang w:val="en-GB"/>
        </w:rPr>
        <w:t>S</w:t>
      </w:r>
      <w:r w:rsidRPr="00543E1B">
        <w:rPr>
          <w:sz w:val="24"/>
          <w:szCs w:val="24"/>
          <w:lang w:val="en-GB"/>
        </w:rPr>
        <w:t>GUs, as well as in several populated places in 3 L</w:t>
      </w:r>
      <w:r w:rsidR="006E53F2">
        <w:rPr>
          <w:sz w:val="24"/>
          <w:szCs w:val="24"/>
          <w:lang w:val="en-GB"/>
        </w:rPr>
        <w:t>S</w:t>
      </w:r>
      <w:r w:rsidRPr="00543E1B">
        <w:rPr>
          <w:sz w:val="24"/>
          <w:szCs w:val="24"/>
          <w:lang w:val="en-GB"/>
        </w:rPr>
        <w:t>GUs.</w:t>
      </w:r>
    </w:p>
    <w:p w14:paraId="48B2E5E5" w14:textId="0742FC59" w:rsidR="00543E1B" w:rsidRPr="00543E1B" w:rsidRDefault="00543E1B" w:rsidP="00543E1B">
      <w:pPr>
        <w:spacing w:after="0"/>
        <w:ind w:firstLine="720"/>
        <w:jc w:val="both"/>
        <w:rPr>
          <w:sz w:val="24"/>
          <w:szCs w:val="24"/>
          <w:lang w:val="en-GB"/>
        </w:rPr>
      </w:pPr>
      <w:r w:rsidRPr="00543E1B">
        <w:rPr>
          <w:sz w:val="24"/>
          <w:szCs w:val="24"/>
          <w:lang w:val="en-GB"/>
        </w:rPr>
        <w:t xml:space="preserve">Measures to write the names of municipalities/towns, settlements, squares and streets and other </w:t>
      </w:r>
      <w:proofErr w:type="spellStart"/>
      <w:r w:rsidRPr="00543E1B">
        <w:rPr>
          <w:sz w:val="24"/>
          <w:szCs w:val="24"/>
          <w:lang w:val="en-GB"/>
        </w:rPr>
        <w:t>toponyms</w:t>
      </w:r>
      <w:proofErr w:type="spellEnd"/>
      <w:r w:rsidRPr="00543E1B">
        <w:rPr>
          <w:sz w:val="24"/>
          <w:szCs w:val="24"/>
          <w:lang w:val="en-GB"/>
        </w:rPr>
        <w:t xml:space="preserve"> in the languages of national minorities in official use, according to their tradition and spelling, were </w:t>
      </w:r>
      <w:r w:rsidR="006E53F2">
        <w:rPr>
          <w:sz w:val="24"/>
          <w:szCs w:val="24"/>
          <w:lang w:val="en-GB"/>
        </w:rPr>
        <w:t>implemented</w:t>
      </w:r>
      <w:r w:rsidRPr="00543E1B">
        <w:rPr>
          <w:sz w:val="24"/>
          <w:szCs w:val="24"/>
          <w:lang w:val="en-GB"/>
        </w:rPr>
        <w:t xml:space="preserve"> by 5 L</w:t>
      </w:r>
      <w:r w:rsidR="006E53F2">
        <w:rPr>
          <w:sz w:val="24"/>
          <w:szCs w:val="24"/>
          <w:lang w:val="en-GB"/>
        </w:rPr>
        <w:t>S</w:t>
      </w:r>
      <w:r w:rsidRPr="00543E1B">
        <w:rPr>
          <w:sz w:val="24"/>
          <w:szCs w:val="24"/>
          <w:lang w:val="en-GB"/>
        </w:rPr>
        <w:t xml:space="preserve">GUs from the sample, while the same measure was carried out in certain populated places </w:t>
      </w:r>
      <w:r w:rsidR="006E53F2">
        <w:rPr>
          <w:sz w:val="24"/>
          <w:szCs w:val="24"/>
          <w:lang w:val="en-GB"/>
        </w:rPr>
        <w:t>i</w:t>
      </w:r>
      <w:r w:rsidRPr="00543E1B">
        <w:rPr>
          <w:sz w:val="24"/>
          <w:szCs w:val="24"/>
          <w:lang w:val="en-GB"/>
        </w:rPr>
        <w:t>n their territory by 4 L</w:t>
      </w:r>
      <w:r w:rsidR="006E53F2">
        <w:rPr>
          <w:sz w:val="24"/>
          <w:szCs w:val="24"/>
          <w:lang w:val="en-GB"/>
        </w:rPr>
        <w:t>SGUs</w:t>
      </w:r>
      <w:r w:rsidRPr="00543E1B">
        <w:rPr>
          <w:sz w:val="24"/>
          <w:szCs w:val="24"/>
          <w:lang w:val="en-GB"/>
        </w:rPr>
        <w:t>.</w:t>
      </w:r>
    </w:p>
    <w:p w14:paraId="122A6BFE" w14:textId="77777777" w:rsidR="00543E1B" w:rsidRDefault="00543E1B" w:rsidP="00543E1B">
      <w:pPr>
        <w:spacing w:after="0"/>
        <w:ind w:firstLine="720"/>
        <w:jc w:val="both"/>
        <w:rPr>
          <w:sz w:val="24"/>
          <w:szCs w:val="24"/>
          <w:lang w:val="en-GB"/>
        </w:rPr>
      </w:pPr>
      <w:r w:rsidRPr="00543E1B">
        <w:rPr>
          <w:sz w:val="24"/>
          <w:szCs w:val="24"/>
          <w:lang w:val="en-GB"/>
        </w:rPr>
        <w:lastRenderedPageBreak/>
        <w:t xml:space="preserve">In this research, based on the examined sample, it is </w:t>
      </w:r>
      <w:r w:rsidR="00065699">
        <w:rPr>
          <w:sz w:val="24"/>
          <w:szCs w:val="24"/>
          <w:lang w:val="en-GB"/>
        </w:rPr>
        <w:t>found</w:t>
      </w:r>
      <w:r w:rsidRPr="00543E1B">
        <w:rPr>
          <w:sz w:val="24"/>
          <w:szCs w:val="24"/>
          <w:lang w:val="en-GB"/>
        </w:rPr>
        <w:t xml:space="preserve"> that topographic names and street names are set in populated areas, and a lower level of rights protection was observed in terms of multilingual notices to citizens that they have the right to official language use.</w:t>
      </w:r>
    </w:p>
    <w:p w14:paraId="007DB509" w14:textId="2FD78C12" w:rsidR="00BC4E3F" w:rsidRDefault="00BC4E3F" w:rsidP="002A1AA5">
      <w:pPr>
        <w:spacing w:after="0"/>
        <w:ind w:firstLine="720"/>
        <w:jc w:val="both"/>
        <w:rPr>
          <w:sz w:val="24"/>
          <w:szCs w:val="24"/>
          <w:lang w:val="en-GB"/>
        </w:rPr>
      </w:pPr>
      <w:r w:rsidRPr="00BC4E3F">
        <w:rPr>
          <w:sz w:val="24"/>
          <w:szCs w:val="24"/>
          <w:lang w:val="en-GB"/>
        </w:rPr>
        <w:t xml:space="preserve">In order to assess the situation regarding the writing and </w:t>
      </w:r>
      <w:r>
        <w:rPr>
          <w:sz w:val="24"/>
          <w:szCs w:val="24"/>
          <w:lang w:val="en-GB"/>
        </w:rPr>
        <w:t>marking</w:t>
      </w:r>
      <w:r w:rsidRPr="00BC4E3F">
        <w:rPr>
          <w:sz w:val="24"/>
          <w:szCs w:val="24"/>
          <w:lang w:val="en-GB"/>
        </w:rPr>
        <w:t xml:space="preserve"> of the names of </w:t>
      </w:r>
      <w:r>
        <w:rPr>
          <w:sz w:val="24"/>
          <w:szCs w:val="24"/>
          <w:lang w:val="en-GB"/>
        </w:rPr>
        <w:t>settlements</w:t>
      </w:r>
      <w:r w:rsidRPr="00BC4E3F">
        <w:rPr>
          <w:sz w:val="24"/>
          <w:szCs w:val="24"/>
          <w:lang w:val="en-GB"/>
        </w:rPr>
        <w:t>, on sign</w:t>
      </w:r>
      <w:r>
        <w:rPr>
          <w:sz w:val="24"/>
          <w:szCs w:val="24"/>
          <w:lang w:val="en-GB"/>
        </w:rPr>
        <w:t>board</w:t>
      </w:r>
      <w:r w:rsidRPr="00BC4E3F">
        <w:rPr>
          <w:sz w:val="24"/>
          <w:szCs w:val="24"/>
          <w:lang w:val="en-GB"/>
        </w:rPr>
        <w:t xml:space="preserve">s/traffic signs </w:t>
      </w:r>
      <w:r>
        <w:rPr>
          <w:sz w:val="24"/>
          <w:szCs w:val="24"/>
          <w:lang w:val="en-GB"/>
        </w:rPr>
        <w:t xml:space="preserve">- </w:t>
      </w:r>
      <w:r w:rsidRPr="00BC4E3F">
        <w:rPr>
          <w:sz w:val="24"/>
          <w:szCs w:val="24"/>
          <w:lang w:val="en-GB"/>
        </w:rPr>
        <w:t xml:space="preserve">Name of </w:t>
      </w:r>
      <w:r>
        <w:rPr>
          <w:sz w:val="24"/>
          <w:szCs w:val="24"/>
          <w:lang w:val="en-GB"/>
        </w:rPr>
        <w:t>a settlement</w:t>
      </w:r>
      <w:r w:rsidRPr="00BC4E3F">
        <w:rPr>
          <w:sz w:val="24"/>
          <w:szCs w:val="24"/>
          <w:lang w:val="en-GB"/>
        </w:rPr>
        <w:t xml:space="preserve"> (III-23) - entrance to </w:t>
      </w:r>
      <w:r>
        <w:rPr>
          <w:sz w:val="24"/>
          <w:szCs w:val="24"/>
          <w:lang w:val="en-GB"/>
        </w:rPr>
        <w:t>a settlement</w:t>
      </w:r>
      <w:r w:rsidRPr="00BC4E3F">
        <w:rPr>
          <w:sz w:val="24"/>
          <w:szCs w:val="24"/>
          <w:lang w:val="en-GB"/>
        </w:rPr>
        <w:t xml:space="preserve"> and </w:t>
      </w:r>
      <w:r>
        <w:rPr>
          <w:sz w:val="24"/>
          <w:szCs w:val="24"/>
          <w:lang w:val="en-GB"/>
        </w:rPr>
        <w:t>E</w:t>
      </w:r>
      <w:r w:rsidR="006D0E6A">
        <w:rPr>
          <w:sz w:val="24"/>
          <w:szCs w:val="24"/>
          <w:lang w:val="en-GB"/>
        </w:rPr>
        <w:t xml:space="preserve">nd of a </w:t>
      </w:r>
      <w:r>
        <w:rPr>
          <w:sz w:val="24"/>
          <w:szCs w:val="24"/>
          <w:lang w:val="en-GB"/>
        </w:rPr>
        <w:t>settlement</w:t>
      </w:r>
      <w:r w:rsidRPr="00BC4E3F">
        <w:rPr>
          <w:sz w:val="24"/>
          <w:szCs w:val="24"/>
          <w:lang w:val="en-GB"/>
        </w:rPr>
        <w:t xml:space="preserve"> (III- 23.1) - exit from </w:t>
      </w:r>
      <w:r>
        <w:rPr>
          <w:sz w:val="24"/>
          <w:szCs w:val="24"/>
          <w:lang w:val="en-GB"/>
        </w:rPr>
        <w:t>a settlement</w:t>
      </w:r>
      <w:r w:rsidRPr="00BC4E3F">
        <w:rPr>
          <w:sz w:val="24"/>
          <w:szCs w:val="24"/>
          <w:lang w:val="en-GB"/>
        </w:rPr>
        <w:t xml:space="preserve"> in the languages ​​of national minorities which are in official use, as well as due to the need to plan regular inspections in the field of official use of languages and letters and planning budget funds, the Provincial Secretariat for Education, Regulations, Administration and National Minorities - National Communities submitted questionnaires to all L</w:t>
      </w:r>
      <w:r>
        <w:rPr>
          <w:sz w:val="24"/>
          <w:szCs w:val="24"/>
          <w:lang w:val="en-GB"/>
        </w:rPr>
        <w:t>S</w:t>
      </w:r>
      <w:r w:rsidRPr="00BC4E3F">
        <w:rPr>
          <w:sz w:val="24"/>
          <w:szCs w:val="24"/>
          <w:lang w:val="en-GB"/>
        </w:rPr>
        <w:t xml:space="preserve">GUs in the territory of AP </w:t>
      </w:r>
      <w:r>
        <w:rPr>
          <w:sz w:val="24"/>
          <w:szCs w:val="24"/>
          <w:lang w:val="en-GB"/>
        </w:rPr>
        <w:t xml:space="preserve">of </w:t>
      </w:r>
      <w:proofErr w:type="spellStart"/>
      <w:r w:rsidRPr="00BC4E3F">
        <w:rPr>
          <w:sz w:val="24"/>
          <w:szCs w:val="24"/>
          <w:lang w:val="en-GB"/>
        </w:rPr>
        <w:t>Vojvodina</w:t>
      </w:r>
      <w:proofErr w:type="spellEnd"/>
      <w:r w:rsidR="001D058E">
        <w:rPr>
          <w:sz w:val="24"/>
          <w:szCs w:val="24"/>
          <w:lang w:val="en-GB"/>
        </w:rPr>
        <w:t>. I</w:t>
      </w:r>
      <w:r w:rsidRPr="00BC4E3F">
        <w:rPr>
          <w:sz w:val="24"/>
          <w:szCs w:val="24"/>
          <w:lang w:val="en-GB"/>
        </w:rPr>
        <w:t>t was necessary to fill in data on the presence/absence of such sign</w:t>
      </w:r>
      <w:r w:rsidR="001D058E">
        <w:rPr>
          <w:sz w:val="24"/>
          <w:szCs w:val="24"/>
          <w:lang w:val="en-GB"/>
        </w:rPr>
        <w:t>board</w:t>
      </w:r>
      <w:r w:rsidRPr="00BC4E3F">
        <w:rPr>
          <w:sz w:val="24"/>
          <w:szCs w:val="24"/>
          <w:lang w:val="en-GB"/>
        </w:rPr>
        <w:t xml:space="preserve">s, </w:t>
      </w:r>
      <w:r w:rsidR="001D058E">
        <w:rPr>
          <w:sz w:val="24"/>
          <w:szCs w:val="24"/>
          <w:lang w:val="en-GB"/>
        </w:rPr>
        <w:t xml:space="preserve">provide </w:t>
      </w:r>
      <w:r w:rsidRPr="00BC4E3F">
        <w:rPr>
          <w:sz w:val="24"/>
          <w:szCs w:val="24"/>
          <w:lang w:val="en-GB"/>
        </w:rPr>
        <w:t xml:space="preserve">the reasons for their </w:t>
      </w:r>
      <w:r w:rsidR="001D058E">
        <w:rPr>
          <w:sz w:val="24"/>
          <w:szCs w:val="24"/>
          <w:lang w:val="en-GB"/>
        </w:rPr>
        <w:t>absence</w:t>
      </w:r>
      <w:r w:rsidRPr="00BC4E3F">
        <w:rPr>
          <w:sz w:val="24"/>
          <w:szCs w:val="24"/>
          <w:lang w:val="en-GB"/>
        </w:rPr>
        <w:t xml:space="preserve"> and attach photo documentation of </w:t>
      </w:r>
      <w:r w:rsidR="001D058E">
        <w:rPr>
          <w:sz w:val="24"/>
          <w:szCs w:val="24"/>
          <w:lang w:val="en-GB"/>
        </w:rPr>
        <w:t xml:space="preserve">the </w:t>
      </w:r>
      <w:r w:rsidRPr="00BC4E3F">
        <w:rPr>
          <w:sz w:val="24"/>
          <w:szCs w:val="24"/>
          <w:lang w:val="en-GB"/>
        </w:rPr>
        <w:t>said sign</w:t>
      </w:r>
      <w:r w:rsidR="001D058E">
        <w:rPr>
          <w:sz w:val="24"/>
          <w:szCs w:val="24"/>
          <w:lang w:val="en-GB"/>
        </w:rPr>
        <w:t>board</w:t>
      </w:r>
      <w:r w:rsidRPr="00BC4E3F">
        <w:rPr>
          <w:sz w:val="24"/>
          <w:szCs w:val="24"/>
          <w:lang w:val="en-GB"/>
        </w:rPr>
        <w:t>s. Out of 45 L</w:t>
      </w:r>
      <w:r w:rsidR="001D058E">
        <w:rPr>
          <w:sz w:val="24"/>
          <w:szCs w:val="24"/>
          <w:lang w:val="en-GB"/>
        </w:rPr>
        <w:t>S</w:t>
      </w:r>
      <w:r w:rsidRPr="00BC4E3F">
        <w:rPr>
          <w:sz w:val="24"/>
          <w:szCs w:val="24"/>
          <w:lang w:val="en-GB"/>
        </w:rPr>
        <w:t xml:space="preserve">GUs </w:t>
      </w:r>
      <w:r w:rsidR="001D058E">
        <w:rPr>
          <w:sz w:val="24"/>
          <w:szCs w:val="24"/>
          <w:lang w:val="en-GB"/>
        </w:rPr>
        <w:t>i</w:t>
      </w:r>
      <w:r w:rsidRPr="00BC4E3F">
        <w:rPr>
          <w:sz w:val="24"/>
          <w:szCs w:val="24"/>
          <w:lang w:val="en-GB"/>
        </w:rPr>
        <w:t>n the territory of AP</w:t>
      </w:r>
      <w:r w:rsidR="001D058E">
        <w:rPr>
          <w:sz w:val="24"/>
          <w:szCs w:val="24"/>
          <w:lang w:val="en-GB"/>
        </w:rPr>
        <w:t xml:space="preserve"> of</w:t>
      </w:r>
      <w:r w:rsidRPr="00BC4E3F">
        <w:rPr>
          <w:sz w:val="24"/>
          <w:szCs w:val="24"/>
          <w:lang w:val="en-GB"/>
        </w:rPr>
        <w:t xml:space="preserve"> </w:t>
      </w:r>
      <w:proofErr w:type="spellStart"/>
      <w:r w:rsidRPr="00BC4E3F">
        <w:rPr>
          <w:sz w:val="24"/>
          <w:szCs w:val="24"/>
          <w:lang w:val="en-GB"/>
        </w:rPr>
        <w:t>Vojvodina</w:t>
      </w:r>
      <w:proofErr w:type="spellEnd"/>
      <w:r w:rsidRPr="00BC4E3F">
        <w:rPr>
          <w:sz w:val="24"/>
          <w:szCs w:val="24"/>
          <w:lang w:val="en-GB"/>
        </w:rPr>
        <w:t>, 42 L</w:t>
      </w:r>
      <w:r w:rsidR="001D058E">
        <w:rPr>
          <w:sz w:val="24"/>
          <w:szCs w:val="24"/>
          <w:lang w:val="en-GB"/>
        </w:rPr>
        <w:t>S</w:t>
      </w:r>
      <w:r w:rsidRPr="00BC4E3F">
        <w:rPr>
          <w:sz w:val="24"/>
          <w:szCs w:val="24"/>
          <w:lang w:val="en-GB"/>
        </w:rPr>
        <w:t xml:space="preserve">GUs </w:t>
      </w:r>
      <w:r w:rsidR="001D058E">
        <w:rPr>
          <w:sz w:val="24"/>
          <w:szCs w:val="24"/>
          <w:lang w:val="en-GB"/>
        </w:rPr>
        <w:t>responded</w:t>
      </w:r>
      <w:r w:rsidRPr="00BC4E3F">
        <w:rPr>
          <w:sz w:val="24"/>
          <w:szCs w:val="24"/>
          <w:lang w:val="en-GB"/>
        </w:rPr>
        <w:t xml:space="preserve"> and submitted the completed questionnaire, and only 3 did not submit the completed questionnaire.</w:t>
      </w:r>
    </w:p>
    <w:p w14:paraId="7196D1DD" w14:textId="45055FC0" w:rsidR="00D83436" w:rsidRDefault="00D83436" w:rsidP="00A74E3E">
      <w:pPr>
        <w:spacing w:after="0"/>
        <w:ind w:firstLine="720"/>
        <w:jc w:val="both"/>
        <w:rPr>
          <w:sz w:val="24"/>
          <w:szCs w:val="24"/>
          <w:lang w:val="en-GB"/>
        </w:rPr>
      </w:pPr>
      <w:r w:rsidRPr="00D83436">
        <w:rPr>
          <w:sz w:val="24"/>
          <w:szCs w:val="24"/>
          <w:lang w:val="en-GB"/>
        </w:rPr>
        <w:t>Regarding the sign</w:t>
      </w:r>
      <w:r>
        <w:rPr>
          <w:sz w:val="24"/>
          <w:szCs w:val="24"/>
          <w:lang w:val="en-GB"/>
        </w:rPr>
        <w:t>board</w:t>
      </w:r>
      <w:r w:rsidRPr="00D83436">
        <w:rPr>
          <w:sz w:val="24"/>
          <w:szCs w:val="24"/>
          <w:lang w:val="en-GB"/>
        </w:rPr>
        <w:t xml:space="preserve">s at the entrances to the </w:t>
      </w:r>
      <w:r>
        <w:rPr>
          <w:sz w:val="24"/>
          <w:szCs w:val="24"/>
          <w:lang w:val="en-GB"/>
        </w:rPr>
        <w:t>settlements</w:t>
      </w:r>
      <w:r w:rsidRPr="00D83436">
        <w:rPr>
          <w:sz w:val="24"/>
          <w:szCs w:val="24"/>
          <w:lang w:val="en-GB"/>
        </w:rPr>
        <w:t xml:space="preserve">, out of a total of 389 recorded </w:t>
      </w:r>
      <w:r>
        <w:rPr>
          <w:sz w:val="24"/>
          <w:szCs w:val="24"/>
          <w:lang w:val="en-GB"/>
        </w:rPr>
        <w:t>settlements</w:t>
      </w:r>
      <w:r w:rsidRPr="00D83436">
        <w:rPr>
          <w:sz w:val="24"/>
          <w:szCs w:val="24"/>
          <w:lang w:val="en-GB"/>
        </w:rPr>
        <w:t xml:space="preserve"> in the questionnaire, there are sign</w:t>
      </w:r>
      <w:r>
        <w:rPr>
          <w:sz w:val="24"/>
          <w:szCs w:val="24"/>
          <w:lang w:val="en-GB"/>
        </w:rPr>
        <w:t>board</w:t>
      </w:r>
      <w:r w:rsidRPr="00D83436">
        <w:rPr>
          <w:sz w:val="24"/>
          <w:szCs w:val="24"/>
          <w:lang w:val="en-GB"/>
        </w:rPr>
        <w:t xml:space="preserve">s with written names in all languages in official use in 217 </w:t>
      </w:r>
      <w:r>
        <w:rPr>
          <w:sz w:val="24"/>
          <w:szCs w:val="24"/>
          <w:lang w:val="en-GB"/>
        </w:rPr>
        <w:t>settlements</w:t>
      </w:r>
      <w:r w:rsidRPr="00D83436">
        <w:rPr>
          <w:sz w:val="24"/>
          <w:szCs w:val="24"/>
          <w:lang w:val="en-GB"/>
        </w:rPr>
        <w:t xml:space="preserve"> (58%), and in 172 </w:t>
      </w:r>
      <w:r>
        <w:rPr>
          <w:sz w:val="24"/>
          <w:szCs w:val="24"/>
          <w:lang w:val="en-GB"/>
        </w:rPr>
        <w:t>settlements</w:t>
      </w:r>
      <w:r w:rsidRPr="00D83436">
        <w:rPr>
          <w:sz w:val="24"/>
          <w:szCs w:val="24"/>
          <w:lang w:val="en-GB"/>
        </w:rPr>
        <w:t xml:space="preserve"> (42%) there are no sign</w:t>
      </w:r>
      <w:r>
        <w:rPr>
          <w:sz w:val="24"/>
          <w:szCs w:val="24"/>
          <w:lang w:val="en-GB"/>
        </w:rPr>
        <w:t>board</w:t>
      </w:r>
      <w:r w:rsidRPr="00D83436">
        <w:rPr>
          <w:sz w:val="24"/>
          <w:szCs w:val="24"/>
          <w:lang w:val="en-GB"/>
        </w:rPr>
        <w:t>s with written names in all languages in official use. With regard to sign</w:t>
      </w:r>
      <w:r>
        <w:rPr>
          <w:sz w:val="24"/>
          <w:szCs w:val="24"/>
          <w:lang w:val="en-GB"/>
        </w:rPr>
        <w:t>board</w:t>
      </w:r>
      <w:r w:rsidRPr="00D83436">
        <w:rPr>
          <w:sz w:val="24"/>
          <w:szCs w:val="24"/>
          <w:lang w:val="en-GB"/>
        </w:rPr>
        <w:t xml:space="preserve">s at the exits of populated areas, out of a total of 389 populated areas, </w:t>
      </w:r>
      <w:r>
        <w:rPr>
          <w:sz w:val="24"/>
          <w:szCs w:val="24"/>
          <w:lang w:val="en-GB"/>
        </w:rPr>
        <w:t>sign</w:t>
      </w:r>
      <w:r w:rsidRPr="00D83436">
        <w:rPr>
          <w:sz w:val="24"/>
          <w:szCs w:val="24"/>
          <w:lang w:val="en-GB"/>
        </w:rPr>
        <w:t>boards with written names in all languages in official use exist in 174 populated areas (45 %), and in 215 populated areas (55 %) there are no boards with written names in all languages in official use. It should be noted that in the case of certain L</w:t>
      </w:r>
      <w:r>
        <w:rPr>
          <w:sz w:val="24"/>
          <w:szCs w:val="24"/>
          <w:lang w:val="en-GB"/>
        </w:rPr>
        <w:t>S</w:t>
      </w:r>
      <w:r w:rsidRPr="00D83436">
        <w:rPr>
          <w:sz w:val="24"/>
          <w:szCs w:val="24"/>
          <w:lang w:val="en-GB"/>
        </w:rPr>
        <w:t>GUs, i.e. populated places in that L</w:t>
      </w:r>
      <w:r>
        <w:rPr>
          <w:sz w:val="24"/>
          <w:szCs w:val="24"/>
          <w:lang w:val="en-GB"/>
        </w:rPr>
        <w:t>S</w:t>
      </w:r>
      <w:r w:rsidRPr="00D83436">
        <w:rPr>
          <w:sz w:val="24"/>
          <w:szCs w:val="24"/>
          <w:lang w:val="en-GB"/>
        </w:rPr>
        <w:t>GU, there is no obligation to write names in the languages of national minorities in all populated places, since those languages have been introduced into official use only in part of the territory of the L</w:t>
      </w:r>
      <w:r>
        <w:rPr>
          <w:sz w:val="24"/>
          <w:szCs w:val="24"/>
          <w:lang w:val="en-GB"/>
        </w:rPr>
        <w:t>S</w:t>
      </w:r>
      <w:r w:rsidRPr="00D83436">
        <w:rPr>
          <w:sz w:val="24"/>
          <w:szCs w:val="24"/>
          <w:lang w:val="en-GB"/>
        </w:rPr>
        <w:t>GU.</w:t>
      </w:r>
    </w:p>
    <w:p w14:paraId="41FE02F2" w14:textId="32F14D1A" w:rsidR="005E7601" w:rsidRDefault="005E7601" w:rsidP="00A74E3E">
      <w:pPr>
        <w:spacing w:after="0"/>
        <w:ind w:firstLine="720"/>
        <w:jc w:val="both"/>
        <w:rPr>
          <w:sz w:val="24"/>
          <w:szCs w:val="24"/>
          <w:lang w:val="en-GB"/>
        </w:rPr>
      </w:pPr>
      <w:r w:rsidRPr="005E7601">
        <w:rPr>
          <w:sz w:val="24"/>
          <w:szCs w:val="24"/>
          <w:lang w:val="en-GB"/>
        </w:rPr>
        <w:t xml:space="preserve">In those inhabited places where </w:t>
      </w:r>
      <w:r>
        <w:rPr>
          <w:sz w:val="24"/>
          <w:szCs w:val="24"/>
          <w:lang w:val="en-GB"/>
        </w:rPr>
        <w:t xml:space="preserve">there are </w:t>
      </w:r>
      <w:r w:rsidRPr="005E7601">
        <w:rPr>
          <w:sz w:val="24"/>
          <w:szCs w:val="24"/>
          <w:lang w:val="en-GB"/>
        </w:rPr>
        <w:t>sign</w:t>
      </w:r>
      <w:r>
        <w:rPr>
          <w:sz w:val="24"/>
          <w:szCs w:val="24"/>
          <w:lang w:val="en-GB"/>
        </w:rPr>
        <w:t>board</w:t>
      </w:r>
      <w:r w:rsidRPr="005E7601">
        <w:rPr>
          <w:sz w:val="24"/>
          <w:szCs w:val="24"/>
          <w:lang w:val="en-GB"/>
        </w:rPr>
        <w:t xml:space="preserve">s (entrance/exit) with the names of inhabited places in all languages in official use, it is noticeable that only in about 25% of those inhabited places </w:t>
      </w:r>
      <w:r>
        <w:rPr>
          <w:sz w:val="24"/>
          <w:szCs w:val="24"/>
          <w:lang w:val="en-GB"/>
        </w:rPr>
        <w:t xml:space="preserve">there are </w:t>
      </w:r>
      <w:r w:rsidRPr="005E7601">
        <w:rPr>
          <w:sz w:val="24"/>
          <w:szCs w:val="24"/>
          <w:lang w:val="en-GB"/>
        </w:rPr>
        <w:t>sign</w:t>
      </w:r>
      <w:r>
        <w:rPr>
          <w:sz w:val="24"/>
          <w:szCs w:val="24"/>
          <w:lang w:val="en-GB"/>
        </w:rPr>
        <w:t>board</w:t>
      </w:r>
      <w:r w:rsidRPr="005E7601">
        <w:rPr>
          <w:sz w:val="24"/>
          <w:szCs w:val="24"/>
          <w:lang w:val="en-GB"/>
        </w:rPr>
        <w:t>s with names in all l</w:t>
      </w:r>
      <w:r>
        <w:rPr>
          <w:sz w:val="24"/>
          <w:szCs w:val="24"/>
          <w:lang w:val="en-GB"/>
        </w:rPr>
        <w:t>anguages in official use</w:t>
      </w:r>
      <w:r w:rsidRPr="005E7601">
        <w:rPr>
          <w:sz w:val="24"/>
          <w:szCs w:val="24"/>
          <w:lang w:val="en-GB"/>
        </w:rPr>
        <w:t xml:space="preserve"> on all road directions, i.e. all entrances and exits from populated areas. In other cases, sign</w:t>
      </w:r>
      <w:r w:rsidR="00C87813">
        <w:rPr>
          <w:sz w:val="24"/>
          <w:szCs w:val="24"/>
          <w:lang w:val="en-GB"/>
        </w:rPr>
        <w:t>board</w:t>
      </w:r>
      <w:r w:rsidRPr="005E7601">
        <w:rPr>
          <w:sz w:val="24"/>
          <w:szCs w:val="24"/>
          <w:lang w:val="en-GB"/>
        </w:rPr>
        <w:t xml:space="preserve">s are placed mainly on the main roads, i.e. state roads, the maintenance and installation of traffic signals </w:t>
      </w:r>
      <w:r w:rsidR="00C87813">
        <w:rPr>
          <w:sz w:val="24"/>
          <w:szCs w:val="24"/>
          <w:lang w:val="en-GB"/>
        </w:rPr>
        <w:t xml:space="preserve">of which </w:t>
      </w:r>
      <w:r w:rsidRPr="005E7601">
        <w:rPr>
          <w:sz w:val="24"/>
          <w:szCs w:val="24"/>
          <w:lang w:val="en-GB"/>
        </w:rPr>
        <w:t xml:space="preserve">is the responsibility of </w:t>
      </w:r>
      <w:r w:rsidR="00C87813">
        <w:rPr>
          <w:sz w:val="24"/>
          <w:szCs w:val="24"/>
          <w:lang w:val="en-GB"/>
        </w:rPr>
        <w:t>PC</w:t>
      </w:r>
      <w:r w:rsidRPr="005E7601">
        <w:rPr>
          <w:sz w:val="24"/>
          <w:szCs w:val="24"/>
          <w:lang w:val="en-GB"/>
        </w:rPr>
        <w:t xml:space="preserve"> "</w:t>
      </w:r>
      <w:proofErr w:type="spellStart"/>
      <w:r w:rsidR="00C87813">
        <w:rPr>
          <w:sz w:val="24"/>
          <w:szCs w:val="24"/>
          <w:lang w:val="en-GB"/>
        </w:rPr>
        <w:t>Putevi</w:t>
      </w:r>
      <w:proofErr w:type="spellEnd"/>
      <w:r w:rsidR="00C87813">
        <w:rPr>
          <w:sz w:val="24"/>
          <w:szCs w:val="24"/>
          <w:lang w:val="en-GB"/>
        </w:rPr>
        <w:t xml:space="preserve"> </w:t>
      </w:r>
      <w:proofErr w:type="spellStart"/>
      <w:r w:rsidR="00C87813">
        <w:rPr>
          <w:sz w:val="24"/>
          <w:szCs w:val="24"/>
          <w:lang w:val="en-GB"/>
        </w:rPr>
        <w:t>Srbije</w:t>
      </w:r>
      <w:proofErr w:type="spellEnd"/>
      <w:r w:rsidRPr="005E7601">
        <w:rPr>
          <w:sz w:val="24"/>
          <w:szCs w:val="24"/>
          <w:lang w:val="en-GB"/>
        </w:rPr>
        <w:t>", and less often there are sign</w:t>
      </w:r>
      <w:r w:rsidR="00C87813">
        <w:rPr>
          <w:sz w:val="24"/>
          <w:szCs w:val="24"/>
          <w:lang w:val="en-GB"/>
        </w:rPr>
        <w:t>board</w:t>
      </w:r>
      <w:r w:rsidRPr="005E7601">
        <w:rPr>
          <w:sz w:val="24"/>
          <w:szCs w:val="24"/>
          <w:lang w:val="en-GB"/>
        </w:rPr>
        <w:t xml:space="preserve">s that are also placed on local roads, the maintenance and installation of traffic signals </w:t>
      </w:r>
      <w:r w:rsidR="00C87813">
        <w:rPr>
          <w:sz w:val="24"/>
          <w:szCs w:val="24"/>
          <w:lang w:val="en-GB"/>
        </w:rPr>
        <w:t xml:space="preserve">of which </w:t>
      </w:r>
      <w:r w:rsidRPr="005E7601">
        <w:rPr>
          <w:sz w:val="24"/>
          <w:szCs w:val="24"/>
          <w:lang w:val="en-GB"/>
        </w:rPr>
        <w:t xml:space="preserve">is </w:t>
      </w:r>
      <w:r w:rsidR="00C87813">
        <w:rPr>
          <w:sz w:val="24"/>
          <w:szCs w:val="24"/>
          <w:lang w:val="en-GB"/>
        </w:rPr>
        <w:t>the responsibility</w:t>
      </w:r>
      <w:r w:rsidRPr="005E7601">
        <w:rPr>
          <w:sz w:val="24"/>
          <w:szCs w:val="24"/>
          <w:lang w:val="en-GB"/>
        </w:rPr>
        <w:t xml:space="preserve"> of a designated local public </w:t>
      </w:r>
      <w:r w:rsidR="00C87813">
        <w:rPr>
          <w:sz w:val="24"/>
          <w:szCs w:val="24"/>
          <w:lang w:val="en-GB"/>
        </w:rPr>
        <w:t>company</w:t>
      </w:r>
      <w:r w:rsidRPr="005E7601">
        <w:rPr>
          <w:sz w:val="24"/>
          <w:szCs w:val="24"/>
          <w:lang w:val="en-GB"/>
        </w:rPr>
        <w:t>.</w:t>
      </w:r>
    </w:p>
    <w:p w14:paraId="48C3E670" w14:textId="15952589" w:rsidR="00F833EC" w:rsidRDefault="00F833EC" w:rsidP="002A1AA5">
      <w:pPr>
        <w:spacing w:after="0"/>
        <w:ind w:firstLine="720"/>
        <w:jc w:val="both"/>
        <w:rPr>
          <w:sz w:val="24"/>
          <w:szCs w:val="24"/>
          <w:lang w:val="en-GB"/>
        </w:rPr>
      </w:pPr>
      <w:r w:rsidRPr="00F833EC">
        <w:rPr>
          <w:sz w:val="24"/>
          <w:szCs w:val="24"/>
          <w:lang w:val="en-GB"/>
        </w:rPr>
        <w:t xml:space="preserve">During 2018, the Secretariat established successful cooperation with </w:t>
      </w:r>
      <w:r w:rsidR="00E84115">
        <w:rPr>
          <w:sz w:val="24"/>
          <w:szCs w:val="24"/>
          <w:lang w:val="en-GB"/>
        </w:rPr>
        <w:t xml:space="preserve">the </w:t>
      </w:r>
      <w:r>
        <w:rPr>
          <w:sz w:val="24"/>
          <w:szCs w:val="24"/>
          <w:lang w:val="en-GB"/>
        </w:rPr>
        <w:t>PC</w:t>
      </w:r>
      <w:r w:rsidRPr="005E7601">
        <w:rPr>
          <w:sz w:val="24"/>
          <w:szCs w:val="24"/>
          <w:lang w:val="en-GB"/>
        </w:rPr>
        <w:t xml:space="preserve"> "</w:t>
      </w:r>
      <w:proofErr w:type="spellStart"/>
      <w:r>
        <w:rPr>
          <w:sz w:val="24"/>
          <w:szCs w:val="24"/>
          <w:lang w:val="en-GB"/>
        </w:rPr>
        <w:t>Putevi</w:t>
      </w:r>
      <w:proofErr w:type="spellEnd"/>
      <w:r>
        <w:rPr>
          <w:sz w:val="24"/>
          <w:szCs w:val="24"/>
          <w:lang w:val="en-GB"/>
        </w:rPr>
        <w:t xml:space="preserve"> </w:t>
      </w:r>
      <w:proofErr w:type="spellStart"/>
      <w:r>
        <w:rPr>
          <w:sz w:val="24"/>
          <w:szCs w:val="24"/>
          <w:lang w:val="en-GB"/>
        </w:rPr>
        <w:t>Srbije</w:t>
      </w:r>
      <w:proofErr w:type="spellEnd"/>
      <w:proofErr w:type="gramStart"/>
      <w:r w:rsidRPr="005E7601">
        <w:rPr>
          <w:sz w:val="24"/>
          <w:szCs w:val="24"/>
          <w:lang w:val="en-GB"/>
        </w:rPr>
        <w:t xml:space="preserve">", </w:t>
      </w:r>
      <w:r w:rsidRPr="00F833EC">
        <w:rPr>
          <w:sz w:val="24"/>
          <w:szCs w:val="24"/>
          <w:lang w:val="en-GB"/>
        </w:rPr>
        <w:t xml:space="preserve"> Sector</w:t>
      </w:r>
      <w:proofErr w:type="gramEnd"/>
      <w:r w:rsidRPr="00F833EC">
        <w:rPr>
          <w:sz w:val="24"/>
          <w:szCs w:val="24"/>
          <w:lang w:val="en-GB"/>
        </w:rPr>
        <w:t xml:space="preserve"> for </w:t>
      </w:r>
      <w:r w:rsidR="00134E44">
        <w:rPr>
          <w:sz w:val="24"/>
          <w:szCs w:val="24"/>
          <w:lang w:val="en-GB"/>
        </w:rPr>
        <w:t>M</w:t>
      </w:r>
      <w:r w:rsidRPr="00F833EC">
        <w:rPr>
          <w:sz w:val="24"/>
          <w:szCs w:val="24"/>
          <w:lang w:val="en-GB"/>
        </w:rPr>
        <w:t xml:space="preserve">aintenance of </w:t>
      </w:r>
      <w:r w:rsidR="00134E44">
        <w:rPr>
          <w:sz w:val="24"/>
          <w:szCs w:val="24"/>
          <w:lang w:val="en-GB"/>
        </w:rPr>
        <w:t>S</w:t>
      </w:r>
      <w:r w:rsidRPr="00F833EC">
        <w:rPr>
          <w:sz w:val="24"/>
          <w:szCs w:val="24"/>
          <w:lang w:val="en-GB"/>
        </w:rPr>
        <w:t xml:space="preserve">tate </w:t>
      </w:r>
      <w:r w:rsidR="00134E44">
        <w:rPr>
          <w:sz w:val="24"/>
          <w:szCs w:val="24"/>
          <w:lang w:val="en-GB"/>
        </w:rPr>
        <w:t>R</w:t>
      </w:r>
      <w:r w:rsidRPr="00F833EC">
        <w:rPr>
          <w:sz w:val="24"/>
          <w:szCs w:val="24"/>
          <w:lang w:val="en-GB"/>
        </w:rPr>
        <w:t xml:space="preserve">oads of the </w:t>
      </w:r>
      <w:r w:rsidR="00134E44">
        <w:rPr>
          <w:sz w:val="24"/>
          <w:szCs w:val="24"/>
          <w:lang w:val="en-GB"/>
        </w:rPr>
        <w:t>F</w:t>
      </w:r>
      <w:r w:rsidRPr="00F833EC">
        <w:rPr>
          <w:sz w:val="24"/>
          <w:szCs w:val="24"/>
          <w:lang w:val="en-GB"/>
        </w:rPr>
        <w:t xml:space="preserve">irst and </w:t>
      </w:r>
      <w:r w:rsidR="00134E44">
        <w:rPr>
          <w:sz w:val="24"/>
          <w:szCs w:val="24"/>
          <w:lang w:val="en-GB"/>
        </w:rPr>
        <w:t>S</w:t>
      </w:r>
      <w:r w:rsidRPr="00F833EC">
        <w:rPr>
          <w:sz w:val="24"/>
          <w:szCs w:val="24"/>
          <w:lang w:val="en-GB"/>
        </w:rPr>
        <w:t xml:space="preserve">econd </w:t>
      </w:r>
      <w:r w:rsidR="00134E44">
        <w:rPr>
          <w:sz w:val="24"/>
          <w:szCs w:val="24"/>
          <w:lang w:val="en-GB"/>
        </w:rPr>
        <w:t>Class</w:t>
      </w:r>
      <w:r w:rsidRPr="00F833EC">
        <w:rPr>
          <w:sz w:val="24"/>
          <w:szCs w:val="24"/>
          <w:lang w:val="en-GB"/>
        </w:rPr>
        <w:t xml:space="preserve"> - Department </w:t>
      </w:r>
      <w:r w:rsidR="00134E44">
        <w:rPr>
          <w:sz w:val="24"/>
          <w:szCs w:val="24"/>
          <w:lang w:val="en-GB"/>
        </w:rPr>
        <w:t>for M</w:t>
      </w:r>
      <w:r w:rsidRPr="00F833EC">
        <w:rPr>
          <w:sz w:val="24"/>
          <w:szCs w:val="24"/>
          <w:lang w:val="en-GB"/>
        </w:rPr>
        <w:t xml:space="preserve">aintenance and </w:t>
      </w:r>
      <w:r w:rsidR="00134E44">
        <w:rPr>
          <w:sz w:val="24"/>
          <w:szCs w:val="24"/>
          <w:lang w:val="en-GB"/>
        </w:rPr>
        <w:t>P</w:t>
      </w:r>
      <w:r w:rsidRPr="00F833EC">
        <w:rPr>
          <w:sz w:val="24"/>
          <w:szCs w:val="24"/>
          <w:lang w:val="en-GB"/>
        </w:rPr>
        <w:t xml:space="preserve">rotection of </w:t>
      </w:r>
      <w:r w:rsidR="00134E44">
        <w:rPr>
          <w:sz w:val="24"/>
          <w:szCs w:val="24"/>
          <w:lang w:val="en-GB"/>
        </w:rPr>
        <w:t>R</w:t>
      </w:r>
      <w:r w:rsidRPr="00F833EC">
        <w:rPr>
          <w:sz w:val="24"/>
          <w:szCs w:val="24"/>
          <w:lang w:val="en-GB"/>
        </w:rPr>
        <w:t xml:space="preserve">oads in Novi Sad, regarding the issue of the official use of languages and </w:t>
      </w:r>
      <w:r w:rsidR="00134E44">
        <w:rPr>
          <w:sz w:val="24"/>
          <w:szCs w:val="24"/>
          <w:lang w:val="en-GB"/>
        </w:rPr>
        <w:t>scripts</w:t>
      </w:r>
      <w:r w:rsidRPr="00F833EC">
        <w:rPr>
          <w:sz w:val="24"/>
          <w:szCs w:val="24"/>
          <w:lang w:val="en-GB"/>
        </w:rPr>
        <w:t xml:space="preserve"> on traffic signs. Due to frequent appeals and complaints by several national councils of national minorities regarding the removal of old and installation of new </w:t>
      </w:r>
      <w:r w:rsidR="007F1BC2">
        <w:rPr>
          <w:sz w:val="24"/>
          <w:szCs w:val="24"/>
          <w:lang w:val="en-GB"/>
        </w:rPr>
        <w:t>sign</w:t>
      </w:r>
      <w:r w:rsidRPr="00F833EC">
        <w:rPr>
          <w:sz w:val="24"/>
          <w:szCs w:val="24"/>
          <w:lang w:val="en-GB"/>
        </w:rPr>
        <w:t xml:space="preserve">boards with the names of inhabited places, the Secretariat pointed out that in certain cases the installation of new boards was carried out contrary to the regulations governing the official use of languages and </w:t>
      </w:r>
      <w:r w:rsidR="007F1BC2">
        <w:rPr>
          <w:sz w:val="24"/>
          <w:szCs w:val="24"/>
          <w:lang w:val="en-GB"/>
        </w:rPr>
        <w:t>scripts</w:t>
      </w:r>
      <w:r w:rsidRPr="00F833EC">
        <w:rPr>
          <w:sz w:val="24"/>
          <w:szCs w:val="24"/>
          <w:lang w:val="en-GB"/>
        </w:rPr>
        <w:t>. In certain populated areas, during the replacement of sign</w:t>
      </w:r>
      <w:r w:rsidR="00BA4A5F">
        <w:rPr>
          <w:sz w:val="24"/>
          <w:szCs w:val="24"/>
          <w:lang w:val="en-GB"/>
        </w:rPr>
        <w:t>board</w:t>
      </w:r>
      <w:r w:rsidRPr="00F833EC">
        <w:rPr>
          <w:sz w:val="24"/>
          <w:szCs w:val="24"/>
          <w:lang w:val="en-GB"/>
        </w:rPr>
        <w:t xml:space="preserve">s on state roads, by order of </w:t>
      </w:r>
      <w:r w:rsidR="00BA4A5F">
        <w:rPr>
          <w:sz w:val="24"/>
          <w:szCs w:val="24"/>
          <w:lang w:val="en-GB"/>
        </w:rPr>
        <w:t>the PC</w:t>
      </w:r>
      <w:r w:rsidR="00BA4A5F" w:rsidRPr="005E7601">
        <w:rPr>
          <w:sz w:val="24"/>
          <w:szCs w:val="24"/>
          <w:lang w:val="en-GB"/>
        </w:rPr>
        <w:t xml:space="preserve"> "</w:t>
      </w:r>
      <w:proofErr w:type="spellStart"/>
      <w:r w:rsidR="00BA4A5F">
        <w:rPr>
          <w:sz w:val="24"/>
          <w:szCs w:val="24"/>
          <w:lang w:val="en-GB"/>
        </w:rPr>
        <w:t>Putevi</w:t>
      </w:r>
      <w:proofErr w:type="spellEnd"/>
      <w:r w:rsidR="00BA4A5F">
        <w:rPr>
          <w:sz w:val="24"/>
          <w:szCs w:val="24"/>
          <w:lang w:val="en-GB"/>
        </w:rPr>
        <w:t xml:space="preserve"> </w:t>
      </w:r>
      <w:proofErr w:type="spellStart"/>
      <w:r w:rsidR="00BA4A5F">
        <w:rPr>
          <w:sz w:val="24"/>
          <w:szCs w:val="24"/>
          <w:lang w:val="en-GB"/>
        </w:rPr>
        <w:t>Srbije</w:t>
      </w:r>
      <w:proofErr w:type="spellEnd"/>
      <w:r w:rsidR="00BA4A5F" w:rsidRPr="005E7601">
        <w:rPr>
          <w:sz w:val="24"/>
          <w:szCs w:val="24"/>
          <w:lang w:val="en-GB"/>
        </w:rPr>
        <w:t xml:space="preserve">", </w:t>
      </w:r>
      <w:r w:rsidRPr="00F833EC">
        <w:rPr>
          <w:sz w:val="24"/>
          <w:szCs w:val="24"/>
          <w:lang w:val="en-GB"/>
        </w:rPr>
        <w:t>marking of the name of the populated place was carried out without taking into account the correct application of the statutes of certain cities and municipalities, in the sense that the name was not written on the sign</w:t>
      </w:r>
      <w:r w:rsidR="00BA4A5F">
        <w:rPr>
          <w:sz w:val="24"/>
          <w:szCs w:val="24"/>
          <w:lang w:val="en-GB"/>
        </w:rPr>
        <w:t>board</w:t>
      </w:r>
      <w:r w:rsidRPr="00F833EC">
        <w:rPr>
          <w:sz w:val="24"/>
          <w:szCs w:val="24"/>
          <w:lang w:val="en-GB"/>
        </w:rPr>
        <w:t xml:space="preserve">s indicating the populated place in all languages that are in official use in the territory of the designated </w:t>
      </w:r>
      <w:r w:rsidRPr="00F833EC">
        <w:rPr>
          <w:sz w:val="24"/>
          <w:szCs w:val="24"/>
          <w:lang w:val="en-GB"/>
        </w:rPr>
        <w:lastRenderedPageBreak/>
        <w:t>L</w:t>
      </w:r>
      <w:r w:rsidR="00F976F0">
        <w:rPr>
          <w:sz w:val="24"/>
          <w:szCs w:val="24"/>
          <w:lang w:val="en-GB"/>
        </w:rPr>
        <w:t>S</w:t>
      </w:r>
      <w:r w:rsidRPr="00F833EC">
        <w:rPr>
          <w:sz w:val="24"/>
          <w:szCs w:val="24"/>
          <w:lang w:val="en-GB"/>
        </w:rPr>
        <w:t xml:space="preserve">GU by the statutes of municipalities/cities. The Secretariat asked the </w:t>
      </w:r>
      <w:r w:rsidR="001050C9">
        <w:rPr>
          <w:sz w:val="24"/>
          <w:szCs w:val="24"/>
          <w:lang w:val="en-GB"/>
        </w:rPr>
        <w:t>PC</w:t>
      </w:r>
      <w:r w:rsidR="001050C9" w:rsidRPr="005E7601">
        <w:rPr>
          <w:sz w:val="24"/>
          <w:szCs w:val="24"/>
          <w:lang w:val="en-GB"/>
        </w:rPr>
        <w:t xml:space="preserve"> "</w:t>
      </w:r>
      <w:proofErr w:type="spellStart"/>
      <w:r w:rsidR="001050C9">
        <w:rPr>
          <w:sz w:val="24"/>
          <w:szCs w:val="24"/>
          <w:lang w:val="en-GB"/>
        </w:rPr>
        <w:t>Putevi</w:t>
      </w:r>
      <w:proofErr w:type="spellEnd"/>
      <w:r w:rsidR="001050C9">
        <w:rPr>
          <w:sz w:val="24"/>
          <w:szCs w:val="24"/>
          <w:lang w:val="en-GB"/>
        </w:rPr>
        <w:t xml:space="preserve"> </w:t>
      </w:r>
      <w:proofErr w:type="spellStart"/>
      <w:r w:rsidR="001050C9">
        <w:rPr>
          <w:sz w:val="24"/>
          <w:szCs w:val="24"/>
          <w:lang w:val="en-GB"/>
        </w:rPr>
        <w:t>Srbije</w:t>
      </w:r>
      <w:r w:rsidR="001050C9" w:rsidRPr="005E7601">
        <w:rPr>
          <w:sz w:val="24"/>
          <w:szCs w:val="24"/>
          <w:lang w:val="en-GB"/>
        </w:rPr>
        <w:t>"</w:t>
      </w:r>
      <w:r w:rsidRPr="00F833EC">
        <w:rPr>
          <w:sz w:val="24"/>
          <w:szCs w:val="24"/>
          <w:lang w:val="en-GB"/>
        </w:rPr>
        <w:t>to</w:t>
      </w:r>
      <w:proofErr w:type="spellEnd"/>
      <w:r w:rsidRPr="00F833EC">
        <w:rPr>
          <w:sz w:val="24"/>
          <w:szCs w:val="24"/>
          <w:lang w:val="en-GB"/>
        </w:rPr>
        <w:t xml:space="preserve"> take all necessary measures and to install, as soon as possible, new sign</w:t>
      </w:r>
      <w:r w:rsidR="001050C9">
        <w:rPr>
          <w:sz w:val="24"/>
          <w:szCs w:val="24"/>
          <w:lang w:val="en-GB"/>
        </w:rPr>
        <w:t>board</w:t>
      </w:r>
      <w:r w:rsidRPr="00F833EC">
        <w:rPr>
          <w:sz w:val="24"/>
          <w:szCs w:val="24"/>
          <w:lang w:val="en-GB"/>
        </w:rPr>
        <w:t>s in accordance with the statutes of the L</w:t>
      </w:r>
      <w:r w:rsidR="001050C9">
        <w:rPr>
          <w:sz w:val="24"/>
          <w:szCs w:val="24"/>
          <w:lang w:val="en-GB"/>
        </w:rPr>
        <w:t>S</w:t>
      </w:r>
      <w:r w:rsidRPr="00F833EC">
        <w:rPr>
          <w:sz w:val="24"/>
          <w:szCs w:val="24"/>
          <w:lang w:val="en-GB"/>
        </w:rPr>
        <w:t xml:space="preserve">GU and the regulations </w:t>
      </w:r>
      <w:r w:rsidR="001050C9">
        <w:rPr>
          <w:sz w:val="24"/>
          <w:szCs w:val="24"/>
          <w:lang w:val="en-GB"/>
        </w:rPr>
        <w:t>pertaining</w:t>
      </w:r>
      <w:r w:rsidRPr="00F833EC">
        <w:rPr>
          <w:sz w:val="24"/>
          <w:szCs w:val="24"/>
          <w:lang w:val="en-GB"/>
        </w:rPr>
        <w:t xml:space="preserve"> to the official use of the languages ​​of national minorities, as well as to inform the Secre</w:t>
      </w:r>
      <w:r w:rsidR="001050C9">
        <w:rPr>
          <w:sz w:val="24"/>
          <w:szCs w:val="24"/>
          <w:lang w:val="en-GB"/>
        </w:rPr>
        <w:t xml:space="preserve">tariat of the measures taken. </w:t>
      </w:r>
      <w:r w:rsidRPr="00F833EC">
        <w:rPr>
          <w:sz w:val="24"/>
          <w:szCs w:val="24"/>
          <w:lang w:val="en-GB"/>
        </w:rPr>
        <w:t xml:space="preserve">After this intervention by the Secretariat, </w:t>
      </w:r>
      <w:r w:rsidR="00CD2EF2">
        <w:rPr>
          <w:sz w:val="24"/>
          <w:szCs w:val="24"/>
          <w:lang w:val="en-GB"/>
        </w:rPr>
        <w:t>the PC</w:t>
      </w:r>
      <w:r w:rsidR="00CD2EF2" w:rsidRPr="005E7601">
        <w:rPr>
          <w:sz w:val="24"/>
          <w:szCs w:val="24"/>
          <w:lang w:val="en-GB"/>
        </w:rPr>
        <w:t xml:space="preserve"> "</w:t>
      </w:r>
      <w:proofErr w:type="spellStart"/>
      <w:r w:rsidR="00CD2EF2">
        <w:rPr>
          <w:sz w:val="24"/>
          <w:szCs w:val="24"/>
          <w:lang w:val="en-GB"/>
        </w:rPr>
        <w:t>Putevi</w:t>
      </w:r>
      <w:proofErr w:type="spellEnd"/>
      <w:r w:rsidR="00CD2EF2">
        <w:rPr>
          <w:sz w:val="24"/>
          <w:szCs w:val="24"/>
          <w:lang w:val="en-GB"/>
        </w:rPr>
        <w:t xml:space="preserve"> </w:t>
      </w:r>
      <w:proofErr w:type="spellStart"/>
      <w:r w:rsidR="00CD2EF2">
        <w:rPr>
          <w:sz w:val="24"/>
          <w:szCs w:val="24"/>
          <w:lang w:val="en-GB"/>
        </w:rPr>
        <w:t>Srbije</w:t>
      </w:r>
      <w:proofErr w:type="spellEnd"/>
      <w:r w:rsidR="00CD2EF2">
        <w:rPr>
          <w:sz w:val="24"/>
          <w:szCs w:val="24"/>
          <w:lang w:val="en-GB"/>
        </w:rPr>
        <w:t>"</w:t>
      </w:r>
      <w:r w:rsidR="00CD2EF2" w:rsidRPr="005E7601">
        <w:rPr>
          <w:sz w:val="24"/>
          <w:szCs w:val="24"/>
          <w:lang w:val="en-GB"/>
        </w:rPr>
        <w:t xml:space="preserve"> </w:t>
      </w:r>
      <w:r w:rsidRPr="00F833EC">
        <w:rPr>
          <w:sz w:val="24"/>
          <w:szCs w:val="24"/>
          <w:lang w:val="en-GB"/>
        </w:rPr>
        <w:t>started to change the sign</w:t>
      </w:r>
      <w:r w:rsidR="000151BF">
        <w:rPr>
          <w:sz w:val="24"/>
          <w:szCs w:val="24"/>
          <w:lang w:val="en-GB"/>
        </w:rPr>
        <w:t>board</w:t>
      </w:r>
      <w:r w:rsidRPr="00F833EC">
        <w:rPr>
          <w:sz w:val="24"/>
          <w:szCs w:val="24"/>
          <w:lang w:val="en-GB"/>
        </w:rPr>
        <w:t xml:space="preserve">s, and with the joint work of the Secretariat and </w:t>
      </w:r>
      <w:r w:rsidR="000151BF">
        <w:rPr>
          <w:sz w:val="24"/>
          <w:szCs w:val="24"/>
          <w:lang w:val="en-GB"/>
        </w:rPr>
        <w:t>the PC</w:t>
      </w:r>
      <w:r w:rsidR="000151BF" w:rsidRPr="005E7601">
        <w:rPr>
          <w:sz w:val="24"/>
          <w:szCs w:val="24"/>
          <w:lang w:val="en-GB"/>
        </w:rPr>
        <w:t xml:space="preserve"> "</w:t>
      </w:r>
      <w:proofErr w:type="spellStart"/>
      <w:r w:rsidR="000151BF">
        <w:rPr>
          <w:sz w:val="24"/>
          <w:szCs w:val="24"/>
          <w:lang w:val="en-GB"/>
        </w:rPr>
        <w:t>Putevi</w:t>
      </w:r>
      <w:proofErr w:type="spellEnd"/>
      <w:r w:rsidR="000151BF">
        <w:rPr>
          <w:sz w:val="24"/>
          <w:szCs w:val="24"/>
          <w:lang w:val="en-GB"/>
        </w:rPr>
        <w:t xml:space="preserve"> </w:t>
      </w:r>
      <w:proofErr w:type="spellStart"/>
      <w:r w:rsidR="000151BF">
        <w:rPr>
          <w:sz w:val="24"/>
          <w:szCs w:val="24"/>
          <w:lang w:val="en-GB"/>
        </w:rPr>
        <w:t>Srbije</w:t>
      </w:r>
      <w:proofErr w:type="spellEnd"/>
      <w:r w:rsidR="000151BF" w:rsidRPr="005E7601">
        <w:rPr>
          <w:sz w:val="24"/>
          <w:szCs w:val="24"/>
          <w:lang w:val="en-GB"/>
        </w:rPr>
        <w:t xml:space="preserve">", </w:t>
      </w:r>
      <w:r w:rsidRPr="00F833EC">
        <w:rPr>
          <w:sz w:val="24"/>
          <w:szCs w:val="24"/>
          <w:lang w:val="en-GB"/>
        </w:rPr>
        <w:t>the above</w:t>
      </w:r>
      <w:r w:rsidR="000151BF">
        <w:rPr>
          <w:sz w:val="24"/>
          <w:szCs w:val="24"/>
          <w:lang w:val="en-GB"/>
        </w:rPr>
        <w:t>mentioned</w:t>
      </w:r>
      <w:r w:rsidRPr="00F833EC">
        <w:rPr>
          <w:sz w:val="24"/>
          <w:szCs w:val="24"/>
          <w:lang w:val="en-GB"/>
        </w:rPr>
        <w:t xml:space="preserve"> percentages and numbers of posted sign</w:t>
      </w:r>
      <w:r w:rsidR="000151BF">
        <w:rPr>
          <w:sz w:val="24"/>
          <w:szCs w:val="24"/>
          <w:lang w:val="en-GB"/>
        </w:rPr>
        <w:t>board</w:t>
      </w:r>
      <w:r w:rsidRPr="00F833EC">
        <w:rPr>
          <w:sz w:val="24"/>
          <w:szCs w:val="24"/>
          <w:lang w:val="en-GB"/>
        </w:rPr>
        <w:t>s w</w:t>
      </w:r>
      <w:r w:rsidR="000151BF">
        <w:rPr>
          <w:sz w:val="24"/>
          <w:szCs w:val="24"/>
          <w:lang w:val="en-GB"/>
        </w:rPr>
        <w:t>as</w:t>
      </w:r>
      <w:r w:rsidRPr="00F833EC">
        <w:rPr>
          <w:sz w:val="24"/>
          <w:szCs w:val="24"/>
          <w:lang w:val="en-GB"/>
        </w:rPr>
        <w:t xml:space="preserve"> </w:t>
      </w:r>
      <w:r w:rsidR="000151BF">
        <w:rPr>
          <w:sz w:val="24"/>
          <w:szCs w:val="24"/>
          <w:lang w:val="en-GB"/>
        </w:rPr>
        <w:t>adjusted</w:t>
      </w:r>
      <w:r w:rsidRPr="00F833EC">
        <w:rPr>
          <w:sz w:val="24"/>
          <w:szCs w:val="24"/>
          <w:lang w:val="en-GB"/>
        </w:rPr>
        <w:t xml:space="preserve"> in a positive sense.</w:t>
      </w:r>
    </w:p>
    <w:p w14:paraId="1E6C3F71" w14:textId="15CDB145" w:rsidR="00F6610B" w:rsidRPr="00F6610B" w:rsidRDefault="00F6610B" w:rsidP="00F6610B">
      <w:pPr>
        <w:spacing w:after="0"/>
        <w:ind w:firstLine="720"/>
        <w:jc w:val="both"/>
        <w:rPr>
          <w:sz w:val="24"/>
          <w:szCs w:val="24"/>
          <w:lang w:val="en-GB"/>
        </w:rPr>
      </w:pPr>
      <w:r w:rsidRPr="00F6610B">
        <w:rPr>
          <w:sz w:val="24"/>
          <w:szCs w:val="24"/>
          <w:lang w:val="en-GB"/>
        </w:rPr>
        <w:t>The incomplete writing of sign</w:t>
      </w:r>
      <w:r>
        <w:rPr>
          <w:sz w:val="24"/>
          <w:szCs w:val="24"/>
          <w:lang w:val="en-GB"/>
        </w:rPr>
        <w:t>board</w:t>
      </w:r>
      <w:r w:rsidRPr="00F6610B">
        <w:rPr>
          <w:sz w:val="24"/>
          <w:szCs w:val="24"/>
          <w:lang w:val="en-GB"/>
        </w:rPr>
        <w:t>s in all the languages introduced into official use, in addition to the other previously mentioned reasons, is also the result of the fact that some national councils did not establish traditional names for all settlements in certain L</w:t>
      </w:r>
      <w:r>
        <w:rPr>
          <w:sz w:val="24"/>
          <w:szCs w:val="24"/>
          <w:lang w:val="en-GB"/>
        </w:rPr>
        <w:t>S</w:t>
      </w:r>
      <w:r w:rsidRPr="00F6610B">
        <w:rPr>
          <w:sz w:val="24"/>
          <w:szCs w:val="24"/>
          <w:lang w:val="en-GB"/>
        </w:rPr>
        <w:t xml:space="preserve">GUs in which the language of their minority was introduced into official use, but established traditional names only for places where the majority of members of that national minority live (e.g. the National Council of the Romanian National Minority established traditional names for the municipality of Bela </w:t>
      </w:r>
      <w:proofErr w:type="spellStart"/>
      <w:r w:rsidRPr="00F6610B">
        <w:rPr>
          <w:sz w:val="24"/>
          <w:szCs w:val="24"/>
          <w:lang w:val="en-GB"/>
        </w:rPr>
        <w:t>Crkva</w:t>
      </w:r>
      <w:proofErr w:type="spellEnd"/>
      <w:r w:rsidRPr="00F6610B">
        <w:rPr>
          <w:sz w:val="24"/>
          <w:szCs w:val="24"/>
          <w:lang w:val="en-GB"/>
        </w:rPr>
        <w:t xml:space="preserve"> only for the places </w:t>
      </w:r>
      <w:proofErr w:type="spellStart"/>
      <w:r w:rsidRPr="00F6610B">
        <w:rPr>
          <w:sz w:val="24"/>
          <w:szCs w:val="24"/>
          <w:lang w:val="en-GB"/>
        </w:rPr>
        <w:t>Grebenac</w:t>
      </w:r>
      <w:proofErr w:type="spellEnd"/>
      <w:r w:rsidRPr="00F6610B">
        <w:rPr>
          <w:sz w:val="24"/>
          <w:szCs w:val="24"/>
          <w:lang w:val="en-GB"/>
        </w:rPr>
        <w:t xml:space="preserve"> and Bela </w:t>
      </w:r>
      <w:proofErr w:type="spellStart"/>
      <w:r w:rsidRPr="00F6610B">
        <w:rPr>
          <w:sz w:val="24"/>
          <w:szCs w:val="24"/>
          <w:lang w:val="en-GB"/>
        </w:rPr>
        <w:t>Crkva</w:t>
      </w:r>
      <w:proofErr w:type="spellEnd"/>
      <w:r w:rsidRPr="00F6610B">
        <w:rPr>
          <w:sz w:val="24"/>
          <w:szCs w:val="24"/>
          <w:lang w:val="en-GB"/>
        </w:rPr>
        <w:t xml:space="preserve">, although the Romanian language and script are in official use </w:t>
      </w:r>
      <w:r>
        <w:rPr>
          <w:sz w:val="24"/>
          <w:szCs w:val="24"/>
          <w:lang w:val="en-GB"/>
        </w:rPr>
        <w:t>i</w:t>
      </w:r>
      <w:r w:rsidRPr="00F6610B">
        <w:rPr>
          <w:sz w:val="24"/>
          <w:szCs w:val="24"/>
          <w:lang w:val="en-GB"/>
        </w:rPr>
        <w:t>n the entire territory of that municipality).</w:t>
      </w:r>
    </w:p>
    <w:p w14:paraId="39CA82FB" w14:textId="66EA0403" w:rsidR="00F6610B" w:rsidRDefault="00F6610B" w:rsidP="00F6610B">
      <w:pPr>
        <w:spacing w:after="0"/>
        <w:ind w:firstLine="720"/>
        <w:jc w:val="both"/>
        <w:rPr>
          <w:sz w:val="24"/>
          <w:szCs w:val="24"/>
          <w:lang w:val="en-GB"/>
        </w:rPr>
      </w:pPr>
      <w:r w:rsidRPr="00F6610B">
        <w:rPr>
          <w:sz w:val="24"/>
          <w:szCs w:val="24"/>
          <w:lang w:val="en-GB"/>
        </w:rPr>
        <w:t xml:space="preserve">In this regard, the Secretariat, through the inspection for the official use of languages and </w:t>
      </w:r>
      <w:r w:rsidR="00787CFC">
        <w:rPr>
          <w:sz w:val="24"/>
          <w:szCs w:val="24"/>
          <w:lang w:val="en-GB"/>
        </w:rPr>
        <w:t>scripts</w:t>
      </w:r>
      <w:r w:rsidRPr="00F6610B">
        <w:rPr>
          <w:sz w:val="24"/>
          <w:szCs w:val="24"/>
          <w:lang w:val="en-GB"/>
        </w:rPr>
        <w:t>, sent a</w:t>
      </w:r>
      <w:r w:rsidR="00787CFC">
        <w:rPr>
          <w:sz w:val="24"/>
          <w:szCs w:val="24"/>
          <w:lang w:val="en-GB"/>
        </w:rPr>
        <w:t>n official</w:t>
      </w:r>
      <w:r w:rsidRPr="00F6610B">
        <w:rPr>
          <w:sz w:val="24"/>
          <w:szCs w:val="24"/>
          <w:lang w:val="en-GB"/>
        </w:rPr>
        <w:t xml:space="preserve"> letter to all national councils of national minorities that have their languages introduced into official use </w:t>
      </w:r>
      <w:r w:rsidR="00787CFC">
        <w:rPr>
          <w:sz w:val="24"/>
          <w:szCs w:val="24"/>
          <w:lang w:val="en-GB"/>
        </w:rPr>
        <w:t>i</w:t>
      </w:r>
      <w:r w:rsidRPr="00F6610B">
        <w:rPr>
          <w:sz w:val="24"/>
          <w:szCs w:val="24"/>
          <w:lang w:val="en-GB"/>
        </w:rPr>
        <w:t xml:space="preserve">n the territory of AP </w:t>
      </w:r>
      <w:r w:rsidR="00787CFC">
        <w:rPr>
          <w:sz w:val="24"/>
          <w:szCs w:val="24"/>
          <w:lang w:val="en-GB"/>
        </w:rPr>
        <w:t xml:space="preserve">of </w:t>
      </w:r>
      <w:proofErr w:type="spellStart"/>
      <w:r w:rsidRPr="00F6610B">
        <w:rPr>
          <w:sz w:val="24"/>
          <w:szCs w:val="24"/>
          <w:lang w:val="en-GB"/>
        </w:rPr>
        <w:t>Vojvodina</w:t>
      </w:r>
      <w:proofErr w:type="spellEnd"/>
      <w:r w:rsidRPr="00F6610B">
        <w:rPr>
          <w:sz w:val="24"/>
          <w:szCs w:val="24"/>
          <w:lang w:val="en-GB"/>
        </w:rPr>
        <w:t>, reminding them of the need to fully and comprehensively determine the traditional names of inha</w:t>
      </w:r>
      <w:r w:rsidR="0066169C">
        <w:rPr>
          <w:sz w:val="24"/>
          <w:szCs w:val="24"/>
          <w:lang w:val="en-GB"/>
        </w:rPr>
        <w:t>bited places in their language</w:t>
      </w:r>
      <w:r w:rsidR="00787CFC">
        <w:rPr>
          <w:sz w:val="24"/>
          <w:szCs w:val="24"/>
          <w:lang w:val="en-GB"/>
        </w:rPr>
        <w:t>.</w:t>
      </w:r>
      <w:r w:rsidR="0066169C">
        <w:rPr>
          <w:sz w:val="24"/>
          <w:szCs w:val="24"/>
          <w:lang w:val="en-GB"/>
        </w:rPr>
        <w:t xml:space="preserve"> </w:t>
      </w:r>
    </w:p>
    <w:p w14:paraId="290FA21D" w14:textId="3AA8CE6B" w:rsidR="00B11C83" w:rsidRDefault="00B11C83" w:rsidP="00FA2562">
      <w:pPr>
        <w:spacing w:after="0"/>
        <w:ind w:firstLine="720"/>
        <w:jc w:val="both"/>
        <w:rPr>
          <w:rFonts w:eastAsia="SimSun"/>
          <w:sz w:val="24"/>
          <w:szCs w:val="24"/>
          <w:lang w:val="en-GB" w:eastAsia="zh-CN"/>
        </w:rPr>
      </w:pPr>
      <w:r w:rsidRPr="00B11C83">
        <w:rPr>
          <w:rFonts w:eastAsia="SimSun"/>
          <w:sz w:val="24"/>
          <w:szCs w:val="24"/>
          <w:lang w:val="en-GB" w:eastAsia="zh-CN"/>
        </w:rPr>
        <w:t xml:space="preserve">In order to improve the display of topographic signs in the appropriate minority language or languages, the Provincial Secretariat for Education, Regulations, Administration and National Minorities - National Communities of AP </w:t>
      </w:r>
      <w:r w:rsidR="00F8764E">
        <w:rPr>
          <w:rFonts w:eastAsia="SimSun"/>
          <w:sz w:val="24"/>
          <w:szCs w:val="24"/>
          <w:lang w:val="en-GB" w:eastAsia="zh-CN"/>
        </w:rPr>
        <w:t xml:space="preserve">of </w:t>
      </w:r>
      <w:proofErr w:type="spellStart"/>
      <w:r w:rsidRPr="00B11C83">
        <w:rPr>
          <w:rFonts w:eastAsia="SimSun"/>
          <w:sz w:val="24"/>
          <w:szCs w:val="24"/>
          <w:lang w:val="en-GB" w:eastAsia="zh-CN"/>
        </w:rPr>
        <w:t>Vojvodina</w:t>
      </w:r>
      <w:proofErr w:type="spellEnd"/>
      <w:r w:rsidRPr="00B11C83">
        <w:rPr>
          <w:rFonts w:eastAsia="SimSun"/>
          <w:sz w:val="24"/>
          <w:szCs w:val="24"/>
          <w:lang w:val="en-GB" w:eastAsia="zh-CN"/>
        </w:rPr>
        <w:t xml:space="preserve"> regularly announces </w:t>
      </w:r>
      <w:r w:rsidR="007E7AF7">
        <w:rPr>
          <w:rFonts w:eastAsia="SimSun"/>
          <w:sz w:val="24"/>
          <w:szCs w:val="24"/>
          <w:lang w:val="en-GB" w:eastAsia="zh-CN"/>
        </w:rPr>
        <w:t>call for competitions</w:t>
      </w:r>
      <w:r w:rsidRPr="00B11C83">
        <w:rPr>
          <w:rFonts w:eastAsia="SimSun"/>
          <w:sz w:val="24"/>
          <w:szCs w:val="24"/>
          <w:lang w:val="en-GB" w:eastAsia="zh-CN"/>
        </w:rPr>
        <w:t xml:space="preserve"> for the distribution of budget funds to bodies and organi</w:t>
      </w:r>
      <w:r w:rsidR="00F8764E">
        <w:rPr>
          <w:rFonts w:eastAsia="SimSun"/>
          <w:sz w:val="24"/>
          <w:szCs w:val="24"/>
          <w:lang w:val="en-GB" w:eastAsia="zh-CN"/>
        </w:rPr>
        <w:t>s</w:t>
      </w:r>
      <w:r w:rsidRPr="00B11C83">
        <w:rPr>
          <w:rFonts w:eastAsia="SimSun"/>
          <w:sz w:val="24"/>
          <w:szCs w:val="24"/>
          <w:lang w:val="en-GB" w:eastAsia="zh-CN"/>
        </w:rPr>
        <w:t xml:space="preserve">ations </w:t>
      </w:r>
      <w:r w:rsidR="00F8764E">
        <w:rPr>
          <w:rFonts w:eastAsia="SimSun"/>
          <w:sz w:val="24"/>
          <w:szCs w:val="24"/>
          <w:lang w:val="en-GB" w:eastAsia="zh-CN"/>
        </w:rPr>
        <w:t>i</w:t>
      </w:r>
      <w:r w:rsidRPr="00B11C83">
        <w:rPr>
          <w:rFonts w:eastAsia="SimSun"/>
          <w:sz w:val="24"/>
          <w:szCs w:val="24"/>
          <w:lang w:val="en-GB" w:eastAsia="zh-CN"/>
        </w:rPr>
        <w:t xml:space="preserve">n the territory of AP </w:t>
      </w:r>
      <w:r w:rsidR="00F8764E">
        <w:rPr>
          <w:rFonts w:eastAsia="SimSun"/>
          <w:sz w:val="24"/>
          <w:szCs w:val="24"/>
          <w:lang w:val="en-GB" w:eastAsia="zh-CN"/>
        </w:rPr>
        <w:t xml:space="preserve">of </w:t>
      </w:r>
      <w:proofErr w:type="spellStart"/>
      <w:r w:rsidRPr="00B11C83">
        <w:rPr>
          <w:rFonts w:eastAsia="SimSun"/>
          <w:sz w:val="24"/>
          <w:szCs w:val="24"/>
          <w:lang w:val="en-GB" w:eastAsia="zh-CN"/>
        </w:rPr>
        <w:t>Vojvodina</w:t>
      </w:r>
      <w:proofErr w:type="spellEnd"/>
      <w:r w:rsidRPr="00B11C83">
        <w:rPr>
          <w:rFonts w:eastAsia="SimSun"/>
          <w:sz w:val="24"/>
          <w:szCs w:val="24"/>
          <w:lang w:val="en-GB" w:eastAsia="zh-CN"/>
        </w:rPr>
        <w:t xml:space="preserve"> </w:t>
      </w:r>
      <w:r w:rsidR="00F8764E">
        <w:rPr>
          <w:rFonts w:eastAsia="SimSun"/>
          <w:sz w:val="24"/>
          <w:szCs w:val="24"/>
          <w:lang w:val="en-GB" w:eastAsia="zh-CN"/>
        </w:rPr>
        <w:t xml:space="preserve">which </w:t>
      </w:r>
      <w:r w:rsidR="00F8764E" w:rsidRPr="00B11C83">
        <w:rPr>
          <w:rFonts w:eastAsia="SimSun"/>
          <w:sz w:val="24"/>
          <w:szCs w:val="24"/>
          <w:lang w:val="en-GB" w:eastAsia="zh-CN"/>
        </w:rPr>
        <w:t xml:space="preserve">use languages and scripts of national minorities </w:t>
      </w:r>
      <w:r w:rsidRPr="00B11C83">
        <w:rPr>
          <w:rFonts w:eastAsia="SimSun"/>
          <w:sz w:val="24"/>
          <w:szCs w:val="24"/>
          <w:lang w:val="en-GB" w:eastAsia="zh-CN"/>
        </w:rPr>
        <w:t>in official</w:t>
      </w:r>
      <w:r w:rsidR="00F8764E">
        <w:rPr>
          <w:rFonts w:eastAsia="SimSun"/>
          <w:sz w:val="24"/>
          <w:szCs w:val="24"/>
          <w:lang w:val="en-GB" w:eastAsia="zh-CN"/>
        </w:rPr>
        <w:t xml:space="preserve"> use in their work</w:t>
      </w:r>
      <w:r w:rsidRPr="00B11C83">
        <w:rPr>
          <w:rFonts w:eastAsia="SimSun"/>
          <w:sz w:val="24"/>
          <w:szCs w:val="24"/>
          <w:lang w:val="en-GB" w:eastAsia="zh-CN"/>
        </w:rPr>
        <w:t xml:space="preserve">. At competitions, among other things, funds are awarded for the production of multilingual </w:t>
      </w:r>
      <w:r w:rsidR="007E7AF7">
        <w:rPr>
          <w:rFonts w:eastAsia="SimSun"/>
          <w:sz w:val="24"/>
          <w:szCs w:val="24"/>
          <w:lang w:val="en-GB" w:eastAsia="zh-CN"/>
        </w:rPr>
        <w:t>sign</w:t>
      </w:r>
      <w:r w:rsidRPr="00B11C83">
        <w:rPr>
          <w:rFonts w:eastAsia="SimSun"/>
          <w:sz w:val="24"/>
          <w:szCs w:val="24"/>
          <w:lang w:val="en-GB" w:eastAsia="zh-CN"/>
        </w:rPr>
        <w:t>boards with the names of authorities and organi</w:t>
      </w:r>
      <w:r w:rsidR="007E7AF7">
        <w:rPr>
          <w:rFonts w:eastAsia="SimSun"/>
          <w:sz w:val="24"/>
          <w:szCs w:val="24"/>
          <w:lang w:val="en-GB" w:eastAsia="zh-CN"/>
        </w:rPr>
        <w:t>s</w:t>
      </w:r>
      <w:r w:rsidRPr="00B11C83">
        <w:rPr>
          <w:rFonts w:eastAsia="SimSun"/>
          <w:sz w:val="24"/>
          <w:szCs w:val="24"/>
          <w:lang w:val="en-GB" w:eastAsia="zh-CN"/>
        </w:rPr>
        <w:t xml:space="preserve">ations, populated areas and street names, etc. Information about the funds allocated in these </w:t>
      </w:r>
      <w:r w:rsidR="00E151C7">
        <w:rPr>
          <w:rFonts w:eastAsia="SimSun"/>
          <w:sz w:val="24"/>
          <w:szCs w:val="24"/>
          <w:lang w:val="en-GB" w:eastAsia="zh-CN"/>
        </w:rPr>
        <w:t>competitions</w:t>
      </w:r>
      <w:r w:rsidRPr="00B11C83">
        <w:rPr>
          <w:rFonts w:eastAsia="SimSun"/>
          <w:sz w:val="24"/>
          <w:szCs w:val="24"/>
          <w:lang w:val="en-GB" w:eastAsia="zh-CN"/>
        </w:rPr>
        <w:t xml:space="preserve"> for the installation of </w:t>
      </w:r>
      <w:r w:rsidR="00755E2B">
        <w:rPr>
          <w:rFonts w:eastAsia="SimSun"/>
          <w:sz w:val="24"/>
          <w:szCs w:val="24"/>
          <w:lang w:val="en-GB" w:eastAsia="zh-CN"/>
        </w:rPr>
        <w:t>sign</w:t>
      </w:r>
      <w:r w:rsidRPr="00B11C83">
        <w:rPr>
          <w:rFonts w:eastAsia="SimSun"/>
          <w:sz w:val="24"/>
          <w:szCs w:val="24"/>
          <w:lang w:val="en-GB" w:eastAsia="zh-CN"/>
        </w:rPr>
        <w:t>boards with the names of authorities and organi</w:t>
      </w:r>
      <w:r w:rsidR="00755E2B">
        <w:rPr>
          <w:rFonts w:eastAsia="SimSun"/>
          <w:sz w:val="24"/>
          <w:szCs w:val="24"/>
          <w:lang w:val="en-GB" w:eastAsia="zh-CN"/>
        </w:rPr>
        <w:t>s</w:t>
      </w:r>
      <w:r w:rsidRPr="00B11C83">
        <w:rPr>
          <w:rFonts w:eastAsia="SimSun"/>
          <w:sz w:val="24"/>
          <w:szCs w:val="24"/>
          <w:lang w:val="en-GB" w:eastAsia="zh-CN"/>
        </w:rPr>
        <w:t xml:space="preserve">ations, populated areas and street names is </w:t>
      </w:r>
      <w:r w:rsidR="00755E2B">
        <w:rPr>
          <w:rFonts w:eastAsia="SimSun"/>
          <w:sz w:val="24"/>
          <w:szCs w:val="24"/>
          <w:lang w:val="en-GB" w:eastAsia="zh-CN"/>
        </w:rPr>
        <w:t>given</w:t>
      </w:r>
      <w:r w:rsidRPr="00B11C83">
        <w:rPr>
          <w:rFonts w:eastAsia="SimSun"/>
          <w:sz w:val="24"/>
          <w:szCs w:val="24"/>
          <w:lang w:val="en-GB" w:eastAsia="zh-CN"/>
        </w:rPr>
        <w:t xml:space="preserve"> in the table below.</w:t>
      </w:r>
    </w:p>
    <w:p w14:paraId="57CAFE96" w14:textId="77777777" w:rsidR="00FA2562" w:rsidRPr="00D62D04" w:rsidRDefault="00FA2562" w:rsidP="00FA2562">
      <w:pPr>
        <w:spacing w:after="0"/>
        <w:ind w:firstLine="720"/>
        <w:jc w:val="both"/>
        <w:rPr>
          <w:i/>
          <w:sz w:val="24"/>
          <w:szCs w:val="24"/>
          <w:highlight w:val="cyan"/>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693"/>
        <w:gridCol w:w="2847"/>
      </w:tblGrid>
      <w:tr w:rsidR="00FA2562" w:rsidRPr="00D62D04" w14:paraId="0568085F" w14:textId="77777777" w:rsidTr="0072368C">
        <w:trPr>
          <w:trHeight w:val="236"/>
        </w:trPr>
        <w:tc>
          <w:tcPr>
            <w:tcW w:w="8654" w:type="dxa"/>
            <w:gridSpan w:val="3"/>
            <w:shd w:val="clear" w:color="auto" w:fill="auto"/>
          </w:tcPr>
          <w:p w14:paraId="2195A858" w14:textId="77777777" w:rsidR="00FA2562" w:rsidRPr="00D62D04" w:rsidRDefault="00C6620A" w:rsidP="0072368C">
            <w:pPr>
              <w:spacing w:after="0" w:line="240" w:lineRule="auto"/>
              <w:jc w:val="center"/>
              <w:rPr>
                <w:sz w:val="20"/>
                <w:szCs w:val="20"/>
                <w:highlight w:val="cyan"/>
                <w:lang w:val="en-GB"/>
              </w:rPr>
            </w:pPr>
            <w:r w:rsidRPr="00C6620A">
              <w:rPr>
                <w:sz w:val="20"/>
                <w:szCs w:val="20"/>
                <w:lang w:val="en-GB"/>
              </w:rPr>
              <w:t>Costs of creating and installing multilingual boards</w:t>
            </w:r>
          </w:p>
        </w:tc>
      </w:tr>
      <w:tr w:rsidR="00FA2562" w:rsidRPr="00D62D04" w14:paraId="2FAB3848" w14:textId="77777777" w:rsidTr="0072368C">
        <w:trPr>
          <w:trHeight w:val="236"/>
        </w:trPr>
        <w:tc>
          <w:tcPr>
            <w:tcW w:w="3114" w:type="dxa"/>
            <w:shd w:val="clear" w:color="auto" w:fill="auto"/>
          </w:tcPr>
          <w:p w14:paraId="0315D42C" w14:textId="77777777" w:rsidR="00FA2562" w:rsidRPr="00C6620A" w:rsidRDefault="00C6620A" w:rsidP="0072368C">
            <w:pPr>
              <w:spacing w:after="0" w:line="240" w:lineRule="auto"/>
              <w:jc w:val="center"/>
              <w:rPr>
                <w:sz w:val="20"/>
                <w:szCs w:val="20"/>
                <w:lang w:val="en-GB"/>
              </w:rPr>
            </w:pPr>
            <w:r w:rsidRPr="00C6620A">
              <w:rPr>
                <w:sz w:val="20"/>
                <w:szCs w:val="20"/>
                <w:lang w:val="en-GB"/>
              </w:rPr>
              <w:t xml:space="preserve">Year </w:t>
            </w:r>
          </w:p>
        </w:tc>
        <w:tc>
          <w:tcPr>
            <w:tcW w:w="2693" w:type="dxa"/>
            <w:shd w:val="clear" w:color="auto" w:fill="auto"/>
          </w:tcPr>
          <w:p w14:paraId="77793D2D" w14:textId="77777777" w:rsidR="00FA2562" w:rsidRPr="00C6620A" w:rsidRDefault="00C6620A" w:rsidP="0072368C">
            <w:pPr>
              <w:spacing w:after="0" w:line="240" w:lineRule="auto"/>
              <w:jc w:val="center"/>
              <w:rPr>
                <w:sz w:val="20"/>
                <w:szCs w:val="20"/>
                <w:lang w:val="en-GB"/>
              </w:rPr>
            </w:pPr>
            <w:r w:rsidRPr="00C6620A">
              <w:rPr>
                <w:sz w:val="20"/>
                <w:szCs w:val="20"/>
                <w:lang w:val="en-GB"/>
              </w:rPr>
              <w:t>Number of supported projects</w:t>
            </w:r>
          </w:p>
        </w:tc>
        <w:tc>
          <w:tcPr>
            <w:tcW w:w="2847" w:type="dxa"/>
            <w:shd w:val="clear" w:color="auto" w:fill="auto"/>
          </w:tcPr>
          <w:p w14:paraId="012CD31A" w14:textId="77777777" w:rsidR="00FA2562" w:rsidRPr="00C6620A" w:rsidRDefault="00C6620A" w:rsidP="0072368C">
            <w:pPr>
              <w:spacing w:after="0" w:line="240" w:lineRule="auto"/>
              <w:jc w:val="center"/>
              <w:rPr>
                <w:sz w:val="20"/>
                <w:szCs w:val="20"/>
                <w:lang w:val="en-GB"/>
              </w:rPr>
            </w:pPr>
            <w:r w:rsidRPr="00C6620A">
              <w:rPr>
                <w:sz w:val="20"/>
                <w:szCs w:val="20"/>
                <w:lang w:val="en-GB"/>
              </w:rPr>
              <w:t>Amount of funds</w:t>
            </w:r>
          </w:p>
        </w:tc>
      </w:tr>
      <w:tr w:rsidR="00FA2562" w:rsidRPr="00C6620A" w14:paraId="007F90E3" w14:textId="77777777" w:rsidTr="0072368C">
        <w:trPr>
          <w:trHeight w:val="236"/>
        </w:trPr>
        <w:tc>
          <w:tcPr>
            <w:tcW w:w="3114" w:type="dxa"/>
            <w:shd w:val="clear" w:color="auto" w:fill="auto"/>
          </w:tcPr>
          <w:p w14:paraId="569ADF99" w14:textId="77777777" w:rsidR="00FA2562" w:rsidRPr="00C6620A" w:rsidRDefault="00C6620A" w:rsidP="0072368C">
            <w:pPr>
              <w:spacing w:after="0" w:line="240" w:lineRule="auto"/>
              <w:rPr>
                <w:sz w:val="20"/>
                <w:szCs w:val="20"/>
                <w:lang w:val="en-GB"/>
              </w:rPr>
            </w:pPr>
            <w:r w:rsidRPr="00C6620A">
              <w:rPr>
                <w:sz w:val="20"/>
                <w:szCs w:val="20"/>
                <w:lang w:val="en-GB"/>
              </w:rPr>
              <w:t>2017</w:t>
            </w:r>
          </w:p>
        </w:tc>
        <w:tc>
          <w:tcPr>
            <w:tcW w:w="2693" w:type="dxa"/>
            <w:shd w:val="clear" w:color="auto" w:fill="auto"/>
          </w:tcPr>
          <w:p w14:paraId="0E80D3D4" w14:textId="77777777" w:rsidR="00FA2562" w:rsidRPr="00C6620A" w:rsidRDefault="00FA2562" w:rsidP="0072368C">
            <w:pPr>
              <w:spacing w:after="0" w:line="240" w:lineRule="auto"/>
              <w:jc w:val="right"/>
              <w:rPr>
                <w:sz w:val="20"/>
                <w:szCs w:val="20"/>
                <w:lang w:val="en-GB"/>
              </w:rPr>
            </w:pPr>
            <w:r w:rsidRPr="00C6620A">
              <w:rPr>
                <w:sz w:val="20"/>
                <w:szCs w:val="20"/>
                <w:lang w:val="en-GB"/>
              </w:rPr>
              <w:t>57</w:t>
            </w:r>
          </w:p>
        </w:tc>
        <w:tc>
          <w:tcPr>
            <w:tcW w:w="2847" w:type="dxa"/>
            <w:shd w:val="clear" w:color="auto" w:fill="auto"/>
          </w:tcPr>
          <w:p w14:paraId="7F4B22B6" w14:textId="77777777" w:rsidR="00FA2562" w:rsidRPr="00C6620A" w:rsidRDefault="00FA2562" w:rsidP="00C6620A">
            <w:pPr>
              <w:spacing w:after="0" w:line="240" w:lineRule="auto"/>
              <w:jc w:val="right"/>
              <w:rPr>
                <w:sz w:val="20"/>
                <w:szCs w:val="20"/>
                <w:lang w:val="en-GB"/>
              </w:rPr>
            </w:pPr>
            <w:r w:rsidRPr="00C6620A">
              <w:rPr>
                <w:sz w:val="20"/>
                <w:szCs w:val="20"/>
                <w:lang w:val="en-GB"/>
              </w:rPr>
              <w:t>6</w:t>
            </w:r>
            <w:r w:rsidR="00C6620A" w:rsidRPr="00C6620A">
              <w:rPr>
                <w:sz w:val="20"/>
                <w:szCs w:val="20"/>
                <w:lang w:val="en-GB"/>
              </w:rPr>
              <w:t>,</w:t>
            </w:r>
            <w:r w:rsidRPr="00C6620A">
              <w:rPr>
                <w:sz w:val="20"/>
                <w:szCs w:val="20"/>
                <w:lang w:val="en-GB"/>
              </w:rPr>
              <w:t>834</w:t>
            </w:r>
            <w:r w:rsidR="00C6620A" w:rsidRPr="00C6620A">
              <w:rPr>
                <w:sz w:val="20"/>
                <w:szCs w:val="20"/>
                <w:lang w:val="en-GB"/>
              </w:rPr>
              <w:t>,</w:t>
            </w:r>
            <w:r w:rsidRPr="00C6620A">
              <w:rPr>
                <w:sz w:val="20"/>
                <w:szCs w:val="20"/>
                <w:lang w:val="en-GB"/>
              </w:rPr>
              <w:t>000</w:t>
            </w:r>
            <w:r w:rsidR="00C6620A" w:rsidRPr="00C6620A">
              <w:rPr>
                <w:sz w:val="20"/>
                <w:szCs w:val="20"/>
                <w:lang w:val="en-GB"/>
              </w:rPr>
              <w:t>.</w:t>
            </w:r>
            <w:r w:rsidRPr="00C6620A">
              <w:rPr>
                <w:sz w:val="20"/>
                <w:szCs w:val="20"/>
                <w:lang w:val="en-GB"/>
              </w:rPr>
              <w:t>00</w:t>
            </w:r>
          </w:p>
        </w:tc>
      </w:tr>
      <w:tr w:rsidR="00FA2562" w:rsidRPr="00C6620A" w14:paraId="74DDFE0B" w14:textId="77777777" w:rsidTr="0072368C">
        <w:trPr>
          <w:trHeight w:val="236"/>
        </w:trPr>
        <w:tc>
          <w:tcPr>
            <w:tcW w:w="3114" w:type="dxa"/>
            <w:shd w:val="clear" w:color="auto" w:fill="auto"/>
          </w:tcPr>
          <w:p w14:paraId="38E6162D" w14:textId="77777777" w:rsidR="00FA2562" w:rsidRPr="00C6620A" w:rsidRDefault="00C6620A" w:rsidP="0072368C">
            <w:pPr>
              <w:spacing w:after="0" w:line="240" w:lineRule="auto"/>
              <w:rPr>
                <w:sz w:val="20"/>
                <w:szCs w:val="20"/>
                <w:lang w:val="en-GB"/>
              </w:rPr>
            </w:pPr>
            <w:r w:rsidRPr="00C6620A">
              <w:rPr>
                <w:sz w:val="20"/>
                <w:szCs w:val="20"/>
                <w:lang w:val="en-GB"/>
              </w:rPr>
              <w:t>2018</w:t>
            </w:r>
          </w:p>
        </w:tc>
        <w:tc>
          <w:tcPr>
            <w:tcW w:w="2693" w:type="dxa"/>
            <w:shd w:val="clear" w:color="auto" w:fill="auto"/>
          </w:tcPr>
          <w:p w14:paraId="6DEDA1A6" w14:textId="77777777" w:rsidR="00FA2562" w:rsidRPr="00C6620A" w:rsidRDefault="00FA2562" w:rsidP="0072368C">
            <w:pPr>
              <w:spacing w:after="0" w:line="240" w:lineRule="auto"/>
              <w:jc w:val="right"/>
              <w:rPr>
                <w:sz w:val="20"/>
                <w:szCs w:val="20"/>
                <w:lang w:val="en-GB"/>
              </w:rPr>
            </w:pPr>
            <w:r w:rsidRPr="00C6620A">
              <w:rPr>
                <w:sz w:val="20"/>
                <w:szCs w:val="20"/>
                <w:lang w:val="en-GB"/>
              </w:rPr>
              <w:t>62</w:t>
            </w:r>
          </w:p>
        </w:tc>
        <w:tc>
          <w:tcPr>
            <w:tcW w:w="2847" w:type="dxa"/>
            <w:shd w:val="clear" w:color="auto" w:fill="auto"/>
          </w:tcPr>
          <w:p w14:paraId="505F58C9" w14:textId="77777777" w:rsidR="00FA2562" w:rsidRPr="00C6620A" w:rsidRDefault="00FA2562" w:rsidP="00C6620A">
            <w:pPr>
              <w:spacing w:after="0" w:line="240" w:lineRule="auto"/>
              <w:jc w:val="right"/>
              <w:rPr>
                <w:sz w:val="20"/>
                <w:szCs w:val="20"/>
                <w:lang w:val="en-GB"/>
              </w:rPr>
            </w:pPr>
            <w:r w:rsidRPr="00C6620A">
              <w:rPr>
                <w:sz w:val="20"/>
                <w:szCs w:val="20"/>
                <w:lang w:val="en-GB"/>
              </w:rPr>
              <w:t>7</w:t>
            </w:r>
            <w:r w:rsidR="00C6620A" w:rsidRPr="00C6620A">
              <w:rPr>
                <w:sz w:val="20"/>
                <w:szCs w:val="20"/>
                <w:lang w:val="en-GB"/>
              </w:rPr>
              <w:t>,</w:t>
            </w:r>
            <w:r w:rsidRPr="00C6620A">
              <w:rPr>
                <w:sz w:val="20"/>
                <w:szCs w:val="20"/>
                <w:lang w:val="en-GB"/>
              </w:rPr>
              <w:t>117</w:t>
            </w:r>
            <w:r w:rsidR="00C6620A" w:rsidRPr="00C6620A">
              <w:rPr>
                <w:sz w:val="20"/>
                <w:szCs w:val="20"/>
                <w:lang w:val="en-GB"/>
              </w:rPr>
              <w:t>,</w:t>
            </w:r>
            <w:r w:rsidRPr="00C6620A">
              <w:rPr>
                <w:sz w:val="20"/>
                <w:szCs w:val="20"/>
                <w:lang w:val="en-GB"/>
              </w:rPr>
              <w:t>000</w:t>
            </w:r>
            <w:r w:rsidR="00C6620A" w:rsidRPr="00C6620A">
              <w:rPr>
                <w:sz w:val="20"/>
                <w:szCs w:val="20"/>
                <w:lang w:val="en-GB"/>
              </w:rPr>
              <w:t>.</w:t>
            </w:r>
            <w:r w:rsidRPr="00C6620A">
              <w:rPr>
                <w:sz w:val="20"/>
                <w:szCs w:val="20"/>
                <w:lang w:val="en-GB"/>
              </w:rPr>
              <w:t>00</w:t>
            </w:r>
          </w:p>
        </w:tc>
      </w:tr>
      <w:tr w:rsidR="00FA2562" w:rsidRPr="00C6620A" w14:paraId="6A0F5B08" w14:textId="77777777" w:rsidTr="0072368C">
        <w:trPr>
          <w:trHeight w:val="236"/>
        </w:trPr>
        <w:tc>
          <w:tcPr>
            <w:tcW w:w="3114" w:type="dxa"/>
            <w:shd w:val="clear" w:color="auto" w:fill="auto"/>
          </w:tcPr>
          <w:p w14:paraId="0367E2D6" w14:textId="77777777" w:rsidR="00FA2562" w:rsidRPr="00C6620A" w:rsidRDefault="00C6620A" w:rsidP="0072368C">
            <w:pPr>
              <w:spacing w:after="0" w:line="240" w:lineRule="auto"/>
              <w:rPr>
                <w:sz w:val="20"/>
                <w:szCs w:val="20"/>
                <w:lang w:val="en-GB"/>
              </w:rPr>
            </w:pPr>
            <w:r w:rsidRPr="00C6620A">
              <w:rPr>
                <w:sz w:val="20"/>
                <w:szCs w:val="20"/>
                <w:lang w:val="en-GB"/>
              </w:rPr>
              <w:t>2019</w:t>
            </w:r>
          </w:p>
        </w:tc>
        <w:tc>
          <w:tcPr>
            <w:tcW w:w="2693" w:type="dxa"/>
            <w:shd w:val="clear" w:color="auto" w:fill="auto"/>
          </w:tcPr>
          <w:p w14:paraId="4375E284" w14:textId="77777777" w:rsidR="00FA2562" w:rsidRPr="00C6620A" w:rsidRDefault="00FA2562" w:rsidP="0072368C">
            <w:pPr>
              <w:spacing w:after="0" w:line="240" w:lineRule="auto"/>
              <w:jc w:val="right"/>
              <w:rPr>
                <w:sz w:val="20"/>
                <w:szCs w:val="20"/>
                <w:lang w:val="en-GB"/>
              </w:rPr>
            </w:pPr>
            <w:r w:rsidRPr="00C6620A">
              <w:rPr>
                <w:sz w:val="20"/>
                <w:szCs w:val="20"/>
                <w:lang w:val="en-GB"/>
              </w:rPr>
              <w:t>44</w:t>
            </w:r>
          </w:p>
        </w:tc>
        <w:tc>
          <w:tcPr>
            <w:tcW w:w="2847" w:type="dxa"/>
            <w:shd w:val="clear" w:color="auto" w:fill="auto"/>
          </w:tcPr>
          <w:p w14:paraId="1C7FB354" w14:textId="77777777" w:rsidR="00FA2562" w:rsidRPr="00C6620A" w:rsidRDefault="00FA2562" w:rsidP="00C6620A">
            <w:pPr>
              <w:spacing w:after="0" w:line="240" w:lineRule="auto"/>
              <w:jc w:val="right"/>
              <w:rPr>
                <w:sz w:val="20"/>
                <w:szCs w:val="20"/>
                <w:lang w:val="en-GB"/>
              </w:rPr>
            </w:pPr>
            <w:r w:rsidRPr="00C6620A">
              <w:rPr>
                <w:sz w:val="20"/>
                <w:szCs w:val="20"/>
                <w:lang w:val="en-GB"/>
              </w:rPr>
              <w:t>5</w:t>
            </w:r>
            <w:r w:rsidR="00C6620A" w:rsidRPr="00C6620A">
              <w:rPr>
                <w:sz w:val="20"/>
                <w:szCs w:val="20"/>
                <w:lang w:val="en-GB"/>
              </w:rPr>
              <w:t>,</w:t>
            </w:r>
            <w:r w:rsidRPr="00C6620A">
              <w:rPr>
                <w:sz w:val="20"/>
                <w:szCs w:val="20"/>
                <w:lang w:val="en-GB"/>
              </w:rPr>
              <w:t>573</w:t>
            </w:r>
            <w:r w:rsidR="00C6620A" w:rsidRPr="00C6620A">
              <w:rPr>
                <w:sz w:val="20"/>
                <w:szCs w:val="20"/>
                <w:lang w:val="en-GB"/>
              </w:rPr>
              <w:t>,</w:t>
            </w:r>
            <w:r w:rsidRPr="00C6620A">
              <w:rPr>
                <w:sz w:val="20"/>
                <w:szCs w:val="20"/>
                <w:lang w:val="en-GB"/>
              </w:rPr>
              <w:t>000</w:t>
            </w:r>
            <w:r w:rsidR="00C6620A" w:rsidRPr="00C6620A">
              <w:rPr>
                <w:sz w:val="20"/>
                <w:szCs w:val="20"/>
                <w:lang w:val="en-GB"/>
              </w:rPr>
              <w:t>.</w:t>
            </w:r>
            <w:r w:rsidRPr="00C6620A">
              <w:rPr>
                <w:sz w:val="20"/>
                <w:szCs w:val="20"/>
                <w:lang w:val="en-GB"/>
              </w:rPr>
              <w:t>00</w:t>
            </w:r>
          </w:p>
        </w:tc>
      </w:tr>
      <w:tr w:rsidR="00FA2562" w:rsidRPr="00C6620A" w14:paraId="475C5B83" w14:textId="77777777" w:rsidTr="0072368C">
        <w:trPr>
          <w:trHeight w:val="125"/>
        </w:trPr>
        <w:tc>
          <w:tcPr>
            <w:tcW w:w="3114" w:type="dxa"/>
            <w:shd w:val="clear" w:color="auto" w:fill="auto"/>
          </w:tcPr>
          <w:p w14:paraId="6A24209D" w14:textId="77777777" w:rsidR="00FA2562" w:rsidRPr="00C6620A" w:rsidRDefault="00C6620A" w:rsidP="0072368C">
            <w:pPr>
              <w:spacing w:after="0" w:line="240" w:lineRule="auto"/>
              <w:rPr>
                <w:sz w:val="20"/>
                <w:szCs w:val="20"/>
                <w:lang w:val="en-GB"/>
              </w:rPr>
            </w:pPr>
            <w:r w:rsidRPr="00C6620A">
              <w:rPr>
                <w:sz w:val="20"/>
                <w:szCs w:val="20"/>
                <w:lang w:val="en-GB"/>
              </w:rPr>
              <w:t>2020</w:t>
            </w:r>
          </w:p>
        </w:tc>
        <w:tc>
          <w:tcPr>
            <w:tcW w:w="2693" w:type="dxa"/>
            <w:shd w:val="clear" w:color="auto" w:fill="auto"/>
          </w:tcPr>
          <w:p w14:paraId="070417A8" w14:textId="77777777" w:rsidR="00FA2562" w:rsidRPr="00C6620A" w:rsidRDefault="00FA2562" w:rsidP="0072368C">
            <w:pPr>
              <w:spacing w:after="0" w:line="240" w:lineRule="auto"/>
              <w:jc w:val="right"/>
              <w:rPr>
                <w:sz w:val="20"/>
                <w:szCs w:val="20"/>
                <w:lang w:val="en-GB"/>
              </w:rPr>
            </w:pPr>
            <w:r w:rsidRPr="00C6620A">
              <w:rPr>
                <w:sz w:val="20"/>
                <w:szCs w:val="20"/>
                <w:lang w:val="en-GB"/>
              </w:rPr>
              <w:t>48</w:t>
            </w:r>
          </w:p>
        </w:tc>
        <w:tc>
          <w:tcPr>
            <w:tcW w:w="2847" w:type="dxa"/>
            <w:shd w:val="clear" w:color="auto" w:fill="auto"/>
          </w:tcPr>
          <w:p w14:paraId="430C3BBB" w14:textId="77777777" w:rsidR="00FA2562" w:rsidRPr="00C6620A" w:rsidRDefault="00FA2562" w:rsidP="00C6620A">
            <w:pPr>
              <w:spacing w:after="0" w:line="240" w:lineRule="auto"/>
              <w:jc w:val="right"/>
              <w:rPr>
                <w:sz w:val="20"/>
                <w:szCs w:val="20"/>
                <w:lang w:val="en-GB"/>
              </w:rPr>
            </w:pPr>
            <w:r w:rsidRPr="00C6620A">
              <w:rPr>
                <w:sz w:val="20"/>
                <w:szCs w:val="20"/>
                <w:lang w:val="en-GB"/>
              </w:rPr>
              <w:t>6</w:t>
            </w:r>
            <w:r w:rsidR="00C6620A" w:rsidRPr="00C6620A">
              <w:rPr>
                <w:sz w:val="20"/>
                <w:szCs w:val="20"/>
                <w:lang w:val="en-GB"/>
              </w:rPr>
              <w:t>,</w:t>
            </w:r>
            <w:r w:rsidRPr="00C6620A">
              <w:rPr>
                <w:sz w:val="20"/>
                <w:szCs w:val="20"/>
                <w:lang w:val="en-GB"/>
              </w:rPr>
              <w:t>937</w:t>
            </w:r>
            <w:r w:rsidR="00C6620A" w:rsidRPr="00C6620A">
              <w:rPr>
                <w:sz w:val="20"/>
                <w:szCs w:val="20"/>
                <w:lang w:val="en-GB"/>
              </w:rPr>
              <w:t>,</w:t>
            </w:r>
            <w:r w:rsidRPr="00C6620A">
              <w:rPr>
                <w:sz w:val="20"/>
                <w:szCs w:val="20"/>
                <w:lang w:val="en-GB"/>
              </w:rPr>
              <w:t>000</w:t>
            </w:r>
            <w:r w:rsidR="00C6620A" w:rsidRPr="00C6620A">
              <w:rPr>
                <w:sz w:val="20"/>
                <w:szCs w:val="20"/>
                <w:lang w:val="en-GB"/>
              </w:rPr>
              <w:t>.</w:t>
            </w:r>
            <w:r w:rsidRPr="00C6620A">
              <w:rPr>
                <w:sz w:val="20"/>
                <w:szCs w:val="20"/>
                <w:lang w:val="en-GB"/>
              </w:rPr>
              <w:t>00</w:t>
            </w:r>
          </w:p>
        </w:tc>
      </w:tr>
      <w:tr w:rsidR="00FA2562" w:rsidRPr="00D62D04" w14:paraId="38F14D14" w14:textId="77777777" w:rsidTr="0072368C">
        <w:trPr>
          <w:trHeight w:val="42"/>
        </w:trPr>
        <w:tc>
          <w:tcPr>
            <w:tcW w:w="3114" w:type="dxa"/>
            <w:shd w:val="clear" w:color="auto" w:fill="auto"/>
          </w:tcPr>
          <w:p w14:paraId="3D2F7D9E" w14:textId="77777777" w:rsidR="00FA2562" w:rsidRPr="00C6620A" w:rsidRDefault="00C6620A" w:rsidP="0072368C">
            <w:pPr>
              <w:spacing w:after="0" w:line="240" w:lineRule="auto"/>
              <w:rPr>
                <w:sz w:val="20"/>
                <w:szCs w:val="20"/>
                <w:lang w:val="en-GB"/>
              </w:rPr>
            </w:pPr>
            <w:r w:rsidRPr="00C6620A">
              <w:rPr>
                <w:sz w:val="20"/>
                <w:szCs w:val="20"/>
                <w:lang w:val="en-GB"/>
              </w:rPr>
              <w:t>2021</w:t>
            </w:r>
          </w:p>
        </w:tc>
        <w:tc>
          <w:tcPr>
            <w:tcW w:w="2693" w:type="dxa"/>
            <w:shd w:val="clear" w:color="auto" w:fill="auto"/>
          </w:tcPr>
          <w:p w14:paraId="61F2E5BF" w14:textId="77777777" w:rsidR="00FA2562" w:rsidRPr="00C6620A" w:rsidRDefault="00FA2562" w:rsidP="0072368C">
            <w:pPr>
              <w:spacing w:after="0" w:line="240" w:lineRule="auto"/>
              <w:jc w:val="right"/>
              <w:rPr>
                <w:sz w:val="20"/>
                <w:szCs w:val="20"/>
                <w:lang w:val="en-GB"/>
              </w:rPr>
            </w:pPr>
            <w:r w:rsidRPr="00C6620A">
              <w:rPr>
                <w:sz w:val="20"/>
                <w:szCs w:val="20"/>
                <w:lang w:val="en-GB"/>
              </w:rPr>
              <w:t>62</w:t>
            </w:r>
          </w:p>
        </w:tc>
        <w:tc>
          <w:tcPr>
            <w:tcW w:w="2847" w:type="dxa"/>
            <w:shd w:val="clear" w:color="auto" w:fill="auto"/>
          </w:tcPr>
          <w:p w14:paraId="3E64B7F0" w14:textId="77777777" w:rsidR="00FA2562" w:rsidRPr="00C6620A" w:rsidRDefault="00FA2562" w:rsidP="00C6620A">
            <w:pPr>
              <w:spacing w:after="0" w:line="240" w:lineRule="auto"/>
              <w:jc w:val="right"/>
              <w:rPr>
                <w:sz w:val="20"/>
                <w:szCs w:val="20"/>
                <w:lang w:val="en-GB"/>
              </w:rPr>
            </w:pPr>
            <w:r w:rsidRPr="00C6620A">
              <w:rPr>
                <w:sz w:val="20"/>
                <w:szCs w:val="20"/>
                <w:lang w:val="en-GB"/>
              </w:rPr>
              <w:t>5</w:t>
            </w:r>
            <w:r w:rsidR="00C6620A" w:rsidRPr="00C6620A">
              <w:rPr>
                <w:sz w:val="20"/>
                <w:szCs w:val="20"/>
                <w:lang w:val="en-GB"/>
              </w:rPr>
              <w:t>,</w:t>
            </w:r>
            <w:r w:rsidRPr="00C6620A">
              <w:rPr>
                <w:sz w:val="20"/>
                <w:szCs w:val="20"/>
                <w:lang w:val="en-GB"/>
              </w:rPr>
              <w:t>019</w:t>
            </w:r>
            <w:r w:rsidR="00C6620A" w:rsidRPr="00C6620A">
              <w:rPr>
                <w:sz w:val="20"/>
                <w:szCs w:val="20"/>
                <w:lang w:val="en-GB"/>
              </w:rPr>
              <w:t>,</w:t>
            </w:r>
            <w:r w:rsidRPr="00C6620A">
              <w:rPr>
                <w:sz w:val="20"/>
                <w:szCs w:val="20"/>
                <w:lang w:val="en-GB"/>
              </w:rPr>
              <w:t>500</w:t>
            </w:r>
            <w:r w:rsidR="00C6620A" w:rsidRPr="00C6620A">
              <w:rPr>
                <w:sz w:val="20"/>
                <w:szCs w:val="20"/>
                <w:lang w:val="en-GB"/>
              </w:rPr>
              <w:t>.</w:t>
            </w:r>
            <w:r w:rsidRPr="00C6620A">
              <w:rPr>
                <w:sz w:val="20"/>
                <w:szCs w:val="20"/>
                <w:lang w:val="en-GB"/>
              </w:rPr>
              <w:t>00</w:t>
            </w:r>
          </w:p>
        </w:tc>
      </w:tr>
    </w:tbl>
    <w:p w14:paraId="1C26B868" w14:textId="77777777" w:rsidR="00FA2562" w:rsidRPr="00D62D04" w:rsidRDefault="00FA2562" w:rsidP="00AD7EA3">
      <w:pPr>
        <w:spacing w:after="0"/>
        <w:jc w:val="both"/>
        <w:rPr>
          <w:sz w:val="24"/>
          <w:szCs w:val="24"/>
          <w:highlight w:val="cyan"/>
          <w:lang w:val="en-GB"/>
        </w:rPr>
      </w:pPr>
    </w:p>
    <w:p w14:paraId="147D33D8" w14:textId="77777777" w:rsidR="004375A2" w:rsidRPr="00A946E3" w:rsidRDefault="00A946E3" w:rsidP="00F333CD">
      <w:pPr>
        <w:pStyle w:val="Heading2"/>
        <w:jc w:val="center"/>
        <w:rPr>
          <w:rFonts w:ascii="Times New Roman" w:hAnsi="Times New Roman" w:cs="Times New Roman"/>
          <w:b/>
          <w:sz w:val="24"/>
          <w:szCs w:val="24"/>
          <w:lang w:val="en-GB"/>
        </w:rPr>
      </w:pPr>
      <w:bookmarkStart w:id="28" w:name="_Toc112932729"/>
      <w:r w:rsidRPr="00A946E3">
        <w:rPr>
          <w:rFonts w:ascii="Times New Roman" w:hAnsi="Times New Roman" w:cs="Times New Roman"/>
          <w:b/>
          <w:color w:val="auto"/>
          <w:sz w:val="24"/>
          <w:szCs w:val="24"/>
          <w:lang w:val="en-GB"/>
        </w:rPr>
        <w:t>Article 12 of the Framework Convention</w:t>
      </w:r>
      <w:bookmarkEnd w:id="28"/>
      <w:r w:rsidR="004375A2" w:rsidRPr="00A946E3">
        <w:rPr>
          <w:rFonts w:ascii="Times New Roman" w:hAnsi="Times New Roman" w:cs="Times New Roman"/>
          <w:b/>
          <w:color w:val="auto"/>
          <w:sz w:val="24"/>
          <w:szCs w:val="24"/>
          <w:lang w:val="en-GB"/>
        </w:rPr>
        <w:t xml:space="preserve"> </w:t>
      </w:r>
    </w:p>
    <w:p w14:paraId="223A9294" w14:textId="77777777" w:rsidR="004375A2" w:rsidRPr="00D62D04" w:rsidRDefault="00A946E3" w:rsidP="00F333CD">
      <w:pPr>
        <w:pStyle w:val="Heading3"/>
        <w:jc w:val="center"/>
        <w:rPr>
          <w:rFonts w:ascii="Times New Roman" w:hAnsi="Times New Roman" w:cs="Times New Roman"/>
          <w:b/>
          <w:highlight w:val="cyan"/>
          <w:lang w:val="en-GB"/>
        </w:rPr>
      </w:pPr>
      <w:bookmarkStart w:id="29" w:name="_Toc112932730"/>
      <w:r w:rsidRPr="00A946E3">
        <w:rPr>
          <w:rFonts w:ascii="Times New Roman" w:hAnsi="Times New Roman" w:cs="Times New Roman"/>
          <w:b/>
          <w:color w:val="auto"/>
          <w:lang w:val="en-GB"/>
        </w:rPr>
        <w:t>Promotion of multicultural and intercultural perspectives in education</w:t>
      </w:r>
      <w:bookmarkEnd w:id="29"/>
    </w:p>
    <w:p w14:paraId="3C15F894" w14:textId="77777777" w:rsidR="004375A2" w:rsidRPr="00D62D04" w:rsidRDefault="004375A2" w:rsidP="004375A2">
      <w:pPr>
        <w:spacing w:after="0"/>
        <w:jc w:val="both"/>
        <w:rPr>
          <w:i/>
          <w:sz w:val="24"/>
          <w:szCs w:val="24"/>
          <w:highlight w:val="cyan"/>
          <w:lang w:val="en-GB"/>
        </w:rPr>
      </w:pPr>
    </w:p>
    <w:p w14:paraId="31EE242D" w14:textId="77777777" w:rsidR="005E48D3" w:rsidRDefault="004375A2" w:rsidP="004375A2">
      <w:pPr>
        <w:spacing w:after="0"/>
        <w:jc w:val="both"/>
        <w:rPr>
          <w:i/>
          <w:sz w:val="24"/>
          <w:szCs w:val="24"/>
          <w:lang w:val="en-GB"/>
        </w:rPr>
      </w:pPr>
      <w:r w:rsidRPr="005E48D3">
        <w:rPr>
          <w:i/>
          <w:sz w:val="24"/>
          <w:szCs w:val="24"/>
          <w:lang w:val="en-GB"/>
        </w:rPr>
        <w:t xml:space="preserve">94. </w:t>
      </w:r>
      <w:r w:rsidR="005E48D3" w:rsidRPr="005E48D3">
        <w:rPr>
          <w:i/>
          <w:sz w:val="24"/>
          <w:szCs w:val="24"/>
          <w:lang w:val="en-GB"/>
        </w:rPr>
        <w:t xml:space="preserve">The Advisory Committee calls on the authorities to significantly increase their efforts to promote a multicultural and intercultural perspective in education, including the development </w:t>
      </w:r>
      <w:r w:rsidR="005E48D3" w:rsidRPr="005E48D3">
        <w:rPr>
          <w:i/>
          <w:sz w:val="24"/>
          <w:szCs w:val="24"/>
          <w:lang w:val="en-GB"/>
        </w:rPr>
        <w:lastRenderedPageBreak/>
        <w:t>of exchange programmes between communities as soon as possible and no later than the deadline for the fifth national report, at every level of education.</w:t>
      </w:r>
    </w:p>
    <w:p w14:paraId="17EEA718" w14:textId="77777777" w:rsidR="00177943" w:rsidRPr="00D62D04" w:rsidRDefault="00177943" w:rsidP="004375A2">
      <w:pPr>
        <w:spacing w:after="0"/>
        <w:jc w:val="both"/>
        <w:rPr>
          <w:i/>
          <w:sz w:val="24"/>
          <w:szCs w:val="24"/>
          <w:highlight w:val="cyan"/>
          <w:lang w:val="en-GB"/>
        </w:rPr>
      </w:pPr>
    </w:p>
    <w:p w14:paraId="398D07E7" w14:textId="77777777" w:rsidR="005E48D3" w:rsidRPr="005E48D3" w:rsidRDefault="00177943" w:rsidP="005E48D3">
      <w:pPr>
        <w:spacing w:after="0"/>
        <w:jc w:val="both"/>
        <w:rPr>
          <w:i/>
          <w:sz w:val="24"/>
          <w:szCs w:val="24"/>
          <w:lang w:val="en-GB"/>
        </w:rPr>
      </w:pPr>
      <w:r w:rsidRPr="005E48D3">
        <w:rPr>
          <w:i/>
          <w:sz w:val="24"/>
          <w:szCs w:val="24"/>
          <w:lang w:val="en-GB"/>
        </w:rPr>
        <w:t>95.</w:t>
      </w:r>
      <w:r w:rsidR="005E48D3" w:rsidRPr="005E48D3">
        <w:t xml:space="preserve"> </w:t>
      </w:r>
      <w:r w:rsidR="005E48D3" w:rsidRPr="005E48D3">
        <w:rPr>
          <w:i/>
          <w:sz w:val="24"/>
          <w:szCs w:val="24"/>
          <w:lang w:val="en-GB"/>
        </w:rPr>
        <w:t>The Advisory Committee calls on the authorities to ensure, as soon as possible and at the latest before the deadline for the fifth national report, that through a process that includes the effective participation of members of national minorities, curricula and teaching material in History promote respect for all groups in society and provide broad knowledge about minorities constituting an integral part of Serbian society, as well as to ensure that multiple perspectives are encouraged in historical and contemporary research.</w:t>
      </w:r>
    </w:p>
    <w:p w14:paraId="72750DFE" w14:textId="77777777" w:rsidR="005E48D3" w:rsidRPr="005E48D3" w:rsidRDefault="005E48D3" w:rsidP="005E48D3">
      <w:pPr>
        <w:spacing w:after="0"/>
        <w:jc w:val="both"/>
        <w:rPr>
          <w:i/>
          <w:sz w:val="24"/>
          <w:szCs w:val="24"/>
          <w:lang w:val="en-GB"/>
        </w:rPr>
      </w:pPr>
    </w:p>
    <w:p w14:paraId="0FA6CAC1" w14:textId="77777777" w:rsidR="005E48D3" w:rsidRDefault="005E48D3" w:rsidP="005E48D3">
      <w:pPr>
        <w:spacing w:after="0"/>
        <w:jc w:val="both"/>
        <w:rPr>
          <w:i/>
          <w:sz w:val="24"/>
          <w:szCs w:val="24"/>
          <w:lang w:val="en-GB"/>
        </w:rPr>
      </w:pPr>
      <w:r w:rsidRPr="005E48D3">
        <w:rPr>
          <w:i/>
          <w:sz w:val="24"/>
          <w:szCs w:val="24"/>
          <w:lang w:val="en-GB"/>
        </w:rPr>
        <w:t>96. The Advisory Committee encourages the authorities to promote possible models of bilingual or multilingual education in consultation with representatives of national minorities.</w:t>
      </w:r>
    </w:p>
    <w:p w14:paraId="0CBCFCCC" w14:textId="77777777" w:rsidR="00D41A11" w:rsidRPr="00D62D04" w:rsidRDefault="00D41A11" w:rsidP="004375A2">
      <w:pPr>
        <w:spacing w:after="0"/>
        <w:jc w:val="both"/>
        <w:rPr>
          <w:i/>
          <w:sz w:val="24"/>
          <w:szCs w:val="24"/>
          <w:highlight w:val="cyan"/>
          <w:lang w:val="en-GB"/>
        </w:rPr>
      </w:pPr>
    </w:p>
    <w:p w14:paraId="493AD7CE" w14:textId="3CEDA471" w:rsidR="00AD7EA3" w:rsidRDefault="008B23D1" w:rsidP="008B23D1">
      <w:pPr>
        <w:spacing w:after="0"/>
        <w:ind w:firstLine="720"/>
        <w:jc w:val="both"/>
        <w:rPr>
          <w:sz w:val="24"/>
          <w:szCs w:val="24"/>
          <w:lang w:val="en-GB"/>
        </w:rPr>
      </w:pPr>
      <w:r w:rsidRPr="008B23D1">
        <w:rPr>
          <w:sz w:val="24"/>
          <w:szCs w:val="24"/>
          <w:lang w:val="en-GB"/>
        </w:rPr>
        <w:t xml:space="preserve">The </w:t>
      </w:r>
      <w:r>
        <w:rPr>
          <w:sz w:val="24"/>
          <w:szCs w:val="24"/>
          <w:lang w:val="en-GB"/>
        </w:rPr>
        <w:t>response</w:t>
      </w:r>
      <w:r w:rsidRPr="008B23D1">
        <w:rPr>
          <w:sz w:val="24"/>
          <w:szCs w:val="24"/>
          <w:lang w:val="en-GB"/>
        </w:rPr>
        <w:t xml:space="preserve">s to these recommendations are contained in the </w:t>
      </w:r>
      <w:r>
        <w:rPr>
          <w:sz w:val="24"/>
          <w:szCs w:val="24"/>
          <w:lang w:val="en-GB"/>
        </w:rPr>
        <w:t>response</w:t>
      </w:r>
      <w:r w:rsidRPr="008B23D1">
        <w:rPr>
          <w:sz w:val="24"/>
          <w:szCs w:val="24"/>
          <w:lang w:val="en-GB"/>
        </w:rPr>
        <w:t xml:space="preserve"> to recommendation 4 </w:t>
      </w:r>
      <w:r w:rsidR="008428AC">
        <w:rPr>
          <w:sz w:val="24"/>
          <w:szCs w:val="24"/>
          <w:lang w:val="en-GB"/>
        </w:rPr>
        <w:t>of</w:t>
      </w:r>
      <w:r w:rsidRPr="008B23D1">
        <w:rPr>
          <w:sz w:val="24"/>
          <w:szCs w:val="24"/>
          <w:lang w:val="en-GB"/>
        </w:rPr>
        <w:t xml:space="preserve"> the </w:t>
      </w:r>
      <w:r w:rsidR="00AC33C4">
        <w:rPr>
          <w:sz w:val="24"/>
          <w:szCs w:val="24"/>
          <w:lang w:val="en-GB"/>
        </w:rPr>
        <w:t>Committee of Ministers Resolution</w:t>
      </w:r>
      <w:r w:rsidRPr="008B23D1">
        <w:rPr>
          <w:sz w:val="24"/>
          <w:szCs w:val="24"/>
          <w:lang w:val="en-GB"/>
        </w:rPr>
        <w:t>.</w:t>
      </w:r>
    </w:p>
    <w:p w14:paraId="7175CE6D" w14:textId="77777777" w:rsidR="008B23D1" w:rsidRPr="00D62D04" w:rsidRDefault="008B23D1" w:rsidP="00AD7EA3">
      <w:pPr>
        <w:spacing w:after="0"/>
        <w:jc w:val="both"/>
        <w:rPr>
          <w:sz w:val="24"/>
          <w:szCs w:val="24"/>
          <w:highlight w:val="cyan"/>
          <w:lang w:val="en-GB"/>
        </w:rPr>
      </w:pPr>
    </w:p>
    <w:p w14:paraId="4F7D2E92" w14:textId="77777777" w:rsidR="00177943" w:rsidRPr="00D62D04" w:rsidRDefault="00167A62" w:rsidP="00F333CD">
      <w:pPr>
        <w:pStyle w:val="Heading3"/>
        <w:jc w:val="center"/>
        <w:rPr>
          <w:rFonts w:ascii="Times New Roman" w:hAnsi="Times New Roman" w:cs="Times New Roman"/>
          <w:b/>
          <w:highlight w:val="cyan"/>
          <w:lang w:val="en-GB"/>
        </w:rPr>
      </w:pPr>
      <w:bookmarkStart w:id="30" w:name="_Toc112932731"/>
      <w:r w:rsidRPr="00167A62">
        <w:rPr>
          <w:rFonts w:ascii="Times New Roman" w:hAnsi="Times New Roman" w:cs="Times New Roman"/>
          <w:b/>
          <w:color w:val="auto"/>
          <w:lang w:val="en-GB"/>
        </w:rPr>
        <w:t>Access to education for Roma</w:t>
      </w:r>
      <w:bookmarkEnd w:id="30"/>
    </w:p>
    <w:p w14:paraId="1070845D" w14:textId="77777777" w:rsidR="00177943" w:rsidRPr="00D62D04" w:rsidRDefault="00177943" w:rsidP="00177943">
      <w:pPr>
        <w:spacing w:after="0"/>
        <w:jc w:val="both"/>
        <w:rPr>
          <w:b/>
          <w:i/>
          <w:sz w:val="24"/>
          <w:szCs w:val="24"/>
          <w:highlight w:val="cyan"/>
          <w:lang w:val="en-GB"/>
        </w:rPr>
      </w:pPr>
    </w:p>
    <w:p w14:paraId="479297C9" w14:textId="77777777" w:rsidR="005A6B45" w:rsidRPr="005A6B45" w:rsidRDefault="00177943" w:rsidP="005A6B45">
      <w:pPr>
        <w:spacing w:after="0"/>
        <w:jc w:val="both"/>
        <w:rPr>
          <w:i/>
          <w:sz w:val="24"/>
          <w:szCs w:val="24"/>
          <w:lang w:val="en-GB"/>
        </w:rPr>
      </w:pPr>
      <w:r w:rsidRPr="005A6B45">
        <w:rPr>
          <w:i/>
          <w:sz w:val="24"/>
          <w:szCs w:val="24"/>
          <w:lang w:val="en-GB"/>
        </w:rPr>
        <w:t xml:space="preserve">99. </w:t>
      </w:r>
      <w:r w:rsidR="005A6B45" w:rsidRPr="005A6B45">
        <w:rPr>
          <w:i/>
          <w:sz w:val="24"/>
          <w:szCs w:val="24"/>
          <w:lang w:val="en-GB"/>
        </w:rPr>
        <w:t>The Advisory Committee appeals to the authorities to intensify their efforts to eliminate all forms of segregation of Roma children and to include them in regular education. The situation at all levels should be carefully monitored in order to avoid any segregation based on ethnicity.</w:t>
      </w:r>
    </w:p>
    <w:p w14:paraId="5DD5D61B" w14:textId="77777777" w:rsidR="005A6B45" w:rsidRPr="005A6B45" w:rsidRDefault="005A6B45" w:rsidP="005A6B45">
      <w:pPr>
        <w:spacing w:after="0"/>
        <w:jc w:val="both"/>
        <w:rPr>
          <w:i/>
          <w:sz w:val="24"/>
          <w:szCs w:val="24"/>
          <w:lang w:val="en-GB"/>
        </w:rPr>
      </w:pPr>
    </w:p>
    <w:p w14:paraId="6F83ACB6" w14:textId="77777777" w:rsidR="005A6B45" w:rsidRDefault="005A6B45" w:rsidP="005A6B45">
      <w:pPr>
        <w:spacing w:after="0"/>
        <w:jc w:val="both"/>
        <w:rPr>
          <w:i/>
          <w:sz w:val="24"/>
          <w:szCs w:val="24"/>
          <w:lang w:val="en-GB"/>
        </w:rPr>
      </w:pPr>
      <w:r w:rsidRPr="005A6B45">
        <w:rPr>
          <w:i/>
          <w:sz w:val="24"/>
          <w:szCs w:val="24"/>
          <w:lang w:val="en-GB"/>
        </w:rPr>
        <w:t>100. The Advisory Committee calls on the authorities to redouble their efforts to combat absenteeism and early school leaving among Roma children. Such efforts should include the expansion and development of the long-term use of pedagogical assistants who can help Roma children and their families contact and integrate into the education system.</w:t>
      </w:r>
    </w:p>
    <w:p w14:paraId="2985B954" w14:textId="77777777" w:rsidR="00177943" w:rsidRPr="00D62D04" w:rsidRDefault="00177943" w:rsidP="00177943">
      <w:pPr>
        <w:spacing w:after="0"/>
        <w:jc w:val="both"/>
        <w:rPr>
          <w:i/>
          <w:sz w:val="24"/>
          <w:szCs w:val="24"/>
          <w:highlight w:val="cyan"/>
          <w:lang w:val="en-GB"/>
        </w:rPr>
      </w:pPr>
    </w:p>
    <w:p w14:paraId="0A23A50F" w14:textId="77777777" w:rsidR="00177943" w:rsidRPr="00D62D04" w:rsidRDefault="00177943" w:rsidP="00177943">
      <w:pPr>
        <w:spacing w:after="0"/>
        <w:jc w:val="both"/>
        <w:rPr>
          <w:i/>
          <w:sz w:val="24"/>
          <w:szCs w:val="24"/>
          <w:highlight w:val="cyan"/>
          <w:lang w:val="en-GB"/>
        </w:rPr>
      </w:pPr>
    </w:p>
    <w:p w14:paraId="147FE640" w14:textId="01F36FB1" w:rsidR="008428AC" w:rsidRDefault="008428AC" w:rsidP="008428AC">
      <w:pPr>
        <w:spacing w:after="0"/>
        <w:ind w:firstLine="720"/>
        <w:jc w:val="both"/>
        <w:rPr>
          <w:sz w:val="24"/>
          <w:szCs w:val="24"/>
          <w:lang w:val="en-GB"/>
        </w:rPr>
      </w:pPr>
      <w:r w:rsidRPr="008B23D1">
        <w:rPr>
          <w:sz w:val="24"/>
          <w:szCs w:val="24"/>
          <w:lang w:val="en-GB"/>
        </w:rPr>
        <w:t xml:space="preserve">The </w:t>
      </w:r>
      <w:r>
        <w:rPr>
          <w:sz w:val="24"/>
          <w:szCs w:val="24"/>
          <w:lang w:val="en-GB"/>
        </w:rPr>
        <w:t>response</w:t>
      </w:r>
      <w:r w:rsidRPr="008B23D1">
        <w:rPr>
          <w:sz w:val="24"/>
          <w:szCs w:val="24"/>
          <w:lang w:val="en-GB"/>
        </w:rPr>
        <w:t xml:space="preserve">s to these recommendations are contained in the </w:t>
      </w:r>
      <w:r>
        <w:rPr>
          <w:sz w:val="24"/>
          <w:szCs w:val="24"/>
          <w:lang w:val="en-GB"/>
        </w:rPr>
        <w:t>response</w:t>
      </w:r>
      <w:r w:rsidRPr="008B23D1">
        <w:rPr>
          <w:sz w:val="24"/>
          <w:szCs w:val="24"/>
          <w:lang w:val="en-GB"/>
        </w:rPr>
        <w:t xml:space="preserve"> to recommendation </w:t>
      </w:r>
      <w:r>
        <w:rPr>
          <w:sz w:val="24"/>
          <w:szCs w:val="24"/>
          <w:lang w:val="en-GB"/>
        </w:rPr>
        <w:t>1</w:t>
      </w:r>
      <w:r w:rsidRPr="008B23D1">
        <w:rPr>
          <w:sz w:val="24"/>
          <w:szCs w:val="24"/>
          <w:lang w:val="en-GB"/>
        </w:rPr>
        <w:t xml:space="preserve"> </w:t>
      </w:r>
      <w:r>
        <w:rPr>
          <w:sz w:val="24"/>
          <w:szCs w:val="24"/>
          <w:lang w:val="en-GB"/>
        </w:rPr>
        <w:t>of</w:t>
      </w:r>
      <w:r w:rsidRPr="008B23D1">
        <w:rPr>
          <w:sz w:val="24"/>
          <w:szCs w:val="24"/>
          <w:lang w:val="en-GB"/>
        </w:rPr>
        <w:t xml:space="preserve"> the </w:t>
      </w:r>
      <w:r w:rsidR="00AC33C4">
        <w:rPr>
          <w:sz w:val="24"/>
          <w:szCs w:val="24"/>
          <w:lang w:val="en-GB"/>
        </w:rPr>
        <w:t>Committee of Ministers Resolution</w:t>
      </w:r>
      <w:r w:rsidRPr="008B23D1">
        <w:rPr>
          <w:sz w:val="24"/>
          <w:szCs w:val="24"/>
          <w:lang w:val="en-GB"/>
        </w:rPr>
        <w:t>.</w:t>
      </w:r>
    </w:p>
    <w:p w14:paraId="09B0E8C4" w14:textId="77777777" w:rsidR="00645DDF" w:rsidRPr="00645DDF" w:rsidRDefault="00645DDF" w:rsidP="00645DDF">
      <w:pPr>
        <w:spacing w:after="0"/>
        <w:ind w:firstLine="720"/>
        <w:jc w:val="both"/>
        <w:rPr>
          <w:sz w:val="24"/>
          <w:szCs w:val="24"/>
          <w:lang w:val="en-GB"/>
        </w:rPr>
      </w:pPr>
      <w:r>
        <w:rPr>
          <w:sz w:val="24"/>
          <w:szCs w:val="24"/>
          <w:lang w:val="en-GB"/>
        </w:rPr>
        <w:t>In regard with</w:t>
      </w:r>
      <w:r w:rsidRPr="00645DDF">
        <w:rPr>
          <w:sz w:val="24"/>
          <w:szCs w:val="24"/>
          <w:lang w:val="en-GB"/>
        </w:rPr>
        <w:t xml:space="preserve"> the Advisory Committee's finding that </w:t>
      </w:r>
      <w:r w:rsidRPr="00645DDF">
        <w:rPr>
          <w:i/>
          <w:sz w:val="24"/>
          <w:szCs w:val="24"/>
          <w:lang w:val="en-GB"/>
        </w:rPr>
        <w:t>early and forced marriages remain an insufficiently and inadequately resolved issue, according to civil society reports, which makes it even more difficult for affected students to access education</w:t>
      </w:r>
      <w:r w:rsidRPr="00645DDF">
        <w:rPr>
          <w:sz w:val="24"/>
          <w:szCs w:val="24"/>
          <w:lang w:val="en-GB"/>
        </w:rPr>
        <w:t>, we highlight the following.</w:t>
      </w:r>
    </w:p>
    <w:p w14:paraId="62DE4D91" w14:textId="77777777" w:rsidR="00645DDF" w:rsidRDefault="00645DDF" w:rsidP="00645DDF">
      <w:pPr>
        <w:spacing w:after="0"/>
        <w:ind w:firstLine="720"/>
        <w:jc w:val="both"/>
        <w:rPr>
          <w:sz w:val="24"/>
          <w:szCs w:val="24"/>
          <w:lang w:val="en-GB"/>
        </w:rPr>
      </w:pPr>
      <w:r w:rsidRPr="00645DDF">
        <w:rPr>
          <w:sz w:val="24"/>
          <w:szCs w:val="24"/>
          <w:lang w:val="en-GB"/>
        </w:rPr>
        <w:t>In the Republic of Serbia, forced child marriages are prohibited by law and constitute a criminal offen</w:t>
      </w:r>
      <w:r w:rsidR="00C00869">
        <w:rPr>
          <w:sz w:val="24"/>
          <w:szCs w:val="24"/>
          <w:lang w:val="en-GB"/>
        </w:rPr>
        <w:t>c</w:t>
      </w:r>
      <w:r w:rsidRPr="00645DDF">
        <w:rPr>
          <w:sz w:val="24"/>
          <w:szCs w:val="24"/>
          <w:lang w:val="en-GB"/>
        </w:rPr>
        <w:t>e. The Family Law explicitly states that marriage can only be concluded based on the free consent of the future spouses (Article 3), that it cannot be concluded by a person who has not reached the age of 18, and that the court can, for justified reasons, allow the conclusion of marriage to a minor who has reached the age of 16 and has reached the physical and mental maturity required for the exercise of rights and duties in marriage (Article 23), i.e. that the marriage is voidable if it was entered into by a minor without the permission of the court (Article 37).</w:t>
      </w:r>
    </w:p>
    <w:p w14:paraId="05528D85" w14:textId="77777777" w:rsidR="00E77937" w:rsidRPr="00E77937" w:rsidRDefault="00E77937" w:rsidP="00E77937">
      <w:pPr>
        <w:spacing w:after="0"/>
        <w:ind w:firstLine="720"/>
        <w:jc w:val="both"/>
        <w:rPr>
          <w:rFonts w:eastAsia="Times New Roman"/>
          <w:sz w:val="24"/>
          <w:szCs w:val="24"/>
          <w:lang w:val="en-GB" w:eastAsia="sr-Latn-RS"/>
        </w:rPr>
      </w:pPr>
      <w:r w:rsidRPr="00E77937">
        <w:rPr>
          <w:rFonts w:eastAsia="Times New Roman"/>
          <w:sz w:val="24"/>
          <w:szCs w:val="24"/>
          <w:lang w:val="en-GB" w:eastAsia="sr-Latn-RS"/>
        </w:rPr>
        <w:lastRenderedPageBreak/>
        <w:t xml:space="preserve">The Criminal Code prescribes sanctions for violating the guaranteed rights of the child, that is, for the practice of child marriage. Thus, in Article 190, </w:t>
      </w:r>
      <w:r>
        <w:rPr>
          <w:rFonts w:eastAsia="Times New Roman"/>
          <w:sz w:val="24"/>
          <w:szCs w:val="24"/>
          <w:lang w:val="en-GB" w:eastAsia="sr-Latn-RS"/>
        </w:rPr>
        <w:t>P</w:t>
      </w:r>
      <w:r w:rsidRPr="00E77937">
        <w:rPr>
          <w:rFonts w:eastAsia="Times New Roman"/>
          <w:sz w:val="24"/>
          <w:szCs w:val="24"/>
          <w:lang w:val="en-GB" w:eastAsia="sr-Latn-RS"/>
        </w:rPr>
        <w:t xml:space="preserve">aragraph 1, a prison sentence of three years </w:t>
      </w:r>
      <w:r>
        <w:rPr>
          <w:rFonts w:eastAsia="Times New Roman"/>
          <w:sz w:val="24"/>
          <w:szCs w:val="24"/>
          <w:lang w:val="en-GB" w:eastAsia="sr-Latn-RS"/>
        </w:rPr>
        <w:t>shall be</w:t>
      </w:r>
      <w:r w:rsidRPr="00E77937">
        <w:rPr>
          <w:rFonts w:eastAsia="Times New Roman"/>
          <w:sz w:val="24"/>
          <w:szCs w:val="24"/>
          <w:lang w:val="en-GB" w:eastAsia="sr-Latn-RS"/>
        </w:rPr>
        <w:t xml:space="preserve"> prescribed for an adult who lives in an extramarital union with a minor, and the same punishment </w:t>
      </w:r>
      <w:r>
        <w:rPr>
          <w:rFonts w:eastAsia="Times New Roman"/>
          <w:sz w:val="24"/>
          <w:szCs w:val="24"/>
          <w:lang w:val="en-GB" w:eastAsia="sr-Latn-RS"/>
        </w:rPr>
        <w:t>shall be</w:t>
      </w:r>
      <w:r w:rsidRPr="00E77937">
        <w:rPr>
          <w:rFonts w:eastAsia="Times New Roman"/>
          <w:sz w:val="24"/>
          <w:szCs w:val="24"/>
          <w:lang w:val="en-GB" w:eastAsia="sr-Latn-RS"/>
        </w:rPr>
        <w:t xml:space="preserve"> prescribed for a parent, adoptive parent or guardian who enables a minor to live in an extramarital union with an adult or </w:t>
      </w:r>
      <w:proofErr w:type="spellStart"/>
      <w:r>
        <w:rPr>
          <w:rFonts w:eastAsia="Times New Roman"/>
          <w:sz w:val="24"/>
          <w:szCs w:val="24"/>
          <w:lang w:val="en-GB" w:eastAsia="sr-Latn-RS"/>
        </w:rPr>
        <w:t>solicitates</w:t>
      </w:r>
      <w:proofErr w:type="spellEnd"/>
      <w:r>
        <w:rPr>
          <w:rFonts w:eastAsia="Times New Roman"/>
          <w:sz w:val="24"/>
          <w:szCs w:val="24"/>
          <w:lang w:val="en-GB" w:eastAsia="sr-Latn-RS"/>
        </w:rPr>
        <w:t xml:space="preserve"> the minor to it</w:t>
      </w:r>
      <w:r w:rsidRPr="00E77937">
        <w:rPr>
          <w:rFonts w:eastAsia="Times New Roman"/>
          <w:sz w:val="24"/>
          <w:szCs w:val="24"/>
          <w:lang w:val="en-GB" w:eastAsia="sr-Latn-RS"/>
        </w:rPr>
        <w:t xml:space="preserve"> (</w:t>
      </w:r>
      <w:r>
        <w:rPr>
          <w:rFonts w:eastAsia="Times New Roman"/>
          <w:sz w:val="24"/>
          <w:szCs w:val="24"/>
          <w:lang w:val="en-GB" w:eastAsia="sr-Latn-RS"/>
        </w:rPr>
        <w:t>P</w:t>
      </w:r>
      <w:r w:rsidRPr="00E77937">
        <w:rPr>
          <w:rFonts w:eastAsia="Times New Roman"/>
          <w:sz w:val="24"/>
          <w:szCs w:val="24"/>
          <w:lang w:val="en-GB" w:eastAsia="sr-Latn-RS"/>
        </w:rPr>
        <w:t>aragraph 2). Furthermore, Article 191 prescribes a fine or prison sentence for anyone who unlawfully retains or takes away a minor from a parent, adoptive parent, guardian or other person, i.e. institution, to whom the minor is entrusted or prevents the execution of the decision by which the minor is entrusted to a certain person.</w:t>
      </w:r>
    </w:p>
    <w:p w14:paraId="4B0BD2A0" w14:textId="77777777" w:rsidR="00E77937" w:rsidRDefault="00E77937" w:rsidP="00E77937">
      <w:pPr>
        <w:spacing w:after="0"/>
        <w:ind w:firstLine="720"/>
        <w:jc w:val="both"/>
        <w:rPr>
          <w:rFonts w:eastAsia="Times New Roman"/>
          <w:sz w:val="24"/>
          <w:szCs w:val="24"/>
          <w:lang w:val="en-GB" w:eastAsia="sr-Latn-RS"/>
        </w:rPr>
      </w:pPr>
      <w:r w:rsidRPr="00E77937">
        <w:rPr>
          <w:rFonts w:eastAsia="Times New Roman"/>
          <w:sz w:val="24"/>
          <w:szCs w:val="24"/>
          <w:lang w:val="en-GB" w:eastAsia="sr-Latn-RS"/>
        </w:rPr>
        <w:t>According to the results of the MICS 6 survey from 2019, a total of 34% of young women aged 15–19 from Roma settlements are married or cohabiting, but this indicator rises to 41% among women from the poorest households. 16% of women aged 20-24 got married before the age of 15, and 56% before the age of 18. Among women aged 20–24, marriage before the age of 15 and before the age of 18 is much more common among those with primary education than among those with secondary and higher education. Also, early marriages are more characteristic of women from poorer households (73%).</w:t>
      </w:r>
    </w:p>
    <w:p w14:paraId="1F9C1D84" w14:textId="77777777" w:rsidR="00EB782B" w:rsidRPr="00EB782B" w:rsidRDefault="00EB782B" w:rsidP="00EB782B">
      <w:pPr>
        <w:spacing w:after="0"/>
        <w:ind w:firstLine="720"/>
        <w:jc w:val="both"/>
        <w:rPr>
          <w:rFonts w:eastAsia="Times New Roman"/>
          <w:sz w:val="24"/>
          <w:szCs w:val="24"/>
          <w:lang w:val="en-GB" w:eastAsia="sr-Latn-RS"/>
        </w:rPr>
      </w:pPr>
      <w:r w:rsidRPr="00EB782B">
        <w:rPr>
          <w:rFonts w:eastAsia="Times New Roman"/>
          <w:sz w:val="24"/>
          <w:szCs w:val="24"/>
          <w:lang w:val="en-GB" w:eastAsia="sr-Latn-RS"/>
        </w:rPr>
        <w:t>The Government of Serbia is taking steps to provide a systemic and institutional response from the state and society necessary for the disappearance of the practice of child marriage.</w:t>
      </w:r>
    </w:p>
    <w:p w14:paraId="43251F2E" w14:textId="77777777" w:rsidR="00EB782B" w:rsidRDefault="00EB782B" w:rsidP="00EB782B">
      <w:pPr>
        <w:spacing w:after="0"/>
        <w:ind w:firstLine="720"/>
        <w:jc w:val="both"/>
        <w:rPr>
          <w:rFonts w:eastAsia="Times New Roman"/>
          <w:sz w:val="24"/>
          <w:szCs w:val="24"/>
          <w:lang w:val="en-GB" w:eastAsia="sr-Latn-RS"/>
        </w:rPr>
      </w:pPr>
      <w:r w:rsidRPr="00EB782B">
        <w:rPr>
          <w:rFonts w:eastAsia="Times New Roman"/>
          <w:sz w:val="24"/>
          <w:szCs w:val="24"/>
          <w:lang w:val="en-GB" w:eastAsia="sr-Latn-RS"/>
        </w:rPr>
        <w:t xml:space="preserve">Given the multifaceted nature of this phenomenon, the National Coalition to End Child Marriage was established in 2019 at the initiative of the Coordination Body for Gender Equality of the Government of Serbia and UNICEF in Serbia. The general </w:t>
      </w:r>
      <w:r>
        <w:rPr>
          <w:rFonts w:eastAsia="Times New Roman"/>
          <w:sz w:val="24"/>
          <w:szCs w:val="24"/>
          <w:lang w:val="en-GB" w:eastAsia="sr-Latn-RS"/>
        </w:rPr>
        <w:t>objective</w:t>
      </w:r>
      <w:r w:rsidRPr="00EB782B">
        <w:rPr>
          <w:rFonts w:eastAsia="Times New Roman"/>
          <w:sz w:val="24"/>
          <w:szCs w:val="24"/>
          <w:lang w:val="en-GB" w:eastAsia="sr-Latn-RS"/>
        </w:rPr>
        <w:t xml:space="preserve"> of the National Coalition is to contribute to the end of child marriages in Serbia, especially in the Roma population, through the directed and coordinated action of relevant actors, through advocacy for the removal of institutional and social obstacles to the implementation of relevant legislative and strategic frameworks, as well as the promotion of examples of good practice that are implemented in partnership with local communities, non-governmental, governmental and private sectors and the media.</w:t>
      </w:r>
    </w:p>
    <w:p w14:paraId="0229F378" w14:textId="77777777" w:rsidR="008065F1" w:rsidRDefault="007B3F8F" w:rsidP="007B3F8F">
      <w:pPr>
        <w:spacing w:after="0"/>
        <w:jc w:val="both"/>
        <w:rPr>
          <w:sz w:val="24"/>
          <w:szCs w:val="24"/>
          <w:lang w:val="en-GB"/>
        </w:rPr>
      </w:pPr>
      <w:r w:rsidRPr="008065F1">
        <w:rPr>
          <w:sz w:val="24"/>
          <w:szCs w:val="24"/>
          <w:lang w:val="en-GB"/>
        </w:rPr>
        <w:tab/>
      </w:r>
      <w:r w:rsidR="008065F1" w:rsidRPr="008065F1">
        <w:rPr>
          <w:sz w:val="24"/>
          <w:szCs w:val="24"/>
          <w:lang w:val="en-GB"/>
        </w:rPr>
        <w:t xml:space="preserve">In 2021, the National Coalition to End Child Marriage launched the "Childhood, </w:t>
      </w:r>
      <w:r w:rsidR="008065F1">
        <w:rPr>
          <w:sz w:val="24"/>
          <w:szCs w:val="24"/>
          <w:lang w:val="en-GB"/>
        </w:rPr>
        <w:t>N</w:t>
      </w:r>
      <w:r w:rsidR="008065F1" w:rsidRPr="008065F1">
        <w:rPr>
          <w:sz w:val="24"/>
          <w:szCs w:val="24"/>
          <w:lang w:val="en-GB"/>
        </w:rPr>
        <w:t xml:space="preserve">ot </w:t>
      </w:r>
      <w:r w:rsidR="008065F1">
        <w:rPr>
          <w:sz w:val="24"/>
          <w:szCs w:val="24"/>
          <w:lang w:val="en-GB"/>
        </w:rPr>
        <w:t>M</w:t>
      </w:r>
      <w:r w:rsidR="008065F1" w:rsidRPr="008065F1">
        <w:rPr>
          <w:sz w:val="24"/>
          <w:szCs w:val="24"/>
          <w:lang w:val="en-GB"/>
        </w:rPr>
        <w:t xml:space="preserve">arriage" media campaign with the aim of drawing attention to the problem and prevalence of child marriage, but also to show examples of women and girls whose families saw the importance of girls' education and </w:t>
      </w:r>
      <w:r w:rsidR="008065F1">
        <w:rPr>
          <w:sz w:val="24"/>
          <w:szCs w:val="24"/>
          <w:lang w:val="en-GB"/>
        </w:rPr>
        <w:t>thus</w:t>
      </w:r>
      <w:r w:rsidR="008065F1" w:rsidRPr="008065F1">
        <w:rPr>
          <w:sz w:val="24"/>
          <w:szCs w:val="24"/>
          <w:lang w:val="en-GB"/>
        </w:rPr>
        <w:t xml:space="preserve"> support</w:t>
      </w:r>
      <w:r w:rsidR="008065F1">
        <w:rPr>
          <w:sz w:val="24"/>
          <w:szCs w:val="24"/>
          <w:lang w:val="en-GB"/>
        </w:rPr>
        <w:t>ed</w:t>
      </w:r>
      <w:r w:rsidR="008065F1" w:rsidRPr="008065F1">
        <w:rPr>
          <w:sz w:val="24"/>
          <w:szCs w:val="24"/>
          <w:lang w:val="en-GB"/>
        </w:rPr>
        <w:t xml:space="preserve"> them in adequate growth and development. This media campaign was presented to all local self-government units in the Republic of Serbia, as well as to all national and international actors with an invitation to join the campaign and thus contribute to raising public awareness about the problem of child marriage. According to data available from the UNICEF office in Serbia, during the campaign, four videos promoting examples of good practice were shown 637,000 times. Also, according to their measurements, the campaign reached 530,000 social network users.</w:t>
      </w:r>
    </w:p>
    <w:p w14:paraId="1E6DE836" w14:textId="77777777" w:rsidR="000E7F0C" w:rsidRPr="000E7F0C" w:rsidRDefault="007B3F8F" w:rsidP="000E7F0C">
      <w:pPr>
        <w:spacing w:after="0"/>
        <w:jc w:val="both"/>
        <w:rPr>
          <w:sz w:val="24"/>
          <w:szCs w:val="24"/>
          <w:lang w:val="en-GB"/>
        </w:rPr>
      </w:pPr>
      <w:r w:rsidRPr="000E7F0C">
        <w:rPr>
          <w:sz w:val="24"/>
          <w:szCs w:val="24"/>
          <w:lang w:val="en-GB"/>
        </w:rPr>
        <w:tab/>
      </w:r>
      <w:r w:rsidR="000E7F0C" w:rsidRPr="000E7F0C">
        <w:rPr>
          <w:sz w:val="24"/>
          <w:szCs w:val="24"/>
          <w:lang w:val="en-GB"/>
        </w:rPr>
        <w:t>The National Coalition for Ending Child Marriage will continue to contribute to the end of child marriage in Serbia through the activities of its members, as well as joint action, through strengthening the system to adequately respond to the problem of child marriage, as well as campaigns aimed at raising awareness of this phenomenon.</w:t>
      </w:r>
    </w:p>
    <w:p w14:paraId="79721A23" w14:textId="77777777" w:rsidR="000E7F0C" w:rsidRDefault="000E7F0C" w:rsidP="000E7F0C">
      <w:pPr>
        <w:spacing w:after="0"/>
        <w:jc w:val="both"/>
        <w:rPr>
          <w:sz w:val="24"/>
          <w:szCs w:val="24"/>
          <w:lang w:val="en-GB"/>
        </w:rPr>
      </w:pPr>
      <w:r w:rsidRPr="000E7F0C">
        <w:rPr>
          <w:sz w:val="24"/>
          <w:szCs w:val="24"/>
          <w:lang w:val="en-GB"/>
        </w:rPr>
        <w:t xml:space="preserve">During 2018, the </w:t>
      </w:r>
      <w:r>
        <w:rPr>
          <w:sz w:val="24"/>
          <w:szCs w:val="24"/>
          <w:lang w:val="en-GB"/>
        </w:rPr>
        <w:t>National</w:t>
      </w:r>
      <w:r w:rsidRPr="000E7F0C">
        <w:rPr>
          <w:sz w:val="24"/>
          <w:szCs w:val="24"/>
          <w:lang w:val="en-GB"/>
        </w:rPr>
        <w:t xml:space="preserve"> Institute for Social Protection in cooperation with UNICEF carried out an "Analysis of the </w:t>
      </w:r>
      <w:r>
        <w:rPr>
          <w:sz w:val="24"/>
          <w:szCs w:val="24"/>
          <w:lang w:val="en-GB"/>
        </w:rPr>
        <w:t>P</w:t>
      </w:r>
      <w:r w:rsidRPr="000E7F0C">
        <w:rPr>
          <w:sz w:val="24"/>
          <w:szCs w:val="24"/>
          <w:lang w:val="en-GB"/>
        </w:rPr>
        <w:t xml:space="preserve">ractice of </w:t>
      </w:r>
      <w:r>
        <w:rPr>
          <w:sz w:val="24"/>
          <w:szCs w:val="24"/>
          <w:lang w:val="en-GB"/>
        </w:rPr>
        <w:t>C</w:t>
      </w:r>
      <w:r w:rsidRPr="000E7F0C">
        <w:rPr>
          <w:sz w:val="24"/>
          <w:szCs w:val="24"/>
          <w:lang w:val="en-GB"/>
        </w:rPr>
        <w:t>ent</w:t>
      </w:r>
      <w:r>
        <w:rPr>
          <w:sz w:val="24"/>
          <w:szCs w:val="24"/>
          <w:lang w:val="en-GB"/>
        </w:rPr>
        <w:t>res</w:t>
      </w:r>
      <w:r w:rsidRPr="000E7F0C">
        <w:rPr>
          <w:sz w:val="24"/>
          <w:szCs w:val="24"/>
          <w:lang w:val="en-GB"/>
        </w:rPr>
        <w:t xml:space="preserve"> for </w:t>
      </w:r>
      <w:r>
        <w:rPr>
          <w:sz w:val="24"/>
          <w:szCs w:val="24"/>
          <w:lang w:val="en-GB"/>
        </w:rPr>
        <w:t>S</w:t>
      </w:r>
      <w:r w:rsidRPr="000E7F0C">
        <w:rPr>
          <w:sz w:val="24"/>
          <w:szCs w:val="24"/>
          <w:lang w:val="en-GB"/>
        </w:rPr>
        <w:t xml:space="preserve">ocial </w:t>
      </w:r>
      <w:r>
        <w:rPr>
          <w:sz w:val="24"/>
          <w:szCs w:val="24"/>
          <w:lang w:val="en-GB"/>
        </w:rPr>
        <w:t>W</w:t>
      </w:r>
      <w:r w:rsidRPr="000E7F0C">
        <w:rPr>
          <w:sz w:val="24"/>
          <w:szCs w:val="24"/>
          <w:lang w:val="en-GB"/>
        </w:rPr>
        <w:t xml:space="preserve">ork </w:t>
      </w:r>
      <w:r>
        <w:rPr>
          <w:sz w:val="24"/>
          <w:szCs w:val="24"/>
          <w:lang w:val="en-GB"/>
        </w:rPr>
        <w:t>Regarding</w:t>
      </w:r>
      <w:r w:rsidRPr="000E7F0C">
        <w:rPr>
          <w:sz w:val="24"/>
          <w:szCs w:val="24"/>
          <w:lang w:val="en-GB"/>
        </w:rPr>
        <w:t xml:space="preserve"> </w:t>
      </w:r>
      <w:r>
        <w:rPr>
          <w:sz w:val="24"/>
          <w:szCs w:val="24"/>
          <w:lang w:val="en-GB"/>
        </w:rPr>
        <w:t>C</w:t>
      </w:r>
      <w:r w:rsidRPr="000E7F0C">
        <w:rPr>
          <w:sz w:val="24"/>
          <w:szCs w:val="24"/>
          <w:lang w:val="en-GB"/>
        </w:rPr>
        <w:t xml:space="preserve">hild </w:t>
      </w:r>
      <w:r>
        <w:rPr>
          <w:sz w:val="24"/>
          <w:szCs w:val="24"/>
          <w:lang w:val="en-GB"/>
        </w:rPr>
        <w:t>M</w:t>
      </w:r>
      <w:r w:rsidRPr="000E7F0C">
        <w:rPr>
          <w:sz w:val="24"/>
          <w:szCs w:val="24"/>
          <w:lang w:val="en-GB"/>
        </w:rPr>
        <w:t xml:space="preserve">arriage". In </w:t>
      </w:r>
      <w:r w:rsidRPr="000E7F0C">
        <w:rPr>
          <w:sz w:val="24"/>
          <w:szCs w:val="24"/>
          <w:lang w:val="en-GB"/>
        </w:rPr>
        <w:lastRenderedPageBreak/>
        <w:t xml:space="preserve">2019, as a response to the recommendation within the research, the </w:t>
      </w:r>
      <w:r w:rsidR="00406AEF">
        <w:rPr>
          <w:sz w:val="24"/>
          <w:szCs w:val="24"/>
          <w:lang w:val="en-GB"/>
        </w:rPr>
        <w:t>M</w:t>
      </w:r>
      <w:r w:rsidRPr="000E7F0C">
        <w:rPr>
          <w:sz w:val="24"/>
          <w:szCs w:val="24"/>
          <w:lang w:val="en-GB"/>
        </w:rPr>
        <w:t xml:space="preserve">inistry responsible for social protection issued an Instruction on the </w:t>
      </w:r>
      <w:r w:rsidR="00406AEF">
        <w:rPr>
          <w:sz w:val="24"/>
          <w:szCs w:val="24"/>
          <w:lang w:val="en-GB"/>
        </w:rPr>
        <w:t>manner</w:t>
      </w:r>
      <w:r w:rsidRPr="000E7F0C">
        <w:rPr>
          <w:sz w:val="24"/>
          <w:szCs w:val="24"/>
          <w:lang w:val="en-GB"/>
        </w:rPr>
        <w:t xml:space="preserve"> social work cent</w:t>
      </w:r>
      <w:r w:rsidR="00406AEF">
        <w:rPr>
          <w:sz w:val="24"/>
          <w:szCs w:val="24"/>
          <w:lang w:val="en-GB"/>
        </w:rPr>
        <w:t>res</w:t>
      </w:r>
      <w:r w:rsidRPr="000E7F0C">
        <w:rPr>
          <w:sz w:val="24"/>
          <w:szCs w:val="24"/>
          <w:lang w:val="en-GB"/>
        </w:rPr>
        <w:t xml:space="preserve"> - guardianship bodies work in protecting children from child marriage. Based on this </w:t>
      </w:r>
      <w:r w:rsidR="00ED533B">
        <w:rPr>
          <w:sz w:val="24"/>
          <w:szCs w:val="24"/>
          <w:lang w:val="en-GB"/>
        </w:rPr>
        <w:t>I</w:t>
      </w:r>
      <w:r w:rsidRPr="000E7F0C">
        <w:rPr>
          <w:sz w:val="24"/>
          <w:szCs w:val="24"/>
          <w:lang w:val="en-GB"/>
        </w:rPr>
        <w:t xml:space="preserve">nstruction, the </w:t>
      </w:r>
      <w:r w:rsidR="00ED533B">
        <w:rPr>
          <w:sz w:val="24"/>
          <w:szCs w:val="24"/>
          <w:lang w:val="en-GB"/>
        </w:rPr>
        <w:t>National</w:t>
      </w:r>
      <w:r w:rsidRPr="000E7F0C">
        <w:rPr>
          <w:sz w:val="24"/>
          <w:szCs w:val="24"/>
          <w:lang w:val="en-GB"/>
        </w:rPr>
        <w:t xml:space="preserve"> Institute for Social Protection prepares annual reports. According to the report for 2020, during that year, cent</w:t>
      </w:r>
      <w:r w:rsidR="00ED533B">
        <w:rPr>
          <w:sz w:val="24"/>
          <w:szCs w:val="24"/>
          <w:lang w:val="en-GB"/>
        </w:rPr>
        <w:t>res</w:t>
      </w:r>
      <w:r w:rsidRPr="000E7F0C">
        <w:rPr>
          <w:sz w:val="24"/>
          <w:szCs w:val="24"/>
          <w:lang w:val="en-GB"/>
        </w:rPr>
        <w:t xml:space="preserve"> for social work identified 191 child victims of child marriage, of which 11 were boys and 180 were girls. Bearing in mind the municipalities that did not submit data, it is reasonable to assume that the total number of child victims of child marriage is higher. Therefore, it is necessary to additionally strengthen local self-government units to recogni</w:t>
      </w:r>
      <w:r w:rsidR="00ED533B">
        <w:rPr>
          <w:sz w:val="24"/>
          <w:szCs w:val="24"/>
          <w:lang w:val="en-GB"/>
        </w:rPr>
        <w:t>s</w:t>
      </w:r>
      <w:r w:rsidRPr="000E7F0C">
        <w:rPr>
          <w:sz w:val="24"/>
          <w:szCs w:val="24"/>
          <w:lang w:val="en-GB"/>
        </w:rPr>
        <w:t>e the problem of child marriage and the importance of monitoring this phenomenon in order to plan adequate and timely prevention and response activities to cases of violence based on the data.</w:t>
      </w:r>
    </w:p>
    <w:p w14:paraId="29619C3D" w14:textId="77777777" w:rsidR="00F83423" w:rsidRPr="00F83423" w:rsidRDefault="007B3F8F" w:rsidP="00F83423">
      <w:pPr>
        <w:spacing w:after="0"/>
        <w:jc w:val="both"/>
        <w:rPr>
          <w:sz w:val="24"/>
          <w:szCs w:val="24"/>
          <w:lang w:val="en-GB"/>
        </w:rPr>
      </w:pPr>
      <w:r w:rsidRPr="00F83423">
        <w:rPr>
          <w:sz w:val="24"/>
          <w:szCs w:val="24"/>
          <w:lang w:val="en-GB"/>
        </w:rPr>
        <w:tab/>
      </w:r>
      <w:r w:rsidR="00F83423" w:rsidRPr="00F83423">
        <w:rPr>
          <w:sz w:val="24"/>
          <w:szCs w:val="24"/>
          <w:lang w:val="en-GB"/>
        </w:rPr>
        <w:t>Early marriage is one of the reasons for dropping out of students from the education system, especially girls. Therefore, a dropout prevention model was created, which contains school-level measures that include a system for early identification and intervention for students at risk of dropping out, which is the main component of the model, then measures to improve parental involvement in school and peer support measures, as well as training for teachers and a new school model of supplementary teaching.</w:t>
      </w:r>
    </w:p>
    <w:p w14:paraId="20B39CD0" w14:textId="77777777" w:rsidR="00F83423" w:rsidRDefault="00F83423" w:rsidP="00F83423">
      <w:pPr>
        <w:spacing w:after="0"/>
        <w:ind w:firstLine="720"/>
        <w:jc w:val="both"/>
        <w:rPr>
          <w:sz w:val="24"/>
          <w:szCs w:val="24"/>
          <w:lang w:val="en-GB"/>
        </w:rPr>
      </w:pPr>
      <w:r w:rsidRPr="00F83423">
        <w:rPr>
          <w:sz w:val="24"/>
          <w:szCs w:val="24"/>
          <w:lang w:val="en-GB"/>
        </w:rPr>
        <w:t>The dropout rate in schools where the prevention model was changed was reduced by 53.2% compared to previous data, and is an indication that individuali</w:t>
      </w:r>
      <w:r>
        <w:rPr>
          <w:sz w:val="24"/>
          <w:szCs w:val="24"/>
          <w:lang w:val="en-GB"/>
        </w:rPr>
        <w:t>s</w:t>
      </w:r>
      <w:r w:rsidRPr="00F83423">
        <w:rPr>
          <w:sz w:val="24"/>
          <w:szCs w:val="24"/>
          <w:lang w:val="en-GB"/>
        </w:rPr>
        <w:t>ed support measures are yielding results. In order to empower education employees to recogni</w:t>
      </w:r>
      <w:r w:rsidR="00F16BA9">
        <w:rPr>
          <w:sz w:val="24"/>
          <w:szCs w:val="24"/>
          <w:lang w:val="en-GB"/>
        </w:rPr>
        <w:t>s</w:t>
      </w:r>
      <w:r w:rsidRPr="00F83423">
        <w:rPr>
          <w:sz w:val="24"/>
          <w:szCs w:val="24"/>
          <w:lang w:val="en-GB"/>
        </w:rPr>
        <w:t>e students at risk of dropping out and provide them with adequate support, a training program</w:t>
      </w:r>
      <w:r w:rsidR="00F16BA9">
        <w:rPr>
          <w:sz w:val="24"/>
          <w:szCs w:val="24"/>
          <w:lang w:val="en-GB"/>
        </w:rPr>
        <w:t>me</w:t>
      </w:r>
      <w:r w:rsidRPr="00F83423">
        <w:rPr>
          <w:sz w:val="24"/>
          <w:szCs w:val="24"/>
          <w:lang w:val="en-GB"/>
        </w:rPr>
        <w:t xml:space="preserve"> for early identification and prevention of dropping out of students was introduced to the list of training</w:t>
      </w:r>
      <w:r w:rsidR="00F16BA9">
        <w:rPr>
          <w:sz w:val="24"/>
          <w:szCs w:val="24"/>
          <w:lang w:val="en-GB"/>
        </w:rPr>
        <w:t xml:space="preserve"> </w:t>
      </w:r>
      <w:r w:rsidRPr="00F83423">
        <w:rPr>
          <w:sz w:val="24"/>
          <w:szCs w:val="24"/>
          <w:lang w:val="en-GB"/>
        </w:rPr>
        <w:t>s</w:t>
      </w:r>
      <w:r w:rsidR="00F16BA9">
        <w:rPr>
          <w:sz w:val="24"/>
          <w:szCs w:val="24"/>
          <w:lang w:val="en-GB"/>
        </w:rPr>
        <w:t>essions</w:t>
      </w:r>
      <w:r w:rsidRPr="00F83423">
        <w:rPr>
          <w:sz w:val="24"/>
          <w:szCs w:val="24"/>
          <w:lang w:val="en-GB"/>
        </w:rPr>
        <w:t xml:space="preserve"> of public interest, and manuals for schools on this topic were prepared. Three more program</w:t>
      </w:r>
      <w:r w:rsidR="00F16BA9">
        <w:rPr>
          <w:sz w:val="24"/>
          <w:szCs w:val="24"/>
          <w:lang w:val="en-GB"/>
        </w:rPr>
        <w:t>me</w:t>
      </w:r>
      <w:r w:rsidRPr="00F83423">
        <w:rPr>
          <w:sz w:val="24"/>
          <w:szCs w:val="24"/>
          <w:lang w:val="en-GB"/>
        </w:rPr>
        <w:t>s were accredited and training</w:t>
      </w:r>
      <w:r w:rsidR="00F16BA9">
        <w:rPr>
          <w:sz w:val="24"/>
          <w:szCs w:val="24"/>
          <w:lang w:val="en-GB"/>
        </w:rPr>
        <w:t xml:space="preserve"> </w:t>
      </w:r>
      <w:r w:rsidRPr="00F83423">
        <w:rPr>
          <w:sz w:val="24"/>
          <w:szCs w:val="24"/>
          <w:lang w:val="en-GB"/>
        </w:rPr>
        <w:t>s</w:t>
      </w:r>
      <w:r w:rsidR="00F16BA9">
        <w:rPr>
          <w:sz w:val="24"/>
          <w:szCs w:val="24"/>
          <w:lang w:val="en-GB"/>
        </w:rPr>
        <w:t>essions</w:t>
      </w:r>
      <w:r w:rsidRPr="00F83423">
        <w:rPr>
          <w:sz w:val="24"/>
          <w:szCs w:val="24"/>
          <w:lang w:val="en-GB"/>
        </w:rPr>
        <w:t xml:space="preserve"> were conducted to strengthen the capacity of over 2,000 employees in education for dropout prevention, activities for the inclusion and participation of all children and students through education.</w:t>
      </w:r>
    </w:p>
    <w:p w14:paraId="2593AA6F" w14:textId="77777777" w:rsidR="007B3F8F" w:rsidRPr="00D62D04" w:rsidRDefault="007B3F8F" w:rsidP="007B3F8F">
      <w:pPr>
        <w:spacing w:after="0"/>
        <w:jc w:val="both"/>
        <w:rPr>
          <w:b/>
          <w:i/>
          <w:sz w:val="24"/>
          <w:szCs w:val="24"/>
          <w:highlight w:val="cyan"/>
          <w:lang w:val="en-GB"/>
        </w:rPr>
      </w:pPr>
    </w:p>
    <w:p w14:paraId="2CFE3A1E" w14:textId="77777777" w:rsidR="00177943" w:rsidRPr="00DD1078" w:rsidRDefault="00DD1078" w:rsidP="00F333CD">
      <w:pPr>
        <w:pStyle w:val="Heading2"/>
        <w:jc w:val="center"/>
        <w:rPr>
          <w:rFonts w:ascii="Times New Roman" w:hAnsi="Times New Roman" w:cs="Times New Roman"/>
          <w:b/>
          <w:sz w:val="24"/>
          <w:szCs w:val="24"/>
          <w:lang w:val="en-GB"/>
        </w:rPr>
      </w:pPr>
      <w:bookmarkStart w:id="31" w:name="_Toc112932732"/>
      <w:r w:rsidRPr="00DD1078">
        <w:rPr>
          <w:rFonts w:ascii="Times New Roman" w:hAnsi="Times New Roman" w:cs="Times New Roman"/>
          <w:b/>
          <w:color w:val="auto"/>
          <w:sz w:val="24"/>
          <w:szCs w:val="24"/>
          <w:lang w:val="en-GB"/>
        </w:rPr>
        <w:t>Article</w:t>
      </w:r>
      <w:r w:rsidR="00177943" w:rsidRPr="00DD1078">
        <w:rPr>
          <w:rFonts w:ascii="Times New Roman" w:hAnsi="Times New Roman" w:cs="Times New Roman"/>
          <w:b/>
          <w:color w:val="auto"/>
          <w:sz w:val="24"/>
          <w:szCs w:val="24"/>
          <w:lang w:val="en-GB"/>
        </w:rPr>
        <w:t xml:space="preserve"> 14</w:t>
      </w:r>
      <w:r w:rsidRPr="00DD1078">
        <w:rPr>
          <w:rFonts w:ascii="Times New Roman" w:hAnsi="Times New Roman" w:cs="Times New Roman"/>
          <w:b/>
          <w:color w:val="auto"/>
          <w:sz w:val="24"/>
          <w:szCs w:val="24"/>
          <w:lang w:val="en-GB"/>
        </w:rPr>
        <w:t xml:space="preserve"> of the Framework Convention</w:t>
      </w:r>
      <w:bookmarkEnd w:id="31"/>
      <w:r w:rsidRPr="00DD1078">
        <w:rPr>
          <w:rFonts w:ascii="Times New Roman" w:hAnsi="Times New Roman" w:cs="Times New Roman"/>
          <w:b/>
          <w:color w:val="auto"/>
          <w:sz w:val="24"/>
          <w:szCs w:val="24"/>
          <w:lang w:val="en-GB"/>
        </w:rPr>
        <w:t xml:space="preserve"> </w:t>
      </w:r>
      <w:r w:rsidR="00177943" w:rsidRPr="00DD1078">
        <w:rPr>
          <w:rFonts w:ascii="Times New Roman" w:hAnsi="Times New Roman" w:cs="Times New Roman"/>
          <w:b/>
          <w:color w:val="auto"/>
          <w:sz w:val="24"/>
          <w:szCs w:val="24"/>
          <w:lang w:val="en-GB"/>
        </w:rPr>
        <w:t xml:space="preserve"> </w:t>
      </w:r>
    </w:p>
    <w:p w14:paraId="300869EA" w14:textId="77777777" w:rsidR="00177943" w:rsidRPr="00D62D04" w:rsidRDefault="00DD1078" w:rsidP="00F333CD">
      <w:pPr>
        <w:pStyle w:val="Heading3"/>
        <w:jc w:val="center"/>
        <w:rPr>
          <w:rFonts w:ascii="Times New Roman" w:hAnsi="Times New Roman" w:cs="Times New Roman"/>
          <w:b/>
          <w:highlight w:val="cyan"/>
          <w:lang w:val="en-GB"/>
        </w:rPr>
      </w:pPr>
      <w:bookmarkStart w:id="32" w:name="_Toc112932733"/>
      <w:r w:rsidRPr="00DD1078">
        <w:rPr>
          <w:rFonts w:ascii="Times New Roman" w:hAnsi="Times New Roman" w:cs="Times New Roman"/>
          <w:b/>
          <w:color w:val="auto"/>
          <w:lang w:val="en-GB"/>
        </w:rPr>
        <w:t>Teaching in minority languages and minority language teaching, including teaching materials</w:t>
      </w:r>
      <w:bookmarkEnd w:id="32"/>
    </w:p>
    <w:p w14:paraId="4DD407C1" w14:textId="77777777" w:rsidR="00177943" w:rsidRPr="00D62D04" w:rsidRDefault="00177943" w:rsidP="00177943">
      <w:pPr>
        <w:spacing w:after="0"/>
        <w:jc w:val="center"/>
        <w:rPr>
          <w:b/>
          <w:sz w:val="24"/>
          <w:szCs w:val="24"/>
          <w:highlight w:val="cyan"/>
          <w:lang w:val="en-GB"/>
        </w:rPr>
      </w:pPr>
    </w:p>
    <w:p w14:paraId="5A3A5778" w14:textId="77777777" w:rsidR="00073C35" w:rsidRDefault="00177943" w:rsidP="00177943">
      <w:pPr>
        <w:spacing w:after="0"/>
        <w:jc w:val="both"/>
        <w:rPr>
          <w:i/>
          <w:sz w:val="24"/>
          <w:szCs w:val="24"/>
          <w:lang w:val="en-GB"/>
        </w:rPr>
      </w:pPr>
      <w:r w:rsidRPr="00073C35">
        <w:rPr>
          <w:i/>
          <w:sz w:val="24"/>
          <w:szCs w:val="24"/>
          <w:lang w:val="en-GB"/>
        </w:rPr>
        <w:t xml:space="preserve">105. </w:t>
      </w:r>
      <w:r w:rsidR="00073C35" w:rsidRPr="00073C35">
        <w:rPr>
          <w:i/>
          <w:sz w:val="24"/>
          <w:szCs w:val="24"/>
          <w:lang w:val="en-GB"/>
        </w:rPr>
        <w:t>The Advisory Committee urges the authorities to take the necessary measures to close the one-year gap between the revision of the national curriculum and the release of revised materials in minority languages. It also calls on the authorities to find an appropriate and quickly implementable solution for materials in the Albanian language.</w:t>
      </w:r>
    </w:p>
    <w:p w14:paraId="0B3A8711" w14:textId="77777777" w:rsidR="00177943" w:rsidRPr="00D62D04" w:rsidRDefault="00177943" w:rsidP="00AD7EA3">
      <w:pPr>
        <w:spacing w:after="0"/>
        <w:jc w:val="both"/>
        <w:rPr>
          <w:sz w:val="24"/>
          <w:szCs w:val="24"/>
          <w:highlight w:val="cyan"/>
          <w:lang w:val="en-GB"/>
        </w:rPr>
      </w:pPr>
    </w:p>
    <w:p w14:paraId="5F5C3CF0" w14:textId="77777777" w:rsidR="000226B1" w:rsidRDefault="000226B1" w:rsidP="00A53AB8">
      <w:pPr>
        <w:spacing w:after="0"/>
        <w:ind w:firstLine="720"/>
        <w:jc w:val="both"/>
        <w:rPr>
          <w:sz w:val="24"/>
          <w:szCs w:val="24"/>
          <w:lang w:val="en-GB"/>
        </w:rPr>
      </w:pPr>
      <w:r w:rsidRPr="000226B1">
        <w:rPr>
          <w:sz w:val="24"/>
          <w:szCs w:val="24"/>
          <w:lang w:val="en-GB"/>
        </w:rPr>
        <w:t>After the submission of the Fourth Periodic Report, the Republic of Serbia continued to make efforts to provide all missing textbooks, focusing especially on solving the issue of providing textbooks in the Albanian language. The process of obtaining missing low-circulation textbooks in the languages of the national minority was significantly improved by the establishment of the Cent</w:t>
      </w:r>
      <w:r>
        <w:rPr>
          <w:sz w:val="24"/>
          <w:szCs w:val="24"/>
          <w:lang w:val="en-GB"/>
        </w:rPr>
        <w:t>re</w:t>
      </w:r>
      <w:r w:rsidRPr="000226B1">
        <w:rPr>
          <w:sz w:val="24"/>
          <w:szCs w:val="24"/>
          <w:lang w:val="en-GB"/>
        </w:rPr>
        <w:t xml:space="preserve"> for </w:t>
      </w:r>
      <w:r>
        <w:rPr>
          <w:sz w:val="24"/>
          <w:szCs w:val="24"/>
          <w:lang w:val="en-GB"/>
        </w:rPr>
        <w:t>L</w:t>
      </w:r>
      <w:r w:rsidRPr="000226B1">
        <w:rPr>
          <w:sz w:val="24"/>
          <w:szCs w:val="24"/>
          <w:lang w:val="en-GB"/>
        </w:rPr>
        <w:t>ow-</w:t>
      </w:r>
      <w:r>
        <w:rPr>
          <w:sz w:val="24"/>
          <w:szCs w:val="24"/>
          <w:lang w:val="en-GB"/>
        </w:rPr>
        <w:t>C</w:t>
      </w:r>
      <w:r w:rsidRPr="000226B1">
        <w:rPr>
          <w:sz w:val="24"/>
          <w:szCs w:val="24"/>
          <w:lang w:val="en-GB"/>
        </w:rPr>
        <w:t xml:space="preserve">irculation </w:t>
      </w:r>
      <w:r>
        <w:rPr>
          <w:sz w:val="24"/>
          <w:szCs w:val="24"/>
          <w:lang w:val="en-GB"/>
        </w:rPr>
        <w:t>T</w:t>
      </w:r>
      <w:r w:rsidRPr="000226B1">
        <w:rPr>
          <w:sz w:val="24"/>
          <w:szCs w:val="24"/>
          <w:lang w:val="en-GB"/>
        </w:rPr>
        <w:t>extbooks and the adoption of the Rulebook on Issuing Low-Circulation Textbooks.</w:t>
      </w:r>
      <w:r w:rsidRPr="000226B1">
        <w:rPr>
          <w:rStyle w:val="FootnoteReference"/>
          <w:sz w:val="24"/>
          <w:szCs w:val="24"/>
          <w:lang w:val="en-GB"/>
        </w:rPr>
        <w:footnoteReference w:id="100"/>
      </w:r>
    </w:p>
    <w:p w14:paraId="709AB201" w14:textId="7793E14A" w:rsidR="000226B1" w:rsidRDefault="000226B1" w:rsidP="00A53AB8">
      <w:pPr>
        <w:spacing w:after="0"/>
        <w:ind w:firstLine="720"/>
        <w:jc w:val="both"/>
        <w:rPr>
          <w:sz w:val="24"/>
          <w:szCs w:val="24"/>
          <w:lang w:val="en-GB"/>
        </w:rPr>
      </w:pPr>
      <w:r w:rsidRPr="000226B1">
        <w:rPr>
          <w:sz w:val="24"/>
          <w:szCs w:val="24"/>
          <w:lang w:val="en-GB"/>
        </w:rPr>
        <w:lastRenderedPageBreak/>
        <w:t>Curricular reform of the education system, which includes the preparation of new teaching and learning program</w:t>
      </w:r>
      <w:r>
        <w:rPr>
          <w:sz w:val="24"/>
          <w:szCs w:val="24"/>
          <w:lang w:val="en-GB"/>
        </w:rPr>
        <w:t>me</w:t>
      </w:r>
      <w:r w:rsidRPr="000226B1">
        <w:rPr>
          <w:sz w:val="24"/>
          <w:szCs w:val="24"/>
          <w:lang w:val="en-GB"/>
        </w:rPr>
        <w:t>s for all subjects, began in 2018. This actually means that new textbooks are prepared for each subject and class that correspond to the new teaching and learning program</w:t>
      </w:r>
      <w:r>
        <w:rPr>
          <w:sz w:val="24"/>
          <w:szCs w:val="24"/>
          <w:lang w:val="en-GB"/>
        </w:rPr>
        <w:t>me</w:t>
      </w:r>
      <w:r w:rsidRPr="000226B1">
        <w:rPr>
          <w:sz w:val="24"/>
          <w:szCs w:val="24"/>
          <w:lang w:val="en-GB"/>
        </w:rPr>
        <w:t xml:space="preserve">s. When a new curriculum for a particular grade is published, publishers can start preparing new textbooks. After these textbooks are approved, if they are textbooks in the Serbian language, the translation procedure and the approval of translations into minority languages can begin, which also shows why there is a certain time gap between the introduction of textbooks in the languages of national minorities and textbooks in Serbian into the teaching process. However, publishers can also work on publishing author's textbooks in minority languages (which is most often the case for the mother tongue and literature, and subjects of national importance for the national minority - </w:t>
      </w:r>
      <w:r w:rsidR="009D7F97">
        <w:rPr>
          <w:sz w:val="24"/>
          <w:szCs w:val="24"/>
          <w:lang w:val="en-GB"/>
        </w:rPr>
        <w:t>H</w:t>
      </w:r>
      <w:r w:rsidRPr="000226B1">
        <w:rPr>
          <w:sz w:val="24"/>
          <w:szCs w:val="24"/>
          <w:lang w:val="en-GB"/>
        </w:rPr>
        <w:t xml:space="preserve">istory, </w:t>
      </w:r>
      <w:r w:rsidR="009D7F97">
        <w:rPr>
          <w:sz w:val="24"/>
          <w:szCs w:val="24"/>
          <w:lang w:val="en-GB"/>
        </w:rPr>
        <w:t>G</w:t>
      </w:r>
      <w:r w:rsidRPr="000226B1">
        <w:rPr>
          <w:sz w:val="24"/>
          <w:szCs w:val="24"/>
          <w:lang w:val="en-GB"/>
        </w:rPr>
        <w:t xml:space="preserve">eography, </w:t>
      </w:r>
      <w:r w:rsidR="009D7F97">
        <w:rPr>
          <w:sz w:val="24"/>
          <w:szCs w:val="24"/>
          <w:lang w:val="en-GB"/>
        </w:rPr>
        <w:t>M</w:t>
      </w:r>
      <w:r w:rsidRPr="000226B1">
        <w:rPr>
          <w:sz w:val="24"/>
          <w:szCs w:val="24"/>
          <w:lang w:val="en-GB"/>
        </w:rPr>
        <w:t xml:space="preserve">usic and </w:t>
      </w:r>
      <w:r w:rsidR="009D7F97">
        <w:rPr>
          <w:sz w:val="24"/>
          <w:szCs w:val="24"/>
          <w:lang w:val="en-GB"/>
        </w:rPr>
        <w:t>A</w:t>
      </w:r>
      <w:r w:rsidRPr="000226B1">
        <w:rPr>
          <w:sz w:val="24"/>
          <w:szCs w:val="24"/>
          <w:lang w:val="en-GB"/>
        </w:rPr>
        <w:t xml:space="preserve">rt, </w:t>
      </w:r>
      <w:r w:rsidR="009D7F97">
        <w:rPr>
          <w:sz w:val="24"/>
          <w:szCs w:val="24"/>
          <w:lang w:val="en-GB"/>
        </w:rPr>
        <w:t>W</w:t>
      </w:r>
      <w:r w:rsidRPr="000226B1">
        <w:rPr>
          <w:sz w:val="24"/>
          <w:szCs w:val="24"/>
          <w:lang w:val="en-GB"/>
        </w:rPr>
        <w:t xml:space="preserve">orld </w:t>
      </w:r>
      <w:r w:rsidR="009D7F97">
        <w:rPr>
          <w:sz w:val="24"/>
          <w:szCs w:val="24"/>
          <w:lang w:val="en-GB"/>
        </w:rPr>
        <w:t>A</w:t>
      </w:r>
      <w:r w:rsidRPr="000226B1">
        <w:rPr>
          <w:sz w:val="24"/>
          <w:szCs w:val="24"/>
          <w:lang w:val="en-GB"/>
        </w:rPr>
        <w:t xml:space="preserve">round </w:t>
      </w:r>
      <w:r w:rsidR="009D7F97">
        <w:rPr>
          <w:sz w:val="24"/>
          <w:szCs w:val="24"/>
          <w:lang w:val="en-GB"/>
        </w:rPr>
        <w:t>U</w:t>
      </w:r>
      <w:r w:rsidRPr="000226B1">
        <w:rPr>
          <w:sz w:val="24"/>
          <w:szCs w:val="24"/>
          <w:lang w:val="en-GB"/>
        </w:rPr>
        <w:t>s/</w:t>
      </w:r>
      <w:proofErr w:type="gramStart"/>
      <w:r w:rsidR="009D7F97">
        <w:rPr>
          <w:sz w:val="24"/>
          <w:szCs w:val="24"/>
          <w:lang w:val="en-GB"/>
        </w:rPr>
        <w:t>Sciences</w:t>
      </w:r>
      <w:r w:rsidRPr="000226B1">
        <w:rPr>
          <w:sz w:val="24"/>
          <w:szCs w:val="24"/>
          <w:lang w:val="en-GB"/>
        </w:rPr>
        <w:t xml:space="preserve"> )</w:t>
      </w:r>
      <w:proofErr w:type="gramEnd"/>
      <w:r w:rsidRPr="000226B1">
        <w:rPr>
          <w:sz w:val="24"/>
          <w:szCs w:val="24"/>
          <w:lang w:val="en-GB"/>
        </w:rPr>
        <w:t xml:space="preserve"> and in those cases there is no significant delay.</w:t>
      </w:r>
    </w:p>
    <w:p w14:paraId="79ABC300" w14:textId="7498AB91" w:rsidR="00BB7493" w:rsidRPr="00BB7493" w:rsidRDefault="00BB7493" w:rsidP="00BB7493">
      <w:pPr>
        <w:spacing w:after="0"/>
        <w:ind w:firstLine="720"/>
        <w:jc w:val="both"/>
        <w:rPr>
          <w:sz w:val="24"/>
          <w:szCs w:val="24"/>
          <w:lang w:val="en-GB"/>
        </w:rPr>
      </w:pPr>
      <w:r w:rsidRPr="00BB7493">
        <w:rPr>
          <w:sz w:val="24"/>
          <w:szCs w:val="24"/>
          <w:lang w:val="en-GB"/>
        </w:rPr>
        <w:t>So far, reformed teaching and learning program</w:t>
      </w:r>
      <w:r>
        <w:rPr>
          <w:sz w:val="24"/>
          <w:szCs w:val="24"/>
          <w:lang w:val="en-GB"/>
        </w:rPr>
        <w:t>me</w:t>
      </w:r>
      <w:r w:rsidRPr="00BB7493">
        <w:rPr>
          <w:sz w:val="24"/>
          <w:szCs w:val="24"/>
          <w:lang w:val="en-GB"/>
        </w:rPr>
        <w:t xml:space="preserve">s for primary school have been adopted for the subjects Mother </w:t>
      </w:r>
      <w:r>
        <w:rPr>
          <w:sz w:val="24"/>
          <w:szCs w:val="24"/>
          <w:lang w:val="en-GB"/>
        </w:rPr>
        <w:t>T</w:t>
      </w:r>
      <w:r w:rsidRPr="00BB7493">
        <w:rPr>
          <w:sz w:val="24"/>
          <w:szCs w:val="24"/>
          <w:lang w:val="en-GB"/>
        </w:rPr>
        <w:t xml:space="preserve">ongue and Mother </w:t>
      </w:r>
      <w:r>
        <w:rPr>
          <w:sz w:val="24"/>
          <w:szCs w:val="24"/>
          <w:lang w:val="en-GB"/>
        </w:rPr>
        <w:t>T</w:t>
      </w:r>
      <w:r w:rsidRPr="00BB7493">
        <w:rPr>
          <w:sz w:val="24"/>
          <w:szCs w:val="24"/>
          <w:lang w:val="en-GB"/>
        </w:rPr>
        <w:t xml:space="preserve">ongue and </w:t>
      </w:r>
      <w:r>
        <w:rPr>
          <w:sz w:val="24"/>
          <w:szCs w:val="24"/>
          <w:lang w:val="en-GB"/>
        </w:rPr>
        <w:t>L</w:t>
      </w:r>
      <w:r w:rsidRPr="00BB7493">
        <w:rPr>
          <w:sz w:val="24"/>
          <w:szCs w:val="24"/>
          <w:lang w:val="en-GB"/>
        </w:rPr>
        <w:t>iterature for all eight languages of national minorities who receive their entire education in their mother tongue. In addition, reformed teaching and learning program</w:t>
      </w:r>
      <w:r>
        <w:rPr>
          <w:sz w:val="24"/>
          <w:szCs w:val="24"/>
          <w:lang w:val="en-GB"/>
        </w:rPr>
        <w:t>me</w:t>
      </w:r>
      <w:r w:rsidRPr="00BB7493">
        <w:rPr>
          <w:sz w:val="24"/>
          <w:szCs w:val="24"/>
          <w:lang w:val="en-GB"/>
        </w:rPr>
        <w:t>s were adopted for the elective program</w:t>
      </w:r>
      <w:r>
        <w:rPr>
          <w:sz w:val="24"/>
          <w:szCs w:val="24"/>
          <w:lang w:val="en-GB"/>
        </w:rPr>
        <w:t>me</w:t>
      </w:r>
      <w:r w:rsidRPr="00BB7493">
        <w:rPr>
          <w:sz w:val="24"/>
          <w:szCs w:val="24"/>
          <w:lang w:val="en-GB"/>
        </w:rPr>
        <w:t xml:space="preserve"> Mother </w:t>
      </w:r>
      <w:r>
        <w:rPr>
          <w:sz w:val="24"/>
          <w:szCs w:val="24"/>
          <w:lang w:val="en-GB"/>
        </w:rPr>
        <w:t>T</w:t>
      </w:r>
      <w:r w:rsidRPr="00BB7493">
        <w:rPr>
          <w:sz w:val="24"/>
          <w:szCs w:val="24"/>
          <w:lang w:val="en-GB"/>
        </w:rPr>
        <w:t>ongue/</w:t>
      </w:r>
      <w:r>
        <w:rPr>
          <w:sz w:val="24"/>
          <w:szCs w:val="24"/>
          <w:lang w:val="en-GB"/>
        </w:rPr>
        <w:t>Language</w:t>
      </w:r>
      <w:r w:rsidRPr="00BB7493">
        <w:rPr>
          <w:sz w:val="24"/>
          <w:szCs w:val="24"/>
          <w:lang w:val="en-GB"/>
        </w:rPr>
        <w:t xml:space="preserve"> with </w:t>
      </w:r>
      <w:r>
        <w:rPr>
          <w:sz w:val="24"/>
          <w:szCs w:val="24"/>
          <w:lang w:val="en-GB"/>
        </w:rPr>
        <w:t>E</w:t>
      </w:r>
      <w:r w:rsidRPr="00BB7493">
        <w:rPr>
          <w:sz w:val="24"/>
          <w:szCs w:val="24"/>
          <w:lang w:val="en-GB"/>
        </w:rPr>
        <w:t xml:space="preserve">lements of </w:t>
      </w:r>
      <w:r>
        <w:rPr>
          <w:sz w:val="24"/>
          <w:szCs w:val="24"/>
          <w:lang w:val="en-GB"/>
        </w:rPr>
        <w:t>N</w:t>
      </w:r>
      <w:r w:rsidRPr="00BB7493">
        <w:rPr>
          <w:sz w:val="24"/>
          <w:szCs w:val="24"/>
          <w:lang w:val="en-GB"/>
        </w:rPr>
        <w:t xml:space="preserve">ational </w:t>
      </w:r>
      <w:r>
        <w:rPr>
          <w:sz w:val="24"/>
          <w:szCs w:val="24"/>
          <w:lang w:val="en-GB"/>
        </w:rPr>
        <w:t>C</w:t>
      </w:r>
      <w:r w:rsidRPr="00BB7493">
        <w:rPr>
          <w:sz w:val="24"/>
          <w:szCs w:val="24"/>
          <w:lang w:val="en-GB"/>
        </w:rPr>
        <w:t>ulture for 16 languages/speech</w:t>
      </w:r>
      <w:r>
        <w:rPr>
          <w:sz w:val="24"/>
          <w:szCs w:val="24"/>
          <w:lang w:val="en-GB"/>
        </w:rPr>
        <w:t>es</w:t>
      </w:r>
      <w:r w:rsidRPr="00BB7493">
        <w:rPr>
          <w:sz w:val="24"/>
          <w:szCs w:val="24"/>
          <w:lang w:val="en-GB"/>
        </w:rPr>
        <w:t>. Reformed teaching and learning program</w:t>
      </w:r>
      <w:r w:rsidR="006D4C75">
        <w:rPr>
          <w:sz w:val="24"/>
          <w:szCs w:val="24"/>
          <w:lang w:val="en-GB"/>
        </w:rPr>
        <w:t>me</w:t>
      </w:r>
      <w:r w:rsidRPr="00BB7493">
        <w:rPr>
          <w:sz w:val="24"/>
          <w:szCs w:val="24"/>
          <w:lang w:val="en-GB"/>
        </w:rPr>
        <w:t xml:space="preserve">s were also adopted for </w:t>
      </w:r>
      <w:r w:rsidR="006D4C75">
        <w:rPr>
          <w:sz w:val="24"/>
          <w:szCs w:val="24"/>
          <w:lang w:val="en-GB"/>
        </w:rPr>
        <w:t>secondary</w:t>
      </w:r>
      <w:r w:rsidRPr="00BB7493">
        <w:rPr>
          <w:sz w:val="24"/>
          <w:szCs w:val="24"/>
          <w:lang w:val="en-GB"/>
        </w:rPr>
        <w:t xml:space="preserve"> schools and </w:t>
      </w:r>
      <w:r w:rsidR="006D4C75">
        <w:rPr>
          <w:sz w:val="24"/>
          <w:szCs w:val="24"/>
          <w:lang w:val="en-GB"/>
        </w:rPr>
        <w:t>grammar schools</w:t>
      </w:r>
      <w:r w:rsidRPr="00BB7493">
        <w:rPr>
          <w:sz w:val="24"/>
          <w:szCs w:val="24"/>
          <w:lang w:val="en-GB"/>
        </w:rPr>
        <w:t xml:space="preserve"> that teach in one of the eight languages of the national minority.</w:t>
      </w:r>
    </w:p>
    <w:p w14:paraId="4D64D3E8" w14:textId="58FB6EC8" w:rsidR="00BB7493" w:rsidRDefault="00BB7493" w:rsidP="00BB7493">
      <w:pPr>
        <w:spacing w:after="0"/>
        <w:ind w:firstLine="720"/>
        <w:jc w:val="both"/>
        <w:rPr>
          <w:sz w:val="24"/>
          <w:szCs w:val="24"/>
          <w:lang w:val="en-GB"/>
        </w:rPr>
      </w:pPr>
      <w:r w:rsidRPr="00BB7493">
        <w:rPr>
          <w:sz w:val="24"/>
          <w:szCs w:val="24"/>
          <w:lang w:val="en-GB"/>
        </w:rPr>
        <w:t xml:space="preserve">It is important to point out that the national councils of national minorities are the initiators of the preparation of textbooks, as well as that they prepare the list of selected textbooks in the languages of national minorities in cooperation with schools. </w:t>
      </w:r>
    </w:p>
    <w:p w14:paraId="30223D54" w14:textId="77777777" w:rsidR="004D086C" w:rsidRDefault="004D086C" w:rsidP="00A53AB8">
      <w:pPr>
        <w:spacing w:after="0"/>
        <w:ind w:firstLine="720"/>
        <w:jc w:val="both"/>
        <w:rPr>
          <w:sz w:val="24"/>
          <w:szCs w:val="24"/>
          <w:lang w:val="en-GB"/>
        </w:rPr>
      </w:pPr>
      <w:r>
        <w:rPr>
          <w:sz w:val="24"/>
          <w:szCs w:val="24"/>
          <w:lang w:val="en-GB"/>
        </w:rPr>
        <w:t>A</w:t>
      </w:r>
      <w:r w:rsidRPr="004D086C">
        <w:rPr>
          <w:sz w:val="24"/>
          <w:szCs w:val="24"/>
          <w:lang w:val="en-GB"/>
        </w:rPr>
        <w:t xml:space="preserve"> total of 9</w:t>
      </w:r>
      <w:r>
        <w:rPr>
          <w:sz w:val="24"/>
          <w:szCs w:val="24"/>
          <w:lang w:val="en-GB"/>
        </w:rPr>
        <w:t xml:space="preserve">46 textbook units are available </w:t>
      </w:r>
      <w:r w:rsidRPr="004D086C">
        <w:rPr>
          <w:sz w:val="24"/>
          <w:szCs w:val="24"/>
          <w:lang w:val="en-GB"/>
        </w:rPr>
        <w:t xml:space="preserve"> </w:t>
      </w:r>
      <w:r>
        <w:rPr>
          <w:sz w:val="24"/>
          <w:szCs w:val="24"/>
          <w:lang w:val="en-GB"/>
        </w:rPr>
        <w:t>i</w:t>
      </w:r>
      <w:r w:rsidRPr="004D086C">
        <w:rPr>
          <w:sz w:val="24"/>
          <w:szCs w:val="24"/>
          <w:lang w:val="en-GB"/>
        </w:rPr>
        <w:t>n the Catalog</w:t>
      </w:r>
      <w:r>
        <w:rPr>
          <w:sz w:val="24"/>
          <w:szCs w:val="24"/>
          <w:lang w:val="en-GB"/>
        </w:rPr>
        <w:t>ue</w:t>
      </w:r>
      <w:r w:rsidRPr="004D086C">
        <w:rPr>
          <w:sz w:val="24"/>
          <w:szCs w:val="24"/>
          <w:lang w:val="en-GB"/>
        </w:rPr>
        <w:t xml:space="preserve"> of </w:t>
      </w:r>
      <w:r>
        <w:rPr>
          <w:sz w:val="24"/>
          <w:szCs w:val="24"/>
          <w:lang w:val="en-GB"/>
        </w:rPr>
        <w:t>T</w:t>
      </w:r>
      <w:r w:rsidRPr="004D086C">
        <w:rPr>
          <w:sz w:val="24"/>
          <w:szCs w:val="24"/>
          <w:lang w:val="en-GB"/>
        </w:rPr>
        <w:t>extbooks in the Languages of National Minorities for the 2022/23 School Year</w:t>
      </w:r>
      <w:r w:rsidRPr="004D086C">
        <w:rPr>
          <w:rStyle w:val="FootnoteReference"/>
          <w:sz w:val="24"/>
          <w:szCs w:val="24"/>
          <w:lang w:val="en-GB"/>
        </w:rPr>
        <w:footnoteReference w:id="101"/>
      </w:r>
      <w:r w:rsidRPr="004D086C">
        <w:rPr>
          <w:sz w:val="24"/>
          <w:szCs w:val="24"/>
          <w:lang w:val="en-GB"/>
        </w:rPr>
        <w:t>, of which 482 were published according to the reformed teaching and learning program</w:t>
      </w:r>
      <w:r>
        <w:rPr>
          <w:sz w:val="24"/>
          <w:szCs w:val="24"/>
          <w:lang w:val="en-GB"/>
        </w:rPr>
        <w:t>me</w:t>
      </w:r>
      <w:r w:rsidRPr="004D086C">
        <w:rPr>
          <w:sz w:val="24"/>
          <w:szCs w:val="24"/>
          <w:lang w:val="en-GB"/>
        </w:rPr>
        <w:t>s. In addition, the Catalog</w:t>
      </w:r>
      <w:r>
        <w:rPr>
          <w:sz w:val="24"/>
          <w:szCs w:val="24"/>
          <w:lang w:val="en-GB"/>
        </w:rPr>
        <w:t>ue</w:t>
      </w:r>
      <w:r w:rsidRPr="004D086C">
        <w:rPr>
          <w:sz w:val="24"/>
          <w:szCs w:val="24"/>
          <w:lang w:val="en-GB"/>
        </w:rPr>
        <w:t xml:space="preserve"> contains 24 textbooks for the compulsory subject Serbian as a </w:t>
      </w:r>
      <w:r>
        <w:rPr>
          <w:sz w:val="24"/>
          <w:szCs w:val="24"/>
          <w:lang w:val="en-GB"/>
        </w:rPr>
        <w:t>N</w:t>
      </w:r>
      <w:r w:rsidRPr="004D086C">
        <w:rPr>
          <w:sz w:val="24"/>
          <w:szCs w:val="24"/>
          <w:lang w:val="en-GB"/>
        </w:rPr>
        <w:t>on-</w:t>
      </w:r>
      <w:r>
        <w:rPr>
          <w:sz w:val="24"/>
          <w:szCs w:val="24"/>
          <w:lang w:val="en-GB"/>
        </w:rPr>
        <w:t>N</w:t>
      </w:r>
      <w:r w:rsidRPr="004D086C">
        <w:rPr>
          <w:sz w:val="24"/>
          <w:szCs w:val="24"/>
          <w:lang w:val="en-GB"/>
        </w:rPr>
        <w:t xml:space="preserve">ative </w:t>
      </w:r>
      <w:r>
        <w:rPr>
          <w:sz w:val="24"/>
          <w:szCs w:val="24"/>
          <w:lang w:val="en-GB"/>
        </w:rPr>
        <w:t>L</w:t>
      </w:r>
      <w:r w:rsidRPr="004D086C">
        <w:rPr>
          <w:sz w:val="24"/>
          <w:szCs w:val="24"/>
          <w:lang w:val="en-GB"/>
        </w:rPr>
        <w:t>anguage.</w:t>
      </w:r>
    </w:p>
    <w:p w14:paraId="2C979563" w14:textId="498C7272" w:rsidR="00507A54" w:rsidRDefault="00507A54" w:rsidP="00A53AB8">
      <w:pPr>
        <w:spacing w:after="0"/>
        <w:ind w:firstLine="720"/>
        <w:jc w:val="both"/>
        <w:rPr>
          <w:sz w:val="24"/>
          <w:szCs w:val="24"/>
          <w:lang w:val="en-GB"/>
        </w:rPr>
      </w:pPr>
      <w:r w:rsidRPr="00507A54">
        <w:rPr>
          <w:sz w:val="24"/>
          <w:szCs w:val="24"/>
          <w:lang w:val="en-GB"/>
        </w:rPr>
        <w:t xml:space="preserve">Significant progress was made by establishing more efficient cooperation in the field of obtaining missing textbooks in the Albanian language. The relevant ministries of the Republic of Serbia and the Republic of Albania formed mixed working groups of experts, which work on models for obtaining textbooks in the Albanian and Serbian languages. In the Working Group formed by the Minister of Education of the Republic of Serbia in May 2019, in addition to representatives of competent authorities, there are also representatives of the National Council of the Albanian National Minority and the </w:t>
      </w:r>
      <w:r w:rsidR="00DB31DC" w:rsidRPr="00DB31DC">
        <w:rPr>
          <w:sz w:val="24"/>
          <w:szCs w:val="24"/>
          <w:lang w:val="en-GB"/>
        </w:rPr>
        <w:t xml:space="preserve">Government of Serbia Coordination Body for the Municipalities of </w:t>
      </w:r>
      <w:proofErr w:type="spellStart"/>
      <w:r w:rsidR="00DB31DC" w:rsidRPr="00DB31DC">
        <w:rPr>
          <w:sz w:val="24"/>
          <w:szCs w:val="24"/>
          <w:lang w:val="en-GB"/>
        </w:rPr>
        <w:t>Preševo</w:t>
      </w:r>
      <w:proofErr w:type="spellEnd"/>
      <w:r w:rsidR="00DB31DC" w:rsidRPr="00DB31DC">
        <w:rPr>
          <w:sz w:val="24"/>
          <w:szCs w:val="24"/>
          <w:lang w:val="en-GB"/>
        </w:rPr>
        <w:t xml:space="preserve">, </w:t>
      </w:r>
      <w:proofErr w:type="spellStart"/>
      <w:r w:rsidR="00DB31DC" w:rsidRPr="00DB31DC">
        <w:rPr>
          <w:sz w:val="24"/>
          <w:szCs w:val="24"/>
          <w:lang w:val="en-GB"/>
        </w:rPr>
        <w:t>Bujanovac</w:t>
      </w:r>
      <w:proofErr w:type="spellEnd"/>
      <w:r w:rsidR="00DB31DC" w:rsidRPr="00DB31DC">
        <w:rPr>
          <w:sz w:val="24"/>
          <w:szCs w:val="24"/>
          <w:lang w:val="en-GB"/>
        </w:rPr>
        <w:t xml:space="preserve"> and </w:t>
      </w:r>
      <w:proofErr w:type="spellStart"/>
      <w:r w:rsidR="00DB31DC" w:rsidRPr="00DB31DC">
        <w:rPr>
          <w:sz w:val="24"/>
          <w:szCs w:val="24"/>
          <w:lang w:val="en-GB"/>
        </w:rPr>
        <w:t>Medvedja</w:t>
      </w:r>
      <w:proofErr w:type="spellEnd"/>
      <w:r w:rsidR="00DB31DC">
        <w:rPr>
          <w:sz w:val="24"/>
          <w:szCs w:val="24"/>
          <w:lang w:val="sr-Cyrl-RS"/>
        </w:rPr>
        <w:t xml:space="preserve">. </w:t>
      </w:r>
      <w:r w:rsidRPr="00507A54">
        <w:rPr>
          <w:sz w:val="24"/>
          <w:szCs w:val="24"/>
          <w:lang w:val="en-GB"/>
        </w:rPr>
        <w:t xml:space="preserve">The work of this group resulted in an affirmative approach in approving textbooks in the Albanian language. </w:t>
      </w:r>
      <w:r>
        <w:rPr>
          <w:sz w:val="24"/>
          <w:szCs w:val="24"/>
          <w:lang w:val="en-GB"/>
        </w:rPr>
        <w:t>In fact</w:t>
      </w:r>
      <w:r w:rsidRPr="00507A54">
        <w:rPr>
          <w:sz w:val="24"/>
          <w:szCs w:val="24"/>
          <w:lang w:val="en-GB"/>
        </w:rPr>
        <w:t>, in the period from 2019 to 2022, the Committee for Expert Evaluation of the Quality of Textbook Manuscripts in the Albanian Language for Primary Schools reviewed and approved 43 textbook manuscripts in the Albanian language, which became part of the Catalog</w:t>
      </w:r>
      <w:r>
        <w:rPr>
          <w:sz w:val="24"/>
          <w:szCs w:val="24"/>
          <w:lang w:val="en-GB"/>
        </w:rPr>
        <w:t>ue</w:t>
      </w:r>
      <w:r w:rsidRPr="00507A54">
        <w:rPr>
          <w:sz w:val="24"/>
          <w:szCs w:val="24"/>
          <w:lang w:val="en-GB"/>
        </w:rPr>
        <w:t xml:space="preserve"> of Textbooks in the Languages of National Minorities. The published textbooks were made according to the reformed teaching and learning program</w:t>
      </w:r>
      <w:r w:rsidR="00F47272">
        <w:rPr>
          <w:sz w:val="24"/>
          <w:szCs w:val="24"/>
          <w:lang w:val="en-GB"/>
        </w:rPr>
        <w:t>me</w:t>
      </w:r>
      <w:r w:rsidRPr="00507A54">
        <w:rPr>
          <w:sz w:val="24"/>
          <w:szCs w:val="24"/>
          <w:lang w:val="en-GB"/>
        </w:rPr>
        <w:t xml:space="preserve">. For work in preschool institutions and teaching in primary and secondary schools for the 2022/2023 school year, there are 62 textbook units in the Albanian language available, of which 47 units </w:t>
      </w:r>
      <w:r w:rsidR="009F376E">
        <w:rPr>
          <w:sz w:val="24"/>
          <w:szCs w:val="24"/>
          <w:lang w:val="en-GB"/>
        </w:rPr>
        <w:t>comply with</w:t>
      </w:r>
      <w:r w:rsidRPr="00507A54">
        <w:rPr>
          <w:sz w:val="24"/>
          <w:szCs w:val="24"/>
          <w:lang w:val="en-GB"/>
        </w:rPr>
        <w:t xml:space="preserve"> the </w:t>
      </w:r>
      <w:r w:rsidRPr="00507A54">
        <w:rPr>
          <w:sz w:val="24"/>
          <w:szCs w:val="24"/>
          <w:lang w:val="en-GB"/>
        </w:rPr>
        <w:lastRenderedPageBreak/>
        <w:t>reforme</w:t>
      </w:r>
      <w:r w:rsidR="009F376E">
        <w:rPr>
          <w:sz w:val="24"/>
          <w:szCs w:val="24"/>
          <w:lang w:val="en-GB"/>
        </w:rPr>
        <w:t>d teaching and learning programme</w:t>
      </w:r>
      <w:r w:rsidRPr="00507A54">
        <w:rPr>
          <w:sz w:val="24"/>
          <w:szCs w:val="24"/>
          <w:lang w:val="en-GB"/>
        </w:rPr>
        <w:t xml:space="preserve">. </w:t>
      </w:r>
      <w:r w:rsidR="009F376E">
        <w:rPr>
          <w:sz w:val="24"/>
          <w:szCs w:val="24"/>
          <w:lang w:val="en-GB"/>
        </w:rPr>
        <w:t>This includes</w:t>
      </w:r>
      <w:r w:rsidRPr="00507A54">
        <w:rPr>
          <w:sz w:val="24"/>
          <w:szCs w:val="24"/>
          <w:lang w:val="en-GB"/>
        </w:rPr>
        <w:t xml:space="preserve"> four textbooks for the compulsory subject Serbian as a </w:t>
      </w:r>
      <w:r w:rsidR="009F376E">
        <w:rPr>
          <w:sz w:val="24"/>
          <w:szCs w:val="24"/>
          <w:lang w:val="en-GB"/>
        </w:rPr>
        <w:t>N</w:t>
      </w:r>
      <w:r w:rsidRPr="00507A54">
        <w:rPr>
          <w:sz w:val="24"/>
          <w:szCs w:val="24"/>
          <w:lang w:val="en-GB"/>
        </w:rPr>
        <w:t>on-</w:t>
      </w:r>
      <w:r w:rsidR="009F376E">
        <w:rPr>
          <w:sz w:val="24"/>
          <w:szCs w:val="24"/>
          <w:lang w:val="en-GB"/>
        </w:rPr>
        <w:t>N</w:t>
      </w:r>
      <w:r w:rsidRPr="00507A54">
        <w:rPr>
          <w:sz w:val="24"/>
          <w:szCs w:val="24"/>
          <w:lang w:val="en-GB"/>
        </w:rPr>
        <w:t xml:space="preserve">ative </w:t>
      </w:r>
      <w:r w:rsidR="009F376E">
        <w:rPr>
          <w:sz w:val="24"/>
          <w:szCs w:val="24"/>
          <w:lang w:val="en-GB"/>
        </w:rPr>
        <w:t>L</w:t>
      </w:r>
      <w:r w:rsidRPr="00507A54">
        <w:rPr>
          <w:sz w:val="24"/>
          <w:szCs w:val="24"/>
          <w:lang w:val="en-GB"/>
        </w:rPr>
        <w:t>anguage. As a special support for students who attend classes in the Albanian language, a Serbian-Albanian/Albanian-</w:t>
      </w:r>
      <w:r w:rsidRPr="009F376E">
        <w:rPr>
          <w:sz w:val="24"/>
          <w:szCs w:val="24"/>
          <w:lang w:val="en-GB"/>
        </w:rPr>
        <w:t>Serbian Little Dictionary/</w:t>
      </w:r>
      <w:proofErr w:type="spellStart"/>
      <w:r w:rsidR="009F376E" w:rsidRPr="009F376E">
        <w:rPr>
          <w:sz w:val="24"/>
          <w:szCs w:val="24"/>
          <w:lang w:val="en-GB"/>
        </w:rPr>
        <w:t>Fjalor</w:t>
      </w:r>
      <w:proofErr w:type="spellEnd"/>
      <w:r w:rsidR="009F376E" w:rsidRPr="009F376E">
        <w:rPr>
          <w:sz w:val="24"/>
          <w:szCs w:val="24"/>
          <w:lang w:val="en-GB"/>
        </w:rPr>
        <w:t xml:space="preserve"> </w:t>
      </w:r>
      <w:proofErr w:type="spellStart"/>
      <w:r w:rsidR="009F376E" w:rsidRPr="009F376E">
        <w:rPr>
          <w:sz w:val="24"/>
          <w:szCs w:val="24"/>
          <w:lang w:val="en-GB"/>
        </w:rPr>
        <w:t>i</w:t>
      </w:r>
      <w:proofErr w:type="spellEnd"/>
      <w:r w:rsidR="009F376E" w:rsidRPr="009F376E">
        <w:rPr>
          <w:sz w:val="24"/>
          <w:szCs w:val="24"/>
          <w:lang w:val="en-GB"/>
        </w:rPr>
        <w:t xml:space="preserve"> </w:t>
      </w:r>
      <w:proofErr w:type="spellStart"/>
      <w:r w:rsidR="009F376E" w:rsidRPr="009F376E">
        <w:rPr>
          <w:sz w:val="24"/>
          <w:szCs w:val="24"/>
          <w:lang w:val="en-GB"/>
        </w:rPr>
        <w:t>vogël</w:t>
      </w:r>
      <w:proofErr w:type="spellEnd"/>
      <w:r w:rsidR="009F376E" w:rsidRPr="009F376E">
        <w:rPr>
          <w:rStyle w:val="FootnoteReference"/>
          <w:sz w:val="24"/>
          <w:szCs w:val="24"/>
          <w:lang w:val="en-GB"/>
        </w:rPr>
        <w:footnoteReference w:id="102"/>
      </w:r>
      <w:r w:rsidR="009F376E" w:rsidRPr="009F376E">
        <w:rPr>
          <w:sz w:val="24"/>
          <w:szCs w:val="24"/>
          <w:lang w:val="en-GB"/>
        </w:rPr>
        <w:t xml:space="preserve"> </w:t>
      </w:r>
      <w:r w:rsidRPr="009F376E">
        <w:rPr>
          <w:sz w:val="24"/>
          <w:szCs w:val="24"/>
          <w:lang w:val="en-GB"/>
        </w:rPr>
        <w:t xml:space="preserve">was </w:t>
      </w:r>
      <w:r w:rsidR="009F376E" w:rsidRPr="009F376E">
        <w:rPr>
          <w:sz w:val="24"/>
          <w:szCs w:val="24"/>
          <w:lang w:val="en-GB"/>
        </w:rPr>
        <w:t>drafted</w:t>
      </w:r>
      <w:r w:rsidRPr="009F376E">
        <w:rPr>
          <w:sz w:val="24"/>
          <w:szCs w:val="24"/>
          <w:lang w:val="en-GB"/>
        </w:rPr>
        <w:t>, which was promoted and distributed in</w:t>
      </w:r>
      <w:r w:rsidRPr="00507A54">
        <w:rPr>
          <w:sz w:val="24"/>
          <w:szCs w:val="24"/>
          <w:lang w:val="en-GB"/>
        </w:rPr>
        <w:t xml:space="preserve"> 16 </w:t>
      </w:r>
      <w:r w:rsidR="009F376E">
        <w:rPr>
          <w:sz w:val="24"/>
          <w:szCs w:val="24"/>
          <w:lang w:val="en-GB"/>
        </w:rPr>
        <w:t>primary</w:t>
      </w:r>
      <w:r w:rsidRPr="00507A54">
        <w:rPr>
          <w:sz w:val="24"/>
          <w:szCs w:val="24"/>
          <w:lang w:val="en-GB"/>
        </w:rPr>
        <w:t xml:space="preserve"> schools with classes in the Albanian language in the municipalities of </w:t>
      </w:r>
      <w:proofErr w:type="spellStart"/>
      <w:r w:rsidRPr="00507A54">
        <w:rPr>
          <w:sz w:val="24"/>
          <w:szCs w:val="24"/>
          <w:lang w:val="en-GB"/>
        </w:rPr>
        <w:t>Preševo</w:t>
      </w:r>
      <w:proofErr w:type="spellEnd"/>
      <w:r w:rsidRPr="00507A54">
        <w:rPr>
          <w:sz w:val="24"/>
          <w:szCs w:val="24"/>
          <w:lang w:val="en-GB"/>
        </w:rPr>
        <w:t xml:space="preserve">, </w:t>
      </w:r>
      <w:proofErr w:type="spellStart"/>
      <w:r w:rsidRPr="00507A54">
        <w:rPr>
          <w:sz w:val="24"/>
          <w:szCs w:val="24"/>
          <w:lang w:val="en-GB"/>
        </w:rPr>
        <w:t>Bujanovac</w:t>
      </w:r>
      <w:proofErr w:type="spellEnd"/>
      <w:r w:rsidRPr="00507A54">
        <w:rPr>
          <w:sz w:val="24"/>
          <w:szCs w:val="24"/>
          <w:lang w:val="en-GB"/>
        </w:rPr>
        <w:t xml:space="preserve"> and </w:t>
      </w:r>
      <w:proofErr w:type="spellStart"/>
      <w:r w:rsidRPr="00507A54">
        <w:rPr>
          <w:sz w:val="24"/>
          <w:szCs w:val="24"/>
          <w:lang w:val="en-GB"/>
        </w:rPr>
        <w:t>Medveđa</w:t>
      </w:r>
      <w:proofErr w:type="spellEnd"/>
      <w:r w:rsidRPr="00507A54">
        <w:rPr>
          <w:sz w:val="24"/>
          <w:szCs w:val="24"/>
          <w:lang w:val="en-GB"/>
        </w:rPr>
        <w:t>.</w:t>
      </w:r>
    </w:p>
    <w:p w14:paraId="4E4AB096" w14:textId="0341566F" w:rsidR="005949B7" w:rsidRDefault="005949B7" w:rsidP="00831CE8">
      <w:pPr>
        <w:spacing w:after="0"/>
        <w:ind w:firstLine="720"/>
        <w:jc w:val="both"/>
        <w:rPr>
          <w:sz w:val="24"/>
          <w:szCs w:val="24"/>
          <w:lang w:val="en-GB"/>
        </w:rPr>
      </w:pPr>
      <w:r w:rsidRPr="005949B7">
        <w:rPr>
          <w:sz w:val="24"/>
          <w:szCs w:val="24"/>
          <w:lang w:val="en-GB"/>
        </w:rPr>
        <w:t xml:space="preserve">In the context of providing textbooks in the Albanian language, it is important to point out that the </w:t>
      </w:r>
      <w:r w:rsidR="006D36AF">
        <w:rPr>
          <w:sz w:val="24"/>
          <w:szCs w:val="24"/>
          <w:lang w:val="en-GB"/>
        </w:rPr>
        <w:t>Coordination Body</w:t>
      </w:r>
      <w:r w:rsidRPr="005949B7">
        <w:rPr>
          <w:sz w:val="24"/>
          <w:szCs w:val="24"/>
          <w:lang w:val="en-GB"/>
        </w:rPr>
        <w:t xml:space="preserve"> in cooperation with the Ministry of Education, Science and Technological Development and the National Council of the Albanian National Minority</w:t>
      </w:r>
      <w:r w:rsidR="000239F1">
        <w:rPr>
          <w:sz w:val="24"/>
          <w:szCs w:val="24"/>
          <w:lang w:val="en-GB"/>
        </w:rPr>
        <w:t xml:space="preserve"> </w:t>
      </w:r>
      <w:r w:rsidRPr="005949B7">
        <w:rPr>
          <w:sz w:val="24"/>
          <w:szCs w:val="24"/>
          <w:lang w:val="en-GB"/>
        </w:rPr>
        <w:t>provided additional funds to the National Council for the payment of fees to the respective publishing house in the amount of 1,080,000.00 dinars</w:t>
      </w:r>
      <w:r w:rsidR="000239F1" w:rsidRPr="005949B7">
        <w:rPr>
          <w:sz w:val="24"/>
          <w:szCs w:val="24"/>
          <w:lang w:val="en-GB"/>
        </w:rPr>
        <w:t>, for the 2020/2021</w:t>
      </w:r>
      <w:r w:rsidR="000239F1" w:rsidRPr="000239F1">
        <w:rPr>
          <w:sz w:val="24"/>
          <w:szCs w:val="24"/>
          <w:lang w:val="en-GB"/>
        </w:rPr>
        <w:t xml:space="preserve"> </w:t>
      </w:r>
      <w:r w:rsidR="000239F1" w:rsidRPr="005949B7">
        <w:rPr>
          <w:sz w:val="24"/>
          <w:szCs w:val="24"/>
          <w:lang w:val="en-GB"/>
        </w:rPr>
        <w:t>school year</w:t>
      </w:r>
      <w:r w:rsidR="000239F1">
        <w:rPr>
          <w:sz w:val="24"/>
          <w:szCs w:val="24"/>
          <w:lang w:val="en-GB"/>
        </w:rPr>
        <w:t>.</w:t>
      </w:r>
      <w:r w:rsidR="000239F1" w:rsidRPr="005949B7">
        <w:rPr>
          <w:sz w:val="24"/>
          <w:szCs w:val="24"/>
          <w:lang w:val="en-GB"/>
        </w:rPr>
        <w:t xml:space="preserve"> </w:t>
      </w:r>
      <w:r w:rsidRPr="005949B7">
        <w:rPr>
          <w:sz w:val="24"/>
          <w:szCs w:val="24"/>
          <w:lang w:val="en-GB"/>
        </w:rPr>
        <w:t xml:space="preserve">With these funds, 15 new textbooks were provided for </w:t>
      </w:r>
      <w:r w:rsidR="00113DCC">
        <w:rPr>
          <w:sz w:val="24"/>
          <w:szCs w:val="24"/>
          <w:lang w:val="en-GB"/>
        </w:rPr>
        <w:t>primary</w:t>
      </w:r>
      <w:r w:rsidRPr="005949B7">
        <w:rPr>
          <w:sz w:val="24"/>
          <w:szCs w:val="24"/>
          <w:lang w:val="en-GB"/>
        </w:rPr>
        <w:t xml:space="preserve"> schools where classes are taught in the Albanian language. 1,165,430.00 dinars were </w:t>
      </w:r>
      <w:r w:rsidR="00113DCC">
        <w:rPr>
          <w:sz w:val="24"/>
          <w:szCs w:val="24"/>
          <w:lang w:val="en-GB"/>
        </w:rPr>
        <w:t>allocated</w:t>
      </w:r>
      <w:r w:rsidR="00113DCC" w:rsidRPr="005949B7">
        <w:rPr>
          <w:sz w:val="24"/>
          <w:szCs w:val="24"/>
          <w:lang w:val="en-GB"/>
        </w:rPr>
        <w:t xml:space="preserve"> for the same purposes for the 2021/2022</w:t>
      </w:r>
      <w:r w:rsidR="00113DCC" w:rsidRPr="00113DCC">
        <w:rPr>
          <w:sz w:val="24"/>
          <w:szCs w:val="24"/>
          <w:lang w:val="en-GB"/>
        </w:rPr>
        <w:t xml:space="preserve"> </w:t>
      </w:r>
      <w:r w:rsidR="00113DCC" w:rsidRPr="005949B7">
        <w:rPr>
          <w:sz w:val="24"/>
          <w:szCs w:val="24"/>
          <w:lang w:val="en-GB"/>
        </w:rPr>
        <w:t>school year</w:t>
      </w:r>
      <w:r w:rsidRPr="005949B7">
        <w:rPr>
          <w:sz w:val="24"/>
          <w:szCs w:val="24"/>
          <w:lang w:val="en-GB"/>
        </w:rPr>
        <w:t xml:space="preserve">, for the provision of the seven </w:t>
      </w:r>
      <w:r w:rsidR="00113DCC">
        <w:rPr>
          <w:sz w:val="24"/>
          <w:szCs w:val="24"/>
          <w:lang w:val="en-GB"/>
        </w:rPr>
        <w:t xml:space="preserve">lacking </w:t>
      </w:r>
      <w:r w:rsidRPr="005949B7">
        <w:rPr>
          <w:sz w:val="24"/>
          <w:szCs w:val="24"/>
          <w:lang w:val="en-GB"/>
        </w:rPr>
        <w:t xml:space="preserve">textbook sets and 12 textbooks for </w:t>
      </w:r>
      <w:r w:rsidR="00113DCC">
        <w:rPr>
          <w:sz w:val="24"/>
          <w:szCs w:val="24"/>
          <w:lang w:val="en-GB"/>
        </w:rPr>
        <w:t>primary</w:t>
      </w:r>
      <w:r w:rsidRPr="005949B7">
        <w:rPr>
          <w:sz w:val="24"/>
          <w:szCs w:val="24"/>
          <w:lang w:val="en-GB"/>
        </w:rPr>
        <w:t xml:space="preserve"> schools where classes are taught in the Albanian language.</w:t>
      </w:r>
    </w:p>
    <w:p w14:paraId="2265381F" w14:textId="77777777" w:rsidR="00514320" w:rsidRPr="00D62D04" w:rsidRDefault="00514320" w:rsidP="00510398">
      <w:pPr>
        <w:spacing w:after="0"/>
        <w:jc w:val="both"/>
        <w:rPr>
          <w:sz w:val="24"/>
          <w:szCs w:val="24"/>
          <w:highlight w:val="cyan"/>
          <w:lang w:val="en-GB"/>
        </w:rPr>
      </w:pPr>
    </w:p>
    <w:p w14:paraId="2026B7A2" w14:textId="77777777" w:rsidR="00514320" w:rsidRPr="00A05301" w:rsidRDefault="00514320" w:rsidP="00510398">
      <w:pPr>
        <w:spacing w:after="0"/>
        <w:jc w:val="both"/>
        <w:rPr>
          <w:i/>
          <w:sz w:val="24"/>
          <w:szCs w:val="24"/>
          <w:lang w:val="en-GB"/>
        </w:rPr>
      </w:pPr>
      <w:r w:rsidRPr="00A05301">
        <w:rPr>
          <w:i/>
          <w:sz w:val="24"/>
          <w:szCs w:val="24"/>
          <w:lang w:val="en-GB"/>
        </w:rPr>
        <w:t xml:space="preserve">106. </w:t>
      </w:r>
      <w:r w:rsidR="00A05301" w:rsidRPr="00A05301">
        <w:rPr>
          <w:i/>
          <w:sz w:val="24"/>
          <w:szCs w:val="24"/>
          <w:lang w:val="en-GB"/>
        </w:rPr>
        <w:t>The Advisory Committee encourages the authorities to improve the availability and quality of teaching in the state language, including when it is taught as a second language, through a balanced approach that includes parallel measures for the protection and promotion of minority languages.</w:t>
      </w:r>
    </w:p>
    <w:p w14:paraId="085F8870" w14:textId="19B0F1DB" w:rsidR="0056662A" w:rsidRDefault="00EA00C5" w:rsidP="00EA00C5">
      <w:pPr>
        <w:spacing w:after="0"/>
        <w:ind w:firstLine="720"/>
        <w:jc w:val="both"/>
        <w:rPr>
          <w:sz w:val="24"/>
          <w:szCs w:val="24"/>
          <w:lang w:val="en-GB"/>
        </w:rPr>
      </w:pPr>
      <w:r w:rsidRPr="00EA00C5">
        <w:rPr>
          <w:sz w:val="24"/>
          <w:szCs w:val="24"/>
          <w:lang w:val="en-GB"/>
        </w:rPr>
        <w:t xml:space="preserve">The </w:t>
      </w:r>
      <w:r>
        <w:rPr>
          <w:sz w:val="24"/>
          <w:szCs w:val="24"/>
          <w:lang w:val="en-GB"/>
        </w:rPr>
        <w:t>response</w:t>
      </w:r>
      <w:r w:rsidRPr="00EA00C5">
        <w:rPr>
          <w:sz w:val="24"/>
          <w:szCs w:val="24"/>
          <w:lang w:val="en-GB"/>
        </w:rPr>
        <w:t xml:space="preserve"> to this recommendation is </w:t>
      </w:r>
      <w:r>
        <w:rPr>
          <w:sz w:val="24"/>
          <w:szCs w:val="24"/>
          <w:lang w:val="en-GB"/>
        </w:rPr>
        <w:t>given</w:t>
      </w:r>
      <w:r w:rsidRPr="00EA00C5">
        <w:rPr>
          <w:sz w:val="24"/>
          <w:szCs w:val="24"/>
          <w:lang w:val="en-GB"/>
        </w:rPr>
        <w:t xml:space="preserve"> in the </w:t>
      </w:r>
      <w:r>
        <w:rPr>
          <w:sz w:val="24"/>
          <w:szCs w:val="24"/>
          <w:lang w:val="en-GB"/>
        </w:rPr>
        <w:t>response</w:t>
      </w:r>
      <w:r w:rsidRPr="00EA00C5">
        <w:rPr>
          <w:sz w:val="24"/>
          <w:szCs w:val="24"/>
          <w:lang w:val="en-GB"/>
        </w:rPr>
        <w:t xml:space="preserve"> to recommendation 11 </w:t>
      </w:r>
      <w:r>
        <w:rPr>
          <w:sz w:val="24"/>
          <w:szCs w:val="24"/>
          <w:lang w:val="en-GB"/>
        </w:rPr>
        <w:t>of</w:t>
      </w:r>
      <w:r w:rsidRPr="00EA00C5">
        <w:rPr>
          <w:sz w:val="24"/>
          <w:szCs w:val="24"/>
          <w:lang w:val="en-GB"/>
        </w:rPr>
        <w:t xml:space="preserve"> the </w:t>
      </w:r>
      <w:r w:rsidR="00AC33C4">
        <w:rPr>
          <w:sz w:val="24"/>
          <w:szCs w:val="24"/>
          <w:lang w:val="en-GB"/>
        </w:rPr>
        <w:t>Committee of Ministers Resolution</w:t>
      </w:r>
      <w:r w:rsidRPr="00EA00C5">
        <w:rPr>
          <w:sz w:val="24"/>
          <w:szCs w:val="24"/>
          <w:lang w:val="en-GB"/>
        </w:rPr>
        <w:t>.</w:t>
      </w:r>
    </w:p>
    <w:p w14:paraId="5401E835" w14:textId="77777777" w:rsidR="00EA00C5" w:rsidRPr="00D62D04" w:rsidRDefault="00EA00C5" w:rsidP="0056662A">
      <w:pPr>
        <w:spacing w:after="0"/>
        <w:jc w:val="both"/>
        <w:rPr>
          <w:sz w:val="24"/>
          <w:szCs w:val="24"/>
          <w:highlight w:val="cyan"/>
          <w:lang w:val="en-GB"/>
        </w:rPr>
      </w:pPr>
    </w:p>
    <w:p w14:paraId="683629F2" w14:textId="77777777" w:rsidR="0056662A" w:rsidRPr="00EA00C5" w:rsidRDefault="00EA00C5" w:rsidP="00F333CD">
      <w:pPr>
        <w:pStyle w:val="Heading2"/>
        <w:jc w:val="center"/>
        <w:rPr>
          <w:rFonts w:ascii="Times New Roman" w:hAnsi="Times New Roman" w:cs="Times New Roman"/>
          <w:b/>
          <w:sz w:val="24"/>
          <w:szCs w:val="24"/>
          <w:lang w:val="en-GB"/>
        </w:rPr>
      </w:pPr>
      <w:bookmarkStart w:id="33" w:name="_Toc112932734"/>
      <w:r w:rsidRPr="00EA00C5">
        <w:rPr>
          <w:rFonts w:ascii="Times New Roman" w:hAnsi="Times New Roman" w:cs="Times New Roman"/>
          <w:b/>
          <w:color w:val="auto"/>
          <w:sz w:val="24"/>
          <w:szCs w:val="24"/>
          <w:lang w:val="en-GB"/>
        </w:rPr>
        <w:t>Article</w:t>
      </w:r>
      <w:r w:rsidR="0056662A" w:rsidRPr="00EA00C5">
        <w:rPr>
          <w:rFonts w:ascii="Times New Roman" w:hAnsi="Times New Roman" w:cs="Times New Roman"/>
          <w:b/>
          <w:color w:val="auto"/>
          <w:sz w:val="24"/>
          <w:szCs w:val="24"/>
          <w:lang w:val="en-GB"/>
        </w:rPr>
        <w:t xml:space="preserve"> 15</w:t>
      </w:r>
      <w:r w:rsidRPr="00EA00C5">
        <w:rPr>
          <w:rFonts w:ascii="Times New Roman" w:hAnsi="Times New Roman" w:cs="Times New Roman"/>
          <w:b/>
          <w:color w:val="auto"/>
          <w:sz w:val="24"/>
          <w:szCs w:val="24"/>
          <w:lang w:val="en-GB"/>
        </w:rPr>
        <w:t xml:space="preserve"> of the Framework Convention</w:t>
      </w:r>
      <w:bookmarkEnd w:id="33"/>
      <w:r w:rsidR="0056662A" w:rsidRPr="00EA00C5">
        <w:rPr>
          <w:rFonts w:ascii="Times New Roman" w:hAnsi="Times New Roman" w:cs="Times New Roman"/>
          <w:b/>
          <w:color w:val="auto"/>
          <w:sz w:val="24"/>
          <w:szCs w:val="24"/>
          <w:lang w:val="en-GB"/>
        </w:rPr>
        <w:t xml:space="preserve"> </w:t>
      </w:r>
    </w:p>
    <w:p w14:paraId="00F409F3" w14:textId="77777777" w:rsidR="0056662A" w:rsidRPr="00D62D04" w:rsidRDefault="00EA00C5" w:rsidP="00F333CD">
      <w:pPr>
        <w:pStyle w:val="Heading3"/>
        <w:jc w:val="center"/>
        <w:rPr>
          <w:rFonts w:ascii="Times New Roman" w:hAnsi="Times New Roman" w:cs="Times New Roman"/>
          <w:b/>
          <w:highlight w:val="cyan"/>
          <w:lang w:val="en-GB"/>
        </w:rPr>
      </w:pPr>
      <w:bookmarkStart w:id="34" w:name="_Toc112932735"/>
      <w:r w:rsidRPr="00EA00C5">
        <w:rPr>
          <w:rFonts w:ascii="Times New Roman" w:hAnsi="Times New Roman" w:cs="Times New Roman"/>
          <w:b/>
          <w:color w:val="auto"/>
          <w:lang w:val="en-GB"/>
        </w:rPr>
        <w:t>Institutional framework for the participation of national minorities in the decision-making process</w:t>
      </w:r>
      <w:bookmarkEnd w:id="34"/>
    </w:p>
    <w:p w14:paraId="2D2E6B5F" w14:textId="77777777" w:rsidR="0056662A" w:rsidRPr="00D62D04" w:rsidRDefault="0056662A" w:rsidP="0056662A">
      <w:pPr>
        <w:spacing w:after="0"/>
        <w:jc w:val="both"/>
        <w:rPr>
          <w:i/>
          <w:sz w:val="24"/>
          <w:szCs w:val="24"/>
          <w:highlight w:val="cyan"/>
          <w:lang w:val="en-GB"/>
        </w:rPr>
      </w:pPr>
    </w:p>
    <w:p w14:paraId="68D9E8E9" w14:textId="77777777" w:rsidR="007C3D88" w:rsidRDefault="0056662A" w:rsidP="0056662A">
      <w:pPr>
        <w:spacing w:after="0"/>
        <w:jc w:val="both"/>
        <w:rPr>
          <w:i/>
          <w:sz w:val="24"/>
          <w:szCs w:val="24"/>
          <w:lang w:val="en-GB"/>
        </w:rPr>
      </w:pPr>
      <w:r w:rsidRPr="007C3D88">
        <w:rPr>
          <w:i/>
          <w:sz w:val="24"/>
          <w:szCs w:val="24"/>
          <w:lang w:val="en-GB"/>
        </w:rPr>
        <w:t xml:space="preserve">114. </w:t>
      </w:r>
      <w:r w:rsidR="007C3D88" w:rsidRPr="007C3D88">
        <w:rPr>
          <w:i/>
          <w:sz w:val="24"/>
          <w:szCs w:val="24"/>
          <w:lang w:val="en-GB"/>
        </w:rPr>
        <w:t>The Advisory Committee calls on the authorities to monitor and periodically review the implementation of the Law on National Councils of National Minorities in consultation with the councils themselves and to commission an independent qualitative study on the functioning of the councils, including an assessment of their inclusiveness, independence and representativeness, as well as their ability to initiate intercultural dialogue and strengthen inter-ethnic relations.</w:t>
      </w:r>
    </w:p>
    <w:p w14:paraId="0AC93057" w14:textId="77777777" w:rsidR="0056662A" w:rsidRPr="00D62D04" w:rsidRDefault="0056662A" w:rsidP="0056662A">
      <w:pPr>
        <w:spacing w:after="0"/>
        <w:jc w:val="both"/>
        <w:rPr>
          <w:i/>
          <w:sz w:val="24"/>
          <w:szCs w:val="24"/>
          <w:highlight w:val="cyan"/>
          <w:lang w:val="en-GB"/>
        </w:rPr>
      </w:pPr>
    </w:p>
    <w:p w14:paraId="635034CC" w14:textId="5D09A895" w:rsidR="007C3D88" w:rsidRDefault="007C3D88" w:rsidP="0056662A">
      <w:pPr>
        <w:spacing w:after="0"/>
        <w:ind w:firstLine="720"/>
        <w:jc w:val="both"/>
        <w:rPr>
          <w:sz w:val="24"/>
          <w:szCs w:val="24"/>
          <w:lang w:val="en-GB"/>
        </w:rPr>
      </w:pPr>
      <w:r w:rsidRPr="007C3D88">
        <w:rPr>
          <w:sz w:val="24"/>
          <w:szCs w:val="24"/>
          <w:lang w:val="en-GB"/>
        </w:rPr>
        <w:t xml:space="preserve">The </w:t>
      </w:r>
      <w:r>
        <w:rPr>
          <w:sz w:val="24"/>
          <w:szCs w:val="24"/>
          <w:lang w:val="en-GB"/>
        </w:rPr>
        <w:t>response</w:t>
      </w:r>
      <w:r w:rsidRPr="007C3D88">
        <w:rPr>
          <w:sz w:val="24"/>
          <w:szCs w:val="24"/>
          <w:lang w:val="en-GB"/>
        </w:rPr>
        <w:t xml:space="preserve"> to this recommendation is </w:t>
      </w:r>
      <w:r>
        <w:rPr>
          <w:sz w:val="24"/>
          <w:szCs w:val="24"/>
          <w:lang w:val="en-GB"/>
        </w:rPr>
        <w:t xml:space="preserve">given </w:t>
      </w:r>
      <w:r w:rsidRPr="007C3D88">
        <w:rPr>
          <w:sz w:val="24"/>
          <w:szCs w:val="24"/>
          <w:lang w:val="en-GB"/>
        </w:rPr>
        <w:t xml:space="preserve">in the </w:t>
      </w:r>
      <w:r>
        <w:rPr>
          <w:sz w:val="24"/>
          <w:szCs w:val="24"/>
          <w:lang w:val="en-GB"/>
        </w:rPr>
        <w:t>response</w:t>
      </w:r>
      <w:r w:rsidRPr="007C3D88">
        <w:rPr>
          <w:sz w:val="24"/>
          <w:szCs w:val="24"/>
          <w:lang w:val="en-GB"/>
        </w:rPr>
        <w:t xml:space="preserve"> to recommendation 12 </w:t>
      </w:r>
      <w:r>
        <w:rPr>
          <w:sz w:val="24"/>
          <w:szCs w:val="24"/>
          <w:lang w:val="en-GB"/>
        </w:rPr>
        <w:t>of</w:t>
      </w:r>
      <w:r w:rsidRPr="007C3D88">
        <w:rPr>
          <w:sz w:val="24"/>
          <w:szCs w:val="24"/>
          <w:lang w:val="en-GB"/>
        </w:rPr>
        <w:t xml:space="preserve"> the </w:t>
      </w:r>
      <w:r w:rsidR="00AC33C4">
        <w:rPr>
          <w:sz w:val="24"/>
          <w:szCs w:val="24"/>
          <w:lang w:val="en-GB"/>
        </w:rPr>
        <w:t>Committee of Ministers Resolution</w:t>
      </w:r>
      <w:r w:rsidRPr="007C3D88">
        <w:rPr>
          <w:sz w:val="24"/>
          <w:szCs w:val="24"/>
          <w:lang w:val="en-GB"/>
        </w:rPr>
        <w:t>.</w:t>
      </w:r>
    </w:p>
    <w:p w14:paraId="170662FC" w14:textId="77777777" w:rsidR="0056662A" w:rsidRPr="00D62D04" w:rsidRDefault="0056662A" w:rsidP="0056662A">
      <w:pPr>
        <w:spacing w:after="0"/>
        <w:jc w:val="both"/>
        <w:rPr>
          <w:sz w:val="24"/>
          <w:szCs w:val="24"/>
          <w:highlight w:val="cyan"/>
          <w:lang w:val="en-GB"/>
        </w:rPr>
      </w:pPr>
    </w:p>
    <w:p w14:paraId="6B100E19" w14:textId="77777777" w:rsidR="00BE6F44" w:rsidRDefault="007D718E" w:rsidP="0056662A">
      <w:pPr>
        <w:spacing w:after="0"/>
        <w:jc w:val="both"/>
        <w:rPr>
          <w:i/>
          <w:sz w:val="24"/>
          <w:szCs w:val="24"/>
          <w:lang w:val="en-GB"/>
        </w:rPr>
      </w:pPr>
      <w:r w:rsidRPr="00BE6F44">
        <w:rPr>
          <w:i/>
          <w:sz w:val="24"/>
          <w:szCs w:val="24"/>
          <w:lang w:val="en-GB"/>
        </w:rPr>
        <w:t xml:space="preserve">115. </w:t>
      </w:r>
      <w:r w:rsidR="00BE6F44" w:rsidRPr="00BE6F44">
        <w:rPr>
          <w:i/>
          <w:sz w:val="24"/>
          <w:szCs w:val="24"/>
          <w:lang w:val="en-GB"/>
        </w:rPr>
        <w:t>The Advisory Committee calls on the authorities, especially at the local level, to devise and implement new ways of representing and effectively including members of national minorities in the decision-making process, in all areas where national minorities are traditionally inhabited or where they live in large numbers, including bigger cities.</w:t>
      </w:r>
    </w:p>
    <w:p w14:paraId="61F9C9E5" w14:textId="77777777" w:rsidR="007D718E" w:rsidRPr="00D62D04" w:rsidRDefault="007D718E" w:rsidP="0056662A">
      <w:pPr>
        <w:spacing w:after="0"/>
        <w:jc w:val="both"/>
        <w:rPr>
          <w:i/>
          <w:sz w:val="24"/>
          <w:szCs w:val="24"/>
          <w:highlight w:val="cyan"/>
          <w:lang w:val="en-GB"/>
        </w:rPr>
      </w:pPr>
    </w:p>
    <w:p w14:paraId="46C336EC" w14:textId="77777777" w:rsidR="007C175A" w:rsidRDefault="00355C97" w:rsidP="00355C97">
      <w:pPr>
        <w:spacing w:after="0"/>
        <w:jc w:val="both"/>
        <w:rPr>
          <w:sz w:val="24"/>
          <w:szCs w:val="24"/>
          <w:lang w:val="en-GB"/>
        </w:rPr>
      </w:pPr>
      <w:r w:rsidRPr="007C175A">
        <w:rPr>
          <w:sz w:val="24"/>
          <w:szCs w:val="24"/>
          <w:lang w:val="en-GB"/>
        </w:rPr>
        <w:lastRenderedPageBreak/>
        <w:tab/>
      </w:r>
      <w:r w:rsidR="007C175A" w:rsidRPr="007C175A">
        <w:rPr>
          <w:sz w:val="24"/>
          <w:szCs w:val="24"/>
          <w:lang w:val="en-GB"/>
        </w:rPr>
        <w:t>The authorities of the Republic of Serbia indicate that an extensive legal framework for the representation and effective inclusion of members of national minorities in the decision-making process from the state to the local level is provided for by the Constitution and the corresponding legislation that is effectively applied, about which the Advisory Committee was informed in detail in prev</w:t>
      </w:r>
      <w:r w:rsidR="0002593E">
        <w:rPr>
          <w:sz w:val="24"/>
          <w:szCs w:val="24"/>
          <w:lang w:val="en-GB"/>
        </w:rPr>
        <w:t>ious reports and state comments</w:t>
      </w:r>
      <w:r w:rsidR="007C175A" w:rsidRPr="007C175A">
        <w:rPr>
          <w:sz w:val="24"/>
          <w:szCs w:val="24"/>
          <w:lang w:val="en-GB"/>
        </w:rPr>
        <w:t xml:space="preserve"> about which </w:t>
      </w:r>
      <w:r w:rsidR="0002593E">
        <w:rPr>
          <w:sz w:val="24"/>
          <w:szCs w:val="24"/>
          <w:lang w:val="en-GB"/>
        </w:rPr>
        <w:t>it mainly</w:t>
      </w:r>
      <w:r w:rsidR="007C175A" w:rsidRPr="007C175A">
        <w:rPr>
          <w:sz w:val="24"/>
          <w:szCs w:val="24"/>
          <w:lang w:val="en-GB"/>
        </w:rPr>
        <w:t xml:space="preserve"> spoke positively. In this sense, we emphasi</w:t>
      </w:r>
      <w:r w:rsidR="00C03E24">
        <w:rPr>
          <w:sz w:val="24"/>
          <w:szCs w:val="24"/>
          <w:lang w:val="en-GB"/>
        </w:rPr>
        <w:t>s</w:t>
      </w:r>
      <w:r w:rsidR="007C175A" w:rsidRPr="007C175A">
        <w:rPr>
          <w:sz w:val="24"/>
          <w:szCs w:val="24"/>
          <w:lang w:val="en-GB"/>
        </w:rPr>
        <w:t>e that designing and implementing new ways of representing and effectively including members of national minorities can refer to the participation of civil society organi</w:t>
      </w:r>
      <w:r w:rsidR="00C03E24">
        <w:rPr>
          <w:sz w:val="24"/>
          <w:szCs w:val="24"/>
          <w:lang w:val="en-GB"/>
        </w:rPr>
        <w:t>s</w:t>
      </w:r>
      <w:r w:rsidR="007C175A" w:rsidRPr="007C175A">
        <w:rPr>
          <w:sz w:val="24"/>
          <w:szCs w:val="24"/>
          <w:lang w:val="en-GB"/>
        </w:rPr>
        <w:t>ations that gather members of national minorities and citizens - members of national minorities in the processes of creating and implementing public policies through the submission of appropriate initiatives, public consultations, public hearings, etc.</w:t>
      </w:r>
    </w:p>
    <w:p w14:paraId="4A1EE8AE" w14:textId="77777777" w:rsidR="00F33975" w:rsidRDefault="00F33975" w:rsidP="005567B0">
      <w:pPr>
        <w:spacing w:after="0"/>
        <w:ind w:firstLine="720"/>
        <w:jc w:val="both"/>
        <w:rPr>
          <w:sz w:val="24"/>
          <w:szCs w:val="24"/>
          <w:lang w:val="en-GB"/>
        </w:rPr>
      </w:pPr>
      <w:r w:rsidRPr="00F33975">
        <w:rPr>
          <w:sz w:val="24"/>
          <w:szCs w:val="24"/>
          <w:lang w:val="en-GB"/>
        </w:rPr>
        <w:t xml:space="preserve">Such an approach </w:t>
      </w:r>
      <w:r>
        <w:rPr>
          <w:sz w:val="24"/>
          <w:szCs w:val="24"/>
          <w:lang w:val="en-GB"/>
        </w:rPr>
        <w:t>has</w:t>
      </w:r>
      <w:r w:rsidRPr="00F33975">
        <w:rPr>
          <w:sz w:val="24"/>
          <w:szCs w:val="24"/>
          <w:lang w:val="en-GB"/>
        </w:rPr>
        <w:t xml:space="preserve"> also</w:t>
      </w:r>
      <w:r>
        <w:rPr>
          <w:sz w:val="24"/>
          <w:szCs w:val="24"/>
          <w:lang w:val="en-GB"/>
        </w:rPr>
        <w:t xml:space="preserve"> been</w:t>
      </w:r>
      <w:r w:rsidRPr="00F33975">
        <w:rPr>
          <w:sz w:val="24"/>
          <w:szCs w:val="24"/>
          <w:lang w:val="en-GB"/>
        </w:rPr>
        <w:t xml:space="preserve"> recogni</w:t>
      </w:r>
      <w:r>
        <w:rPr>
          <w:sz w:val="24"/>
          <w:szCs w:val="24"/>
          <w:lang w:val="en-GB"/>
        </w:rPr>
        <w:t>s</w:t>
      </w:r>
      <w:r w:rsidRPr="00F33975">
        <w:rPr>
          <w:sz w:val="24"/>
          <w:szCs w:val="24"/>
          <w:lang w:val="en-GB"/>
        </w:rPr>
        <w:t>ed in the Strategy for the creation of an encouraging environment for the development of civil society in the Republic of Serbia for the period from 2022-2030</w:t>
      </w:r>
      <w:r w:rsidRPr="00F33975">
        <w:rPr>
          <w:rStyle w:val="FootnoteReference"/>
          <w:sz w:val="24"/>
          <w:szCs w:val="24"/>
          <w:lang w:val="en-GB"/>
        </w:rPr>
        <w:footnoteReference w:id="103"/>
      </w:r>
      <w:r w:rsidRPr="00F33975">
        <w:rPr>
          <w:sz w:val="24"/>
          <w:szCs w:val="24"/>
          <w:lang w:val="en-GB"/>
        </w:rPr>
        <w:t xml:space="preserve"> in which it is emphasised that for the achievement of general interests, goals and values, civil society primarily uses the principles and mechanisms of participatory democracy, in a partnership, institutionally and normatively regulated relationship with public authorities at the national, provincial, and especially at the local level. </w:t>
      </w:r>
      <w:r>
        <w:rPr>
          <w:sz w:val="24"/>
          <w:szCs w:val="24"/>
          <w:lang w:val="en-GB"/>
        </w:rPr>
        <w:t>A</w:t>
      </w:r>
      <w:r w:rsidRPr="00F33975">
        <w:rPr>
          <w:sz w:val="24"/>
          <w:szCs w:val="24"/>
          <w:lang w:val="en-GB"/>
        </w:rPr>
        <w:t xml:space="preserve">ccording to this </w:t>
      </w:r>
      <w:r>
        <w:rPr>
          <w:sz w:val="24"/>
          <w:szCs w:val="24"/>
          <w:lang w:val="en-GB"/>
        </w:rPr>
        <w:t>S</w:t>
      </w:r>
      <w:r w:rsidRPr="00F33975">
        <w:rPr>
          <w:sz w:val="24"/>
          <w:szCs w:val="24"/>
          <w:lang w:val="en-GB"/>
        </w:rPr>
        <w:t>trategy</w:t>
      </w:r>
      <w:r>
        <w:rPr>
          <w:sz w:val="24"/>
          <w:szCs w:val="24"/>
          <w:lang w:val="en-GB"/>
        </w:rPr>
        <w:t>,</w:t>
      </w:r>
      <w:r w:rsidRPr="00F33975">
        <w:rPr>
          <w:sz w:val="24"/>
          <w:szCs w:val="24"/>
          <w:lang w:val="en-GB"/>
        </w:rPr>
        <w:t xml:space="preserve"> </w:t>
      </w:r>
      <w:r>
        <w:rPr>
          <w:sz w:val="24"/>
          <w:szCs w:val="24"/>
          <w:lang w:val="en-GB"/>
        </w:rPr>
        <w:t>u</w:t>
      </w:r>
      <w:r w:rsidRPr="00F33975">
        <w:rPr>
          <w:sz w:val="24"/>
          <w:szCs w:val="24"/>
          <w:lang w:val="en-GB"/>
        </w:rPr>
        <w:t>sing the mechanisms of participatory democracy, citizens as individuals or organi</w:t>
      </w:r>
      <w:r>
        <w:rPr>
          <w:sz w:val="24"/>
          <w:szCs w:val="24"/>
          <w:lang w:val="en-GB"/>
        </w:rPr>
        <w:t>s</w:t>
      </w:r>
      <w:r w:rsidRPr="00F33975">
        <w:rPr>
          <w:sz w:val="24"/>
          <w:szCs w:val="24"/>
          <w:lang w:val="en-GB"/>
        </w:rPr>
        <w:t>ed within a civil society organi</w:t>
      </w:r>
      <w:r>
        <w:rPr>
          <w:sz w:val="24"/>
          <w:szCs w:val="24"/>
          <w:lang w:val="en-GB"/>
        </w:rPr>
        <w:t>s</w:t>
      </w:r>
      <w:r w:rsidRPr="00F33975">
        <w:rPr>
          <w:sz w:val="24"/>
          <w:szCs w:val="24"/>
          <w:lang w:val="en-GB"/>
        </w:rPr>
        <w:t>ation</w:t>
      </w:r>
      <w:r>
        <w:rPr>
          <w:sz w:val="24"/>
          <w:szCs w:val="24"/>
          <w:lang w:val="en-GB"/>
        </w:rPr>
        <w:t xml:space="preserve"> </w:t>
      </w:r>
      <w:r w:rsidRPr="00F33975">
        <w:rPr>
          <w:sz w:val="24"/>
          <w:szCs w:val="24"/>
          <w:lang w:val="en-GB"/>
        </w:rPr>
        <w:t>have the opportunity to influence decision-making processes and participate in socio-political life, not only during elections, but whenever they feel it is necessary.</w:t>
      </w:r>
    </w:p>
    <w:p w14:paraId="1ED13919" w14:textId="77777777" w:rsidR="00844024" w:rsidRPr="00844024" w:rsidRDefault="00844024" w:rsidP="00844024">
      <w:pPr>
        <w:spacing w:after="0"/>
        <w:ind w:firstLine="720"/>
        <w:jc w:val="both"/>
        <w:rPr>
          <w:sz w:val="24"/>
          <w:szCs w:val="24"/>
          <w:lang w:val="en-GB"/>
        </w:rPr>
      </w:pPr>
      <w:r w:rsidRPr="00844024">
        <w:rPr>
          <w:sz w:val="24"/>
          <w:szCs w:val="24"/>
          <w:lang w:val="en-GB"/>
        </w:rPr>
        <w:t>Also, in the Strategy for the Social Inclusion of Roma, it is emphasi</w:t>
      </w:r>
      <w:r w:rsidR="00FA1B79">
        <w:rPr>
          <w:sz w:val="24"/>
          <w:szCs w:val="24"/>
          <w:lang w:val="en-GB"/>
        </w:rPr>
        <w:t>s</w:t>
      </w:r>
      <w:r w:rsidRPr="00844024">
        <w:rPr>
          <w:sz w:val="24"/>
          <w:szCs w:val="24"/>
          <w:lang w:val="en-GB"/>
        </w:rPr>
        <w:t xml:space="preserve">ed that the proposed </w:t>
      </w:r>
      <w:r w:rsidR="00FA1B79">
        <w:rPr>
          <w:sz w:val="24"/>
          <w:szCs w:val="24"/>
          <w:lang w:val="en-GB"/>
        </w:rPr>
        <w:t>objectives</w:t>
      </w:r>
      <w:r w:rsidRPr="00844024">
        <w:rPr>
          <w:sz w:val="24"/>
          <w:szCs w:val="24"/>
          <w:lang w:val="en-GB"/>
        </w:rPr>
        <w:t xml:space="preserve"> and measures are based, among other things, on the principles of the full participation of Roma </w:t>
      </w:r>
      <w:r w:rsidR="00FA1B79">
        <w:rPr>
          <w:sz w:val="24"/>
          <w:szCs w:val="24"/>
          <w:lang w:val="en-GB"/>
        </w:rPr>
        <w:t xml:space="preserve">population </w:t>
      </w:r>
      <w:r w:rsidRPr="00844024">
        <w:rPr>
          <w:sz w:val="24"/>
          <w:szCs w:val="24"/>
          <w:lang w:val="en-GB"/>
        </w:rPr>
        <w:t>in all phases of public policy that concern them, as well as on the locali</w:t>
      </w:r>
      <w:r w:rsidR="00FA1B79">
        <w:rPr>
          <w:sz w:val="24"/>
          <w:szCs w:val="24"/>
          <w:lang w:val="en-GB"/>
        </w:rPr>
        <w:t>s</w:t>
      </w:r>
      <w:r w:rsidRPr="00844024">
        <w:rPr>
          <w:sz w:val="24"/>
          <w:szCs w:val="24"/>
          <w:lang w:val="en-GB"/>
        </w:rPr>
        <w:t>ation of measures, i.e. adaptation measure to the local context and support for their participation in the public policy cycle for Roma men and women.</w:t>
      </w:r>
    </w:p>
    <w:p w14:paraId="5B883E69" w14:textId="77777777" w:rsidR="00844024" w:rsidRDefault="00844024" w:rsidP="00844024">
      <w:pPr>
        <w:spacing w:after="0"/>
        <w:ind w:firstLine="720"/>
        <w:jc w:val="both"/>
        <w:rPr>
          <w:sz w:val="24"/>
          <w:szCs w:val="24"/>
          <w:highlight w:val="cyan"/>
          <w:lang w:val="en-GB"/>
        </w:rPr>
      </w:pPr>
      <w:r w:rsidRPr="00844024">
        <w:rPr>
          <w:sz w:val="24"/>
          <w:szCs w:val="24"/>
          <w:lang w:val="en-GB"/>
        </w:rPr>
        <w:t xml:space="preserve">In the context of this recommendation of the Advisory Committee, it is important to </w:t>
      </w:r>
      <w:r w:rsidRPr="005B1B5C">
        <w:rPr>
          <w:sz w:val="24"/>
          <w:szCs w:val="24"/>
          <w:lang w:val="en-GB"/>
        </w:rPr>
        <w:t xml:space="preserve">point out that </w:t>
      </w:r>
      <w:r w:rsidR="003F3270" w:rsidRPr="005B1B5C">
        <w:rPr>
          <w:sz w:val="24"/>
          <w:szCs w:val="24"/>
          <w:lang w:val="en-GB"/>
        </w:rPr>
        <w:t>the new Law on the Planning System</w:t>
      </w:r>
      <w:r w:rsidR="005B1B5C" w:rsidRPr="005B1B5C">
        <w:rPr>
          <w:rStyle w:val="FootnoteReference"/>
          <w:sz w:val="24"/>
          <w:szCs w:val="24"/>
          <w:lang w:val="en-GB"/>
        </w:rPr>
        <w:footnoteReference w:id="104"/>
      </w:r>
      <w:r w:rsidR="003F3270" w:rsidRPr="005B1B5C">
        <w:rPr>
          <w:sz w:val="24"/>
          <w:szCs w:val="24"/>
          <w:lang w:val="en-GB"/>
        </w:rPr>
        <w:t xml:space="preserve"> stipulates that the competent proponent</w:t>
      </w:r>
      <w:r w:rsidR="003F3270" w:rsidRPr="003F3270">
        <w:rPr>
          <w:sz w:val="24"/>
          <w:szCs w:val="24"/>
          <w:lang w:val="en-GB"/>
        </w:rPr>
        <w:t xml:space="preserve"> of public policy documents</w:t>
      </w:r>
      <w:r w:rsidR="005B1B5C">
        <w:rPr>
          <w:sz w:val="24"/>
          <w:szCs w:val="24"/>
          <w:lang w:val="en-GB"/>
        </w:rPr>
        <w:t xml:space="preserve"> shall be</w:t>
      </w:r>
      <w:r w:rsidR="003F3270" w:rsidRPr="003F3270">
        <w:rPr>
          <w:sz w:val="24"/>
          <w:szCs w:val="24"/>
          <w:lang w:val="en-GB"/>
        </w:rPr>
        <w:t xml:space="preserve"> obliged to enable the participation of all interested parties and target groups in the consultation process, which is carried out during the preparation of these documents. Depending on the scope of the public policy document, interested parties and target groups are included in the consultation process, among others, from the ranks of citizens, associations of </w:t>
      </w:r>
      <w:proofErr w:type="spellStart"/>
      <w:r w:rsidR="003F3270" w:rsidRPr="003F3270">
        <w:rPr>
          <w:sz w:val="24"/>
          <w:szCs w:val="24"/>
          <w:lang w:val="en-GB"/>
        </w:rPr>
        <w:t>citi</w:t>
      </w:r>
      <w:r w:rsidR="005B1B5C">
        <w:rPr>
          <w:sz w:val="24"/>
          <w:szCs w:val="24"/>
          <w:lang w:val="en-GB"/>
        </w:rPr>
        <w:t>s</w:t>
      </w:r>
      <w:r w:rsidR="003F3270" w:rsidRPr="003F3270">
        <w:rPr>
          <w:sz w:val="24"/>
          <w:szCs w:val="24"/>
          <w:lang w:val="en-GB"/>
        </w:rPr>
        <w:t>ens</w:t>
      </w:r>
      <w:proofErr w:type="spellEnd"/>
      <w:r w:rsidR="003F3270" w:rsidRPr="003F3270">
        <w:rPr>
          <w:sz w:val="24"/>
          <w:szCs w:val="24"/>
          <w:lang w:val="en-GB"/>
        </w:rPr>
        <w:t xml:space="preserve"> and other civil society organi</w:t>
      </w:r>
      <w:r w:rsidR="005B1B5C">
        <w:rPr>
          <w:sz w:val="24"/>
          <w:szCs w:val="24"/>
          <w:lang w:val="en-GB"/>
        </w:rPr>
        <w:t>s</w:t>
      </w:r>
      <w:r w:rsidR="003F3270" w:rsidRPr="003F3270">
        <w:rPr>
          <w:sz w:val="24"/>
          <w:szCs w:val="24"/>
          <w:lang w:val="en-GB"/>
        </w:rPr>
        <w:t>ations. Public policy documents include strategies, program</w:t>
      </w:r>
      <w:r w:rsidR="00767B0D">
        <w:rPr>
          <w:sz w:val="24"/>
          <w:szCs w:val="24"/>
          <w:lang w:val="en-GB"/>
        </w:rPr>
        <w:t>me</w:t>
      </w:r>
      <w:r w:rsidR="003F3270" w:rsidRPr="003F3270">
        <w:rPr>
          <w:sz w:val="24"/>
          <w:szCs w:val="24"/>
          <w:lang w:val="en-GB"/>
        </w:rPr>
        <w:t xml:space="preserve">s, policy concepts and action plans. Also, with regard to the inclusion of members of national minorities in the process of adopting development planning documents, as planning documents of the widest scope, we point out that Article 11, </w:t>
      </w:r>
      <w:r w:rsidR="00767B0D">
        <w:rPr>
          <w:sz w:val="24"/>
          <w:szCs w:val="24"/>
          <w:lang w:val="en-GB"/>
        </w:rPr>
        <w:t>P</w:t>
      </w:r>
      <w:r w:rsidR="003F3270" w:rsidRPr="003F3270">
        <w:rPr>
          <w:sz w:val="24"/>
          <w:szCs w:val="24"/>
          <w:lang w:val="en-GB"/>
        </w:rPr>
        <w:t xml:space="preserve">aragraph 2 of the Law on Local Self-Government stipulates that the statute </w:t>
      </w:r>
      <w:r w:rsidR="00767B0D">
        <w:rPr>
          <w:sz w:val="24"/>
          <w:szCs w:val="24"/>
          <w:lang w:val="en-GB"/>
        </w:rPr>
        <w:t>shall provide</w:t>
      </w:r>
      <w:r w:rsidR="003F3270" w:rsidRPr="003F3270">
        <w:rPr>
          <w:sz w:val="24"/>
          <w:szCs w:val="24"/>
          <w:lang w:val="en-GB"/>
        </w:rPr>
        <w:t xml:space="preserve"> for the implementation of a mandatory public hearing procedure, not only during the preparation statute and budget of the local self-government unit, but also during the preparation of strategic development plans and spatial and urban plans.</w:t>
      </w:r>
    </w:p>
    <w:p w14:paraId="14CF232E" w14:textId="77777777" w:rsidR="00050BDD" w:rsidRDefault="00050BDD" w:rsidP="004E5EBB">
      <w:pPr>
        <w:spacing w:after="0"/>
        <w:ind w:firstLine="720"/>
        <w:jc w:val="both"/>
        <w:rPr>
          <w:sz w:val="24"/>
          <w:szCs w:val="24"/>
          <w:lang w:val="en-GB"/>
        </w:rPr>
      </w:pPr>
      <w:r w:rsidRPr="00050BDD">
        <w:rPr>
          <w:sz w:val="24"/>
          <w:szCs w:val="24"/>
          <w:lang w:val="en-GB"/>
        </w:rPr>
        <w:lastRenderedPageBreak/>
        <w:t xml:space="preserve">In the context of designing and implementing new </w:t>
      </w:r>
      <w:r>
        <w:rPr>
          <w:sz w:val="24"/>
          <w:szCs w:val="24"/>
          <w:lang w:val="en-GB"/>
        </w:rPr>
        <w:t>manners</w:t>
      </w:r>
      <w:r w:rsidRPr="00050BDD">
        <w:rPr>
          <w:sz w:val="24"/>
          <w:szCs w:val="24"/>
          <w:lang w:val="en-GB"/>
        </w:rPr>
        <w:t xml:space="preserve"> of representing and effectively including members of national minorities in the decision-making process, it is important to point out that the Department for Social Dialogue of the Ministry of Human and Minority Rights and Social Dialogue carries out work related to the collection of initiatives and preparation, the organi</w:t>
      </w:r>
      <w:r>
        <w:rPr>
          <w:sz w:val="24"/>
          <w:szCs w:val="24"/>
          <w:lang w:val="en-GB"/>
        </w:rPr>
        <w:t>s</w:t>
      </w:r>
      <w:r w:rsidRPr="00050BDD">
        <w:rPr>
          <w:sz w:val="24"/>
          <w:szCs w:val="24"/>
          <w:lang w:val="en-GB"/>
        </w:rPr>
        <w:t>ation, implementation and monitoring of dialogue of all kinds through open debates, among all participants of social life, as well as, with the encouragement of tolerance and mutual understanding, create a policy for the development of social dialogue and promote the improvement of inter-ethnic relations. Since the establishment of the Ministry, a large number of thematic social dialogues have been organi</w:t>
      </w:r>
      <w:r w:rsidR="001C4762">
        <w:rPr>
          <w:sz w:val="24"/>
          <w:szCs w:val="24"/>
          <w:lang w:val="en-GB"/>
        </w:rPr>
        <w:t>s</w:t>
      </w:r>
      <w:r w:rsidRPr="00050BDD">
        <w:rPr>
          <w:sz w:val="24"/>
          <w:szCs w:val="24"/>
          <w:lang w:val="en-GB"/>
        </w:rPr>
        <w:t xml:space="preserve">ed, some of which covered issues of importance for the </w:t>
      </w:r>
      <w:r w:rsidR="001C4762">
        <w:rPr>
          <w:sz w:val="24"/>
          <w:szCs w:val="24"/>
          <w:lang w:val="en-GB"/>
        </w:rPr>
        <w:t>exercise</w:t>
      </w:r>
      <w:r w:rsidRPr="00050BDD">
        <w:rPr>
          <w:sz w:val="24"/>
          <w:szCs w:val="24"/>
          <w:lang w:val="en-GB"/>
        </w:rPr>
        <w:t xml:space="preserve"> of the rights of members of national minorities, such as: "Economic </w:t>
      </w:r>
      <w:r w:rsidR="001C4762">
        <w:rPr>
          <w:sz w:val="24"/>
          <w:szCs w:val="24"/>
          <w:lang w:val="en-GB"/>
        </w:rPr>
        <w:t>E</w:t>
      </w:r>
      <w:r w:rsidRPr="00050BDD">
        <w:rPr>
          <w:sz w:val="24"/>
          <w:szCs w:val="24"/>
          <w:lang w:val="en-GB"/>
        </w:rPr>
        <w:t xml:space="preserve">mpowerment of Roma and the </w:t>
      </w:r>
      <w:r w:rsidR="001C4762">
        <w:rPr>
          <w:sz w:val="24"/>
          <w:szCs w:val="24"/>
          <w:lang w:val="en-GB"/>
        </w:rPr>
        <w:t>G</w:t>
      </w:r>
      <w:r w:rsidRPr="00050BDD">
        <w:rPr>
          <w:sz w:val="24"/>
          <w:szCs w:val="24"/>
          <w:lang w:val="en-GB"/>
        </w:rPr>
        <w:t xml:space="preserve">oals of </w:t>
      </w:r>
      <w:r w:rsidR="001C4762">
        <w:rPr>
          <w:sz w:val="24"/>
          <w:szCs w:val="24"/>
          <w:lang w:val="en-GB"/>
        </w:rPr>
        <w:t>S</w:t>
      </w:r>
      <w:r w:rsidRPr="00050BDD">
        <w:rPr>
          <w:sz w:val="24"/>
          <w:szCs w:val="24"/>
          <w:lang w:val="en-GB"/>
        </w:rPr>
        <w:t xml:space="preserve">ustainable </w:t>
      </w:r>
      <w:r w:rsidR="001C4762">
        <w:rPr>
          <w:sz w:val="24"/>
          <w:szCs w:val="24"/>
          <w:lang w:val="en-GB"/>
        </w:rPr>
        <w:t>D</w:t>
      </w:r>
      <w:r w:rsidRPr="00050BDD">
        <w:rPr>
          <w:sz w:val="24"/>
          <w:szCs w:val="24"/>
          <w:lang w:val="en-GB"/>
        </w:rPr>
        <w:t xml:space="preserve">evelopment in Serbia" and "Young Roma </w:t>
      </w:r>
      <w:r w:rsidR="001C4762">
        <w:rPr>
          <w:sz w:val="24"/>
          <w:szCs w:val="24"/>
          <w:lang w:val="en-GB"/>
        </w:rPr>
        <w:t>Drivers</w:t>
      </w:r>
      <w:r w:rsidRPr="00050BDD">
        <w:rPr>
          <w:sz w:val="24"/>
          <w:szCs w:val="24"/>
          <w:lang w:val="en-GB"/>
        </w:rPr>
        <w:t xml:space="preserve"> of </w:t>
      </w:r>
      <w:r w:rsidR="001C4762">
        <w:rPr>
          <w:sz w:val="24"/>
          <w:szCs w:val="24"/>
          <w:lang w:val="en-GB"/>
        </w:rPr>
        <w:t>C</w:t>
      </w:r>
      <w:r w:rsidRPr="00050BDD">
        <w:rPr>
          <w:sz w:val="24"/>
          <w:szCs w:val="24"/>
          <w:lang w:val="en-GB"/>
        </w:rPr>
        <w:t xml:space="preserve">hange ", followed by a dialogue </w:t>
      </w:r>
      <w:r w:rsidR="001C4762">
        <w:rPr>
          <w:sz w:val="24"/>
          <w:szCs w:val="24"/>
          <w:lang w:val="en-GB"/>
        </w:rPr>
        <w:t>referring</w:t>
      </w:r>
      <w:r w:rsidRPr="00050BDD">
        <w:rPr>
          <w:sz w:val="24"/>
          <w:szCs w:val="24"/>
          <w:lang w:val="en-GB"/>
        </w:rPr>
        <w:t xml:space="preserve"> to the Proposal for the Strategy for the Development of Education and Training in the Republic of Serbia until 2030 - the education of national minorities, as well as two rounds of thematic dialogues aimed at </w:t>
      </w:r>
      <w:r w:rsidR="001C4762">
        <w:rPr>
          <w:sz w:val="24"/>
          <w:szCs w:val="24"/>
          <w:lang w:val="en-GB"/>
        </w:rPr>
        <w:t>exercising</w:t>
      </w:r>
      <w:r w:rsidRPr="00050BDD">
        <w:rPr>
          <w:sz w:val="24"/>
          <w:szCs w:val="24"/>
          <w:lang w:val="en-GB"/>
        </w:rPr>
        <w:t xml:space="preserve"> the rights of members of the Albanian national minority.</w:t>
      </w:r>
    </w:p>
    <w:p w14:paraId="698557CD" w14:textId="77777777" w:rsidR="006C1FBC" w:rsidRPr="00D62D04" w:rsidRDefault="006C1FBC" w:rsidP="0056662A">
      <w:pPr>
        <w:spacing w:after="0"/>
        <w:jc w:val="both"/>
        <w:rPr>
          <w:i/>
          <w:sz w:val="24"/>
          <w:szCs w:val="24"/>
          <w:highlight w:val="cyan"/>
          <w:lang w:val="en-GB"/>
        </w:rPr>
      </w:pPr>
    </w:p>
    <w:p w14:paraId="3B86473D" w14:textId="77777777" w:rsidR="00A4647E" w:rsidRDefault="007D718E" w:rsidP="0056662A">
      <w:pPr>
        <w:spacing w:after="0"/>
        <w:jc w:val="both"/>
        <w:rPr>
          <w:i/>
          <w:sz w:val="24"/>
          <w:szCs w:val="24"/>
          <w:lang w:val="en-GB"/>
        </w:rPr>
      </w:pPr>
      <w:r w:rsidRPr="00A4647E">
        <w:rPr>
          <w:i/>
          <w:sz w:val="24"/>
          <w:szCs w:val="24"/>
          <w:lang w:val="en-GB"/>
        </w:rPr>
        <w:t xml:space="preserve">116. </w:t>
      </w:r>
      <w:r w:rsidR="00A4647E" w:rsidRPr="00A4647E">
        <w:rPr>
          <w:i/>
          <w:sz w:val="24"/>
          <w:szCs w:val="24"/>
          <w:lang w:val="en-GB"/>
        </w:rPr>
        <w:t>The Advisory Committee encourages the authorities to strengthen their efforts for the political integration of Roma at the national and local levels, including systematic consultation with them in policy-making and decision-making on issues that may affect their rights.</w:t>
      </w:r>
    </w:p>
    <w:p w14:paraId="2967BAFD" w14:textId="77777777" w:rsidR="007D718E" w:rsidRPr="00D62D04" w:rsidRDefault="007D718E" w:rsidP="0056662A">
      <w:pPr>
        <w:spacing w:after="0"/>
        <w:jc w:val="both"/>
        <w:rPr>
          <w:i/>
          <w:sz w:val="24"/>
          <w:szCs w:val="24"/>
          <w:highlight w:val="cyan"/>
          <w:lang w:val="en-GB"/>
        </w:rPr>
      </w:pPr>
    </w:p>
    <w:p w14:paraId="0B7D4EDC" w14:textId="5F89A0F3" w:rsidR="00261DEE" w:rsidRDefault="00261DEE" w:rsidP="00F471CC">
      <w:pPr>
        <w:spacing w:after="0"/>
        <w:ind w:firstLine="720"/>
        <w:jc w:val="both"/>
        <w:rPr>
          <w:sz w:val="24"/>
          <w:szCs w:val="24"/>
          <w:lang w:val="en-GB"/>
        </w:rPr>
      </w:pPr>
      <w:r w:rsidRPr="00261DEE">
        <w:rPr>
          <w:sz w:val="24"/>
          <w:szCs w:val="24"/>
          <w:lang w:val="en-GB"/>
        </w:rPr>
        <w:t xml:space="preserve">The </w:t>
      </w:r>
      <w:r>
        <w:rPr>
          <w:sz w:val="24"/>
          <w:szCs w:val="24"/>
          <w:lang w:val="en-GB"/>
        </w:rPr>
        <w:t>response</w:t>
      </w:r>
      <w:r w:rsidRPr="00261DEE">
        <w:rPr>
          <w:sz w:val="24"/>
          <w:szCs w:val="24"/>
          <w:lang w:val="en-GB"/>
        </w:rPr>
        <w:t xml:space="preserve"> to this recommendation is given in several places in this </w:t>
      </w:r>
      <w:r>
        <w:rPr>
          <w:sz w:val="24"/>
          <w:szCs w:val="24"/>
          <w:lang w:val="en-GB"/>
        </w:rPr>
        <w:t>R</w:t>
      </w:r>
      <w:r w:rsidRPr="00261DEE">
        <w:rPr>
          <w:sz w:val="24"/>
          <w:szCs w:val="24"/>
          <w:lang w:val="en-GB"/>
        </w:rPr>
        <w:t xml:space="preserve">eport, among others, in the </w:t>
      </w:r>
      <w:r w:rsidR="00890CE1">
        <w:rPr>
          <w:sz w:val="24"/>
          <w:szCs w:val="24"/>
          <w:lang w:val="en-GB"/>
        </w:rPr>
        <w:t>response</w:t>
      </w:r>
      <w:r w:rsidRPr="00261DEE">
        <w:rPr>
          <w:sz w:val="24"/>
          <w:szCs w:val="24"/>
          <w:lang w:val="en-GB"/>
        </w:rPr>
        <w:t xml:space="preserve"> to recommendation 1 </w:t>
      </w:r>
      <w:r w:rsidR="00890CE1">
        <w:rPr>
          <w:sz w:val="24"/>
          <w:szCs w:val="24"/>
          <w:lang w:val="en-GB"/>
        </w:rPr>
        <w:t>of</w:t>
      </w:r>
      <w:r w:rsidRPr="00261DEE">
        <w:rPr>
          <w:sz w:val="24"/>
          <w:szCs w:val="24"/>
          <w:lang w:val="en-GB"/>
        </w:rPr>
        <w:t xml:space="preserve"> the </w:t>
      </w:r>
      <w:r w:rsidR="00AC33C4">
        <w:rPr>
          <w:sz w:val="24"/>
          <w:szCs w:val="24"/>
          <w:lang w:val="en-GB"/>
        </w:rPr>
        <w:t>Committee of Ministers Resolution</w:t>
      </w:r>
      <w:r w:rsidRPr="00261DEE">
        <w:rPr>
          <w:sz w:val="24"/>
          <w:szCs w:val="24"/>
          <w:lang w:val="en-GB"/>
        </w:rPr>
        <w:t>.</w:t>
      </w:r>
    </w:p>
    <w:p w14:paraId="61470451" w14:textId="77777777" w:rsidR="00493269" w:rsidRPr="00D62D04" w:rsidRDefault="00493269" w:rsidP="0056662A">
      <w:pPr>
        <w:spacing w:after="0"/>
        <w:jc w:val="both"/>
        <w:rPr>
          <w:sz w:val="24"/>
          <w:szCs w:val="24"/>
          <w:highlight w:val="cyan"/>
          <w:lang w:val="en-GB"/>
        </w:rPr>
      </w:pPr>
    </w:p>
    <w:p w14:paraId="7C7D92AE" w14:textId="77777777" w:rsidR="00493269" w:rsidRPr="00D62D04" w:rsidRDefault="00890CE1" w:rsidP="00F333CD">
      <w:pPr>
        <w:pStyle w:val="Heading3"/>
        <w:jc w:val="center"/>
        <w:rPr>
          <w:rFonts w:ascii="Times New Roman" w:hAnsi="Times New Roman" w:cs="Times New Roman"/>
          <w:b/>
          <w:highlight w:val="cyan"/>
          <w:lang w:val="en-GB"/>
        </w:rPr>
      </w:pPr>
      <w:bookmarkStart w:id="35" w:name="_Toc112932736"/>
      <w:r w:rsidRPr="00890CE1">
        <w:rPr>
          <w:rFonts w:ascii="Times New Roman" w:hAnsi="Times New Roman" w:cs="Times New Roman"/>
          <w:b/>
          <w:color w:val="auto"/>
          <w:lang w:val="en-GB"/>
        </w:rPr>
        <w:t>Representation of national minorities in elected bodies and participation in public affairs</w:t>
      </w:r>
      <w:bookmarkEnd w:id="35"/>
    </w:p>
    <w:p w14:paraId="787115B1" w14:textId="77777777" w:rsidR="00493269" w:rsidRPr="00D62D04" w:rsidRDefault="00493269" w:rsidP="00493269">
      <w:pPr>
        <w:spacing w:after="0"/>
        <w:rPr>
          <w:b/>
          <w:sz w:val="24"/>
          <w:szCs w:val="24"/>
          <w:highlight w:val="cyan"/>
          <w:lang w:val="en-GB"/>
        </w:rPr>
      </w:pPr>
    </w:p>
    <w:p w14:paraId="255A2A81" w14:textId="77777777" w:rsidR="00085AC7" w:rsidRDefault="00493269" w:rsidP="00493269">
      <w:pPr>
        <w:spacing w:after="0"/>
        <w:jc w:val="both"/>
        <w:rPr>
          <w:i/>
          <w:sz w:val="24"/>
          <w:szCs w:val="24"/>
          <w:lang w:val="en-GB"/>
        </w:rPr>
      </w:pPr>
      <w:r w:rsidRPr="00085AC7">
        <w:rPr>
          <w:i/>
          <w:sz w:val="24"/>
          <w:szCs w:val="24"/>
          <w:lang w:val="en-GB"/>
        </w:rPr>
        <w:t xml:space="preserve">122. </w:t>
      </w:r>
      <w:r w:rsidR="00085AC7" w:rsidRPr="00085AC7">
        <w:rPr>
          <w:i/>
          <w:sz w:val="24"/>
          <w:szCs w:val="24"/>
          <w:lang w:val="en-GB"/>
        </w:rPr>
        <w:t>The Advisory Committee calls on the authorities to review the provisions related to the election of members of parliament and to consult in this regard with the representatives of all national minorities, including the numerically smaller ones.</w:t>
      </w:r>
    </w:p>
    <w:p w14:paraId="0F1D4C71" w14:textId="77777777" w:rsidR="00493269" w:rsidRPr="00D62D04" w:rsidRDefault="00493269" w:rsidP="00493269">
      <w:pPr>
        <w:spacing w:after="0"/>
        <w:jc w:val="both"/>
        <w:rPr>
          <w:i/>
          <w:sz w:val="24"/>
          <w:szCs w:val="24"/>
          <w:highlight w:val="cyan"/>
          <w:lang w:val="en-GB"/>
        </w:rPr>
      </w:pPr>
    </w:p>
    <w:p w14:paraId="720A39A7" w14:textId="77777777" w:rsidR="00085AC7" w:rsidRDefault="00085AC7" w:rsidP="00493269">
      <w:pPr>
        <w:spacing w:after="0"/>
        <w:ind w:firstLine="720"/>
        <w:jc w:val="both"/>
        <w:rPr>
          <w:sz w:val="24"/>
          <w:szCs w:val="24"/>
          <w:lang w:val="en-GB"/>
        </w:rPr>
      </w:pPr>
      <w:r w:rsidRPr="00085AC7">
        <w:rPr>
          <w:sz w:val="24"/>
          <w:szCs w:val="24"/>
          <w:lang w:val="en-GB"/>
        </w:rPr>
        <w:t>As the Advisory Committee was informed in several state reports, the undertaking of affirmative measures in the field of political life began in 2004 with the abolition of the electoral census, and continued with the adoption of the Law on Political Parties</w:t>
      </w:r>
      <w:r w:rsidRPr="00085AC7">
        <w:rPr>
          <w:rStyle w:val="FootnoteReference"/>
          <w:sz w:val="24"/>
          <w:szCs w:val="24"/>
          <w:lang w:val="en-GB"/>
        </w:rPr>
        <w:footnoteReference w:id="105"/>
      </w:r>
      <w:r w:rsidRPr="00085AC7">
        <w:rPr>
          <w:sz w:val="24"/>
          <w:szCs w:val="24"/>
          <w:lang w:val="en-GB"/>
        </w:rPr>
        <w:t xml:space="preserve">, which defined the term political party of a national minority. </w:t>
      </w:r>
      <w:r>
        <w:rPr>
          <w:sz w:val="24"/>
          <w:szCs w:val="24"/>
          <w:lang w:val="en-GB"/>
        </w:rPr>
        <w:t>Pursuant</w:t>
      </w:r>
      <w:r w:rsidRPr="00085AC7">
        <w:rPr>
          <w:sz w:val="24"/>
          <w:szCs w:val="24"/>
          <w:lang w:val="en-GB"/>
        </w:rPr>
        <w:t xml:space="preserve"> to that law, a political party of a national minority is a political party </w:t>
      </w:r>
      <w:r w:rsidR="008976D8">
        <w:rPr>
          <w:sz w:val="24"/>
          <w:szCs w:val="24"/>
          <w:lang w:val="en-GB"/>
        </w:rPr>
        <w:t>the</w:t>
      </w:r>
      <w:r w:rsidRPr="00085AC7">
        <w:rPr>
          <w:sz w:val="24"/>
          <w:szCs w:val="24"/>
          <w:lang w:val="en-GB"/>
        </w:rPr>
        <w:t xml:space="preserve"> activities</w:t>
      </w:r>
      <w:r w:rsidR="008976D8">
        <w:rPr>
          <w:sz w:val="24"/>
          <w:szCs w:val="24"/>
          <w:lang w:val="en-GB"/>
        </w:rPr>
        <w:t xml:space="preserve"> of which</w:t>
      </w:r>
      <w:r w:rsidRPr="00085AC7">
        <w:rPr>
          <w:sz w:val="24"/>
          <w:szCs w:val="24"/>
          <w:lang w:val="en-GB"/>
        </w:rPr>
        <w:t xml:space="preserve">, among other things, </w:t>
      </w:r>
      <w:r w:rsidR="008976D8">
        <w:rPr>
          <w:sz w:val="24"/>
          <w:szCs w:val="24"/>
          <w:lang w:val="en-GB"/>
        </w:rPr>
        <w:t>shall</w:t>
      </w:r>
      <w:r w:rsidRPr="00085AC7">
        <w:rPr>
          <w:sz w:val="24"/>
          <w:szCs w:val="24"/>
          <w:lang w:val="en-GB"/>
        </w:rPr>
        <w:t xml:space="preserve"> specifically </w:t>
      </w:r>
      <w:r w:rsidR="008976D8">
        <w:rPr>
          <w:sz w:val="24"/>
          <w:szCs w:val="24"/>
          <w:lang w:val="en-GB"/>
        </w:rPr>
        <w:t xml:space="preserve">be </w:t>
      </w:r>
      <w:r w:rsidRPr="00085AC7">
        <w:rPr>
          <w:sz w:val="24"/>
          <w:szCs w:val="24"/>
          <w:lang w:val="en-GB"/>
        </w:rPr>
        <w:t xml:space="preserve">aimed at representing and </w:t>
      </w:r>
      <w:r w:rsidR="008976D8">
        <w:rPr>
          <w:sz w:val="24"/>
          <w:szCs w:val="24"/>
          <w:lang w:val="en-GB"/>
        </w:rPr>
        <w:t>advocatin</w:t>
      </w:r>
      <w:r w:rsidRPr="00085AC7">
        <w:rPr>
          <w:sz w:val="24"/>
          <w:szCs w:val="24"/>
          <w:lang w:val="en-GB"/>
        </w:rPr>
        <w:t xml:space="preserve">g </w:t>
      </w:r>
      <w:r w:rsidR="008976D8">
        <w:rPr>
          <w:sz w:val="24"/>
          <w:szCs w:val="24"/>
          <w:lang w:val="en-GB"/>
        </w:rPr>
        <w:t xml:space="preserve">for </w:t>
      </w:r>
      <w:r w:rsidRPr="00085AC7">
        <w:rPr>
          <w:sz w:val="24"/>
          <w:szCs w:val="24"/>
          <w:lang w:val="en-GB"/>
        </w:rPr>
        <w:t>the interests of a national minority and protecting and improving the rights of members of that national minority in accordance with the Constitution, the law and international standards. A political party of a national minority can be founded by at least 1,000 citizens of the Republic of Serbia who are of legal age and capable of doing business, which is ten times less than the number of founders needed to establish a political party, which requires 10,000 founders.</w:t>
      </w:r>
    </w:p>
    <w:p w14:paraId="0D52BB20" w14:textId="77777777" w:rsidR="00A20798" w:rsidRDefault="00A20798" w:rsidP="00493269">
      <w:pPr>
        <w:spacing w:after="0"/>
        <w:ind w:firstLine="720"/>
        <w:jc w:val="both"/>
        <w:rPr>
          <w:sz w:val="24"/>
          <w:szCs w:val="24"/>
          <w:lang w:val="en-GB"/>
        </w:rPr>
      </w:pPr>
      <w:r w:rsidRPr="00A20798">
        <w:rPr>
          <w:sz w:val="24"/>
          <w:szCs w:val="24"/>
          <w:lang w:val="en-GB"/>
        </w:rPr>
        <w:lastRenderedPageBreak/>
        <w:t xml:space="preserve">Amendments to the electoral legislation continuously introduce new affirmative solutions into the legal system, which create strong preconditions for effectively ensuring the participation of members of national minorities in the work of the National </w:t>
      </w:r>
      <w:r>
        <w:rPr>
          <w:sz w:val="24"/>
          <w:szCs w:val="24"/>
          <w:lang w:val="en-GB"/>
        </w:rPr>
        <w:t>Parliament</w:t>
      </w:r>
      <w:r w:rsidRPr="00A20798">
        <w:rPr>
          <w:sz w:val="24"/>
          <w:szCs w:val="24"/>
          <w:lang w:val="en-GB"/>
        </w:rPr>
        <w:t xml:space="preserve"> and representative bodies at other levels of government. Thus, in 2020, the National </w:t>
      </w:r>
      <w:r>
        <w:rPr>
          <w:sz w:val="24"/>
          <w:szCs w:val="24"/>
          <w:lang w:val="en-GB"/>
        </w:rPr>
        <w:t>Parliament</w:t>
      </w:r>
      <w:r w:rsidRPr="00A20798">
        <w:rPr>
          <w:sz w:val="24"/>
          <w:szCs w:val="24"/>
          <w:lang w:val="en-GB"/>
        </w:rPr>
        <w:t xml:space="preserve"> passed the Law on Amendments to the Law on the Election of Members of the Parliament.</w:t>
      </w:r>
      <w:r w:rsidRPr="00A20798">
        <w:rPr>
          <w:rStyle w:val="FootnoteReference"/>
          <w:sz w:val="24"/>
          <w:szCs w:val="24"/>
          <w:lang w:val="en-GB"/>
        </w:rPr>
        <w:footnoteReference w:id="106"/>
      </w:r>
      <w:r w:rsidRPr="00A20798">
        <w:rPr>
          <w:sz w:val="24"/>
          <w:szCs w:val="24"/>
          <w:lang w:val="en-GB"/>
        </w:rPr>
        <w:t xml:space="preserve"> Among other things, the changes were aimed at an additional reduction of the general electoral census from 5% to 3%, in order to enable participation in the distribution of parliamentary mandates and to ensure that the electoral will of citizens, which is not predominant, is politically articulated and appropriately represented in the</w:t>
      </w:r>
      <w:r>
        <w:rPr>
          <w:sz w:val="24"/>
          <w:szCs w:val="24"/>
          <w:lang w:val="en-GB"/>
        </w:rPr>
        <w:t xml:space="preserve"> National Parliament</w:t>
      </w:r>
      <w:r w:rsidRPr="00A20798">
        <w:rPr>
          <w:sz w:val="24"/>
          <w:szCs w:val="24"/>
          <w:lang w:val="en-GB"/>
        </w:rPr>
        <w:t xml:space="preserve">. Amendments to this law stipulate that political parties of national minorities and coalitions of political parties of national minorities participate in the distribution of mandates even when they received less than 3% of the votes from the total number of voters who voted, in such a way that during the distribution of mandates using the system of the highest quotient, the quotients </w:t>
      </w:r>
      <w:r w:rsidR="00600D2F">
        <w:rPr>
          <w:sz w:val="24"/>
          <w:szCs w:val="24"/>
          <w:lang w:val="en-GB"/>
        </w:rPr>
        <w:t xml:space="preserve">of </w:t>
      </w:r>
      <w:r w:rsidRPr="00A20798">
        <w:rPr>
          <w:sz w:val="24"/>
          <w:szCs w:val="24"/>
          <w:lang w:val="en-GB"/>
        </w:rPr>
        <w:t xml:space="preserve">those electoral lists of political parties of national minorities and the coalition of political parties of national minorities increase by 35%. In addition, the Law on Amendments to the Law on Local </w:t>
      </w:r>
      <w:r w:rsidRPr="00600D2F">
        <w:rPr>
          <w:sz w:val="24"/>
          <w:szCs w:val="24"/>
          <w:lang w:val="en-GB"/>
        </w:rPr>
        <w:t>Elections</w:t>
      </w:r>
      <w:r w:rsidR="00600D2F" w:rsidRPr="00600D2F">
        <w:rPr>
          <w:rStyle w:val="FootnoteReference"/>
          <w:sz w:val="24"/>
          <w:szCs w:val="24"/>
          <w:lang w:val="en-GB"/>
        </w:rPr>
        <w:footnoteReference w:id="107"/>
      </w:r>
      <w:r w:rsidRPr="00600D2F">
        <w:rPr>
          <w:sz w:val="24"/>
          <w:szCs w:val="24"/>
          <w:lang w:val="en-GB"/>
        </w:rPr>
        <w:t xml:space="preserve"> and the Provincial Assembly's Decision on Amendments to the Provincial</w:t>
      </w:r>
      <w:r w:rsidRPr="00A20798">
        <w:rPr>
          <w:sz w:val="24"/>
          <w:szCs w:val="24"/>
          <w:lang w:val="en-GB"/>
        </w:rPr>
        <w:t xml:space="preserve"> Assembly's Decision on the Election of Members of the Assembly of the Autonomous Province </w:t>
      </w:r>
      <w:r w:rsidRPr="00600D2F">
        <w:rPr>
          <w:sz w:val="24"/>
          <w:szCs w:val="24"/>
          <w:lang w:val="en-GB"/>
        </w:rPr>
        <w:t xml:space="preserve">of </w:t>
      </w:r>
      <w:proofErr w:type="spellStart"/>
      <w:r w:rsidRPr="00600D2F">
        <w:rPr>
          <w:sz w:val="24"/>
          <w:szCs w:val="24"/>
          <w:lang w:val="en-GB"/>
        </w:rPr>
        <w:t>Vojvodina</w:t>
      </w:r>
      <w:proofErr w:type="spellEnd"/>
      <w:r w:rsidR="00600D2F" w:rsidRPr="00600D2F">
        <w:rPr>
          <w:rStyle w:val="FootnoteReference"/>
          <w:sz w:val="24"/>
          <w:szCs w:val="24"/>
          <w:lang w:val="en-GB"/>
        </w:rPr>
        <w:footnoteReference w:id="108"/>
      </w:r>
      <w:r w:rsidR="00600D2F" w:rsidRPr="00600D2F">
        <w:rPr>
          <w:sz w:val="24"/>
          <w:szCs w:val="24"/>
          <w:lang w:val="en-GB"/>
        </w:rPr>
        <w:t xml:space="preserve"> </w:t>
      </w:r>
      <w:r w:rsidRPr="00600D2F">
        <w:rPr>
          <w:sz w:val="24"/>
          <w:szCs w:val="24"/>
          <w:lang w:val="en-GB"/>
        </w:rPr>
        <w:t xml:space="preserve"> from the same year stipulate that political parties of national minorities and</w:t>
      </w:r>
      <w:r w:rsidRPr="00A20798">
        <w:rPr>
          <w:sz w:val="24"/>
          <w:szCs w:val="24"/>
          <w:lang w:val="en-GB"/>
        </w:rPr>
        <w:t xml:space="preserve"> coalitions of political parties of national minorities participate in the distribution mandate in an identical manner in the elections for deputies in the Assembly of AP </w:t>
      </w:r>
      <w:proofErr w:type="spellStart"/>
      <w:r w:rsidRPr="00A20798">
        <w:rPr>
          <w:sz w:val="24"/>
          <w:szCs w:val="24"/>
          <w:lang w:val="en-GB"/>
        </w:rPr>
        <w:t>Vojvodina</w:t>
      </w:r>
      <w:proofErr w:type="spellEnd"/>
      <w:r w:rsidRPr="00A20798">
        <w:rPr>
          <w:sz w:val="24"/>
          <w:szCs w:val="24"/>
          <w:lang w:val="en-GB"/>
        </w:rPr>
        <w:t xml:space="preserve"> and </w:t>
      </w:r>
      <w:proofErr w:type="spellStart"/>
      <w:r w:rsidRPr="00A20798">
        <w:rPr>
          <w:sz w:val="24"/>
          <w:szCs w:val="24"/>
          <w:lang w:val="en-GB"/>
        </w:rPr>
        <w:t>councilors</w:t>
      </w:r>
      <w:proofErr w:type="spellEnd"/>
      <w:r w:rsidRPr="00A20798">
        <w:rPr>
          <w:sz w:val="24"/>
          <w:szCs w:val="24"/>
          <w:lang w:val="en-GB"/>
        </w:rPr>
        <w:t xml:space="preserve"> in local assemblies.</w:t>
      </w:r>
    </w:p>
    <w:p w14:paraId="39E16D0D" w14:textId="77777777" w:rsidR="00600D6E" w:rsidRDefault="00600D6E" w:rsidP="005451B3">
      <w:pPr>
        <w:spacing w:after="0"/>
        <w:ind w:firstLine="720"/>
        <w:jc w:val="both"/>
        <w:rPr>
          <w:sz w:val="24"/>
          <w:szCs w:val="24"/>
          <w:lang w:val="en-GB"/>
        </w:rPr>
      </w:pPr>
      <w:r w:rsidRPr="00600D6E">
        <w:rPr>
          <w:sz w:val="24"/>
          <w:szCs w:val="24"/>
          <w:lang w:val="en-GB"/>
        </w:rPr>
        <w:t>The new Law on the Election of Members of the Parliament</w:t>
      </w:r>
      <w:r w:rsidRPr="00600D6E">
        <w:rPr>
          <w:rStyle w:val="FootnoteReference"/>
          <w:sz w:val="24"/>
          <w:szCs w:val="24"/>
          <w:lang w:val="en-GB"/>
        </w:rPr>
        <w:footnoteReference w:id="109"/>
      </w:r>
      <w:r w:rsidRPr="00600D6E">
        <w:rPr>
          <w:sz w:val="24"/>
          <w:szCs w:val="24"/>
          <w:lang w:val="en-GB"/>
        </w:rPr>
        <w:t xml:space="preserve"> from 2022 contains identical affirmative solutions regarding the electoral census and the allocation of mandates to the electoral lists of political parties of national minorities. However, this Law prescribes another new affirmative measure. </w:t>
      </w:r>
      <w:r>
        <w:rPr>
          <w:sz w:val="24"/>
          <w:szCs w:val="24"/>
          <w:lang w:val="en-GB"/>
        </w:rPr>
        <w:t>In fact</w:t>
      </w:r>
      <w:r w:rsidRPr="00600D6E">
        <w:rPr>
          <w:sz w:val="24"/>
          <w:szCs w:val="24"/>
          <w:lang w:val="en-GB"/>
        </w:rPr>
        <w:t xml:space="preserve">, the Electoral Commission </w:t>
      </w:r>
      <w:r>
        <w:rPr>
          <w:sz w:val="24"/>
          <w:szCs w:val="24"/>
          <w:lang w:val="en-GB"/>
        </w:rPr>
        <w:t xml:space="preserve">of the Republic of Serbia </w:t>
      </w:r>
      <w:r w:rsidRPr="00600D6E">
        <w:rPr>
          <w:sz w:val="24"/>
          <w:szCs w:val="24"/>
          <w:lang w:val="en-GB"/>
        </w:rPr>
        <w:t>can declare an electoral list of a national minority if the applicant of the electoral list submits 5,000 certified statements of voters that they support the electoral list, compared to 10,000 certified statements required for other electoral lists. Also, the new Law on Local Elections</w:t>
      </w:r>
      <w:r w:rsidRPr="00600D6E">
        <w:rPr>
          <w:rStyle w:val="FootnoteReference"/>
          <w:sz w:val="24"/>
          <w:szCs w:val="24"/>
          <w:lang w:val="en-GB"/>
        </w:rPr>
        <w:footnoteReference w:id="110"/>
      </w:r>
      <w:r w:rsidRPr="00600D6E">
        <w:rPr>
          <w:sz w:val="24"/>
          <w:szCs w:val="24"/>
          <w:lang w:val="en-GB"/>
        </w:rPr>
        <w:t xml:space="preserve"> from 2022 regulated this issue in a similar way, stipulating that the electoral commission can declare the electoral list of a national minority if the applicant of the electoral list submits a number of signed and certified statements of voters supporting the electoral list that is twice the number which is required according to the general rules of this law. When it comes to the elections for the Assembly of AP </w:t>
      </w:r>
      <w:r>
        <w:rPr>
          <w:sz w:val="24"/>
          <w:szCs w:val="24"/>
          <w:lang w:val="en-GB"/>
        </w:rPr>
        <w:t xml:space="preserve">of </w:t>
      </w:r>
      <w:proofErr w:type="spellStart"/>
      <w:r w:rsidRPr="00600D6E">
        <w:rPr>
          <w:sz w:val="24"/>
          <w:szCs w:val="24"/>
          <w:lang w:val="en-GB"/>
        </w:rPr>
        <w:t>Vojvodina</w:t>
      </w:r>
      <w:proofErr w:type="spellEnd"/>
      <w:r w:rsidRPr="00600D6E">
        <w:rPr>
          <w:sz w:val="24"/>
          <w:szCs w:val="24"/>
          <w:lang w:val="en-GB"/>
        </w:rPr>
        <w:t>, the minimum number of voter statements necessary for the declaration of election lists of political parties or coalitions of political parties of national minorities is 3,000, while for other election lists, 6,000 certified voter statements are required.</w:t>
      </w:r>
    </w:p>
    <w:p w14:paraId="18216EEE" w14:textId="77777777" w:rsidR="00600D6E" w:rsidRDefault="009028C6" w:rsidP="00543C3D">
      <w:pPr>
        <w:spacing w:after="0"/>
        <w:jc w:val="both"/>
        <w:rPr>
          <w:sz w:val="24"/>
          <w:szCs w:val="24"/>
          <w:lang w:val="en-GB"/>
        </w:rPr>
      </w:pPr>
      <w:r w:rsidRPr="00600D6E">
        <w:rPr>
          <w:sz w:val="24"/>
          <w:szCs w:val="24"/>
          <w:lang w:val="en-GB"/>
        </w:rPr>
        <w:lastRenderedPageBreak/>
        <w:tab/>
      </w:r>
      <w:r w:rsidR="00600D6E" w:rsidRPr="00600D6E">
        <w:rPr>
          <w:sz w:val="24"/>
          <w:szCs w:val="24"/>
          <w:lang w:val="en-GB"/>
        </w:rPr>
        <w:t xml:space="preserve">According to the overall results of the election for deputies of the National </w:t>
      </w:r>
      <w:r w:rsidR="00600D6E">
        <w:rPr>
          <w:sz w:val="24"/>
          <w:szCs w:val="24"/>
          <w:lang w:val="en-GB"/>
        </w:rPr>
        <w:t>Parliament</w:t>
      </w:r>
      <w:r w:rsidR="00600D6E" w:rsidRPr="00600D6E">
        <w:rPr>
          <w:sz w:val="24"/>
          <w:szCs w:val="24"/>
          <w:lang w:val="en-GB"/>
        </w:rPr>
        <w:t xml:space="preserve">, which were held on </w:t>
      </w:r>
      <w:r w:rsidR="00600D6E">
        <w:rPr>
          <w:sz w:val="24"/>
          <w:szCs w:val="24"/>
          <w:lang w:val="en-GB"/>
        </w:rPr>
        <w:t xml:space="preserve">21 </w:t>
      </w:r>
      <w:r w:rsidR="00600D6E" w:rsidRPr="00600D6E">
        <w:rPr>
          <w:sz w:val="24"/>
          <w:szCs w:val="24"/>
          <w:lang w:val="en-GB"/>
        </w:rPr>
        <w:t>June 2020, the electoral lists of political parties or coalitions of political parties of national minorities won a total of 19 mandates.</w:t>
      </w:r>
    </w:p>
    <w:p w14:paraId="55A966D1" w14:textId="77777777" w:rsidR="009028C6" w:rsidRPr="00D62D04" w:rsidRDefault="009028C6" w:rsidP="00543C3D">
      <w:pPr>
        <w:spacing w:after="0"/>
        <w:jc w:val="both"/>
        <w:rPr>
          <w:sz w:val="24"/>
          <w:szCs w:val="24"/>
          <w:highlight w:val="cyan"/>
          <w:lang w:val="en-GB"/>
        </w:rPr>
      </w:pPr>
    </w:p>
    <w:tbl>
      <w:tblPr>
        <w:tblStyle w:val="TableGrid"/>
        <w:tblW w:w="0" w:type="auto"/>
        <w:tblLook w:val="04A0" w:firstRow="1" w:lastRow="0" w:firstColumn="1" w:lastColumn="0" w:noHBand="0" w:noVBand="1"/>
      </w:tblPr>
      <w:tblGrid>
        <w:gridCol w:w="5524"/>
        <w:gridCol w:w="3458"/>
      </w:tblGrid>
      <w:tr w:rsidR="009028C6" w:rsidRPr="00D62D04" w14:paraId="79FE5262" w14:textId="77777777" w:rsidTr="00792AAA">
        <w:tc>
          <w:tcPr>
            <w:tcW w:w="5524" w:type="dxa"/>
          </w:tcPr>
          <w:p w14:paraId="5EDA4F45" w14:textId="77777777" w:rsidR="009028C6" w:rsidRPr="00BA4A3E" w:rsidRDefault="00BA4A3E" w:rsidP="005249B1">
            <w:pPr>
              <w:spacing w:after="0"/>
              <w:jc w:val="center"/>
              <w:rPr>
                <w:sz w:val="20"/>
                <w:szCs w:val="20"/>
                <w:lang w:val="en-GB"/>
              </w:rPr>
            </w:pPr>
            <w:r w:rsidRPr="00BA4A3E">
              <w:rPr>
                <w:sz w:val="20"/>
                <w:szCs w:val="20"/>
                <w:lang w:val="en-GB"/>
              </w:rPr>
              <w:t>Name of electoral list</w:t>
            </w:r>
          </w:p>
        </w:tc>
        <w:tc>
          <w:tcPr>
            <w:tcW w:w="3458" w:type="dxa"/>
          </w:tcPr>
          <w:p w14:paraId="781FE0C1" w14:textId="77777777" w:rsidR="009028C6" w:rsidRPr="00BA4A3E" w:rsidRDefault="00BA4A3E" w:rsidP="005249B1">
            <w:pPr>
              <w:spacing w:after="0"/>
              <w:jc w:val="center"/>
              <w:rPr>
                <w:sz w:val="20"/>
                <w:szCs w:val="20"/>
                <w:lang w:val="en-GB"/>
              </w:rPr>
            </w:pPr>
            <w:r w:rsidRPr="00BA4A3E">
              <w:rPr>
                <w:sz w:val="20"/>
                <w:szCs w:val="20"/>
                <w:lang w:val="en-GB"/>
              </w:rPr>
              <w:t>Number of obtained mandates</w:t>
            </w:r>
          </w:p>
        </w:tc>
      </w:tr>
      <w:tr w:rsidR="009028C6" w:rsidRPr="00D62D04" w14:paraId="21AF417B" w14:textId="77777777" w:rsidTr="00792AAA">
        <w:tc>
          <w:tcPr>
            <w:tcW w:w="5524" w:type="dxa"/>
          </w:tcPr>
          <w:p w14:paraId="2CAB66A0" w14:textId="77777777" w:rsidR="009028C6" w:rsidRPr="00BA4A3E" w:rsidRDefault="009028C6" w:rsidP="00BA4A3E">
            <w:pPr>
              <w:spacing w:after="0"/>
              <w:rPr>
                <w:sz w:val="20"/>
                <w:szCs w:val="20"/>
                <w:lang w:val="en-GB"/>
              </w:rPr>
            </w:pPr>
            <w:proofErr w:type="spellStart"/>
            <w:r w:rsidRPr="00BA4A3E">
              <w:rPr>
                <w:sz w:val="20"/>
                <w:szCs w:val="20"/>
                <w:lang w:val="en-GB"/>
              </w:rPr>
              <w:t>Vajdasági</w:t>
            </w:r>
            <w:proofErr w:type="spellEnd"/>
            <w:r w:rsidRPr="00BA4A3E">
              <w:rPr>
                <w:sz w:val="20"/>
                <w:szCs w:val="20"/>
                <w:lang w:val="en-GB"/>
              </w:rPr>
              <w:t xml:space="preserve"> Magyar </w:t>
            </w:r>
            <w:proofErr w:type="spellStart"/>
            <w:r w:rsidRPr="00BA4A3E">
              <w:rPr>
                <w:sz w:val="20"/>
                <w:szCs w:val="20"/>
                <w:lang w:val="en-GB"/>
              </w:rPr>
              <w:t>Szövetség</w:t>
            </w:r>
            <w:proofErr w:type="spellEnd"/>
            <w:r w:rsidRPr="00BA4A3E">
              <w:rPr>
                <w:sz w:val="20"/>
                <w:szCs w:val="20"/>
                <w:lang w:val="en-GB"/>
              </w:rPr>
              <w:t xml:space="preserve"> – </w:t>
            </w:r>
            <w:proofErr w:type="spellStart"/>
            <w:r w:rsidRPr="00BA4A3E">
              <w:rPr>
                <w:sz w:val="20"/>
                <w:szCs w:val="20"/>
                <w:lang w:val="en-GB"/>
              </w:rPr>
              <w:t>Pásztor</w:t>
            </w:r>
            <w:proofErr w:type="spellEnd"/>
            <w:r w:rsidRPr="00BA4A3E">
              <w:rPr>
                <w:sz w:val="20"/>
                <w:szCs w:val="20"/>
                <w:lang w:val="en-GB"/>
              </w:rPr>
              <w:t xml:space="preserve"> </w:t>
            </w:r>
            <w:proofErr w:type="spellStart"/>
            <w:r w:rsidRPr="00BA4A3E">
              <w:rPr>
                <w:sz w:val="20"/>
                <w:szCs w:val="20"/>
                <w:lang w:val="en-GB"/>
              </w:rPr>
              <w:t>István</w:t>
            </w:r>
            <w:proofErr w:type="spellEnd"/>
            <w:r w:rsidRPr="00BA4A3E">
              <w:rPr>
                <w:sz w:val="20"/>
                <w:szCs w:val="20"/>
                <w:lang w:val="en-GB"/>
              </w:rPr>
              <w:t xml:space="preserve"> – </w:t>
            </w:r>
            <w:r w:rsidR="00BA4A3E" w:rsidRPr="00BA4A3E">
              <w:rPr>
                <w:sz w:val="20"/>
                <w:szCs w:val="20"/>
                <w:lang w:val="en-GB"/>
              </w:rPr>
              <w:t xml:space="preserve">Alliance of </w:t>
            </w:r>
            <w:proofErr w:type="spellStart"/>
            <w:r w:rsidR="00BA4A3E" w:rsidRPr="00BA4A3E">
              <w:rPr>
                <w:sz w:val="20"/>
                <w:szCs w:val="20"/>
                <w:lang w:val="en-GB"/>
              </w:rPr>
              <w:t>Vojvodina</w:t>
            </w:r>
            <w:proofErr w:type="spellEnd"/>
            <w:r w:rsidR="00BA4A3E" w:rsidRPr="00BA4A3E">
              <w:rPr>
                <w:sz w:val="20"/>
                <w:szCs w:val="20"/>
                <w:lang w:val="en-GB"/>
              </w:rPr>
              <w:t xml:space="preserve"> Hungarians - </w:t>
            </w:r>
            <w:proofErr w:type="spellStart"/>
            <w:r w:rsidR="00BA4A3E" w:rsidRPr="00BA4A3E">
              <w:rPr>
                <w:sz w:val="20"/>
                <w:szCs w:val="20"/>
                <w:lang w:val="en-GB"/>
              </w:rPr>
              <w:t>Ištvan</w:t>
            </w:r>
            <w:proofErr w:type="spellEnd"/>
            <w:r w:rsidR="00BA4A3E" w:rsidRPr="00BA4A3E">
              <w:rPr>
                <w:sz w:val="20"/>
                <w:szCs w:val="20"/>
                <w:lang w:val="en-GB"/>
              </w:rPr>
              <w:t xml:space="preserve"> Pastor</w:t>
            </w:r>
          </w:p>
        </w:tc>
        <w:tc>
          <w:tcPr>
            <w:tcW w:w="3458" w:type="dxa"/>
          </w:tcPr>
          <w:p w14:paraId="468CC6B1" w14:textId="77777777" w:rsidR="009028C6" w:rsidRPr="00BA4A3E" w:rsidRDefault="009028C6" w:rsidP="005249B1">
            <w:pPr>
              <w:spacing w:after="0"/>
              <w:jc w:val="center"/>
              <w:rPr>
                <w:sz w:val="20"/>
                <w:szCs w:val="20"/>
                <w:lang w:val="en-GB"/>
              </w:rPr>
            </w:pPr>
            <w:r w:rsidRPr="00BA4A3E">
              <w:rPr>
                <w:sz w:val="20"/>
                <w:szCs w:val="20"/>
                <w:lang w:val="en-GB"/>
              </w:rPr>
              <w:t>9</w:t>
            </w:r>
          </w:p>
        </w:tc>
      </w:tr>
      <w:tr w:rsidR="009028C6" w:rsidRPr="00D62D04" w14:paraId="5DF0F009" w14:textId="77777777" w:rsidTr="00792AAA">
        <w:tc>
          <w:tcPr>
            <w:tcW w:w="5524" w:type="dxa"/>
          </w:tcPr>
          <w:p w14:paraId="5B6FC29B" w14:textId="77777777" w:rsidR="009028C6" w:rsidRPr="00BA4A3E" w:rsidRDefault="00BA4A3E" w:rsidP="00BA4A3E">
            <w:pPr>
              <w:spacing w:after="0"/>
              <w:rPr>
                <w:sz w:val="20"/>
                <w:szCs w:val="20"/>
                <w:lang w:val="en-GB"/>
              </w:rPr>
            </w:pPr>
            <w:r w:rsidRPr="00BA4A3E">
              <w:rPr>
                <w:sz w:val="20"/>
                <w:szCs w:val="20"/>
                <w:lang w:val="en-GB"/>
              </w:rPr>
              <w:t xml:space="preserve">Academician </w:t>
            </w:r>
            <w:proofErr w:type="spellStart"/>
            <w:r w:rsidRPr="00BA4A3E">
              <w:rPr>
                <w:sz w:val="20"/>
                <w:szCs w:val="20"/>
                <w:lang w:val="en-GB"/>
              </w:rPr>
              <w:t>Muamer</w:t>
            </w:r>
            <w:proofErr w:type="spellEnd"/>
            <w:r w:rsidRPr="00BA4A3E">
              <w:rPr>
                <w:sz w:val="20"/>
                <w:szCs w:val="20"/>
                <w:lang w:val="en-GB"/>
              </w:rPr>
              <w:t xml:space="preserve"> </w:t>
            </w:r>
            <w:proofErr w:type="spellStart"/>
            <w:r w:rsidRPr="00BA4A3E">
              <w:rPr>
                <w:sz w:val="20"/>
                <w:szCs w:val="20"/>
                <w:lang w:val="en-GB"/>
              </w:rPr>
              <w:t>Zukorlić</w:t>
            </w:r>
            <w:proofErr w:type="spellEnd"/>
            <w:r w:rsidRPr="00BA4A3E">
              <w:rPr>
                <w:sz w:val="20"/>
                <w:szCs w:val="20"/>
                <w:lang w:val="en-GB"/>
              </w:rPr>
              <w:t xml:space="preserve"> – Straight Ahead - Party of Justice and Reconciliation (SPP) - Democratic Party of Macedonians </w:t>
            </w:r>
            <w:r w:rsidR="009028C6" w:rsidRPr="00BA4A3E">
              <w:rPr>
                <w:sz w:val="20"/>
                <w:szCs w:val="20"/>
                <w:lang w:val="en-GB"/>
              </w:rPr>
              <w:t>(</w:t>
            </w:r>
            <w:r w:rsidRPr="00BA4A3E">
              <w:rPr>
                <w:sz w:val="20"/>
                <w:szCs w:val="20"/>
                <w:lang w:val="en-GB"/>
              </w:rPr>
              <w:t>DPM</w:t>
            </w:r>
            <w:r w:rsidR="009028C6" w:rsidRPr="00BA4A3E">
              <w:rPr>
                <w:sz w:val="20"/>
                <w:szCs w:val="20"/>
                <w:lang w:val="en-GB"/>
              </w:rPr>
              <w:t xml:space="preserve">) / </w:t>
            </w:r>
            <w:proofErr w:type="spellStart"/>
            <w:r w:rsidR="009028C6" w:rsidRPr="00BA4A3E">
              <w:rPr>
                <w:sz w:val="20"/>
                <w:szCs w:val="20"/>
                <w:lang w:val="en-GB"/>
              </w:rPr>
              <w:t>Akademik</w:t>
            </w:r>
            <w:proofErr w:type="spellEnd"/>
            <w:r w:rsidR="009028C6" w:rsidRPr="00BA4A3E">
              <w:rPr>
                <w:sz w:val="20"/>
                <w:szCs w:val="20"/>
                <w:lang w:val="en-GB"/>
              </w:rPr>
              <w:t xml:space="preserve"> </w:t>
            </w:r>
            <w:proofErr w:type="spellStart"/>
            <w:r w:rsidR="009028C6" w:rsidRPr="00BA4A3E">
              <w:rPr>
                <w:sz w:val="20"/>
                <w:szCs w:val="20"/>
                <w:lang w:val="en-GB"/>
              </w:rPr>
              <w:t>Muamer</w:t>
            </w:r>
            <w:proofErr w:type="spellEnd"/>
            <w:r w:rsidR="009028C6" w:rsidRPr="00BA4A3E">
              <w:rPr>
                <w:sz w:val="20"/>
                <w:szCs w:val="20"/>
                <w:lang w:val="en-GB"/>
              </w:rPr>
              <w:t xml:space="preserve"> </w:t>
            </w:r>
            <w:proofErr w:type="spellStart"/>
            <w:r w:rsidR="009028C6" w:rsidRPr="00BA4A3E">
              <w:rPr>
                <w:sz w:val="20"/>
                <w:szCs w:val="20"/>
                <w:lang w:val="en-GB"/>
              </w:rPr>
              <w:t>Zukorlić</w:t>
            </w:r>
            <w:proofErr w:type="spellEnd"/>
            <w:r w:rsidR="009028C6" w:rsidRPr="00BA4A3E">
              <w:rPr>
                <w:sz w:val="20"/>
                <w:szCs w:val="20"/>
                <w:lang w:val="en-GB"/>
              </w:rPr>
              <w:t xml:space="preserve"> – </w:t>
            </w:r>
            <w:proofErr w:type="spellStart"/>
            <w:r w:rsidR="009028C6" w:rsidRPr="00BA4A3E">
              <w:rPr>
                <w:sz w:val="20"/>
                <w:szCs w:val="20"/>
                <w:lang w:val="en-GB"/>
              </w:rPr>
              <w:t>Samo</w:t>
            </w:r>
            <w:proofErr w:type="spellEnd"/>
            <w:r w:rsidR="009028C6" w:rsidRPr="00BA4A3E">
              <w:rPr>
                <w:sz w:val="20"/>
                <w:szCs w:val="20"/>
                <w:lang w:val="en-GB"/>
              </w:rPr>
              <w:t xml:space="preserve"> </w:t>
            </w:r>
            <w:proofErr w:type="spellStart"/>
            <w:r w:rsidR="009028C6" w:rsidRPr="00BA4A3E">
              <w:rPr>
                <w:sz w:val="20"/>
                <w:szCs w:val="20"/>
                <w:lang w:val="en-GB"/>
              </w:rPr>
              <w:t>pravo</w:t>
            </w:r>
            <w:proofErr w:type="spellEnd"/>
            <w:r w:rsidR="009028C6" w:rsidRPr="00BA4A3E">
              <w:rPr>
                <w:sz w:val="20"/>
                <w:szCs w:val="20"/>
                <w:lang w:val="en-GB"/>
              </w:rPr>
              <w:t xml:space="preserve"> – </w:t>
            </w:r>
            <w:proofErr w:type="spellStart"/>
            <w:r w:rsidR="009028C6" w:rsidRPr="00BA4A3E">
              <w:rPr>
                <w:sz w:val="20"/>
                <w:szCs w:val="20"/>
                <w:lang w:val="en-GB"/>
              </w:rPr>
              <w:t>Stranka</w:t>
            </w:r>
            <w:proofErr w:type="spellEnd"/>
            <w:r w:rsidR="009028C6" w:rsidRPr="00BA4A3E">
              <w:rPr>
                <w:sz w:val="20"/>
                <w:szCs w:val="20"/>
                <w:lang w:val="en-GB"/>
              </w:rPr>
              <w:t xml:space="preserve"> </w:t>
            </w:r>
            <w:proofErr w:type="spellStart"/>
            <w:r w:rsidR="009028C6" w:rsidRPr="00BA4A3E">
              <w:rPr>
                <w:sz w:val="20"/>
                <w:szCs w:val="20"/>
                <w:lang w:val="en-GB"/>
              </w:rPr>
              <w:t>pravde</w:t>
            </w:r>
            <w:proofErr w:type="spellEnd"/>
            <w:r w:rsidR="009028C6" w:rsidRPr="00BA4A3E">
              <w:rPr>
                <w:sz w:val="20"/>
                <w:szCs w:val="20"/>
                <w:lang w:val="en-GB"/>
              </w:rPr>
              <w:t xml:space="preserve"> </w:t>
            </w:r>
            <w:proofErr w:type="spellStart"/>
            <w:r w:rsidR="009028C6" w:rsidRPr="00BA4A3E">
              <w:rPr>
                <w:sz w:val="20"/>
                <w:szCs w:val="20"/>
                <w:lang w:val="en-GB"/>
              </w:rPr>
              <w:t>i</w:t>
            </w:r>
            <w:proofErr w:type="spellEnd"/>
            <w:r w:rsidR="009028C6" w:rsidRPr="00BA4A3E">
              <w:rPr>
                <w:sz w:val="20"/>
                <w:szCs w:val="20"/>
                <w:lang w:val="en-GB"/>
              </w:rPr>
              <w:t xml:space="preserve"> </w:t>
            </w:r>
            <w:proofErr w:type="spellStart"/>
            <w:r w:rsidR="009028C6" w:rsidRPr="00BA4A3E">
              <w:rPr>
                <w:sz w:val="20"/>
                <w:szCs w:val="20"/>
                <w:lang w:val="en-GB"/>
              </w:rPr>
              <w:t>pomirenja</w:t>
            </w:r>
            <w:proofErr w:type="spellEnd"/>
            <w:r w:rsidR="009028C6" w:rsidRPr="00BA4A3E">
              <w:rPr>
                <w:sz w:val="20"/>
                <w:szCs w:val="20"/>
                <w:lang w:val="en-GB"/>
              </w:rPr>
              <w:t xml:space="preserve"> (SPP) – </w:t>
            </w:r>
            <w:proofErr w:type="spellStart"/>
            <w:r w:rsidR="009028C6" w:rsidRPr="00BA4A3E">
              <w:rPr>
                <w:sz w:val="20"/>
                <w:szCs w:val="20"/>
                <w:lang w:val="en-GB"/>
              </w:rPr>
              <w:t>Demokratska</w:t>
            </w:r>
            <w:proofErr w:type="spellEnd"/>
            <w:r w:rsidR="009028C6" w:rsidRPr="00BA4A3E">
              <w:rPr>
                <w:sz w:val="20"/>
                <w:szCs w:val="20"/>
                <w:lang w:val="en-GB"/>
              </w:rPr>
              <w:t xml:space="preserve"> </w:t>
            </w:r>
            <w:proofErr w:type="spellStart"/>
            <w:r w:rsidR="009028C6" w:rsidRPr="00BA4A3E">
              <w:rPr>
                <w:sz w:val="20"/>
                <w:szCs w:val="20"/>
                <w:lang w:val="en-GB"/>
              </w:rPr>
              <w:t>partija</w:t>
            </w:r>
            <w:proofErr w:type="spellEnd"/>
            <w:r w:rsidR="009028C6" w:rsidRPr="00BA4A3E">
              <w:rPr>
                <w:sz w:val="20"/>
                <w:szCs w:val="20"/>
                <w:lang w:val="en-GB"/>
              </w:rPr>
              <w:t xml:space="preserve"> </w:t>
            </w:r>
            <w:proofErr w:type="spellStart"/>
            <w:r w:rsidR="009028C6" w:rsidRPr="00BA4A3E">
              <w:rPr>
                <w:sz w:val="20"/>
                <w:szCs w:val="20"/>
                <w:lang w:val="en-GB"/>
              </w:rPr>
              <w:t>Makedonaca</w:t>
            </w:r>
            <w:proofErr w:type="spellEnd"/>
            <w:r w:rsidR="009028C6" w:rsidRPr="00BA4A3E">
              <w:rPr>
                <w:sz w:val="20"/>
                <w:szCs w:val="20"/>
                <w:lang w:val="en-GB"/>
              </w:rPr>
              <w:t xml:space="preserve"> (DPM) / </w:t>
            </w:r>
            <w:proofErr w:type="spellStart"/>
            <w:r w:rsidR="009028C6" w:rsidRPr="00BA4A3E">
              <w:rPr>
                <w:sz w:val="20"/>
                <w:szCs w:val="20"/>
                <w:lang w:val="en-GB"/>
              </w:rPr>
              <w:t>Академик</w:t>
            </w:r>
            <w:proofErr w:type="spellEnd"/>
            <w:r w:rsidR="009028C6" w:rsidRPr="00BA4A3E">
              <w:rPr>
                <w:sz w:val="20"/>
                <w:szCs w:val="20"/>
                <w:lang w:val="en-GB"/>
              </w:rPr>
              <w:t xml:space="preserve"> </w:t>
            </w:r>
            <w:proofErr w:type="spellStart"/>
            <w:r w:rsidR="009028C6" w:rsidRPr="00BA4A3E">
              <w:rPr>
                <w:sz w:val="20"/>
                <w:szCs w:val="20"/>
                <w:lang w:val="en-GB"/>
              </w:rPr>
              <w:t>Муамер</w:t>
            </w:r>
            <w:proofErr w:type="spellEnd"/>
            <w:r w:rsidR="009028C6" w:rsidRPr="00BA4A3E">
              <w:rPr>
                <w:sz w:val="20"/>
                <w:szCs w:val="20"/>
                <w:lang w:val="en-GB"/>
              </w:rPr>
              <w:t xml:space="preserve"> </w:t>
            </w:r>
            <w:proofErr w:type="spellStart"/>
            <w:r w:rsidR="009028C6" w:rsidRPr="00BA4A3E">
              <w:rPr>
                <w:sz w:val="20"/>
                <w:szCs w:val="20"/>
                <w:lang w:val="en-GB"/>
              </w:rPr>
              <w:t>Зукорлић</w:t>
            </w:r>
            <w:proofErr w:type="spellEnd"/>
            <w:r w:rsidR="009028C6" w:rsidRPr="00BA4A3E">
              <w:rPr>
                <w:sz w:val="20"/>
                <w:szCs w:val="20"/>
                <w:lang w:val="en-GB"/>
              </w:rPr>
              <w:t xml:space="preserve"> – </w:t>
            </w:r>
            <w:proofErr w:type="spellStart"/>
            <w:r w:rsidR="009028C6" w:rsidRPr="00BA4A3E">
              <w:rPr>
                <w:sz w:val="20"/>
                <w:szCs w:val="20"/>
                <w:lang w:val="en-GB"/>
              </w:rPr>
              <w:t>Само</w:t>
            </w:r>
            <w:proofErr w:type="spellEnd"/>
            <w:r w:rsidR="009028C6" w:rsidRPr="00BA4A3E">
              <w:rPr>
                <w:sz w:val="20"/>
                <w:szCs w:val="20"/>
                <w:lang w:val="en-GB"/>
              </w:rPr>
              <w:t xml:space="preserve"> </w:t>
            </w:r>
            <w:proofErr w:type="spellStart"/>
            <w:r w:rsidR="009028C6" w:rsidRPr="00BA4A3E">
              <w:rPr>
                <w:sz w:val="20"/>
                <w:szCs w:val="20"/>
                <w:lang w:val="en-GB"/>
              </w:rPr>
              <w:t>право</w:t>
            </w:r>
            <w:proofErr w:type="spellEnd"/>
            <w:r w:rsidR="009028C6" w:rsidRPr="00BA4A3E">
              <w:rPr>
                <w:sz w:val="20"/>
                <w:szCs w:val="20"/>
                <w:lang w:val="en-GB"/>
              </w:rPr>
              <w:t xml:space="preserve"> – </w:t>
            </w:r>
            <w:proofErr w:type="spellStart"/>
            <w:r w:rsidR="009028C6" w:rsidRPr="00BA4A3E">
              <w:rPr>
                <w:sz w:val="20"/>
                <w:szCs w:val="20"/>
                <w:lang w:val="en-GB"/>
              </w:rPr>
              <w:t>Странка</w:t>
            </w:r>
            <w:proofErr w:type="spellEnd"/>
            <w:r w:rsidR="009028C6" w:rsidRPr="00BA4A3E">
              <w:rPr>
                <w:sz w:val="20"/>
                <w:szCs w:val="20"/>
                <w:lang w:val="en-GB"/>
              </w:rPr>
              <w:t xml:space="preserve"> </w:t>
            </w:r>
            <w:proofErr w:type="spellStart"/>
            <w:r w:rsidR="009028C6" w:rsidRPr="00BA4A3E">
              <w:rPr>
                <w:sz w:val="20"/>
                <w:szCs w:val="20"/>
                <w:lang w:val="en-GB"/>
              </w:rPr>
              <w:t>на</w:t>
            </w:r>
            <w:proofErr w:type="spellEnd"/>
            <w:r w:rsidR="009028C6" w:rsidRPr="00BA4A3E">
              <w:rPr>
                <w:sz w:val="20"/>
                <w:szCs w:val="20"/>
                <w:lang w:val="en-GB"/>
              </w:rPr>
              <w:t xml:space="preserve"> </w:t>
            </w:r>
            <w:proofErr w:type="spellStart"/>
            <w:r w:rsidR="009028C6" w:rsidRPr="00BA4A3E">
              <w:rPr>
                <w:sz w:val="20"/>
                <w:szCs w:val="20"/>
                <w:lang w:val="en-GB"/>
              </w:rPr>
              <w:t>правда</w:t>
            </w:r>
            <w:proofErr w:type="spellEnd"/>
            <w:r w:rsidR="009028C6" w:rsidRPr="00BA4A3E">
              <w:rPr>
                <w:sz w:val="20"/>
                <w:szCs w:val="20"/>
                <w:lang w:val="en-GB"/>
              </w:rPr>
              <w:t xml:space="preserve"> и </w:t>
            </w:r>
            <w:proofErr w:type="spellStart"/>
            <w:r w:rsidR="009028C6" w:rsidRPr="00BA4A3E">
              <w:rPr>
                <w:sz w:val="20"/>
                <w:szCs w:val="20"/>
                <w:lang w:val="en-GB"/>
              </w:rPr>
              <w:t>помиреније</w:t>
            </w:r>
            <w:proofErr w:type="spellEnd"/>
            <w:r w:rsidR="009028C6" w:rsidRPr="00BA4A3E">
              <w:rPr>
                <w:sz w:val="20"/>
                <w:szCs w:val="20"/>
                <w:lang w:val="en-GB"/>
              </w:rPr>
              <w:t xml:space="preserve"> (СПП) – </w:t>
            </w:r>
            <w:proofErr w:type="spellStart"/>
            <w:r w:rsidR="009028C6" w:rsidRPr="00BA4A3E">
              <w:rPr>
                <w:sz w:val="20"/>
                <w:szCs w:val="20"/>
                <w:lang w:val="en-GB"/>
              </w:rPr>
              <w:t>Демократска</w:t>
            </w:r>
            <w:proofErr w:type="spellEnd"/>
            <w:r w:rsidR="009028C6" w:rsidRPr="00BA4A3E">
              <w:rPr>
                <w:sz w:val="20"/>
                <w:szCs w:val="20"/>
                <w:lang w:val="en-GB"/>
              </w:rPr>
              <w:t xml:space="preserve"> </w:t>
            </w:r>
            <w:proofErr w:type="spellStart"/>
            <w:r w:rsidR="009028C6" w:rsidRPr="00BA4A3E">
              <w:rPr>
                <w:sz w:val="20"/>
                <w:szCs w:val="20"/>
                <w:lang w:val="en-GB"/>
              </w:rPr>
              <w:t>партија</w:t>
            </w:r>
            <w:proofErr w:type="spellEnd"/>
            <w:r w:rsidR="009028C6" w:rsidRPr="00BA4A3E">
              <w:rPr>
                <w:sz w:val="20"/>
                <w:szCs w:val="20"/>
                <w:lang w:val="en-GB"/>
              </w:rPr>
              <w:t xml:space="preserve"> </w:t>
            </w:r>
            <w:proofErr w:type="spellStart"/>
            <w:r w:rsidR="009028C6" w:rsidRPr="00BA4A3E">
              <w:rPr>
                <w:sz w:val="20"/>
                <w:szCs w:val="20"/>
                <w:lang w:val="en-GB"/>
              </w:rPr>
              <w:t>на</w:t>
            </w:r>
            <w:proofErr w:type="spellEnd"/>
            <w:r w:rsidR="009028C6" w:rsidRPr="00BA4A3E">
              <w:rPr>
                <w:sz w:val="20"/>
                <w:szCs w:val="20"/>
                <w:lang w:val="en-GB"/>
              </w:rPr>
              <w:t xml:space="preserve"> </w:t>
            </w:r>
            <w:proofErr w:type="spellStart"/>
            <w:r w:rsidR="009028C6" w:rsidRPr="00BA4A3E">
              <w:rPr>
                <w:sz w:val="20"/>
                <w:szCs w:val="20"/>
                <w:lang w:val="en-GB"/>
              </w:rPr>
              <w:t>Македонците</w:t>
            </w:r>
            <w:proofErr w:type="spellEnd"/>
            <w:r w:rsidR="009028C6" w:rsidRPr="00BA4A3E">
              <w:rPr>
                <w:sz w:val="20"/>
                <w:szCs w:val="20"/>
                <w:lang w:val="en-GB"/>
              </w:rPr>
              <w:t xml:space="preserve"> (ДПМ)</w:t>
            </w:r>
          </w:p>
        </w:tc>
        <w:tc>
          <w:tcPr>
            <w:tcW w:w="3458" w:type="dxa"/>
          </w:tcPr>
          <w:p w14:paraId="6989939D" w14:textId="77777777" w:rsidR="009028C6" w:rsidRPr="00BA4A3E" w:rsidRDefault="009028C6" w:rsidP="005249B1">
            <w:pPr>
              <w:spacing w:after="0"/>
              <w:jc w:val="center"/>
              <w:rPr>
                <w:sz w:val="20"/>
                <w:szCs w:val="20"/>
                <w:lang w:val="en-GB"/>
              </w:rPr>
            </w:pPr>
            <w:r w:rsidRPr="00BA4A3E">
              <w:rPr>
                <w:sz w:val="20"/>
                <w:szCs w:val="20"/>
                <w:lang w:val="en-GB"/>
              </w:rPr>
              <w:t>4</w:t>
            </w:r>
          </w:p>
        </w:tc>
      </w:tr>
      <w:tr w:rsidR="009028C6" w:rsidRPr="00D62D04" w14:paraId="6D700FBB" w14:textId="77777777" w:rsidTr="00792AAA">
        <w:tc>
          <w:tcPr>
            <w:tcW w:w="5524" w:type="dxa"/>
          </w:tcPr>
          <w:p w14:paraId="7F3568BA" w14:textId="77777777" w:rsidR="009028C6" w:rsidRPr="00BA4A3E" w:rsidRDefault="00BA4A3E" w:rsidP="005249B1">
            <w:pPr>
              <w:spacing w:after="0"/>
              <w:rPr>
                <w:sz w:val="20"/>
                <w:szCs w:val="20"/>
                <w:lang w:val="en-GB"/>
              </w:rPr>
            </w:pPr>
            <w:r w:rsidRPr="00BA4A3E">
              <w:rPr>
                <w:sz w:val="20"/>
                <w:szCs w:val="20"/>
                <w:lang w:val="en-GB"/>
              </w:rPr>
              <w:t>"ALBANIAN DEMOCRATIC ALTERNATIVE - UNITED VALLEY"</w:t>
            </w:r>
            <w:r w:rsidR="009028C6" w:rsidRPr="00BA4A3E">
              <w:rPr>
                <w:sz w:val="20"/>
                <w:szCs w:val="20"/>
                <w:lang w:val="en-GB"/>
              </w:rPr>
              <w:t>„ALTERNATIVA DEMOKRATIKE SHQIPTARE – LUGINA E BASHKUAR“</w:t>
            </w:r>
          </w:p>
        </w:tc>
        <w:tc>
          <w:tcPr>
            <w:tcW w:w="3458" w:type="dxa"/>
          </w:tcPr>
          <w:p w14:paraId="3EFF9125" w14:textId="77777777" w:rsidR="009028C6" w:rsidRPr="00BA4A3E" w:rsidRDefault="009028C6" w:rsidP="005249B1">
            <w:pPr>
              <w:spacing w:after="0"/>
              <w:jc w:val="center"/>
              <w:rPr>
                <w:sz w:val="20"/>
                <w:szCs w:val="20"/>
                <w:lang w:val="en-GB"/>
              </w:rPr>
            </w:pPr>
            <w:r w:rsidRPr="00BA4A3E">
              <w:rPr>
                <w:sz w:val="20"/>
                <w:szCs w:val="20"/>
                <w:lang w:val="en-GB"/>
              </w:rPr>
              <w:t>3</w:t>
            </w:r>
          </w:p>
        </w:tc>
      </w:tr>
      <w:tr w:rsidR="009028C6" w:rsidRPr="00D62D04" w14:paraId="5BD478CD" w14:textId="77777777" w:rsidTr="00792AAA">
        <w:tc>
          <w:tcPr>
            <w:tcW w:w="5524" w:type="dxa"/>
          </w:tcPr>
          <w:p w14:paraId="7F186A39" w14:textId="77777777" w:rsidR="009028C6" w:rsidRPr="00BA4A3E" w:rsidRDefault="00BA4A3E" w:rsidP="005249B1">
            <w:pPr>
              <w:spacing w:after="0"/>
              <w:rPr>
                <w:sz w:val="20"/>
                <w:szCs w:val="20"/>
                <w:lang w:val="en-GB"/>
              </w:rPr>
            </w:pPr>
            <w:r w:rsidRPr="00BA4A3E">
              <w:rPr>
                <w:sz w:val="20"/>
                <w:szCs w:val="20"/>
                <w:lang w:val="en-GB"/>
              </w:rPr>
              <w:t>De</w:t>
            </w:r>
            <w:r w:rsidR="007F1D8A">
              <w:rPr>
                <w:sz w:val="20"/>
                <w:szCs w:val="20"/>
                <w:lang w:val="en-GB"/>
              </w:rPr>
              <w:t>m</w:t>
            </w:r>
            <w:r w:rsidRPr="00BA4A3E">
              <w:rPr>
                <w:sz w:val="20"/>
                <w:szCs w:val="20"/>
                <w:lang w:val="en-GB"/>
              </w:rPr>
              <w:t xml:space="preserve">ocratic Action Party of </w:t>
            </w:r>
            <w:proofErr w:type="spellStart"/>
            <w:r w:rsidRPr="00BA4A3E">
              <w:rPr>
                <w:sz w:val="20"/>
                <w:szCs w:val="20"/>
                <w:lang w:val="en-GB"/>
              </w:rPr>
              <w:t>Sandžak</w:t>
            </w:r>
            <w:proofErr w:type="spellEnd"/>
            <w:r w:rsidR="009028C6" w:rsidRPr="00BA4A3E">
              <w:rPr>
                <w:sz w:val="20"/>
                <w:szCs w:val="20"/>
                <w:lang w:val="en-GB"/>
              </w:rPr>
              <w:t xml:space="preserve"> – </w:t>
            </w:r>
            <w:proofErr w:type="spellStart"/>
            <w:r w:rsidRPr="00BA4A3E">
              <w:rPr>
                <w:sz w:val="20"/>
                <w:szCs w:val="20"/>
                <w:lang w:val="en-GB"/>
              </w:rPr>
              <w:t>Sulejman</w:t>
            </w:r>
            <w:proofErr w:type="spellEnd"/>
            <w:r w:rsidRPr="00BA4A3E">
              <w:rPr>
                <w:sz w:val="20"/>
                <w:szCs w:val="20"/>
                <w:lang w:val="en-GB"/>
              </w:rPr>
              <w:t xml:space="preserve"> </w:t>
            </w:r>
            <w:proofErr w:type="spellStart"/>
            <w:r w:rsidRPr="00BA4A3E">
              <w:rPr>
                <w:sz w:val="20"/>
                <w:szCs w:val="20"/>
                <w:lang w:val="en-GB"/>
              </w:rPr>
              <w:t>Ugljanin</w:t>
            </w:r>
            <w:proofErr w:type="spellEnd"/>
            <w:r w:rsidRPr="00BA4A3E">
              <w:rPr>
                <w:sz w:val="20"/>
                <w:szCs w:val="20"/>
                <w:lang w:val="en-GB"/>
              </w:rPr>
              <w:t>, PhD</w:t>
            </w:r>
            <w:r w:rsidR="009028C6" w:rsidRPr="00BA4A3E">
              <w:rPr>
                <w:sz w:val="20"/>
                <w:szCs w:val="20"/>
                <w:lang w:val="en-GB"/>
              </w:rPr>
              <w:t xml:space="preserve"> </w:t>
            </w:r>
          </w:p>
          <w:p w14:paraId="66AFFF1F" w14:textId="77777777" w:rsidR="009028C6" w:rsidRPr="00BA4A3E" w:rsidRDefault="009028C6" w:rsidP="005249B1">
            <w:pPr>
              <w:spacing w:after="0"/>
              <w:rPr>
                <w:sz w:val="20"/>
                <w:szCs w:val="20"/>
                <w:lang w:val="en-GB"/>
              </w:rPr>
            </w:pPr>
            <w:r w:rsidRPr="00BA4A3E">
              <w:rPr>
                <w:sz w:val="20"/>
                <w:szCs w:val="20"/>
                <w:lang w:val="en-GB"/>
              </w:rPr>
              <w:t xml:space="preserve">SDA </w:t>
            </w:r>
            <w:proofErr w:type="spellStart"/>
            <w:r w:rsidRPr="00BA4A3E">
              <w:rPr>
                <w:sz w:val="20"/>
                <w:szCs w:val="20"/>
                <w:lang w:val="en-GB"/>
              </w:rPr>
              <w:t>Sandžaka</w:t>
            </w:r>
            <w:proofErr w:type="spellEnd"/>
            <w:r w:rsidRPr="00BA4A3E">
              <w:rPr>
                <w:sz w:val="20"/>
                <w:szCs w:val="20"/>
                <w:lang w:val="en-GB"/>
              </w:rPr>
              <w:t xml:space="preserve"> – dr. </w:t>
            </w:r>
            <w:proofErr w:type="spellStart"/>
            <w:r w:rsidRPr="00BA4A3E">
              <w:rPr>
                <w:sz w:val="20"/>
                <w:szCs w:val="20"/>
                <w:lang w:val="en-GB"/>
              </w:rPr>
              <w:t>Sulejman</w:t>
            </w:r>
            <w:proofErr w:type="spellEnd"/>
            <w:r w:rsidRPr="00BA4A3E">
              <w:rPr>
                <w:sz w:val="20"/>
                <w:szCs w:val="20"/>
                <w:lang w:val="en-GB"/>
              </w:rPr>
              <w:t xml:space="preserve"> </w:t>
            </w:r>
            <w:proofErr w:type="spellStart"/>
            <w:r w:rsidRPr="00BA4A3E">
              <w:rPr>
                <w:sz w:val="20"/>
                <w:szCs w:val="20"/>
                <w:lang w:val="en-GB"/>
              </w:rPr>
              <w:t>Ugljanin</w:t>
            </w:r>
            <w:proofErr w:type="spellEnd"/>
          </w:p>
        </w:tc>
        <w:tc>
          <w:tcPr>
            <w:tcW w:w="3458" w:type="dxa"/>
          </w:tcPr>
          <w:p w14:paraId="08DB3031" w14:textId="77777777" w:rsidR="009028C6" w:rsidRPr="00BA4A3E" w:rsidRDefault="009028C6" w:rsidP="005249B1">
            <w:pPr>
              <w:spacing w:after="0"/>
              <w:jc w:val="center"/>
              <w:rPr>
                <w:sz w:val="20"/>
                <w:szCs w:val="20"/>
                <w:lang w:val="en-GB"/>
              </w:rPr>
            </w:pPr>
            <w:r w:rsidRPr="00BA4A3E">
              <w:rPr>
                <w:sz w:val="20"/>
                <w:szCs w:val="20"/>
                <w:lang w:val="en-GB"/>
              </w:rPr>
              <w:t>3</w:t>
            </w:r>
          </w:p>
        </w:tc>
      </w:tr>
    </w:tbl>
    <w:p w14:paraId="012B48BD" w14:textId="77777777" w:rsidR="009028C6" w:rsidRPr="00D62D04" w:rsidRDefault="009028C6" w:rsidP="00543C3D">
      <w:pPr>
        <w:spacing w:after="0"/>
        <w:jc w:val="both"/>
        <w:rPr>
          <w:sz w:val="24"/>
          <w:szCs w:val="24"/>
          <w:highlight w:val="cyan"/>
          <w:lang w:val="en-GB"/>
        </w:rPr>
      </w:pPr>
    </w:p>
    <w:p w14:paraId="74921C3A" w14:textId="77777777" w:rsidR="004F660E" w:rsidRDefault="00792AAA" w:rsidP="00543C3D">
      <w:pPr>
        <w:spacing w:after="0"/>
        <w:jc w:val="both"/>
        <w:rPr>
          <w:sz w:val="24"/>
          <w:szCs w:val="24"/>
          <w:lang w:val="en-GB"/>
        </w:rPr>
      </w:pPr>
      <w:r w:rsidRPr="004F660E">
        <w:rPr>
          <w:sz w:val="24"/>
          <w:szCs w:val="24"/>
          <w:lang w:val="en-GB"/>
        </w:rPr>
        <w:tab/>
      </w:r>
      <w:r w:rsidR="004F660E" w:rsidRPr="004F660E">
        <w:rPr>
          <w:sz w:val="24"/>
          <w:szCs w:val="24"/>
          <w:lang w:val="en-GB"/>
        </w:rPr>
        <w:t>In addition to the above</w:t>
      </w:r>
      <w:r w:rsidR="004F660E">
        <w:rPr>
          <w:sz w:val="24"/>
          <w:szCs w:val="24"/>
          <w:lang w:val="en-GB"/>
        </w:rPr>
        <w:t>mentioned</w:t>
      </w:r>
      <w:r w:rsidR="004F660E" w:rsidRPr="004F660E">
        <w:rPr>
          <w:sz w:val="24"/>
          <w:szCs w:val="24"/>
          <w:lang w:val="en-GB"/>
        </w:rPr>
        <w:t xml:space="preserve">, according to the data available to the Committee for Administrative-Budgetary and Mandate-Immunity Issues of the National </w:t>
      </w:r>
      <w:r w:rsidR="004F660E">
        <w:rPr>
          <w:sz w:val="24"/>
          <w:szCs w:val="24"/>
          <w:lang w:val="en-GB"/>
        </w:rPr>
        <w:t>Parliament</w:t>
      </w:r>
      <w:r w:rsidR="004F660E" w:rsidRPr="004F660E">
        <w:rPr>
          <w:sz w:val="24"/>
          <w:szCs w:val="24"/>
          <w:lang w:val="en-GB"/>
        </w:rPr>
        <w:t xml:space="preserve">, in this convocation of the National Assembly there was a significant number of MPs who declared themselves to be members of national minorities and won the mandate on the electoral lists of other political parties (and not on the electoral lists of parties of national minorities). The number of MPs who declared themselves to be members of national minorities is </w:t>
      </w:r>
      <w:r w:rsidR="0061592B">
        <w:rPr>
          <w:sz w:val="24"/>
          <w:szCs w:val="24"/>
          <w:lang w:val="en-GB"/>
        </w:rPr>
        <w:t>given</w:t>
      </w:r>
      <w:r w:rsidR="004F660E" w:rsidRPr="004F660E">
        <w:rPr>
          <w:sz w:val="24"/>
          <w:szCs w:val="24"/>
          <w:lang w:val="en-GB"/>
        </w:rPr>
        <w:t xml:space="preserve"> in the table below.</w:t>
      </w:r>
    </w:p>
    <w:p w14:paraId="2451C54C" w14:textId="77777777" w:rsidR="001C0CAC" w:rsidRPr="00D62D04" w:rsidRDefault="001C0CAC" w:rsidP="00543C3D">
      <w:pPr>
        <w:spacing w:after="0"/>
        <w:jc w:val="both"/>
        <w:rPr>
          <w:sz w:val="24"/>
          <w:szCs w:val="24"/>
          <w:highlight w:val="cyan"/>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3492"/>
      </w:tblGrid>
      <w:tr w:rsidR="001C0CAC" w:rsidRPr="0061592B" w14:paraId="4E951A22" w14:textId="77777777" w:rsidTr="003D47EF">
        <w:tc>
          <w:tcPr>
            <w:tcW w:w="5524" w:type="dxa"/>
            <w:tcBorders>
              <w:top w:val="single" w:sz="4" w:space="0" w:color="auto"/>
              <w:left w:val="single" w:sz="4" w:space="0" w:color="auto"/>
              <w:bottom w:val="single" w:sz="4" w:space="0" w:color="auto"/>
              <w:right w:val="single" w:sz="4" w:space="0" w:color="auto"/>
            </w:tcBorders>
            <w:hideMark/>
          </w:tcPr>
          <w:p w14:paraId="700ACD19" w14:textId="77777777" w:rsidR="001C0CAC" w:rsidRPr="0061592B" w:rsidRDefault="0061592B" w:rsidP="001C0CAC">
            <w:pPr>
              <w:spacing w:after="0"/>
              <w:rPr>
                <w:sz w:val="20"/>
                <w:szCs w:val="20"/>
                <w:lang w:val="en-GB"/>
              </w:rPr>
            </w:pPr>
            <w:r w:rsidRPr="0061592B">
              <w:rPr>
                <w:sz w:val="20"/>
                <w:szCs w:val="20"/>
                <w:lang w:val="en-GB"/>
              </w:rPr>
              <w:t xml:space="preserve">Albanians </w:t>
            </w:r>
          </w:p>
        </w:tc>
        <w:tc>
          <w:tcPr>
            <w:tcW w:w="3492" w:type="dxa"/>
            <w:tcBorders>
              <w:top w:val="single" w:sz="4" w:space="0" w:color="auto"/>
              <w:left w:val="single" w:sz="4" w:space="0" w:color="auto"/>
              <w:bottom w:val="single" w:sz="4" w:space="0" w:color="auto"/>
              <w:right w:val="single" w:sz="4" w:space="0" w:color="auto"/>
            </w:tcBorders>
            <w:hideMark/>
          </w:tcPr>
          <w:p w14:paraId="696B25C6" w14:textId="77777777" w:rsidR="001C0CAC" w:rsidRPr="0061592B" w:rsidRDefault="003D47EF" w:rsidP="003D47EF">
            <w:pPr>
              <w:spacing w:after="0"/>
              <w:jc w:val="center"/>
              <w:rPr>
                <w:sz w:val="20"/>
                <w:szCs w:val="20"/>
                <w:lang w:val="en-GB"/>
              </w:rPr>
            </w:pPr>
            <w:r w:rsidRPr="0061592B">
              <w:rPr>
                <w:sz w:val="20"/>
                <w:szCs w:val="20"/>
                <w:lang w:val="en-GB"/>
              </w:rPr>
              <w:t>4</w:t>
            </w:r>
          </w:p>
        </w:tc>
      </w:tr>
      <w:tr w:rsidR="003D47EF" w:rsidRPr="0061592B" w14:paraId="74F2D527" w14:textId="77777777" w:rsidTr="003D47EF">
        <w:tc>
          <w:tcPr>
            <w:tcW w:w="5524" w:type="dxa"/>
            <w:tcBorders>
              <w:top w:val="single" w:sz="4" w:space="0" w:color="auto"/>
              <w:left w:val="single" w:sz="4" w:space="0" w:color="auto"/>
              <w:bottom w:val="single" w:sz="4" w:space="0" w:color="auto"/>
              <w:right w:val="single" w:sz="4" w:space="0" w:color="auto"/>
            </w:tcBorders>
          </w:tcPr>
          <w:p w14:paraId="49187832" w14:textId="77777777" w:rsidR="003D47EF" w:rsidRPr="0061592B" w:rsidRDefault="0061592B" w:rsidP="003D47EF">
            <w:pPr>
              <w:spacing w:after="0"/>
              <w:rPr>
                <w:sz w:val="20"/>
                <w:szCs w:val="20"/>
                <w:lang w:val="en-GB"/>
              </w:rPr>
            </w:pPr>
            <w:proofErr w:type="spellStart"/>
            <w:r w:rsidRPr="0061592B">
              <w:rPr>
                <w:sz w:val="20"/>
                <w:szCs w:val="20"/>
                <w:lang w:val="en-GB"/>
              </w:rPr>
              <w:t>Bosniaks</w:t>
            </w:r>
            <w:proofErr w:type="spellEnd"/>
            <w:r w:rsidRPr="0061592B">
              <w:rPr>
                <w:sz w:val="20"/>
                <w:szCs w:val="20"/>
                <w:lang w:val="en-GB"/>
              </w:rPr>
              <w:t xml:space="preserve"> </w:t>
            </w:r>
          </w:p>
        </w:tc>
        <w:tc>
          <w:tcPr>
            <w:tcW w:w="3492" w:type="dxa"/>
            <w:tcBorders>
              <w:top w:val="single" w:sz="4" w:space="0" w:color="auto"/>
              <w:left w:val="single" w:sz="4" w:space="0" w:color="auto"/>
              <w:bottom w:val="single" w:sz="4" w:space="0" w:color="auto"/>
              <w:right w:val="single" w:sz="4" w:space="0" w:color="auto"/>
            </w:tcBorders>
          </w:tcPr>
          <w:p w14:paraId="4AC7FAF1" w14:textId="77777777" w:rsidR="003D47EF" w:rsidRPr="0061592B" w:rsidRDefault="003D47EF" w:rsidP="003D47EF">
            <w:pPr>
              <w:spacing w:after="0"/>
              <w:jc w:val="center"/>
              <w:rPr>
                <w:sz w:val="20"/>
                <w:szCs w:val="20"/>
                <w:lang w:val="en-GB"/>
              </w:rPr>
            </w:pPr>
            <w:r w:rsidRPr="0061592B">
              <w:rPr>
                <w:sz w:val="20"/>
                <w:szCs w:val="20"/>
                <w:lang w:val="en-GB"/>
              </w:rPr>
              <w:t>9</w:t>
            </w:r>
          </w:p>
        </w:tc>
      </w:tr>
      <w:tr w:rsidR="003D47EF" w:rsidRPr="0061592B" w14:paraId="7F7D5A41" w14:textId="77777777" w:rsidTr="003D47EF">
        <w:tc>
          <w:tcPr>
            <w:tcW w:w="5524" w:type="dxa"/>
            <w:tcBorders>
              <w:top w:val="single" w:sz="4" w:space="0" w:color="auto"/>
              <w:left w:val="single" w:sz="4" w:space="0" w:color="auto"/>
              <w:bottom w:val="single" w:sz="4" w:space="0" w:color="auto"/>
              <w:right w:val="single" w:sz="4" w:space="0" w:color="auto"/>
            </w:tcBorders>
          </w:tcPr>
          <w:p w14:paraId="22E81EB3" w14:textId="77777777" w:rsidR="003D47EF" w:rsidRPr="0061592B" w:rsidRDefault="0061592B" w:rsidP="003D47EF">
            <w:pPr>
              <w:spacing w:after="0"/>
              <w:rPr>
                <w:sz w:val="20"/>
                <w:szCs w:val="20"/>
                <w:lang w:val="en-GB"/>
              </w:rPr>
            </w:pPr>
            <w:r w:rsidRPr="0061592B">
              <w:rPr>
                <w:sz w:val="20"/>
                <w:szCs w:val="20"/>
                <w:lang w:val="en-GB"/>
              </w:rPr>
              <w:t xml:space="preserve">Bulgarians </w:t>
            </w:r>
          </w:p>
        </w:tc>
        <w:tc>
          <w:tcPr>
            <w:tcW w:w="3492" w:type="dxa"/>
            <w:tcBorders>
              <w:top w:val="single" w:sz="4" w:space="0" w:color="auto"/>
              <w:left w:val="single" w:sz="4" w:space="0" w:color="auto"/>
              <w:bottom w:val="single" w:sz="4" w:space="0" w:color="auto"/>
              <w:right w:val="single" w:sz="4" w:space="0" w:color="auto"/>
            </w:tcBorders>
          </w:tcPr>
          <w:p w14:paraId="3DEE714D" w14:textId="77777777" w:rsidR="003D47EF" w:rsidRPr="0061592B" w:rsidRDefault="003D47EF" w:rsidP="003D47EF">
            <w:pPr>
              <w:spacing w:after="0"/>
              <w:jc w:val="center"/>
              <w:rPr>
                <w:sz w:val="20"/>
                <w:szCs w:val="20"/>
                <w:lang w:val="en-GB"/>
              </w:rPr>
            </w:pPr>
            <w:r w:rsidRPr="0061592B">
              <w:rPr>
                <w:sz w:val="20"/>
                <w:szCs w:val="20"/>
                <w:lang w:val="en-GB"/>
              </w:rPr>
              <w:t>1</w:t>
            </w:r>
          </w:p>
        </w:tc>
      </w:tr>
      <w:tr w:rsidR="001C0CAC" w:rsidRPr="0061592B" w14:paraId="2E7B8281" w14:textId="77777777" w:rsidTr="003D47EF">
        <w:tc>
          <w:tcPr>
            <w:tcW w:w="5524" w:type="dxa"/>
            <w:tcBorders>
              <w:top w:val="single" w:sz="4" w:space="0" w:color="auto"/>
              <w:left w:val="single" w:sz="4" w:space="0" w:color="auto"/>
              <w:bottom w:val="single" w:sz="4" w:space="0" w:color="auto"/>
              <w:right w:val="single" w:sz="4" w:space="0" w:color="auto"/>
            </w:tcBorders>
            <w:hideMark/>
          </w:tcPr>
          <w:p w14:paraId="06FC742A" w14:textId="77777777" w:rsidR="001C0CAC" w:rsidRPr="0061592B" w:rsidRDefault="0061592B" w:rsidP="001C0CAC">
            <w:pPr>
              <w:spacing w:after="0"/>
              <w:rPr>
                <w:sz w:val="20"/>
                <w:szCs w:val="20"/>
                <w:lang w:val="en-GB"/>
              </w:rPr>
            </w:pPr>
            <w:r w:rsidRPr="0061592B">
              <w:rPr>
                <w:sz w:val="20"/>
                <w:szCs w:val="20"/>
                <w:lang w:val="en-GB"/>
              </w:rPr>
              <w:t xml:space="preserve">Hungarians </w:t>
            </w:r>
          </w:p>
        </w:tc>
        <w:tc>
          <w:tcPr>
            <w:tcW w:w="3492" w:type="dxa"/>
            <w:tcBorders>
              <w:top w:val="single" w:sz="4" w:space="0" w:color="auto"/>
              <w:left w:val="single" w:sz="4" w:space="0" w:color="auto"/>
              <w:bottom w:val="single" w:sz="4" w:space="0" w:color="auto"/>
              <w:right w:val="single" w:sz="4" w:space="0" w:color="auto"/>
            </w:tcBorders>
            <w:hideMark/>
          </w:tcPr>
          <w:p w14:paraId="1E012F2D" w14:textId="77777777" w:rsidR="001C0CAC" w:rsidRPr="0061592B" w:rsidRDefault="001C0CAC" w:rsidP="003D47EF">
            <w:pPr>
              <w:spacing w:after="0"/>
              <w:jc w:val="center"/>
              <w:rPr>
                <w:sz w:val="20"/>
                <w:szCs w:val="20"/>
                <w:lang w:val="en-GB"/>
              </w:rPr>
            </w:pPr>
            <w:r w:rsidRPr="0061592B">
              <w:rPr>
                <w:sz w:val="20"/>
                <w:szCs w:val="20"/>
                <w:lang w:val="en-GB"/>
              </w:rPr>
              <w:t>11</w:t>
            </w:r>
          </w:p>
        </w:tc>
      </w:tr>
      <w:tr w:rsidR="001C0CAC" w:rsidRPr="00D62D04" w14:paraId="3606F570" w14:textId="77777777" w:rsidTr="003D47EF">
        <w:tc>
          <w:tcPr>
            <w:tcW w:w="5524" w:type="dxa"/>
            <w:tcBorders>
              <w:top w:val="single" w:sz="4" w:space="0" w:color="auto"/>
              <w:left w:val="single" w:sz="4" w:space="0" w:color="auto"/>
              <w:bottom w:val="single" w:sz="4" w:space="0" w:color="auto"/>
              <w:right w:val="single" w:sz="4" w:space="0" w:color="auto"/>
            </w:tcBorders>
          </w:tcPr>
          <w:p w14:paraId="534A4855" w14:textId="77777777" w:rsidR="001C0CAC" w:rsidRPr="0061592B" w:rsidRDefault="0061592B" w:rsidP="001C0CAC">
            <w:pPr>
              <w:spacing w:after="0"/>
              <w:rPr>
                <w:sz w:val="20"/>
                <w:szCs w:val="20"/>
                <w:lang w:val="en-GB"/>
              </w:rPr>
            </w:pPr>
            <w:r w:rsidRPr="0061592B">
              <w:rPr>
                <w:sz w:val="20"/>
                <w:szCs w:val="20"/>
                <w:lang w:val="en-GB"/>
              </w:rPr>
              <w:t xml:space="preserve">Roma </w:t>
            </w:r>
          </w:p>
        </w:tc>
        <w:tc>
          <w:tcPr>
            <w:tcW w:w="3492" w:type="dxa"/>
            <w:tcBorders>
              <w:top w:val="single" w:sz="4" w:space="0" w:color="auto"/>
              <w:left w:val="single" w:sz="4" w:space="0" w:color="auto"/>
              <w:bottom w:val="single" w:sz="4" w:space="0" w:color="auto"/>
              <w:right w:val="single" w:sz="4" w:space="0" w:color="auto"/>
            </w:tcBorders>
          </w:tcPr>
          <w:p w14:paraId="63C5CAEE" w14:textId="77777777" w:rsidR="001C0CAC" w:rsidRPr="0061592B" w:rsidRDefault="003D47EF" w:rsidP="003D47EF">
            <w:pPr>
              <w:spacing w:after="0"/>
              <w:jc w:val="center"/>
              <w:rPr>
                <w:sz w:val="20"/>
                <w:szCs w:val="20"/>
                <w:lang w:val="en-GB"/>
              </w:rPr>
            </w:pPr>
            <w:r w:rsidRPr="0061592B">
              <w:rPr>
                <w:sz w:val="20"/>
                <w:szCs w:val="20"/>
                <w:lang w:val="en-GB"/>
              </w:rPr>
              <w:t>2</w:t>
            </w:r>
          </w:p>
        </w:tc>
      </w:tr>
    </w:tbl>
    <w:p w14:paraId="44028F85" w14:textId="77777777" w:rsidR="001C0CAC" w:rsidRPr="00D62D04" w:rsidRDefault="001C0CAC" w:rsidP="00543C3D">
      <w:pPr>
        <w:spacing w:after="0"/>
        <w:jc w:val="both"/>
        <w:rPr>
          <w:sz w:val="24"/>
          <w:szCs w:val="24"/>
          <w:highlight w:val="cyan"/>
          <w:lang w:val="en-GB"/>
        </w:rPr>
      </w:pPr>
    </w:p>
    <w:p w14:paraId="3148C63F" w14:textId="77777777" w:rsidR="00AA4E84" w:rsidRDefault="00AA4E84" w:rsidP="00792AAA">
      <w:pPr>
        <w:spacing w:after="0"/>
        <w:ind w:firstLine="720"/>
        <w:jc w:val="both"/>
        <w:rPr>
          <w:sz w:val="24"/>
          <w:szCs w:val="24"/>
          <w:lang w:val="en-GB"/>
        </w:rPr>
      </w:pPr>
      <w:r w:rsidRPr="00AA4E84">
        <w:rPr>
          <w:sz w:val="24"/>
          <w:szCs w:val="24"/>
          <w:lang w:val="en-GB"/>
        </w:rPr>
        <w:t xml:space="preserve">According to the overall results of the elections for deputies of the Assembly of the Autonomous Province of </w:t>
      </w:r>
      <w:proofErr w:type="spellStart"/>
      <w:r w:rsidRPr="00AA4E84">
        <w:rPr>
          <w:sz w:val="24"/>
          <w:szCs w:val="24"/>
          <w:lang w:val="en-GB"/>
        </w:rPr>
        <w:t>Vojvodina</w:t>
      </w:r>
      <w:proofErr w:type="spellEnd"/>
      <w:r w:rsidRPr="00AA4E84">
        <w:rPr>
          <w:sz w:val="24"/>
          <w:szCs w:val="24"/>
          <w:lang w:val="en-GB"/>
        </w:rPr>
        <w:t xml:space="preserve">, which were held on </w:t>
      </w:r>
      <w:r>
        <w:rPr>
          <w:sz w:val="24"/>
          <w:szCs w:val="24"/>
          <w:lang w:val="en-GB"/>
        </w:rPr>
        <w:t xml:space="preserve">21 </w:t>
      </w:r>
      <w:r w:rsidRPr="00AA4E84">
        <w:rPr>
          <w:sz w:val="24"/>
          <w:szCs w:val="24"/>
          <w:lang w:val="en-GB"/>
        </w:rPr>
        <w:t>June 2020, the electoral lists of political parties or coalitions of political parties of national minorities won a total of 11 mandates.</w:t>
      </w:r>
    </w:p>
    <w:p w14:paraId="4FEA2C10" w14:textId="77777777" w:rsidR="00792AAA" w:rsidRPr="00D62D04" w:rsidRDefault="00792AAA" w:rsidP="00543C3D">
      <w:pPr>
        <w:spacing w:after="0"/>
        <w:jc w:val="both"/>
        <w:rPr>
          <w:sz w:val="24"/>
          <w:szCs w:val="24"/>
          <w:highlight w:val="cyan"/>
          <w:lang w:val="en-GB"/>
        </w:rPr>
      </w:pPr>
    </w:p>
    <w:tbl>
      <w:tblPr>
        <w:tblStyle w:val="TableGrid"/>
        <w:tblW w:w="0" w:type="auto"/>
        <w:tblLook w:val="04A0" w:firstRow="1" w:lastRow="0" w:firstColumn="1" w:lastColumn="0" w:noHBand="0" w:noVBand="1"/>
      </w:tblPr>
      <w:tblGrid>
        <w:gridCol w:w="5524"/>
        <w:gridCol w:w="3458"/>
      </w:tblGrid>
      <w:tr w:rsidR="00AA4E84" w:rsidRPr="00D62D04" w14:paraId="2DFEB4F8" w14:textId="77777777" w:rsidTr="003343B8">
        <w:tc>
          <w:tcPr>
            <w:tcW w:w="5524" w:type="dxa"/>
          </w:tcPr>
          <w:p w14:paraId="65A93F19" w14:textId="77777777" w:rsidR="00AA4E84" w:rsidRPr="00BA4A3E" w:rsidRDefault="00AA4E84" w:rsidP="003343B8">
            <w:pPr>
              <w:spacing w:after="0"/>
              <w:jc w:val="center"/>
              <w:rPr>
                <w:sz w:val="20"/>
                <w:szCs w:val="20"/>
                <w:lang w:val="en-GB"/>
              </w:rPr>
            </w:pPr>
            <w:r w:rsidRPr="00BA4A3E">
              <w:rPr>
                <w:sz w:val="20"/>
                <w:szCs w:val="20"/>
                <w:lang w:val="en-GB"/>
              </w:rPr>
              <w:t>Name of electoral list</w:t>
            </w:r>
          </w:p>
        </w:tc>
        <w:tc>
          <w:tcPr>
            <w:tcW w:w="3458" w:type="dxa"/>
          </w:tcPr>
          <w:p w14:paraId="28E68164" w14:textId="77777777" w:rsidR="00AA4E84" w:rsidRPr="00BA4A3E" w:rsidRDefault="00AA4E84" w:rsidP="003343B8">
            <w:pPr>
              <w:spacing w:after="0"/>
              <w:jc w:val="center"/>
              <w:rPr>
                <w:sz w:val="20"/>
                <w:szCs w:val="20"/>
                <w:lang w:val="en-GB"/>
              </w:rPr>
            </w:pPr>
            <w:r w:rsidRPr="00BA4A3E">
              <w:rPr>
                <w:sz w:val="20"/>
                <w:szCs w:val="20"/>
                <w:lang w:val="en-GB"/>
              </w:rPr>
              <w:t>Number of obtained mandates</w:t>
            </w:r>
          </w:p>
        </w:tc>
      </w:tr>
      <w:tr w:rsidR="00792AAA" w:rsidRPr="00D62D04" w14:paraId="37B8D84F" w14:textId="77777777" w:rsidTr="009756CB">
        <w:tc>
          <w:tcPr>
            <w:tcW w:w="5524" w:type="dxa"/>
          </w:tcPr>
          <w:p w14:paraId="1F714731" w14:textId="77777777" w:rsidR="00792AAA" w:rsidRPr="00AA4E84" w:rsidRDefault="00792AAA" w:rsidP="005249B1">
            <w:pPr>
              <w:spacing w:after="0"/>
              <w:rPr>
                <w:sz w:val="20"/>
                <w:szCs w:val="20"/>
                <w:lang w:val="en-GB"/>
              </w:rPr>
            </w:pPr>
            <w:proofErr w:type="spellStart"/>
            <w:r w:rsidRPr="00AA4E84">
              <w:rPr>
                <w:sz w:val="20"/>
                <w:szCs w:val="20"/>
                <w:lang w:val="en-GB"/>
              </w:rPr>
              <w:t>Vajdasági</w:t>
            </w:r>
            <w:proofErr w:type="spellEnd"/>
            <w:r w:rsidRPr="00AA4E84">
              <w:rPr>
                <w:sz w:val="20"/>
                <w:szCs w:val="20"/>
                <w:lang w:val="en-GB"/>
              </w:rPr>
              <w:t xml:space="preserve"> Magyar </w:t>
            </w:r>
            <w:proofErr w:type="spellStart"/>
            <w:r w:rsidRPr="00AA4E84">
              <w:rPr>
                <w:sz w:val="20"/>
                <w:szCs w:val="20"/>
                <w:lang w:val="en-GB"/>
              </w:rPr>
              <w:t>Szövetség</w:t>
            </w:r>
            <w:proofErr w:type="spellEnd"/>
            <w:r w:rsidRPr="00AA4E84">
              <w:rPr>
                <w:sz w:val="20"/>
                <w:szCs w:val="20"/>
                <w:lang w:val="en-GB"/>
              </w:rPr>
              <w:t xml:space="preserve"> – </w:t>
            </w:r>
            <w:proofErr w:type="spellStart"/>
            <w:r w:rsidRPr="00AA4E84">
              <w:rPr>
                <w:sz w:val="20"/>
                <w:szCs w:val="20"/>
                <w:lang w:val="en-GB"/>
              </w:rPr>
              <w:t>Pásztor</w:t>
            </w:r>
            <w:proofErr w:type="spellEnd"/>
            <w:r w:rsidRPr="00AA4E84">
              <w:rPr>
                <w:sz w:val="20"/>
                <w:szCs w:val="20"/>
                <w:lang w:val="en-GB"/>
              </w:rPr>
              <w:t xml:space="preserve"> </w:t>
            </w:r>
            <w:proofErr w:type="spellStart"/>
            <w:r w:rsidRPr="00AA4E84">
              <w:rPr>
                <w:sz w:val="20"/>
                <w:szCs w:val="20"/>
                <w:lang w:val="en-GB"/>
              </w:rPr>
              <w:t>István</w:t>
            </w:r>
            <w:proofErr w:type="spellEnd"/>
            <w:r w:rsidRPr="00AA4E84">
              <w:rPr>
                <w:sz w:val="20"/>
                <w:szCs w:val="20"/>
                <w:lang w:val="en-GB"/>
              </w:rPr>
              <w:t xml:space="preserve"> – </w:t>
            </w:r>
            <w:r w:rsidR="00AA4E84" w:rsidRPr="00AA4E84">
              <w:rPr>
                <w:sz w:val="20"/>
                <w:szCs w:val="20"/>
                <w:lang w:val="en-GB"/>
              </w:rPr>
              <w:t xml:space="preserve">Alliance of </w:t>
            </w:r>
            <w:proofErr w:type="spellStart"/>
            <w:r w:rsidR="00AA4E84" w:rsidRPr="00AA4E84">
              <w:rPr>
                <w:sz w:val="20"/>
                <w:szCs w:val="20"/>
                <w:lang w:val="en-GB"/>
              </w:rPr>
              <w:t>Vojvodina</w:t>
            </w:r>
            <w:proofErr w:type="spellEnd"/>
            <w:r w:rsidR="00AA4E84" w:rsidRPr="00AA4E84">
              <w:rPr>
                <w:sz w:val="20"/>
                <w:szCs w:val="20"/>
                <w:lang w:val="en-GB"/>
              </w:rPr>
              <w:t xml:space="preserve"> Hungarians - </w:t>
            </w:r>
            <w:proofErr w:type="spellStart"/>
            <w:r w:rsidR="00AA4E84" w:rsidRPr="00AA4E84">
              <w:rPr>
                <w:sz w:val="20"/>
                <w:szCs w:val="20"/>
                <w:lang w:val="en-GB"/>
              </w:rPr>
              <w:t>Ištvan</w:t>
            </w:r>
            <w:proofErr w:type="spellEnd"/>
            <w:r w:rsidR="00AA4E84" w:rsidRPr="00AA4E84">
              <w:rPr>
                <w:sz w:val="20"/>
                <w:szCs w:val="20"/>
                <w:lang w:val="en-GB"/>
              </w:rPr>
              <w:t xml:space="preserve"> Pastor</w:t>
            </w:r>
          </w:p>
        </w:tc>
        <w:tc>
          <w:tcPr>
            <w:tcW w:w="3458" w:type="dxa"/>
          </w:tcPr>
          <w:p w14:paraId="57C4E603" w14:textId="77777777" w:rsidR="00792AAA" w:rsidRPr="00AA4E84" w:rsidRDefault="00792AAA" w:rsidP="005249B1">
            <w:pPr>
              <w:spacing w:after="0"/>
              <w:jc w:val="center"/>
              <w:rPr>
                <w:sz w:val="20"/>
                <w:szCs w:val="20"/>
                <w:lang w:val="en-GB"/>
              </w:rPr>
            </w:pPr>
            <w:r w:rsidRPr="00AA4E84">
              <w:rPr>
                <w:sz w:val="20"/>
                <w:szCs w:val="20"/>
                <w:lang w:val="en-GB"/>
              </w:rPr>
              <w:t>11</w:t>
            </w:r>
          </w:p>
        </w:tc>
      </w:tr>
    </w:tbl>
    <w:p w14:paraId="494F12A9" w14:textId="77777777" w:rsidR="00792AAA" w:rsidRPr="00D62D04" w:rsidRDefault="00792AAA" w:rsidP="00543C3D">
      <w:pPr>
        <w:spacing w:after="0"/>
        <w:jc w:val="both"/>
        <w:rPr>
          <w:sz w:val="24"/>
          <w:szCs w:val="24"/>
          <w:highlight w:val="cyan"/>
          <w:lang w:val="en-GB"/>
        </w:rPr>
      </w:pPr>
    </w:p>
    <w:p w14:paraId="798BAD91" w14:textId="77777777" w:rsidR="00C53F4F" w:rsidRDefault="00C53F4F" w:rsidP="00123B6E">
      <w:pPr>
        <w:spacing w:after="0"/>
        <w:ind w:firstLine="720"/>
        <w:jc w:val="both"/>
        <w:rPr>
          <w:sz w:val="24"/>
          <w:szCs w:val="24"/>
          <w:lang w:val="en-GB"/>
        </w:rPr>
      </w:pPr>
      <w:r w:rsidRPr="00C53F4F">
        <w:rPr>
          <w:sz w:val="24"/>
          <w:szCs w:val="24"/>
          <w:lang w:val="en-GB"/>
        </w:rPr>
        <w:t xml:space="preserve">Elections for </w:t>
      </w:r>
      <w:proofErr w:type="spellStart"/>
      <w:r w:rsidRPr="00C53F4F">
        <w:rPr>
          <w:sz w:val="24"/>
          <w:szCs w:val="24"/>
          <w:lang w:val="en-GB"/>
        </w:rPr>
        <w:t>councilors</w:t>
      </w:r>
      <w:proofErr w:type="spellEnd"/>
      <w:r w:rsidRPr="00C53F4F">
        <w:rPr>
          <w:sz w:val="24"/>
          <w:szCs w:val="24"/>
          <w:lang w:val="en-GB"/>
        </w:rPr>
        <w:t xml:space="preserve"> in representative bodies at the local level were held on </w:t>
      </w:r>
      <w:r>
        <w:rPr>
          <w:sz w:val="24"/>
          <w:szCs w:val="24"/>
          <w:lang w:val="en-GB"/>
        </w:rPr>
        <w:t xml:space="preserve">21 </w:t>
      </w:r>
      <w:r w:rsidRPr="00C53F4F">
        <w:rPr>
          <w:sz w:val="24"/>
          <w:szCs w:val="24"/>
          <w:lang w:val="en-GB"/>
        </w:rPr>
        <w:t>June 2020 in a large number of local self-government units. The following table provides available data on the number of mandates won by political parties of national minorities or coalitions in which political parties of national minorities participated.</w:t>
      </w:r>
    </w:p>
    <w:p w14:paraId="7E8E7B26" w14:textId="77777777" w:rsidR="00123B6E" w:rsidRPr="00D62D04" w:rsidRDefault="00123B6E" w:rsidP="00123B6E">
      <w:pPr>
        <w:spacing w:after="0"/>
        <w:ind w:firstLine="720"/>
        <w:jc w:val="both"/>
        <w:rPr>
          <w:sz w:val="24"/>
          <w:szCs w:val="24"/>
          <w:highlight w:val="cyan"/>
          <w:lang w:val="en-GB"/>
        </w:rPr>
      </w:pPr>
    </w:p>
    <w:tbl>
      <w:tblPr>
        <w:tblStyle w:val="TableGrid"/>
        <w:tblpPr w:leftFromText="180" w:rightFromText="180" w:vertAnchor="text" w:tblpY="1"/>
        <w:tblOverlap w:val="never"/>
        <w:tblW w:w="8749" w:type="dxa"/>
        <w:tblLook w:val="04A0" w:firstRow="1" w:lastRow="0" w:firstColumn="1" w:lastColumn="0" w:noHBand="0" w:noVBand="1"/>
      </w:tblPr>
      <w:tblGrid>
        <w:gridCol w:w="5665"/>
        <w:gridCol w:w="2410"/>
        <w:gridCol w:w="674"/>
      </w:tblGrid>
      <w:tr w:rsidR="00123B6E" w:rsidRPr="00D62D04" w14:paraId="4EDACDD8" w14:textId="77777777" w:rsidTr="009756CB">
        <w:trPr>
          <w:trHeight w:val="309"/>
        </w:trPr>
        <w:tc>
          <w:tcPr>
            <w:tcW w:w="8749" w:type="dxa"/>
            <w:gridSpan w:val="3"/>
          </w:tcPr>
          <w:p w14:paraId="3B175B2A" w14:textId="77777777" w:rsidR="00123B6E" w:rsidRPr="00C53F4F" w:rsidRDefault="00C53F4F" w:rsidP="00123B6E">
            <w:pPr>
              <w:spacing w:after="0" w:line="240" w:lineRule="auto"/>
              <w:jc w:val="center"/>
              <w:rPr>
                <w:sz w:val="20"/>
                <w:szCs w:val="20"/>
                <w:lang w:val="en-GB"/>
              </w:rPr>
            </w:pPr>
            <w:r w:rsidRPr="00C53F4F">
              <w:rPr>
                <w:sz w:val="20"/>
                <w:szCs w:val="20"/>
                <w:lang w:val="en-GB"/>
              </w:rPr>
              <w:t xml:space="preserve">Albanian </w:t>
            </w:r>
            <w:r>
              <w:rPr>
                <w:sz w:val="20"/>
                <w:szCs w:val="20"/>
                <w:lang w:val="en-GB"/>
              </w:rPr>
              <w:t xml:space="preserve">national </w:t>
            </w:r>
            <w:r w:rsidRPr="00C53F4F">
              <w:rPr>
                <w:sz w:val="20"/>
                <w:szCs w:val="20"/>
                <w:lang w:val="en-GB"/>
              </w:rPr>
              <w:t>minority</w:t>
            </w:r>
          </w:p>
          <w:p w14:paraId="0A112590" w14:textId="77777777" w:rsidR="00123B6E" w:rsidRPr="00C53F4F" w:rsidRDefault="00123B6E" w:rsidP="00123B6E">
            <w:pPr>
              <w:spacing w:after="0" w:line="240" w:lineRule="auto"/>
              <w:jc w:val="center"/>
              <w:rPr>
                <w:sz w:val="20"/>
                <w:szCs w:val="20"/>
                <w:lang w:val="en-GB"/>
              </w:rPr>
            </w:pPr>
          </w:p>
        </w:tc>
      </w:tr>
      <w:tr w:rsidR="00123B6E" w:rsidRPr="00D62D04" w14:paraId="360AD84D" w14:textId="77777777" w:rsidTr="009756CB">
        <w:trPr>
          <w:trHeight w:val="309"/>
        </w:trPr>
        <w:tc>
          <w:tcPr>
            <w:tcW w:w="5665" w:type="dxa"/>
          </w:tcPr>
          <w:p w14:paraId="3B17AAB7" w14:textId="77777777" w:rsidR="00123B6E" w:rsidRPr="008D2598" w:rsidRDefault="00C53F4F" w:rsidP="008D2598">
            <w:pPr>
              <w:spacing w:after="0" w:line="240" w:lineRule="auto"/>
              <w:rPr>
                <w:sz w:val="20"/>
                <w:szCs w:val="20"/>
                <w:lang w:val="en-GB"/>
              </w:rPr>
            </w:pPr>
            <w:r w:rsidRPr="008D2598">
              <w:rPr>
                <w:sz w:val="20"/>
                <w:szCs w:val="20"/>
                <w:lang w:val="en-GB"/>
              </w:rPr>
              <w:t>Democratic Party</w:t>
            </w:r>
            <w:r w:rsidR="00123B6E" w:rsidRPr="008D2598">
              <w:rPr>
                <w:sz w:val="20"/>
                <w:szCs w:val="20"/>
                <w:lang w:val="en-GB"/>
              </w:rPr>
              <w:t xml:space="preserve"> – </w:t>
            </w:r>
            <w:proofErr w:type="spellStart"/>
            <w:r w:rsidR="008D2598" w:rsidRPr="008D2598">
              <w:rPr>
                <w:sz w:val="20"/>
                <w:szCs w:val="20"/>
                <w:lang w:val="en-GB"/>
              </w:rPr>
              <w:t>Nagip</w:t>
            </w:r>
            <w:proofErr w:type="spellEnd"/>
            <w:r w:rsidR="008D2598" w:rsidRPr="008D2598">
              <w:rPr>
                <w:sz w:val="20"/>
                <w:szCs w:val="20"/>
                <w:lang w:val="en-GB"/>
              </w:rPr>
              <w:t xml:space="preserve"> </w:t>
            </w:r>
            <w:proofErr w:type="spellStart"/>
            <w:r w:rsidR="008D2598" w:rsidRPr="008D2598">
              <w:rPr>
                <w:sz w:val="20"/>
                <w:szCs w:val="20"/>
                <w:lang w:val="en-GB"/>
              </w:rPr>
              <w:t>Arifi</w:t>
            </w:r>
            <w:proofErr w:type="spellEnd"/>
            <w:r w:rsidR="008D2598" w:rsidRPr="008D2598">
              <w:rPr>
                <w:sz w:val="20"/>
                <w:szCs w:val="20"/>
                <w:lang w:val="en-GB"/>
              </w:rPr>
              <w:t>, PhD</w:t>
            </w:r>
            <w:r w:rsidR="00123B6E" w:rsidRPr="008D2598">
              <w:rPr>
                <w:sz w:val="20"/>
                <w:szCs w:val="20"/>
                <w:lang w:val="en-GB"/>
              </w:rPr>
              <w:t xml:space="preserve"> – </w:t>
            </w:r>
            <w:proofErr w:type="spellStart"/>
            <w:r w:rsidR="00123B6E" w:rsidRPr="008D2598">
              <w:rPr>
                <w:sz w:val="20"/>
                <w:szCs w:val="20"/>
                <w:lang w:val="en-GB"/>
              </w:rPr>
              <w:t>Partia</w:t>
            </w:r>
            <w:proofErr w:type="spellEnd"/>
            <w:r w:rsidR="00123B6E" w:rsidRPr="008D2598">
              <w:rPr>
                <w:sz w:val="20"/>
                <w:szCs w:val="20"/>
                <w:lang w:val="en-GB"/>
              </w:rPr>
              <w:t xml:space="preserve"> </w:t>
            </w:r>
            <w:proofErr w:type="spellStart"/>
            <w:r w:rsidR="00123B6E" w:rsidRPr="008D2598">
              <w:rPr>
                <w:sz w:val="20"/>
                <w:szCs w:val="20"/>
                <w:lang w:val="en-GB"/>
              </w:rPr>
              <w:t>Demokratike</w:t>
            </w:r>
            <w:proofErr w:type="spellEnd"/>
            <w:r w:rsidR="00123B6E" w:rsidRPr="008D2598">
              <w:rPr>
                <w:sz w:val="20"/>
                <w:szCs w:val="20"/>
                <w:lang w:val="en-GB"/>
              </w:rPr>
              <w:t xml:space="preserve"> – </w:t>
            </w:r>
            <w:proofErr w:type="spellStart"/>
            <w:r w:rsidR="00123B6E" w:rsidRPr="008D2598">
              <w:rPr>
                <w:sz w:val="20"/>
                <w:szCs w:val="20"/>
                <w:lang w:val="en-GB"/>
              </w:rPr>
              <w:t>Dr.</w:t>
            </w:r>
            <w:proofErr w:type="spellEnd"/>
            <w:r w:rsidR="00123B6E" w:rsidRPr="008D2598">
              <w:rPr>
                <w:sz w:val="20"/>
                <w:szCs w:val="20"/>
                <w:lang w:val="en-GB"/>
              </w:rPr>
              <w:t xml:space="preserve"> Sc. </w:t>
            </w:r>
            <w:proofErr w:type="spellStart"/>
            <w:r w:rsidR="00123B6E" w:rsidRPr="008D2598">
              <w:rPr>
                <w:sz w:val="20"/>
                <w:szCs w:val="20"/>
                <w:lang w:val="en-GB"/>
              </w:rPr>
              <w:t>Nagip</w:t>
            </w:r>
            <w:proofErr w:type="spellEnd"/>
            <w:r w:rsidR="00123B6E" w:rsidRPr="008D2598">
              <w:rPr>
                <w:sz w:val="20"/>
                <w:szCs w:val="20"/>
                <w:lang w:val="en-GB"/>
              </w:rPr>
              <w:t xml:space="preserve"> </w:t>
            </w:r>
            <w:proofErr w:type="spellStart"/>
            <w:r w:rsidR="00123B6E" w:rsidRPr="008D2598">
              <w:rPr>
                <w:sz w:val="20"/>
                <w:szCs w:val="20"/>
                <w:lang w:val="en-GB"/>
              </w:rPr>
              <w:t>Arifi</w:t>
            </w:r>
            <w:proofErr w:type="spellEnd"/>
          </w:p>
        </w:tc>
        <w:tc>
          <w:tcPr>
            <w:tcW w:w="2410" w:type="dxa"/>
          </w:tcPr>
          <w:p w14:paraId="15FD00C1" w14:textId="77777777" w:rsidR="00123B6E" w:rsidRPr="008D2598" w:rsidRDefault="00C53F4F" w:rsidP="00123B6E">
            <w:pPr>
              <w:spacing w:after="0" w:line="240" w:lineRule="auto"/>
              <w:rPr>
                <w:sz w:val="20"/>
                <w:szCs w:val="20"/>
                <w:lang w:val="en-GB"/>
              </w:rPr>
            </w:pPr>
            <w:proofErr w:type="spellStart"/>
            <w:r w:rsidRPr="008D2598">
              <w:rPr>
                <w:sz w:val="20"/>
                <w:szCs w:val="20"/>
                <w:lang w:val="en-GB"/>
              </w:rPr>
              <w:t>Bujanovac</w:t>
            </w:r>
            <w:proofErr w:type="spellEnd"/>
            <w:r w:rsidRPr="008D2598">
              <w:rPr>
                <w:sz w:val="20"/>
                <w:szCs w:val="20"/>
                <w:lang w:val="en-GB"/>
              </w:rPr>
              <w:t xml:space="preserve"> </w:t>
            </w:r>
          </w:p>
        </w:tc>
        <w:tc>
          <w:tcPr>
            <w:tcW w:w="674" w:type="dxa"/>
          </w:tcPr>
          <w:p w14:paraId="2612B086" w14:textId="77777777" w:rsidR="00123B6E" w:rsidRPr="008D2598" w:rsidRDefault="00123B6E" w:rsidP="00123B6E">
            <w:pPr>
              <w:spacing w:after="0" w:line="240" w:lineRule="auto"/>
              <w:jc w:val="right"/>
              <w:rPr>
                <w:sz w:val="20"/>
                <w:szCs w:val="20"/>
                <w:lang w:val="en-GB"/>
              </w:rPr>
            </w:pPr>
            <w:r w:rsidRPr="008D2598">
              <w:rPr>
                <w:sz w:val="20"/>
                <w:szCs w:val="20"/>
                <w:lang w:val="en-GB"/>
              </w:rPr>
              <w:t>10</w:t>
            </w:r>
          </w:p>
        </w:tc>
      </w:tr>
      <w:tr w:rsidR="00C53F4F" w:rsidRPr="00D62D04" w14:paraId="03B5A8A8" w14:textId="77777777" w:rsidTr="009756CB">
        <w:trPr>
          <w:trHeight w:val="309"/>
        </w:trPr>
        <w:tc>
          <w:tcPr>
            <w:tcW w:w="5665" w:type="dxa"/>
          </w:tcPr>
          <w:p w14:paraId="5918D0B9" w14:textId="77777777" w:rsidR="00C53F4F" w:rsidRPr="008D2598" w:rsidRDefault="008D2598" w:rsidP="00C53F4F">
            <w:pPr>
              <w:spacing w:after="0" w:line="240" w:lineRule="auto"/>
              <w:rPr>
                <w:sz w:val="20"/>
                <w:szCs w:val="20"/>
                <w:lang w:val="en-GB"/>
              </w:rPr>
            </w:pPr>
            <w:r w:rsidRPr="008D2598">
              <w:rPr>
                <w:sz w:val="20"/>
                <w:szCs w:val="20"/>
                <w:lang w:val="en-GB"/>
              </w:rPr>
              <w:t xml:space="preserve">PARTY FOR DEMOCRATIC ACTION - </w:t>
            </w:r>
            <w:proofErr w:type="spellStart"/>
            <w:r w:rsidRPr="008D2598">
              <w:rPr>
                <w:sz w:val="20"/>
                <w:szCs w:val="20"/>
                <w:lang w:val="en-GB"/>
              </w:rPr>
              <w:t>Driton</w:t>
            </w:r>
            <w:proofErr w:type="spellEnd"/>
            <w:r w:rsidRPr="008D2598">
              <w:rPr>
                <w:sz w:val="20"/>
                <w:szCs w:val="20"/>
                <w:lang w:val="en-GB"/>
              </w:rPr>
              <w:t xml:space="preserve"> </w:t>
            </w:r>
            <w:proofErr w:type="spellStart"/>
            <w:r w:rsidRPr="008D2598">
              <w:rPr>
                <w:sz w:val="20"/>
                <w:szCs w:val="20"/>
                <w:lang w:val="en-GB"/>
              </w:rPr>
              <w:t>Redzepi</w:t>
            </w:r>
            <w:proofErr w:type="spellEnd"/>
            <w:r w:rsidRPr="008D2598">
              <w:rPr>
                <w:sz w:val="20"/>
                <w:szCs w:val="20"/>
                <w:lang w:val="en-GB"/>
              </w:rPr>
              <w:t xml:space="preserve"> </w:t>
            </w:r>
            <w:r w:rsidR="00C53F4F" w:rsidRPr="008D2598">
              <w:rPr>
                <w:sz w:val="20"/>
                <w:szCs w:val="20"/>
                <w:lang w:val="en-GB"/>
              </w:rPr>
              <w:t xml:space="preserve">– PARTIA PËR VEPRIM DEMOKRATIK – </w:t>
            </w:r>
            <w:proofErr w:type="spellStart"/>
            <w:r w:rsidR="00C53F4F" w:rsidRPr="008D2598">
              <w:rPr>
                <w:sz w:val="20"/>
                <w:szCs w:val="20"/>
                <w:lang w:val="en-GB"/>
              </w:rPr>
              <w:t>Driton</w:t>
            </w:r>
            <w:proofErr w:type="spellEnd"/>
            <w:r w:rsidR="00C53F4F" w:rsidRPr="008D2598">
              <w:rPr>
                <w:sz w:val="20"/>
                <w:szCs w:val="20"/>
                <w:lang w:val="en-GB"/>
              </w:rPr>
              <w:t xml:space="preserve"> </w:t>
            </w:r>
            <w:proofErr w:type="spellStart"/>
            <w:r w:rsidR="00C53F4F" w:rsidRPr="008D2598">
              <w:rPr>
                <w:sz w:val="20"/>
                <w:szCs w:val="20"/>
                <w:lang w:val="en-GB"/>
              </w:rPr>
              <w:t>Rexhepi</w:t>
            </w:r>
            <w:proofErr w:type="spellEnd"/>
          </w:p>
        </w:tc>
        <w:tc>
          <w:tcPr>
            <w:tcW w:w="2410" w:type="dxa"/>
          </w:tcPr>
          <w:p w14:paraId="280C1F60" w14:textId="77777777" w:rsidR="00C53F4F" w:rsidRPr="008D2598" w:rsidRDefault="00C53F4F" w:rsidP="00C53F4F">
            <w:pPr>
              <w:spacing w:after="0" w:line="240" w:lineRule="auto"/>
              <w:rPr>
                <w:sz w:val="20"/>
                <w:szCs w:val="20"/>
                <w:lang w:val="en-GB"/>
              </w:rPr>
            </w:pPr>
            <w:proofErr w:type="spellStart"/>
            <w:r w:rsidRPr="008D2598">
              <w:rPr>
                <w:sz w:val="20"/>
                <w:szCs w:val="20"/>
                <w:lang w:val="en-GB"/>
              </w:rPr>
              <w:t>Bujanovac</w:t>
            </w:r>
            <w:proofErr w:type="spellEnd"/>
            <w:r w:rsidRPr="008D2598">
              <w:rPr>
                <w:sz w:val="20"/>
                <w:szCs w:val="20"/>
                <w:lang w:val="en-GB"/>
              </w:rPr>
              <w:t xml:space="preserve"> </w:t>
            </w:r>
          </w:p>
        </w:tc>
        <w:tc>
          <w:tcPr>
            <w:tcW w:w="674" w:type="dxa"/>
          </w:tcPr>
          <w:p w14:paraId="741C7B5E" w14:textId="77777777" w:rsidR="00C53F4F" w:rsidRPr="008D2598" w:rsidRDefault="00C53F4F" w:rsidP="00C53F4F">
            <w:pPr>
              <w:spacing w:after="0" w:line="240" w:lineRule="auto"/>
              <w:jc w:val="right"/>
              <w:rPr>
                <w:sz w:val="20"/>
                <w:szCs w:val="20"/>
                <w:lang w:val="en-GB"/>
              </w:rPr>
            </w:pPr>
            <w:r w:rsidRPr="008D2598">
              <w:rPr>
                <w:sz w:val="20"/>
                <w:szCs w:val="20"/>
                <w:lang w:val="en-GB"/>
              </w:rPr>
              <w:t>10</w:t>
            </w:r>
          </w:p>
        </w:tc>
      </w:tr>
      <w:tr w:rsidR="00C53F4F" w:rsidRPr="00D62D04" w14:paraId="27C52CAB" w14:textId="77777777" w:rsidTr="009756CB">
        <w:trPr>
          <w:trHeight w:val="309"/>
        </w:trPr>
        <w:tc>
          <w:tcPr>
            <w:tcW w:w="5665" w:type="dxa"/>
          </w:tcPr>
          <w:p w14:paraId="6B13F0E6" w14:textId="77777777" w:rsidR="00C53F4F" w:rsidRPr="008D2598" w:rsidRDefault="008D2598" w:rsidP="00C53F4F">
            <w:pPr>
              <w:spacing w:after="0" w:line="240" w:lineRule="auto"/>
              <w:rPr>
                <w:sz w:val="20"/>
                <w:szCs w:val="20"/>
                <w:lang w:val="en-GB"/>
              </w:rPr>
            </w:pPr>
            <w:r w:rsidRPr="008D2598">
              <w:rPr>
                <w:sz w:val="20"/>
                <w:szCs w:val="20"/>
                <w:lang w:val="en-GB"/>
              </w:rPr>
              <w:t xml:space="preserve">ALTERNATIVE FOR CHANGES - Arber </w:t>
            </w:r>
            <w:proofErr w:type="spellStart"/>
            <w:r w:rsidRPr="008D2598">
              <w:rPr>
                <w:sz w:val="20"/>
                <w:szCs w:val="20"/>
                <w:lang w:val="en-GB"/>
              </w:rPr>
              <w:t>Pajaziti</w:t>
            </w:r>
            <w:proofErr w:type="spellEnd"/>
            <w:r w:rsidRPr="008D2598">
              <w:rPr>
                <w:sz w:val="20"/>
                <w:szCs w:val="20"/>
                <w:lang w:val="en-GB"/>
              </w:rPr>
              <w:t xml:space="preserve"> </w:t>
            </w:r>
            <w:r w:rsidR="00C53F4F" w:rsidRPr="008D2598">
              <w:rPr>
                <w:sz w:val="20"/>
                <w:szCs w:val="20"/>
                <w:lang w:val="en-GB"/>
              </w:rPr>
              <w:t xml:space="preserve">– ALTERNATIVA PËR NDRYSHIM – </w:t>
            </w:r>
            <w:proofErr w:type="spellStart"/>
            <w:r w:rsidR="00C53F4F" w:rsidRPr="008D2598">
              <w:rPr>
                <w:sz w:val="20"/>
                <w:szCs w:val="20"/>
                <w:lang w:val="en-GB"/>
              </w:rPr>
              <w:t>Arbër</w:t>
            </w:r>
            <w:proofErr w:type="spellEnd"/>
            <w:r w:rsidR="00C53F4F" w:rsidRPr="008D2598">
              <w:rPr>
                <w:sz w:val="20"/>
                <w:szCs w:val="20"/>
                <w:lang w:val="en-GB"/>
              </w:rPr>
              <w:t xml:space="preserve"> </w:t>
            </w:r>
            <w:proofErr w:type="spellStart"/>
            <w:r w:rsidR="00C53F4F" w:rsidRPr="008D2598">
              <w:rPr>
                <w:sz w:val="20"/>
                <w:szCs w:val="20"/>
                <w:lang w:val="en-GB"/>
              </w:rPr>
              <w:t>Pajaziti</w:t>
            </w:r>
            <w:proofErr w:type="spellEnd"/>
          </w:p>
        </w:tc>
        <w:tc>
          <w:tcPr>
            <w:tcW w:w="2410" w:type="dxa"/>
          </w:tcPr>
          <w:p w14:paraId="770D8669" w14:textId="77777777" w:rsidR="00C53F4F" w:rsidRPr="008D2598" w:rsidRDefault="00C53F4F" w:rsidP="00C53F4F">
            <w:pPr>
              <w:spacing w:after="0" w:line="240" w:lineRule="auto"/>
              <w:rPr>
                <w:sz w:val="20"/>
                <w:szCs w:val="20"/>
                <w:lang w:val="en-GB"/>
              </w:rPr>
            </w:pPr>
            <w:proofErr w:type="spellStart"/>
            <w:r w:rsidRPr="008D2598">
              <w:rPr>
                <w:sz w:val="20"/>
                <w:szCs w:val="20"/>
                <w:lang w:val="en-GB"/>
              </w:rPr>
              <w:t>Bujanovac</w:t>
            </w:r>
            <w:proofErr w:type="spellEnd"/>
            <w:r w:rsidRPr="008D2598">
              <w:rPr>
                <w:sz w:val="20"/>
                <w:szCs w:val="20"/>
                <w:lang w:val="en-GB"/>
              </w:rPr>
              <w:t xml:space="preserve"> </w:t>
            </w:r>
          </w:p>
        </w:tc>
        <w:tc>
          <w:tcPr>
            <w:tcW w:w="674" w:type="dxa"/>
          </w:tcPr>
          <w:p w14:paraId="5CEA68D9" w14:textId="77777777" w:rsidR="00C53F4F" w:rsidRPr="008D2598" w:rsidRDefault="00C53F4F" w:rsidP="00C53F4F">
            <w:pPr>
              <w:spacing w:after="0" w:line="240" w:lineRule="auto"/>
              <w:jc w:val="right"/>
              <w:rPr>
                <w:sz w:val="20"/>
                <w:szCs w:val="20"/>
                <w:lang w:val="en-GB"/>
              </w:rPr>
            </w:pPr>
            <w:r w:rsidRPr="008D2598">
              <w:rPr>
                <w:sz w:val="20"/>
                <w:szCs w:val="20"/>
                <w:lang w:val="en-GB"/>
              </w:rPr>
              <w:t>3</w:t>
            </w:r>
          </w:p>
        </w:tc>
      </w:tr>
      <w:tr w:rsidR="00C53F4F" w:rsidRPr="00D62D04" w14:paraId="489B62A4" w14:textId="77777777" w:rsidTr="009756CB">
        <w:trPr>
          <w:trHeight w:val="309"/>
        </w:trPr>
        <w:tc>
          <w:tcPr>
            <w:tcW w:w="5665" w:type="dxa"/>
          </w:tcPr>
          <w:p w14:paraId="524F5BCF" w14:textId="77777777" w:rsidR="00C53F4F" w:rsidRPr="008D2598" w:rsidRDefault="008D2598" w:rsidP="00C53F4F">
            <w:pPr>
              <w:spacing w:after="0" w:line="240" w:lineRule="auto"/>
              <w:rPr>
                <w:sz w:val="20"/>
                <w:szCs w:val="20"/>
                <w:lang w:val="en-GB"/>
              </w:rPr>
            </w:pPr>
            <w:r w:rsidRPr="008D2598">
              <w:rPr>
                <w:sz w:val="20"/>
                <w:szCs w:val="20"/>
                <w:lang w:val="en-GB"/>
              </w:rPr>
              <w:t xml:space="preserve">MOVEMENT FOR DEMOCRATIC PROGRESS - ŠĆIPRIM MUSLIU </w:t>
            </w:r>
            <w:r w:rsidR="00C53F4F" w:rsidRPr="008D2598">
              <w:rPr>
                <w:sz w:val="20"/>
                <w:szCs w:val="20"/>
                <w:lang w:val="en-GB"/>
              </w:rPr>
              <w:t>– LËVIZJA E PROGRESIT DEMOKRATIK – SHQIPRIM MUSLIU</w:t>
            </w:r>
          </w:p>
        </w:tc>
        <w:tc>
          <w:tcPr>
            <w:tcW w:w="2410" w:type="dxa"/>
          </w:tcPr>
          <w:p w14:paraId="4981FD2C" w14:textId="77777777" w:rsidR="00C53F4F" w:rsidRPr="008D2598" w:rsidRDefault="00C53F4F" w:rsidP="00C53F4F">
            <w:pPr>
              <w:spacing w:after="0" w:line="240" w:lineRule="auto"/>
              <w:rPr>
                <w:sz w:val="20"/>
                <w:szCs w:val="20"/>
                <w:lang w:val="en-GB"/>
              </w:rPr>
            </w:pPr>
            <w:proofErr w:type="spellStart"/>
            <w:r w:rsidRPr="008D2598">
              <w:rPr>
                <w:sz w:val="20"/>
                <w:szCs w:val="20"/>
                <w:lang w:val="en-GB"/>
              </w:rPr>
              <w:t>Bujanovac</w:t>
            </w:r>
            <w:proofErr w:type="spellEnd"/>
            <w:r w:rsidRPr="008D2598">
              <w:rPr>
                <w:sz w:val="20"/>
                <w:szCs w:val="20"/>
                <w:lang w:val="en-GB"/>
              </w:rPr>
              <w:t xml:space="preserve"> </w:t>
            </w:r>
          </w:p>
        </w:tc>
        <w:tc>
          <w:tcPr>
            <w:tcW w:w="674" w:type="dxa"/>
          </w:tcPr>
          <w:p w14:paraId="1ADA6D2F" w14:textId="77777777" w:rsidR="00C53F4F" w:rsidRPr="008D2598" w:rsidRDefault="00C53F4F" w:rsidP="00C53F4F">
            <w:pPr>
              <w:spacing w:after="0" w:line="240" w:lineRule="auto"/>
              <w:jc w:val="right"/>
              <w:rPr>
                <w:sz w:val="20"/>
                <w:szCs w:val="20"/>
                <w:lang w:val="en-GB"/>
              </w:rPr>
            </w:pPr>
            <w:r w:rsidRPr="008D2598">
              <w:rPr>
                <w:sz w:val="20"/>
                <w:szCs w:val="20"/>
                <w:lang w:val="en-GB"/>
              </w:rPr>
              <w:t>4</w:t>
            </w:r>
          </w:p>
        </w:tc>
      </w:tr>
      <w:tr w:rsidR="00C53F4F" w:rsidRPr="00D62D04" w14:paraId="2C7D066D" w14:textId="77777777" w:rsidTr="009756CB">
        <w:trPr>
          <w:trHeight w:val="309"/>
        </w:trPr>
        <w:tc>
          <w:tcPr>
            <w:tcW w:w="5665" w:type="dxa"/>
          </w:tcPr>
          <w:p w14:paraId="0C23FAC2" w14:textId="77777777" w:rsidR="00C53F4F" w:rsidRPr="008D2598" w:rsidRDefault="008D2598" w:rsidP="00C53F4F">
            <w:pPr>
              <w:spacing w:after="0" w:line="240" w:lineRule="auto"/>
              <w:rPr>
                <w:sz w:val="20"/>
                <w:szCs w:val="20"/>
                <w:lang w:val="en-GB"/>
              </w:rPr>
            </w:pPr>
            <w:r w:rsidRPr="008D2598">
              <w:rPr>
                <w:sz w:val="20"/>
                <w:szCs w:val="20"/>
                <w:lang w:val="en-GB"/>
              </w:rPr>
              <w:t xml:space="preserve">DEMOCRATIC UNION OF ALBANIANS - BASRI VESELI </w:t>
            </w:r>
            <w:r w:rsidR="00C53F4F" w:rsidRPr="008D2598">
              <w:rPr>
                <w:sz w:val="20"/>
                <w:szCs w:val="20"/>
                <w:lang w:val="en-GB"/>
              </w:rPr>
              <w:t>– UNIONI DEMOKRATIK SHQIPTAR – BASRI VESELI</w:t>
            </w:r>
          </w:p>
        </w:tc>
        <w:tc>
          <w:tcPr>
            <w:tcW w:w="2410" w:type="dxa"/>
          </w:tcPr>
          <w:p w14:paraId="5B579B66" w14:textId="77777777" w:rsidR="00C53F4F" w:rsidRPr="008D2598" w:rsidRDefault="00C53F4F" w:rsidP="00C53F4F">
            <w:pPr>
              <w:spacing w:after="0" w:line="240" w:lineRule="auto"/>
              <w:rPr>
                <w:sz w:val="20"/>
                <w:szCs w:val="20"/>
                <w:lang w:val="en-GB"/>
              </w:rPr>
            </w:pPr>
            <w:proofErr w:type="spellStart"/>
            <w:r w:rsidRPr="008D2598">
              <w:rPr>
                <w:sz w:val="20"/>
                <w:szCs w:val="20"/>
                <w:lang w:val="en-GB"/>
              </w:rPr>
              <w:t>Bujanovac</w:t>
            </w:r>
            <w:proofErr w:type="spellEnd"/>
            <w:r w:rsidRPr="008D2598">
              <w:rPr>
                <w:sz w:val="20"/>
                <w:szCs w:val="20"/>
                <w:lang w:val="en-GB"/>
              </w:rPr>
              <w:t xml:space="preserve"> </w:t>
            </w:r>
          </w:p>
        </w:tc>
        <w:tc>
          <w:tcPr>
            <w:tcW w:w="674" w:type="dxa"/>
          </w:tcPr>
          <w:p w14:paraId="4AF1775D" w14:textId="77777777" w:rsidR="00C53F4F" w:rsidRPr="008D2598" w:rsidRDefault="00C53F4F" w:rsidP="00C53F4F">
            <w:pPr>
              <w:spacing w:after="0" w:line="240" w:lineRule="auto"/>
              <w:jc w:val="right"/>
              <w:rPr>
                <w:sz w:val="20"/>
                <w:szCs w:val="20"/>
                <w:lang w:val="en-GB"/>
              </w:rPr>
            </w:pPr>
            <w:r w:rsidRPr="008D2598">
              <w:rPr>
                <w:sz w:val="20"/>
                <w:szCs w:val="20"/>
                <w:lang w:val="en-GB"/>
              </w:rPr>
              <w:t>1</w:t>
            </w:r>
          </w:p>
        </w:tc>
      </w:tr>
      <w:tr w:rsidR="00123B6E" w:rsidRPr="00D62D04" w14:paraId="4255A62E" w14:textId="77777777" w:rsidTr="009756CB">
        <w:trPr>
          <w:trHeight w:val="309"/>
        </w:trPr>
        <w:tc>
          <w:tcPr>
            <w:tcW w:w="8749" w:type="dxa"/>
            <w:gridSpan w:val="3"/>
          </w:tcPr>
          <w:p w14:paraId="536C3CB1" w14:textId="77777777" w:rsidR="00123B6E" w:rsidRPr="008D2598" w:rsidRDefault="00123B6E" w:rsidP="00123B6E">
            <w:pPr>
              <w:spacing w:after="0" w:line="240" w:lineRule="auto"/>
              <w:jc w:val="center"/>
              <w:rPr>
                <w:sz w:val="20"/>
                <w:szCs w:val="20"/>
                <w:lang w:val="en-GB"/>
              </w:rPr>
            </w:pPr>
          </w:p>
          <w:p w14:paraId="7A613BDF" w14:textId="77777777" w:rsidR="00123B6E" w:rsidRPr="008D2598" w:rsidRDefault="00C53F4F" w:rsidP="00123B6E">
            <w:pPr>
              <w:spacing w:after="0" w:line="240" w:lineRule="auto"/>
              <w:jc w:val="center"/>
              <w:rPr>
                <w:sz w:val="20"/>
                <w:szCs w:val="20"/>
                <w:lang w:val="en-GB"/>
              </w:rPr>
            </w:pPr>
            <w:proofErr w:type="spellStart"/>
            <w:r w:rsidRPr="008D2598">
              <w:rPr>
                <w:sz w:val="20"/>
                <w:szCs w:val="20"/>
                <w:lang w:val="en-GB"/>
              </w:rPr>
              <w:t>Bosniak</w:t>
            </w:r>
            <w:proofErr w:type="spellEnd"/>
            <w:r w:rsidRPr="008D2598">
              <w:rPr>
                <w:sz w:val="20"/>
                <w:szCs w:val="20"/>
                <w:lang w:val="en-GB"/>
              </w:rPr>
              <w:t xml:space="preserve"> national minority</w:t>
            </w:r>
          </w:p>
          <w:p w14:paraId="7F42D797" w14:textId="77777777" w:rsidR="00123B6E" w:rsidRPr="008D2598" w:rsidRDefault="00123B6E" w:rsidP="00123B6E">
            <w:pPr>
              <w:spacing w:after="0" w:line="240" w:lineRule="auto"/>
              <w:jc w:val="center"/>
              <w:rPr>
                <w:sz w:val="20"/>
                <w:szCs w:val="20"/>
                <w:lang w:val="en-GB"/>
              </w:rPr>
            </w:pPr>
          </w:p>
        </w:tc>
      </w:tr>
      <w:tr w:rsidR="00123B6E" w:rsidRPr="00D62D04" w14:paraId="2C916D83" w14:textId="77777777" w:rsidTr="009756CB">
        <w:trPr>
          <w:trHeight w:val="309"/>
        </w:trPr>
        <w:tc>
          <w:tcPr>
            <w:tcW w:w="5665" w:type="dxa"/>
          </w:tcPr>
          <w:p w14:paraId="6AD502F5" w14:textId="77777777" w:rsidR="00123B6E" w:rsidRPr="00BA6474" w:rsidRDefault="00BA6474" w:rsidP="00123B6E">
            <w:pPr>
              <w:spacing w:after="0" w:line="240" w:lineRule="auto"/>
              <w:rPr>
                <w:sz w:val="20"/>
                <w:szCs w:val="20"/>
                <w:lang w:val="en-GB"/>
              </w:rPr>
            </w:pPr>
            <w:r w:rsidRPr="00BA6474">
              <w:rPr>
                <w:sz w:val="20"/>
                <w:szCs w:val="20"/>
                <w:lang w:val="en-GB"/>
              </w:rPr>
              <w:t>“EUROPEAN NOVI PAZAR</w:t>
            </w:r>
            <w:r w:rsidR="00123B6E" w:rsidRPr="00BA6474">
              <w:rPr>
                <w:sz w:val="20"/>
                <w:szCs w:val="20"/>
                <w:lang w:val="en-GB"/>
              </w:rPr>
              <w:t xml:space="preserve"> – </w:t>
            </w:r>
            <w:r w:rsidRPr="00BA6474">
              <w:rPr>
                <w:sz w:val="20"/>
                <w:szCs w:val="20"/>
                <w:lang w:val="en-GB"/>
              </w:rPr>
              <w:t>RASIM LJAJIĆ</w:t>
            </w:r>
            <w:r w:rsidR="00123B6E" w:rsidRPr="00BA6474">
              <w:rPr>
                <w:sz w:val="20"/>
                <w:szCs w:val="20"/>
                <w:lang w:val="en-GB"/>
              </w:rPr>
              <w:t>“ „EVROPSKI NOVI PAZAR – RASIM LJAJIĆ“</w:t>
            </w:r>
          </w:p>
          <w:p w14:paraId="08DF5F74" w14:textId="77777777" w:rsidR="00123B6E" w:rsidRPr="00BA6474" w:rsidRDefault="00123B6E" w:rsidP="00B36013">
            <w:pPr>
              <w:spacing w:after="0" w:line="240" w:lineRule="auto"/>
              <w:rPr>
                <w:sz w:val="20"/>
                <w:szCs w:val="20"/>
                <w:lang w:val="en-GB"/>
              </w:rPr>
            </w:pPr>
            <w:r w:rsidRPr="00BA6474">
              <w:rPr>
                <w:sz w:val="20"/>
                <w:szCs w:val="20"/>
                <w:lang w:val="en-GB"/>
              </w:rPr>
              <w:t>(</w:t>
            </w:r>
            <w:r w:rsidR="00BA6474">
              <w:rPr>
                <w:sz w:val="20"/>
                <w:szCs w:val="20"/>
                <w:lang w:val="en-GB"/>
              </w:rPr>
              <w:t xml:space="preserve">Coalition of </w:t>
            </w:r>
            <w:r w:rsidRPr="00BA6474">
              <w:rPr>
                <w:sz w:val="20"/>
                <w:szCs w:val="20"/>
                <w:lang w:val="en-GB"/>
              </w:rPr>
              <w:t xml:space="preserve"> </w:t>
            </w:r>
            <w:proofErr w:type="spellStart"/>
            <w:r w:rsidR="00BA6474" w:rsidRPr="00BA4A3E">
              <w:rPr>
                <w:sz w:val="20"/>
                <w:szCs w:val="20"/>
                <w:lang w:val="en-GB"/>
              </w:rPr>
              <w:t>Sandžak</w:t>
            </w:r>
            <w:proofErr w:type="spellEnd"/>
            <w:r w:rsidR="00BA6474">
              <w:rPr>
                <w:sz w:val="20"/>
                <w:szCs w:val="20"/>
                <w:lang w:val="en-GB"/>
              </w:rPr>
              <w:t xml:space="preserve"> Democratic Party (SDP)</w:t>
            </w:r>
            <w:r w:rsidRPr="00BA6474">
              <w:rPr>
                <w:sz w:val="20"/>
                <w:szCs w:val="20"/>
                <w:lang w:val="en-GB"/>
              </w:rPr>
              <w:t xml:space="preserve">, </w:t>
            </w:r>
            <w:proofErr w:type="spellStart"/>
            <w:r w:rsidR="00BA6474">
              <w:rPr>
                <w:sz w:val="20"/>
                <w:szCs w:val="20"/>
                <w:lang w:val="en-GB"/>
              </w:rPr>
              <w:t>Socalist</w:t>
            </w:r>
            <w:proofErr w:type="spellEnd"/>
            <w:r w:rsidR="00BA6474">
              <w:rPr>
                <w:sz w:val="20"/>
                <w:szCs w:val="20"/>
                <w:lang w:val="en-GB"/>
              </w:rPr>
              <w:t xml:space="preserve"> Democratic Party of Serbia (SDPS), </w:t>
            </w:r>
            <w:r w:rsidR="00B36013">
              <w:rPr>
                <w:sz w:val="20"/>
                <w:szCs w:val="20"/>
                <w:lang w:val="en-GB"/>
              </w:rPr>
              <w:t xml:space="preserve">Together for </w:t>
            </w:r>
            <w:r w:rsidR="00B36013" w:rsidRPr="00BA4A3E">
              <w:rPr>
                <w:sz w:val="20"/>
                <w:szCs w:val="20"/>
                <w:lang w:val="en-GB"/>
              </w:rPr>
              <w:t xml:space="preserve"> </w:t>
            </w:r>
            <w:proofErr w:type="spellStart"/>
            <w:r w:rsidR="00B36013" w:rsidRPr="00BA4A3E">
              <w:rPr>
                <w:sz w:val="20"/>
                <w:szCs w:val="20"/>
                <w:lang w:val="en-GB"/>
              </w:rPr>
              <w:t>Sandžak</w:t>
            </w:r>
            <w:proofErr w:type="spellEnd"/>
            <w:r w:rsidR="00B36013" w:rsidRPr="00BA6474">
              <w:rPr>
                <w:sz w:val="20"/>
                <w:szCs w:val="20"/>
                <w:lang w:val="en-GB"/>
              </w:rPr>
              <w:t xml:space="preserve"> </w:t>
            </w:r>
            <w:r w:rsidR="00B36013">
              <w:rPr>
                <w:sz w:val="20"/>
                <w:szCs w:val="20"/>
                <w:lang w:val="en-GB"/>
              </w:rPr>
              <w:t>(SZS)</w:t>
            </w:r>
            <w:r w:rsidRPr="00BA6474">
              <w:rPr>
                <w:sz w:val="20"/>
                <w:szCs w:val="20"/>
                <w:lang w:val="en-GB"/>
              </w:rPr>
              <w:t xml:space="preserve">, ЛДП, </w:t>
            </w:r>
            <w:r w:rsidR="00B36013">
              <w:rPr>
                <w:sz w:val="20"/>
                <w:szCs w:val="20"/>
                <w:lang w:val="en-GB"/>
              </w:rPr>
              <w:t xml:space="preserve">Liberal Democratic Party (LDP), </w:t>
            </w:r>
            <w:proofErr w:type="spellStart"/>
            <w:r w:rsidR="00B36013">
              <w:rPr>
                <w:sz w:val="20"/>
                <w:szCs w:val="20"/>
                <w:lang w:val="en-GB"/>
              </w:rPr>
              <w:t>Bosniak</w:t>
            </w:r>
            <w:proofErr w:type="spellEnd"/>
            <w:r w:rsidR="00B36013">
              <w:rPr>
                <w:sz w:val="20"/>
                <w:szCs w:val="20"/>
                <w:lang w:val="en-GB"/>
              </w:rPr>
              <w:t xml:space="preserve"> Democratic Community (BDC)</w:t>
            </w:r>
          </w:p>
        </w:tc>
        <w:tc>
          <w:tcPr>
            <w:tcW w:w="2410" w:type="dxa"/>
          </w:tcPr>
          <w:p w14:paraId="7C5D8EB9" w14:textId="77777777" w:rsidR="00123B6E" w:rsidRPr="00BA6474" w:rsidRDefault="00BA6474" w:rsidP="00123B6E">
            <w:pPr>
              <w:spacing w:after="0" w:line="240" w:lineRule="auto"/>
              <w:rPr>
                <w:sz w:val="20"/>
                <w:szCs w:val="20"/>
                <w:lang w:val="en-GB"/>
              </w:rPr>
            </w:pPr>
            <w:r w:rsidRPr="00BA6474">
              <w:rPr>
                <w:sz w:val="20"/>
                <w:szCs w:val="20"/>
                <w:lang w:val="en-GB"/>
              </w:rPr>
              <w:t xml:space="preserve">Novi </w:t>
            </w:r>
            <w:proofErr w:type="spellStart"/>
            <w:r w:rsidRPr="00BA6474">
              <w:rPr>
                <w:sz w:val="20"/>
                <w:szCs w:val="20"/>
                <w:lang w:val="en-GB"/>
              </w:rPr>
              <w:t>Pazar</w:t>
            </w:r>
            <w:proofErr w:type="spellEnd"/>
          </w:p>
        </w:tc>
        <w:tc>
          <w:tcPr>
            <w:tcW w:w="674" w:type="dxa"/>
          </w:tcPr>
          <w:p w14:paraId="2C394825" w14:textId="77777777" w:rsidR="00123B6E" w:rsidRPr="00BA6474" w:rsidRDefault="00123B6E" w:rsidP="00123B6E">
            <w:pPr>
              <w:spacing w:after="0" w:line="240" w:lineRule="auto"/>
              <w:jc w:val="right"/>
              <w:rPr>
                <w:sz w:val="20"/>
                <w:szCs w:val="20"/>
                <w:lang w:val="en-GB"/>
              </w:rPr>
            </w:pPr>
            <w:r w:rsidRPr="00BA6474">
              <w:rPr>
                <w:sz w:val="20"/>
                <w:szCs w:val="20"/>
                <w:lang w:val="en-GB"/>
              </w:rPr>
              <w:t>21</w:t>
            </w:r>
          </w:p>
        </w:tc>
      </w:tr>
      <w:tr w:rsidR="00123B6E" w:rsidRPr="00D62D04" w14:paraId="696DD054" w14:textId="77777777" w:rsidTr="009756CB">
        <w:trPr>
          <w:trHeight w:val="309"/>
        </w:trPr>
        <w:tc>
          <w:tcPr>
            <w:tcW w:w="5665" w:type="dxa"/>
          </w:tcPr>
          <w:p w14:paraId="62230BA9" w14:textId="77777777" w:rsidR="00B36013" w:rsidRPr="00B36013" w:rsidRDefault="00B36013" w:rsidP="00123B6E">
            <w:pPr>
              <w:spacing w:after="0" w:line="240" w:lineRule="auto"/>
              <w:rPr>
                <w:sz w:val="20"/>
                <w:szCs w:val="20"/>
                <w:lang w:val="en-GB"/>
              </w:rPr>
            </w:pPr>
            <w:r w:rsidRPr="00B36013">
              <w:rPr>
                <w:sz w:val="20"/>
                <w:szCs w:val="20"/>
                <w:lang w:val="en-GB"/>
              </w:rPr>
              <w:t>TOGETHER FOR PRIJEPOLJE - RASIM LJAJIĆ</w:t>
            </w:r>
          </w:p>
          <w:p w14:paraId="758340C3" w14:textId="77777777" w:rsidR="00123B6E" w:rsidRPr="00B36013" w:rsidRDefault="00123B6E" w:rsidP="00B36013">
            <w:pPr>
              <w:spacing w:after="0" w:line="240" w:lineRule="auto"/>
              <w:rPr>
                <w:sz w:val="20"/>
                <w:szCs w:val="20"/>
                <w:lang w:val="en-GB"/>
              </w:rPr>
            </w:pPr>
            <w:r w:rsidRPr="00B36013">
              <w:rPr>
                <w:sz w:val="20"/>
                <w:szCs w:val="20"/>
                <w:lang w:val="en-GB"/>
              </w:rPr>
              <w:t>(</w:t>
            </w:r>
            <w:r w:rsidR="00B36013" w:rsidRPr="00B36013">
              <w:rPr>
                <w:sz w:val="20"/>
                <w:szCs w:val="20"/>
                <w:lang w:val="en-GB"/>
              </w:rPr>
              <w:t>Coalition of SDP-SDPS-LDP</w:t>
            </w:r>
            <w:r w:rsidRPr="00B36013">
              <w:rPr>
                <w:sz w:val="20"/>
                <w:szCs w:val="20"/>
                <w:lang w:val="en-GB"/>
              </w:rPr>
              <w:t>)</w:t>
            </w:r>
          </w:p>
        </w:tc>
        <w:tc>
          <w:tcPr>
            <w:tcW w:w="2410" w:type="dxa"/>
          </w:tcPr>
          <w:p w14:paraId="47586809" w14:textId="77777777" w:rsidR="00123B6E" w:rsidRPr="00B36013" w:rsidRDefault="00B36013" w:rsidP="00123B6E">
            <w:pPr>
              <w:spacing w:after="0" w:line="240" w:lineRule="auto"/>
              <w:rPr>
                <w:sz w:val="20"/>
                <w:szCs w:val="20"/>
                <w:lang w:val="en-GB"/>
              </w:rPr>
            </w:pPr>
            <w:proofErr w:type="spellStart"/>
            <w:r w:rsidRPr="00B36013">
              <w:rPr>
                <w:sz w:val="20"/>
                <w:szCs w:val="20"/>
                <w:lang w:val="en-GB"/>
              </w:rPr>
              <w:t>Prijepolje</w:t>
            </w:r>
            <w:proofErr w:type="spellEnd"/>
            <w:r w:rsidRPr="00B36013">
              <w:rPr>
                <w:sz w:val="20"/>
                <w:szCs w:val="20"/>
                <w:lang w:val="en-GB"/>
              </w:rPr>
              <w:t xml:space="preserve"> </w:t>
            </w:r>
          </w:p>
        </w:tc>
        <w:tc>
          <w:tcPr>
            <w:tcW w:w="674" w:type="dxa"/>
          </w:tcPr>
          <w:p w14:paraId="259BEA07" w14:textId="77777777" w:rsidR="00123B6E" w:rsidRPr="00B36013" w:rsidRDefault="00123B6E" w:rsidP="00123B6E">
            <w:pPr>
              <w:spacing w:after="0" w:line="240" w:lineRule="auto"/>
              <w:jc w:val="right"/>
              <w:rPr>
                <w:sz w:val="20"/>
                <w:szCs w:val="20"/>
                <w:lang w:val="en-GB"/>
              </w:rPr>
            </w:pPr>
            <w:r w:rsidRPr="00B36013">
              <w:rPr>
                <w:sz w:val="20"/>
                <w:szCs w:val="20"/>
                <w:lang w:val="en-GB"/>
              </w:rPr>
              <w:t>11</w:t>
            </w:r>
          </w:p>
        </w:tc>
      </w:tr>
      <w:tr w:rsidR="00123B6E" w:rsidRPr="00D62D04" w14:paraId="09206743" w14:textId="77777777" w:rsidTr="009756CB">
        <w:trPr>
          <w:trHeight w:val="309"/>
        </w:trPr>
        <w:tc>
          <w:tcPr>
            <w:tcW w:w="5665" w:type="dxa"/>
          </w:tcPr>
          <w:p w14:paraId="34DE12CA" w14:textId="77777777" w:rsidR="00123B6E" w:rsidRPr="00B36013" w:rsidRDefault="00123B6E" w:rsidP="00B36013">
            <w:pPr>
              <w:spacing w:after="0" w:line="240" w:lineRule="auto"/>
              <w:rPr>
                <w:sz w:val="20"/>
                <w:szCs w:val="20"/>
                <w:lang w:val="en-GB"/>
              </w:rPr>
            </w:pPr>
            <w:r w:rsidRPr="00B36013">
              <w:rPr>
                <w:sz w:val="20"/>
                <w:szCs w:val="20"/>
                <w:lang w:val="en-GB"/>
              </w:rPr>
              <w:t>„E</w:t>
            </w:r>
            <w:r w:rsidR="00B36013" w:rsidRPr="00B36013">
              <w:rPr>
                <w:sz w:val="20"/>
                <w:szCs w:val="20"/>
                <w:lang w:val="en-GB"/>
              </w:rPr>
              <w:t>UROPEAN</w:t>
            </w:r>
            <w:r w:rsidRPr="00B36013">
              <w:rPr>
                <w:sz w:val="20"/>
                <w:szCs w:val="20"/>
                <w:lang w:val="en-GB"/>
              </w:rPr>
              <w:t xml:space="preserve"> SJENICA – RASIM LJAJIĆ“</w:t>
            </w:r>
          </w:p>
        </w:tc>
        <w:tc>
          <w:tcPr>
            <w:tcW w:w="2410" w:type="dxa"/>
          </w:tcPr>
          <w:p w14:paraId="468394EB" w14:textId="77777777" w:rsidR="00123B6E" w:rsidRPr="00B36013" w:rsidRDefault="00B36013" w:rsidP="00123B6E">
            <w:pPr>
              <w:spacing w:after="0" w:line="240" w:lineRule="auto"/>
              <w:rPr>
                <w:sz w:val="20"/>
                <w:szCs w:val="20"/>
                <w:lang w:val="en-GB"/>
              </w:rPr>
            </w:pPr>
            <w:proofErr w:type="spellStart"/>
            <w:r w:rsidRPr="00B36013">
              <w:rPr>
                <w:sz w:val="20"/>
                <w:szCs w:val="20"/>
                <w:lang w:val="en-GB"/>
              </w:rPr>
              <w:t>Sjenica</w:t>
            </w:r>
            <w:proofErr w:type="spellEnd"/>
            <w:r w:rsidRPr="00B36013">
              <w:rPr>
                <w:sz w:val="20"/>
                <w:szCs w:val="20"/>
                <w:lang w:val="en-GB"/>
              </w:rPr>
              <w:t xml:space="preserve"> </w:t>
            </w:r>
          </w:p>
        </w:tc>
        <w:tc>
          <w:tcPr>
            <w:tcW w:w="674" w:type="dxa"/>
          </w:tcPr>
          <w:p w14:paraId="40F4C46D" w14:textId="77777777" w:rsidR="00123B6E" w:rsidRPr="00B36013" w:rsidRDefault="00123B6E" w:rsidP="00123B6E">
            <w:pPr>
              <w:spacing w:after="0" w:line="240" w:lineRule="auto"/>
              <w:jc w:val="right"/>
              <w:rPr>
                <w:sz w:val="20"/>
                <w:szCs w:val="20"/>
                <w:lang w:val="en-GB"/>
              </w:rPr>
            </w:pPr>
            <w:r w:rsidRPr="00B36013">
              <w:rPr>
                <w:sz w:val="20"/>
                <w:szCs w:val="20"/>
                <w:lang w:val="en-GB"/>
              </w:rPr>
              <w:t>7</w:t>
            </w:r>
          </w:p>
        </w:tc>
      </w:tr>
      <w:tr w:rsidR="00123B6E" w:rsidRPr="00D62D04" w14:paraId="13D274F5" w14:textId="77777777" w:rsidTr="009756CB">
        <w:trPr>
          <w:trHeight w:val="309"/>
        </w:trPr>
        <w:tc>
          <w:tcPr>
            <w:tcW w:w="5665" w:type="dxa"/>
          </w:tcPr>
          <w:p w14:paraId="3B262AC4" w14:textId="77777777" w:rsidR="00123B6E" w:rsidRPr="00B36013" w:rsidRDefault="00123B6E" w:rsidP="00B36013">
            <w:pPr>
              <w:spacing w:after="0" w:line="240" w:lineRule="auto"/>
              <w:rPr>
                <w:sz w:val="20"/>
                <w:szCs w:val="20"/>
                <w:lang w:val="en-GB"/>
              </w:rPr>
            </w:pPr>
            <w:r w:rsidRPr="00B36013">
              <w:rPr>
                <w:sz w:val="20"/>
                <w:szCs w:val="20"/>
                <w:lang w:val="en-GB"/>
              </w:rPr>
              <w:t>E</w:t>
            </w:r>
            <w:r w:rsidR="00B36013" w:rsidRPr="00B36013">
              <w:rPr>
                <w:sz w:val="20"/>
                <w:szCs w:val="20"/>
                <w:lang w:val="en-GB"/>
              </w:rPr>
              <w:t>uropean</w:t>
            </w:r>
            <w:r w:rsidRPr="00B36013">
              <w:rPr>
                <w:sz w:val="20"/>
                <w:szCs w:val="20"/>
                <w:lang w:val="en-GB"/>
              </w:rPr>
              <w:t xml:space="preserve"> </w:t>
            </w:r>
            <w:proofErr w:type="spellStart"/>
            <w:r w:rsidRPr="00B36013">
              <w:rPr>
                <w:sz w:val="20"/>
                <w:szCs w:val="20"/>
                <w:lang w:val="en-GB"/>
              </w:rPr>
              <w:t>Tutin</w:t>
            </w:r>
            <w:proofErr w:type="spellEnd"/>
            <w:r w:rsidRPr="00B36013">
              <w:rPr>
                <w:sz w:val="20"/>
                <w:szCs w:val="20"/>
                <w:lang w:val="en-GB"/>
              </w:rPr>
              <w:t xml:space="preserve"> - </w:t>
            </w:r>
            <w:proofErr w:type="spellStart"/>
            <w:r w:rsidRPr="00B36013">
              <w:rPr>
                <w:sz w:val="20"/>
                <w:szCs w:val="20"/>
                <w:lang w:val="en-GB"/>
              </w:rPr>
              <w:t>Rasim</w:t>
            </w:r>
            <w:proofErr w:type="spellEnd"/>
            <w:r w:rsidRPr="00B36013">
              <w:rPr>
                <w:sz w:val="20"/>
                <w:szCs w:val="20"/>
                <w:lang w:val="en-GB"/>
              </w:rPr>
              <w:t xml:space="preserve"> </w:t>
            </w:r>
            <w:proofErr w:type="spellStart"/>
            <w:r w:rsidRPr="00B36013">
              <w:rPr>
                <w:sz w:val="20"/>
                <w:szCs w:val="20"/>
                <w:lang w:val="en-GB"/>
              </w:rPr>
              <w:t>Ljajić</w:t>
            </w:r>
            <w:proofErr w:type="spellEnd"/>
          </w:p>
        </w:tc>
        <w:tc>
          <w:tcPr>
            <w:tcW w:w="2410" w:type="dxa"/>
          </w:tcPr>
          <w:p w14:paraId="4243683C" w14:textId="77777777" w:rsidR="00123B6E" w:rsidRPr="00B36013" w:rsidRDefault="00B36013" w:rsidP="00123B6E">
            <w:pPr>
              <w:spacing w:after="0" w:line="240" w:lineRule="auto"/>
              <w:rPr>
                <w:sz w:val="20"/>
                <w:szCs w:val="20"/>
                <w:lang w:val="en-GB"/>
              </w:rPr>
            </w:pPr>
            <w:proofErr w:type="spellStart"/>
            <w:r w:rsidRPr="00B36013">
              <w:rPr>
                <w:sz w:val="20"/>
                <w:szCs w:val="20"/>
                <w:lang w:val="en-GB"/>
              </w:rPr>
              <w:t>Tutin</w:t>
            </w:r>
            <w:proofErr w:type="spellEnd"/>
            <w:r w:rsidRPr="00B36013">
              <w:rPr>
                <w:sz w:val="20"/>
                <w:szCs w:val="20"/>
                <w:lang w:val="en-GB"/>
              </w:rPr>
              <w:t xml:space="preserve"> </w:t>
            </w:r>
          </w:p>
        </w:tc>
        <w:tc>
          <w:tcPr>
            <w:tcW w:w="674" w:type="dxa"/>
          </w:tcPr>
          <w:p w14:paraId="2F02A721" w14:textId="77777777" w:rsidR="00123B6E" w:rsidRPr="00B36013" w:rsidRDefault="00123B6E" w:rsidP="00123B6E">
            <w:pPr>
              <w:spacing w:after="0" w:line="240" w:lineRule="auto"/>
              <w:jc w:val="right"/>
              <w:rPr>
                <w:sz w:val="20"/>
                <w:szCs w:val="20"/>
                <w:lang w:val="en-GB"/>
              </w:rPr>
            </w:pPr>
            <w:r w:rsidRPr="00B36013">
              <w:rPr>
                <w:sz w:val="20"/>
                <w:szCs w:val="20"/>
                <w:lang w:val="en-GB"/>
              </w:rPr>
              <w:t>2</w:t>
            </w:r>
          </w:p>
        </w:tc>
      </w:tr>
      <w:tr w:rsidR="00123B6E" w:rsidRPr="007F1D8A" w14:paraId="7BC1958C" w14:textId="77777777" w:rsidTr="009756CB">
        <w:trPr>
          <w:trHeight w:val="309"/>
        </w:trPr>
        <w:tc>
          <w:tcPr>
            <w:tcW w:w="5665" w:type="dxa"/>
            <w:vMerge w:val="restart"/>
            <w:vAlign w:val="center"/>
          </w:tcPr>
          <w:p w14:paraId="0BDD97ED" w14:textId="77777777" w:rsidR="00123B6E" w:rsidRPr="007F1D8A" w:rsidRDefault="007F1D8A" w:rsidP="007F1D8A">
            <w:pPr>
              <w:spacing w:after="0" w:line="240" w:lineRule="auto"/>
              <w:rPr>
                <w:sz w:val="20"/>
                <w:szCs w:val="20"/>
                <w:lang w:val="en-GB"/>
              </w:rPr>
            </w:pPr>
            <w:r w:rsidRPr="007F1D8A">
              <w:rPr>
                <w:sz w:val="20"/>
                <w:szCs w:val="20"/>
                <w:lang w:val="en-GB"/>
              </w:rPr>
              <w:t xml:space="preserve">ACADEMICIAN MUAMER ZUKORLIĆ –PARTY OF JUSTICE AND RECONCILIATION (SPP) </w:t>
            </w:r>
            <w:r w:rsidR="00123B6E" w:rsidRPr="007F1D8A">
              <w:rPr>
                <w:sz w:val="20"/>
                <w:szCs w:val="20"/>
                <w:lang w:val="en-GB"/>
              </w:rPr>
              <w:t xml:space="preserve">„AKADEMIK MUAMER ZUKORLIĆ – STRANKA PRAVDE I </w:t>
            </w:r>
            <w:proofErr w:type="spellStart"/>
            <w:r w:rsidR="00123B6E" w:rsidRPr="007F1D8A">
              <w:rPr>
                <w:sz w:val="20"/>
                <w:szCs w:val="20"/>
                <w:lang w:val="en-GB"/>
              </w:rPr>
              <w:t>POMIRENjA</w:t>
            </w:r>
            <w:proofErr w:type="spellEnd"/>
            <w:r w:rsidR="00123B6E" w:rsidRPr="007F1D8A">
              <w:rPr>
                <w:sz w:val="20"/>
                <w:szCs w:val="20"/>
                <w:lang w:val="en-GB"/>
              </w:rPr>
              <w:t>“ (SPP)</w:t>
            </w:r>
          </w:p>
        </w:tc>
        <w:tc>
          <w:tcPr>
            <w:tcW w:w="2410" w:type="dxa"/>
          </w:tcPr>
          <w:p w14:paraId="4F1A060F" w14:textId="77777777" w:rsidR="00123B6E" w:rsidRPr="007F1D8A" w:rsidRDefault="007F1D8A" w:rsidP="00123B6E">
            <w:pPr>
              <w:spacing w:after="0" w:line="240" w:lineRule="auto"/>
              <w:rPr>
                <w:sz w:val="20"/>
                <w:szCs w:val="20"/>
                <w:lang w:val="en-GB"/>
              </w:rPr>
            </w:pPr>
            <w:r w:rsidRPr="007F1D8A">
              <w:rPr>
                <w:sz w:val="20"/>
                <w:szCs w:val="20"/>
                <w:lang w:val="en-GB"/>
              </w:rPr>
              <w:t xml:space="preserve">Novi </w:t>
            </w:r>
            <w:proofErr w:type="spellStart"/>
            <w:r w:rsidRPr="007F1D8A">
              <w:rPr>
                <w:sz w:val="20"/>
                <w:szCs w:val="20"/>
                <w:lang w:val="en-GB"/>
              </w:rPr>
              <w:t>Pazar</w:t>
            </w:r>
            <w:proofErr w:type="spellEnd"/>
          </w:p>
        </w:tc>
        <w:tc>
          <w:tcPr>
            <w:tcW w:w="674" w:type="dxa"/>
          </w:tcPr>
          <w:p w14:paraId="346758AC" w14:textId="77777777" w:rsidR="00123B6E" w:rsidRPr="007F1D8A" w:rsidRDefault="00123B6E" w:rsidP="00123B6E">
            <w:pPr>
              <w:spacing w:after="0" w:line="240" w:lineRule="auto"/>
              <w:jc w:val="right"/>
              <w:rPr>
                <w:sz w:val="20"/>
                <w:szCs w:val="20"/>
                <w:lang w:val="en-GB"/>
              </w:rPr>
            </w:pPr>
            <w:r w:rsidRPr="007F1D8A">
              <w:rPr>
                <w:sz w:val="20"/>
                <w:szCs w:val="20"/>
                <w:lang w:val="en-GB"/>
              </w:rPr>
              <w:t>11</w:t>
            </w:r>
          </w:p>
        </w:tc>
      </w:tr>
      <w:tr w:rsidR="00123B6E" w:rsidRPr="007F1D8A" w14:paraId="029258B4" w14:textId="77777777" w:rsidTr="009756CB">
        <w:trPr>
          <w:trHeight w:val="309"/>
        </w:trPr>
        <w:tc>
          <w:tcPr>
            <w:tcW w:w="5665" w:type="dxa"/>
            <w:vMerge/>
          </w:tcPr>
          <w:p w14:paraId="4C931E9C" w14:textId="77777777" w:rsidR="00123B6E" w:rsidRPr="007F1D8A" w:rsidRDefault="00123B6E" w:rsidP="00123B6E">
            <w:pPr>
              <w:spacing w:after="0" w:line="240" w:lineRule="auto"/>
              <w:rPr>
                <w:sz w:val="20"/>
                <w:szCs w:val="20"/>
                <w:lang w:val="en-GB"/>
              </w:rPr>
            </w:pPr>
          </w:p>
        </w:tc>
        <w:tc>
          <w:tcPr>
            <w:tcW w:w="2410" w:type="dxa"/>
          </w:tcPr>
          <w:p w14:paraId="430A1F2A" w14:textId="77777777" w:rsidR="00123B6E" w:rsidRPr="007F1D8A" w:rsidRDefault="007F1D8A" w:rsidP="00123B6E">
            <w:pPr>
              <w:spacing w:after="0" w:line="240" w:lineRule="auto"/>
              <w:rPr>
                <w:sz w:val="20"/>
                <w:szCs w:val="20"/>
                <w:lang w:val="en-GB"/>
              </w:rPr>
            </w:pPr>
            <w:proofErr w:type="spellStart"/>
            <w:r w:rsidRPr="007F1D8A">
              <w:rPr>
                <w:sz w:val="20"/>
                <w:szCs w:val="20"/>
                <w:lang w:val="en-GB"/>
              </w:rPr>
              <w:t>Priboj</w:t>
            </w:r>
            <w:proofErr w:type="spellEnd"/>
            <w:r w:rsidRPr="007F1D8A">
              <w:rPr>
                <w:sz w:val="20"/>
                <w:szCs w:val="20"/>
                <w:lang w:val="en-GB"/>
              </w:rPr>
              <w:t xml:space="preserve"> </w:t>
            </w:r>
          </w:p>
        </w:tc>
        <w:tc>
          <w:tcPr>
            <w:tcW w:w="674" w:type="dxa"/>
          </w:tcPr>
          <w:p w14:paraId="765A5596" w14:textId="77777777" w:rsidR="00123B6E" w:rsidRPr="007F1D8A" w:rsidRDefault="00123B6E" w:rsidP="00123B6E">
            <w:pPr>
              <w:spacing w:after="0" w:line="240" w:lineRule="auto"/>
              <w:jc w:val="right"/>
              <w:rPr>
                <w:sz w:val="20"/>
                <w:szCs w:val="20"/>
                <w:lang w:val="en-GB"/>
              </w:rPr>
            </w:pPr>
            <w:r w:rsidRPr="007F1D8A">
              <w:rPr>
                <w:sz w:val="20"/>
                <w:szCs w:val="20"/>
                <w:lang w:val="en-GB"/>
              </w:rPr>
              <w:t>2</w:t>
            </w:r>
          </w:p>
        </w:tc>
      </w:tr>
      <w:tr w:rsidR="00123B6E" w:rsidRPr="007F1D8A" w14:paraId="1992EAC3" w14:textId="77777777" w:rsidTr="009756CB">
        <w:trPr>
          <w:trHeight w:val="309"/>
        </w:trPr>
        <w:tc>
          <w:tcPr>
            <w:tcW w:w="5665" w:type="dxa"/>
            <w:vMerge/>
          </w:tcPr>
          <w:p w14:paraId="43619295" w14:textId="77777777" w:rsidR="00123B6E" w:rsidRPr="007F1D8A" w:rsidRDefault="00123B6E" w:rsidP="00123B6E">
            <w:pPr>
              <w:spacing w:after="0" w:line="240" w:lineRule="auto"/>
              <w:rPr>
                <w:sz w:val="20"/>
                <w:szCs w:val="20"/>
                <w:lang w:val="en-GB"/>
              </w:rPr>
            </w:pPr>
          </w:p>
        </w:tc>
        <w:tc>
          <w:tcPr>
            <w:tcW w:w="2410" w:type="dxa"/>
          </w:tcPr>
          <w:p w14:paraId="114149E2" w14:textId="77777777" w:rsidR="00123B6E" w:rsidRPr="007F1D8A" w:rsidRDefault="007F1D8A" w:rsidP="00123B6E">
            <w:pPr>
              <w:spacing w:after="0" w:line="240" w:lineRule="auto"/>
              <w:rPr>
                <w:sz w:val="20"/>
                <w:szCs w:val="20"/>
                <w:lang w:val="en-GB"/>
              </w:rPr>
            </w:pPr>
            <w:proofErr w:type="spellStart"/>
            <w:r w:rsidRPr="007F1D8A">
              <w:rPr>
                <w:sz w:val="20"/>
                <w:szCs w:val="20"/>
                <w:lang w:val="en-GB"/>
              </w:rPr>
              <w:t>Prijepolje</w:t>
            </w:r>
            <w:proofErr w:type="spellEnd"/>
            <w:r w:rsidRPr="007F1D8A">
              <w:rPr>
                <w:sz w:val="20"/>
                <w:szCs w:val="20"/>
                <w:lang w:val="en-GB"/>
              </w:rPr>
              <w:t xml:space="preserve"> </w:t>
            </w:r>
          </w:p>
        </w:tc>
        <w:tc>
          <w:tcPr>
            <w:tcW w:w="674" w:type="dxa"/>
          </w:tcPr>
          <w:p w14:paraId="10BC0EDD" w14:textId="77777777" w:rsidR="00123B6E" w:rsidRPr="007F1D8A" w:rsidRDefault="00123B6E" w:rsidP="00123B6E">
            <w:pPr>
              <w:spacing w:after="0" w:line="240" w:lineRule="auto"/>
              <w:jc w:val="right"/>
              <w:rPr>
                <w:sz w:val="20"/>
                <w:szCs w:val="20"/>
                <w:lang w:val="en-GB"/>
              </w:rPr>
            </w:pPr>
            <w:r w:rsidRPr="007F1D8A">
              <w:rPr>
                <w:sz w:val="20"/>
                <w:szCs w:val="20"/>
                <w:lang w:val="en-GB"/>
              </w:rPr>
              <w:t>8</w:t>
            </w:r>
          </w:p>
        </w:tc>
      </w:tr>
      <w:tr w:rsidR="00123B6E" w:rsidRPr="007F1D8A" w14:paraId="4784A0A8" w14:textId="77777777" w:rsidTr="009756CB">
        <w:trPr>
          <w:trHeight w:val="309"/>
        </w:trPr>
        <w:tc>
          <w:tcPr>
            <w:tcW w:w="5665" w:type="dxa"/>
            <w:vMerge/>
          </w:tcPr>
          <w:p w14:paraId="3444F057" w14:textId="77777777" w:rsidR="00123B6E" w:rsidRPr="007F1D8A" w:rsidRDefault="00123B6E" w:rsidP="00123B6E">
            <w:pPr>
              <w:spacing w:after="0" w:line="240" w:lineRule="auto"/>
              <w:rPr>
                <w:sz w:val="20"/>
                <w:szCs w:val="20"/>
                <w:lang w:val="en-GB"/>
              </w:rPr>
            </w:pPr>
          </w:p>
        </w:tc>
        <w:tc>
          <w:tcPr>
            <w:tcW w:w="2410" w:type="dxa"/>
          </w:tcPr>
          <w:p w14:paraId="53C5079B" w14:textId="77777777" w:rsidR="00123B6E" w:rsidRPr="007F1D8A" w:rsidRDefault="007F1D8A" w:rsidP="00123B6E">
            <w:pPr>
              <w:spacing w:after="0" w:line="240" w:lineRule="auto"/>
              <w:rPr>
                <w:sz w:val="20"/>
                <w:szCs w:val="20"/>
                <w:lang w:val="en-GB"/>
              </w:rPr>
            </w:pPr>
            <w:proofErr w:type="spellStart"/>
            <w:r w:rsidRPr="007F1D8A">
              <w:rPr>
                <w:sz w:val="20"/>
                <w:szCs w:val="20"/>
                <w:lang w:val="en-GB"/>
              </w:rPr>
              <w:t>Sjenica</w:t>
            </w:r>
            <w:proofErr w:type="spellEnd"/>
            <w:r w:rsidRPr="007F1D8A">
              <w:rPr>
                <w:sz w:val="20"/>
                <w:szCs w:val="20"/>
                <w:lang w:val="en-GB"/>
              </w:rPr>
              <w:t xml:space="preserve"> </w:t>
            </w:r>
          </w:p>
        </w:tc>
        <w:tc>
          <w:tcPr>
            <w:tcW w:w="674" w:type="dxa"/>
          </w:tcPr>
          <w:p w14:paraId="48C1A285" w14:textId="77777777" w:rsidR="00123B6E" w:rsidRPr="007F1D8A" w:rsidRDefault="00123B6E" w:rsidP="00123B6E">
            <w:pPr>
              <w:spacing w:after="0" w:line="240" w:lineRule="auto"/>
              <w:jc w:val="right"/>
              <w:rPr>
                <w:sz w:val="20"/>
                <w:szCs w:val="20"/>
                <w:lang w:val="en-GB"/>
              </w:rPr>
            </w:pPr>
            <w:r w:rsidRPr="007F1D8A">
              <w:rPr>
                <w:sz w:val="20"/>
                <w:szCs w:val="20"/>
                <w:lang w:val="en-GB"/>
              </w:rPr>
              <w:t>9</w:t>
            </w:r>
          </w:p>
        </w:tc>
      </w:tr>
      <w:tr w:rsidR="00123B6E" w:rsidRPr="00D62D04" w14:paraId="7549F5F9" w14:textId="77777777" w:rsidTr="009756CB">
        <w:trPr>
          <w:trHeight w:val="309"/>
        </w:trPr>
        <w:tc>
          <w:tcPr>
            <w:tcW w:w="5665" w:type="dxa"/>
            <w:vMerge/>
          </w:tcPr>
          <w:p w14:paraId="46142CCA" w14:textId="77777777" w:rsidR="00123B6E" w:rsidRPr="007F1D8A" w:rsidRDefault="00123B6E" w:rsidP="00123B6E">
            <w:pPr>
              <w:spacing w:after="0" w:line="240" w:lineRule="auto"/>
              <w:rPr>
                <w:sz w:val="20"/>
                <w:szCs w:val="20"/>
                <w:lang w:val="en-GB"/>
              </w:rPr>
            </w:pPr>
          </w:p>
        </w:tc>
        <w:tc>
          <w:tcPr>
            <w:tcW w:w="2410" w:type="dxa"/>
          </w:tcPr>
          <w:p w14:paraId="0F072078" w14:textId="77777777" w:rsidR="00123B6E" w:rsidRPr="007F1D8A" w:rsidRDefault="007F1D8A" w:rsidP="00123B6E">
            <w:pPr>
              <w:spacing w:after="0" w:line="240" w:lineRule="auto"/>
              <w:rPr>
                <w:sz w:val="20"/>
                <w:szCs w:val="20"/>
                <w:lang w:val="en-GB"/>
              </w:rPr>
            </w:pPr>
            <w:proofErr w:type="spellStart"/>
            <w:r w:rsidRPr="007F1D8A">
              <w:rPr>
                <w:sz w:val="20"/>
                <w:szCs w:val="20"/>
                <w:lang w:val="en-GB"/>
              </w:rPr>
              <w:t>Tutin</w:t>
            </w:r>
            <w:proofErr w:type="spellEnd"/>
            <w:r w:rsidRPr="007F1D8A">
              <w:rPr>
                <w:sz w:val="20"/>
                <w:szCs w:val="20"/>
                <w:lang w:val="en-GB"/>
              </w:rPr>
              <w:t xml:space="preserve"> </w:t>
            </w:r>
          </w:p>
        </w:tc>
        <w:tc>
          <w:tcPr>
            <w:tcW w:w="674" w:type="dxa"/>
          </w:tcPr>
          <w:p w14:paraId="1F756254" w14:textId="77777777" w:rsidR="00123B6E" w:rsidRPr="007F1D8A" w:rsidRDefault="00123B6E" w:rsidP="00123B6E">
            <w:pPr>
              <w:spacing w:after="0" w:line="240" w:lineRule="auto"/>
              <w:jc w:val="right"/>
              <w:rPr>
                <w:sz w:val="20"/>
                <w:szCs w:val="20"/>
                <w:lang w:val="en-GB"/>
              </w:rPr>
            </w:pPr>
            <w:r w:rsidRPr="007F1D8A">
              <w:rPr>
                <w:sz w:val="20"/>
                <w:szCs w:val="20"/>
                <w:lang w:val="en-GB"/>
              </w:rPr>
              <w:t>11</w:t>
            </w:r>
          </w:p>
        </w:tc>
      </w:tr>
      <w:tr w:rsidR="007F1D8A" w:rsidRPr="007F1D8A" w14:paraId="7E795F8D" w14:textId="77777777" w:rsidTr="009756CB">
        <w:trPr>
          <w:trHeight w:val="309"/>
        </w:trPr>
        <w:tc>
          <w:tcPr>
            <w:tcW w:w="5665" w:type="dxa"/>
            <w:vMerge w:val="restart"/>
            <w:vAlign w:val="center"/>
          </w:tcPr>
          <w:p w14:paraId="316E39E9" w14:textId="77777777" w:rsidR="007F1D8A" w:rsidRPr="007F1D8A" w:rsidRDefault="007F1D8A" w:rsidP="007F1D8A">
            <w:pPr>
              <w:spacing w:after="0" w:line="240" w:lineRule="auto"/>
              <w:rPr>
                <w:sz w:val="20"/>
                <w:szCs w:val="20"/>
                <w:lang w:val="en-GB"/>
              </w:rPr>
            </w:pPr>
            <w:r w:rsidRPr="007F1D8A">
              <w:rPr>
                <w:sz w:val="20"/>
                <w:szCs w:val="20"/>
                <w:lang w:val="en-GB"/>
              </w:rPr>
              <w:t>DEMOCRATIC ACTION PARTY OF SANDŽAK – SULEJMAN UGLJANIN, PHD „SDA SANDŽAKA – DR. SULEJMAN UGLJANIN“</w:t>
            </w:r>
          </w:p>
        </w:tc>
        <w:tc>
          <w:tcPr>
            <w:tcW w:w="2410" w:type="dxa"/>
          </w:tcPr>
          <w:p w14:paraId="6CB05B36" w14:textId="77777777" w:rsidR="007F1D8A" w:rsidRPr="007F1D8A" w:rsidRDefault="007F1D8A" w:rsidP="007F1D8A">
            <w:pPr>
              <w:spacing w:after="0" w:line="240" w:lineRule="auto"/>
              <w:rPr>
                <w:sz w:val="20"/>
                <w:szCs w:val="20"/>
                <w:lang w:val="en-GB"/>
              </w:rPr>
            </w:pPr>
            <w:r w:rsidRPr="007F1D8A">
              <w:rPr>
                <w:sz w:val="20"/>
                <w:szCs w:val="20"/>
                <w:lang w:val="en-GB"/>
              </w:rPr>
              <w:t xml:space="preserve">Novi </w:t>
            </w:r>
            <w:proofErr w:type="spellStart"/>
            <w:r w:rsidRPr="007F1D8A">
              <w:rPr>
                <w:sz w:val="20"/>
                <w:szCs w:val="20"/>
                <w:lang w:val="en-GB"/>
              </w:rPr>
              <w:t>Pazar</w:t>
            </w:r>
            <w:proofErr w:type="spellEnd"/>
          </w:p>
        </w:tc>
        <w:tc>
          <w:tcPr>
            <w:tcW w:w="674" w:type="dxa"/>
          </w:tcPr>
          <w:p w14:paraId="44A80FF7" w14:textId="77777777" w:rsidR="007F1D8A" w:rsidRPr="007F1D8A" w:rsidRDefault="007F1D8A" w:rsidP="007F1D8A">
            <w:pPr>
              <w:spacing w:after="0" w:line="240" w:lineRule="auto"/>
              <w:jc w:val="right"/>
              <w:rPr>
                <w:sz w:val="20"/>
                <w:szCs w:val="20"/>
                <w:lang w:val="en-GB"/>
              </w:rPr>
            </w:pPr>
            <w:r w:rsidRPr="007F1D8A">
              <w:rPr>
                <w:sz w:val="20"/>
                <w:szCs w:val="20"/>
                <w:lang w:val="en-GB"/>
              </w:rPr>
              <w:t>9</w:t>
            </w:r>
          </w:p>
        </w:tc>
      </w:tr>
      <w:tr w:rsidR="007F1D8A" w:rsidRPr="007F1D8A" w14:paraId="463EE979" w14:textId="77777777" w:rsidTr="009756CB">
        <w:trPr>
          <w:trHeight w:val="309"/>
        </w:trPr>
        <w:tc>
          <w:tcPr>
            <w:tcW w:w="5665" w:type="dxa"/>
            <w:vMerge/>
          </w:tcPr>
          <w:p w14:paraId="1153A8D9" w14:textId="77777777" w:rsidR="007F1D8A" w:rsidRPr="007F1D8A" w:rsidRDefault="007F1D8A" w:rsidP="007F1D8A">
            <w:pPr>
              <w:spacing w:after="0" w:line="240" w:lineRule="auto"/>
              <w:rPr>
                <w:sz w:val="20"/>
                <w:szCs w:val="20"/>
                <w:lang w:val="en-GB"/>
              </w:rPr>
            </w:pPr>
          </w:p>
        </w:tc>
        <w:tc>
          <w:tcPr>
            <w:tcW w:w="2410" w:type="dxa"/>
          </w:tcPr>
          <w:p w14:paraId="518153CA" w14:textId="77777777" w:rsidR="007F1D8A" w:rsidRPr="007F1D8A" w:rsidRDefault="007F1D8A" w:rsidP="007F1D8A">
            <w:pPr>
              <w:spacing w:after="0" w:line="240" w:lineRule="auto"/>
              <w:rPr>
                <w:sz w:val="20"/>
                <w:szCs w:val="20"/>
                <w:lang w:val="en-GB"/>
              </w:rPr>
            </w:pPr>
            <w:proofErr w:type="spellStart"/>
            <w:r w:rsidRPr="007F1D8A">
              <w:rPr>
                <w:sz w:val="20"/>
                <w:szCs w:val="20"/>
                <w:lang w:val="en-GB"/>
              </w:rPr>
              <w:t>Priboj</w:t>
            </w:r>
            <w:proofErr w:type="spellEnd"/>
            <w:r w:rsidRPr="007F1D8A">
              <w:rPr>
                <w:sz w:val="20"/>
                <w:szCs w:val="20"/>
                <w:lang w:val="en-GB"/>
              </w:rPr>
              <w:t xml:space="preserve"> </w:t>
            </w:r>
          </w:p>
        </w:tc>
        <w:tc>
          <w:tcPr>
            <w:tcW w:w="674" w:type="dxa"/>
          </w:tcPr>
          <w:p w14:paraId="697846BE" w14:textId="77777777" w:rsidR="007F1D8A" w:rsidRPr="007F1D8A" w:rsidRDefault="007F1D8A" w:rsidP="007F1D8A">
            <w:pPr>
              <w:spacing w:after="0" w:line="240" w:lineRule="auto"/>
              <w:jc w:val="right"/>
              <w:rPr>
                <w:sz w:val="20"/>
                <w:szCs w:val="20"/>
                <w:lang w:val="en-GB"/>
              </w:rPr>
            </w:pPr>
            <w:r w:rsidRPr="007F1D8A">
              <w:rPr>
                <w:sz w:val="20"/>
                <w:szCs w:val="20"/>
                <w:lang w:val="en-GB"/>
              </w:rPr>
              <w:t>2</w:t>
            </w:r>
          </w:p>
        </w:tc>
      </w:tr>
      <w:tr w:rsidR="007F1D8A" w:rsidRPr="007F1D8A" w14:paraId="03D387FF" w14:textId="77777777" w:rsidTr="009756CB">
        <w:trPr>
          <w:trHeight w:val="309"/>
        </w:trPr>
        <w:tc>
          <w:tcPr>
            <w:tcW w:w="5665" w:type="dxa"/>
            <w:vMerge/>
          </w:tcPr>
          <w:p w14:paraId="768FA9DC" w14:textId="77777777" w:rsidR="007F1D8A" w:rsidRPr="007F1D8A" w:rsidRDefault="007F1D8A" w:rsidP="007F1D8A">
            <w:pPr>
              <w:spacing w:after="0" w:line="240" w:lineRule="auto"/>
              <w:rPr>
                <w:sz w:val="20"/>
                <w:szCs w:val="20"/>
                <w:lang w:val="en-GB"/>
              </w:rPr>
            </w:pPr>
          </w:p>
        </w:tc>
        <w:tc>
          <w:tcPr>
            <w:tcW w:w="2410" w:type="dxa"/>
          </w:tcPr>
          <w:p w14:paraId="00745423" w14:textId="77777777" w:rsidR="007F1D8A" w:rsidRPr="007F1D8A" w:rsidRDefault="007F1D8A" w:rsidP="007F1D8A">
            <w:pPr>
              <w:spacing w:after="0" w:line="240" w:lineRule="auto"/>
              <w:rPr>
                <w:sz w:val="20"/>
                <w:szCs w:val="20"/>
                <w:lang w:val="en-GB"/>
              </w:rPr>
            </w:pPr>
            <w:proofErr w:type="spellStart"/>
            <w:r w:rsidRPr="007F1D8A">
              <w:rPr>
                <w:sz w:val="20"/>
                <w:szCs w:val="20"/>
                <w:lang w:val="en-GB"/>
              </w:rPr>
              <w:t>Prijepolje</w:t>
            </w:r>
            <w:proofErr w:type="spellEnd"/>
            <w:r w:rsidRPr="007F1D8A">
              <w:rPr>
                <w:sz w:val="20"/>
                <w:szCs w:val="20"/>
                <w:lang w:val="en-GB"/>
              </w:rPr>
              <w:t xml:space="preserve"> </w:t>
            </w:r>
          </w:p>
        </w:tc>
        <w:tc>
          <w:tcPr>
            <w:tcW w:w="674" w:type="dxa"/>
          </w:tcPr>
          <w:p w14:paraId="09CC75E5" w14:textId="77777777" w:rsidR="007F1D8A" w:rsidRPr="007F1D8A" w:rsidRDefault="007F1D8A" w:rsidP="007F1D8A">
            <w:pPr>
              <w:spacing w:after="0" w:line="240" w:lineRule="auto"/>
              <w:jc w:val="right"/>
              <w:rPr>
                <w:sz w:val="20"/>
                <w:szCs w:val="20"/>
                <w:lang w:val="en-GB"/>
              </w:rPr>
            </w:pPr>
            <w:r w:rsidRPr="007F1D8A">
              <w:rPr>
                <w:sz w:val="20"/>
                <w:szCs w:val="20"/>
                <w:lang w:val="en-GB"/>
              </w:rPr>
              <w:t>1</w:t>
            </w:r>
          </w:p>
        </w:tc>
      </w:tr>
      <w:tr w:rsidR="007F1D8A" w:rsidRPr="007F1D8A" w14:paraId="7566F7EE" w14:textId="77777777" w:rsidTr="009756CB">
        <w:trPr>
          <w:trHeight w:val="309"/>
        </w:trPr>
        <w:tc>
          <w:tcPr>
            <w:tcW w:w="5665" w:type="dxa"/>
            <w:vMerge/>
          </w:tcPr>
          <w:p w14:paraId="6514EA49" w14:textId="77777777" w:rsidR="007F1D8A" w:rsidRPr="007F1D8A" w:rsidRDefault="007F1D8A" w:rsidP="007F1D8A">
            <w:pPr>
              <w:spacing w:after="0" w:line="240" w:lineRule="auto"/>
              <w:rPr>
                <w:sz w:val="20"/>
                <w:szCs w:val="20"/>
                <w:lang w:val="en-GB"/>
              </w:rPr>
            </w:pPr>
          </w:p>
        </w:tc>
        <w:tc>
          <w:tcPr>
            <w:tcW w:w="2410" w:type="dxa"/>
          </w:tcPr>
          <w:p w14:paraId="6E6CCDE4" w14:textId="77777777" w:rsidR="007F1D8A" w:rsidRPr="007F1D8A" w:rsidRDefault="007F1D8A" w:rsidP="007F1D8A">
            <w:pPr>
              <w:spacing w:after="0" w:line="240" w:lineRule="auto"/>
              <w:rPr>
                <w:sz w:val="20"/>
                <w:szCs w:val="20"/>
                <w:lang w:val="en-GB"/>
              </w:rPr>
            </w:pPr>
            <w:proofErr w:type="spellStart"/>
            <w:r w:rsidRPr="007F1D8A">
              <w:rPr>
                <w:sz w:val="20"/>
                <w:szCs w:val="20"/>
                <w:lang w:val="en-GB"/>
              </w:rPr>
              <w:t>Sjenica</w:t>
            </w:r>
            <w:proofErr w:type="spellEnd"/>
            <w:r w:rsidRPr="007F1D8A">
              <w:rPr>
                <w:sz w:val="20"/>
                <w:szCs w:val="20"/>
                <w:lang w:val="en-GB"/>
              </w:rPr>
              <w:t xml:space="preserve"> </w:t>
            </w:r>
          </w:p>
        </w:tc>
        <w:tc>
          <w:tcPr>
            <w:tcW w:w="674" w:type="dxa"/>
          </w:tcPr>
          <w:p w14:paraId="5F23A467" w14:textId="77777777" w:rsidR="007F1D8A" w:rsidRPr="007F1D8A" w:rsidRDefault="007F1D8A" w:rsidP="007F1D8A">
            <w:pPr>
              <w:spacing w:after="0" w:line="240" w:lineRule="auto"/>
              <w:jc w:val="right"/>
              <w:rPr>
                <w:sz w:val="20"/>
                <w:szCs w:val="20"/>
                <w:lang w:val="en-GB"/>
              </w:rPr>
            </w:pPr>
            <w:r w:rsidRPr="007F1D8A">
              <w:rPr>
                <w:sz w:val="20"/>
                <w:szCs w:val="20"/>
                <w:lang w:val="en-GB"/>
              </w:rPr>
              <w:t>10</w:t>
            </w:r>
          </w:p>
        </w:tc>
      </w:tr>
      <w:tr w:rsidR="007F1D8A" w:rsidRPr="00D62D04" w14:paraId="69CCD2B9" w14:textId="77777777" w:rsidTr="009756CB">
        <w:trPr>
          <w:trHeight w:val="309"/>
        </w:trPr>
        <w:tc>
          <w:tcPr>
            <w:tcW w:w="5665" w:type="dxa"/>
            <w:vMerge/>
          </w:tcPr>
          <w:p w14:paraId="0A42509D" w14:textId="77777777" w:rsidR="007F1D8A" w:rsidRPr="007F1D8A" w:rsidRDefault="007F1D8A" w:rsidP="007F1D8A">
            <w:pPr>
              <w:spacing w:after="0" w:line="240" w:lineRule="auto"/>
              <w:rPr>
                <w:sz w:val="20"/>
                <w:szCs w:val="20"/>
                <w:lang w:val="en-GB"/>
              </w:rPr>
            </w:pPr>
          </w:p>
        </w:tc>
        <w:tc>
          <w:tcPr>
            <w:tcW w:w="2410" w:type="dxa"/>
          </w:tcPr>
          <w:p w14:paraId="2D1B40EC" w14:textId="77777777" w:rsidR="007F1D8A" w:rsidRPr="007F1D8A" w:rsidRDefault="007F1D8A" w:rsidP="007F1D8A">
            <w:pPr>
              <w:spacing w:after="0" w:line="240" w:lineRule="auto"/>
              <w:rPr>
                <w:sz w:val="20"/>
                <w:szCs w:val="20"/>
                <w:lang w:val="en-GB"/>
              </w:rPr>
            </w:pPr>
            <w:proofErr w:type="spellStart"/>
            <w:r w:rsidRPr="007F1D8A">
              <w:rPr>
                <w:sz w:val="20"/>
                <w:szCs w:val="20"/>
                <w:lang w:val="en-GB"/>
              </w:rPr>
              <w:t>Tutin</w:t>
            </w:r>
            <w:proofErr w:type="spellEnd"/>
            <w:r w:rsidRPr="007F1D8A">
              <w:rPr>
                <w:sz w:val="20"/>
                <w:szCs w:val="20"/>
                <w:lang w:val="en-GB"/>
              </w:rPr>
              <w:t xml:space="preserve"> </w:t>
            </w:r>
          </w:p>
        </w:tc>
        <w:tc>
          <w:tcPr>
            <w:tcW w:w="674" w:type="dxa"/>
          </w:tcPr>
          <w:p w14:paraId="099665D2" w14:textId="77777777" w:rsidR="007F1D8A" w:rsidRPr="007F1D8A" w:rsidRDefault="007F1D8A" w:rsidP="007F1D8A">
            <w:pPr>
              <w:spacing w:after="0" w:line="240" w:lineRule="auto"/>
              <w:jc w:val="right"/>
              <w:rPr>
                <w:sz w:val="20"/>
                <w:szCs w:val="20"/>
                <w:lang w:val="en-GB"/>
              </w:rPr>
            </w:pPr>
            <w:r w:rsidRPr="007F1D8A">
              <w:rPr>
                <w:sz w:val="20"/>
                <w:szCs w:val="20"/>
                <w:lang w:val="en-GB"/>
              </w:rPr>
              <w:t>18</w:t>
            </w:r>
          </w:p>
        </w:tc>
      </w:tr>
      <w:tr w:rsidR="00123B6E" w:rsidRPr="00EB133E" w14:paraId="4FB98B37" w14:textId="77777777" w:rsidTr="009756CB">
        <w:trPr>
          <w:trHeight w:val="309"/>
        </w:trPr>
        <w:tc>
          <w:tcPr>
            <w:tcW w:w="5665" w:type="dxa"/>
          </w:tcPr>
          <w:p w14:paraId="71BCEE34" w14:textId="77777777" w:rsidR="00123B6E" w:rsidRPr="00EB133E" w:rsidRDefault="00FA16FA" w:rsidP="00FA16FA">
            <w:pPr>
              <w:spacing w:after="0" w:line="240" w:lineRule="auto"/>
              <w:rPr>
                <w:sz w:val="20"/>
                <w:szCs w:val="20"/>
                <w:lang w:val="en-GB"/>
              </w:rPr>
            </w:pPr>
            <w:r w:rsidRPr="00EB133E">
              <w:rPr>
                <w:sz w:val="20"/>
                <w:szCs w:val="20"/>
                <w:lang w:val="en-GB"/>
              </w:rPr>
              <w:t>BEST FOR PRIBOJ SDP-LDP JASMINKO TOSKIĆ, PhD JASMIN HODŽIĆ</w:t>
            </w:r>
          </w:p>
        </w:tc>
        <w:tc>
          <w:tcPr>
            <w:tcW w:w="2410" w:type="dxa"/>
          </w:tcPr>
          <w:p w14:paraId="780B296A" w14:textId="77777777" w:rsidR="00123B6E" w:rsidRPr="00EB133E" w:rsidRDefault="00FA16FA" w:rsidP="00123B6E">
            <w:pPr>
              <w:spacing w:after="0" w:line="240" w:lineRule="auto"/>
              <w:rPr>
                <w:sz w:val="20"/>
                <w:szCs w:val="20"/>
                <w:lang w:val="en-GB"/>
              </w:rPr>
            </w:pPr>
            <w:proofErr w:type="spellStart"/>
            <w:r w:rsidRPr="00EB133E">
              <w:rPr>
                <w:sz w:val="20"/>
                <w:szCs w:val="20"/>
                <w:lang w:val="en-GB"/>
              </w:rPr>
              <w:t>Priboj</w:t>
            </w:r>
            <w:proofErr w:type="spellEnd"/>
            <w:r w:rsidRPr="00EB133E">
              <w:rPr>
                <w:sz w:val="20"/>
                <w:szCs w:val="20"/>
                <w:lang w:val="en-GB"/>
              </w:rPr>
              <w:t xml:space="preserve"> </w:t>
            </w:r>
          </w:p>
        </w:tc>
        <w:tc>
          <w:tcPr>
            <w:tcW w:w="674" w:type="dxa"/>
          </w:tcPr>
          <w:p w14:paraId="5F40B055" w14:textId="77777777" w:rsidR="00123B6E" w:rsidRPr="00EB133E" w:rsidRDefault="00123B6E" w:rsidP="00123B6E">
            <w:pPr>
              <w:spacing w:after="0" w:line="240" w:lineRule="auto"/>
              <w:jc w:val="right"/>
              <w:rPr>
                <w:sz w:val="20"/>
                <w:szCs w:val="20"/>
                <w:lang w:val="en-GB"/>
              </w:rPr>
            </w:pPr>
            <w:r w:rsidRPr="00EB133E">
              <w:rPr>
                <w:sz w:val="20"/>
                <w:szCs w:val="20"/>
                <w:lang w:val="en-GB"/>
              </w:rPr>
              <w:t>3</w:t>
            </w:r>
          </w:p>
        </w:tc>
      </w:tr>
      <w:tr w:rsidR="00123B6E" w:rsidRPr="00D62D04" w14:paraId="5CB1CD0E" w14:textId="77777777" w:rsidTr="009756CB">
        <w:trPr>
          <w:trHeight w:val="309"/>
        </w:trPr>
        <w:tc>
          <w:tcPr>
            <w:tcW w:w="5665" w:type="dxa"/>
          </w:tcPr>
          <w:p w14:paraId="1C1E8AC2" w14:textId="77777777" w:rsidR="00123B6E" w:rsidRPr="00EB133E" w:rsidRDefault="00FA16FA" w:rsidP="00FA16FA">
            <w:pPr>
              <w:spacing w:after="0" w:line="240" w:lineRule="auto"/>
              <w:rPr>
                <w:sz w:val="20"/>
                <w:szCs w:val="20"/>
                <w:lang w:val="en-GB"/>
              </w:rPr>
            </w:pPr>
            <w:r w:rsidRPr="00EB133E">
              <w:rPr>
                <w:sz w:val="20"/>
                <w:szCs w:val="20"/>
                <w:lang w:val="en-GB"/>
              </w:rPr>
              <w:t>DPS ZULKEFIL BATO SADOVIĆ, PhD</w:t>
            </w:r>
          </w:p>
        </w:tc>
        <w:tc>
          <w:tcPr>
            <w:tcW w:w="2410" w:type="dxa"/>
          </w:tcPr>
          <w:p w14:paraId="5ABDFCC8" w14:textId="77777777" w:rsidR="00123B6E" w:rsidRPr="00EB133E" w:rsidRDefault="00123B6E" w:rsidP="00123B6E">
            <w:pPr>
              <w:spacing w:after="0" w:line="240" w:lineRule="auto"/>
              <w:rPr>
                <w:sz w:val="20"/>
                <w:szCs w:val="20"/>
                <w:lang w:val="en-GB"/>
              </w:rPr>
            </w:pPr>
            <w:proofErr w:type="spellStart"/>
            <w:r w:rsidRPr="00EB133E">
              <w:rPr>
                <w:sz w:val="20"/>
                <w:szCs w:val="20"/>
                <w:lang w:val="en-GB"/>
              </w:rPr>
              <w:t>Пријепоље</w:t>
            </w:r>
            <w:proofErr w:type="spellEnd"/>
          </w:p>
        </w:tc>
        <w:tc>
          <w:tcPr>
            <w:tcW w:w="674" w:type="dxa"/>
          </w:tcPr>
          <w:p w14:paraId="4597695C" w14:textId="77777777" w:rsidR="00123B6E" w:rsidRPr="00EB133E" w:rsidRDefault="00123B6E" w:rsidP="00123B6E">
            <w:pPr>
              <w:spacing w:after="0" w:line="240" w:lineRule="auto"/>
              <w:jc w:val="right"/>
              <w:rPr>
                <w:sz w:val="20"/>
                <w:szCs w:val="20"/>
                <w:lang w:val="en-GB"/>
              </w:rPr>
            </w:pPr>
            <w:r w:rsidRPr="00EB133E">
              <w:rPr>
                <w:sz w:val="20"/>
                <w:szCs w:val="20"/>
                <w:lang w:val="en-GB"/>
              </w:rPr>
              <w:t>3</w:t>
            </w:r>
          </w:p>
        </w:tc>
      </w:tr>
      <w:tr w:rsidR="00123B6E" w:rsidRPr="00D62D04" w14:paraId="6F219A03" w14:textId="77777777" w:rsidTr="009756CB">
        <w:trPr>
          <w:trHeight w:val="309"/>
        </w:trPr>
        <w:tc>
          <w:tcPr>
            <w:tcW w:w="8749" w:type="dxa"/>
            <w:gridSpan w:val="3"/>
          </w:tcPr>
          <w:p w14:paraId="2C147BBD" w14:textId="77777777" w:rsidR="00123B6E" w:rsidRPr="00EB133E" w:rsidRDefault="00123B6E" w:rsidP="00123B6E">
            <w:pPr>
              <w:spacing w:after="0" w:line="240" w:lineRule="auto"/>
              <w:jc w:val="center"/>
              <w:rPr>
                <w:sz w:val="20"/>
                <w:szCs w:val="20"/>
                <w:lang w:val="en-GB"/>
              </w:rPr>
            </w:pPr>
          </w:p>
          <w:p w14:paraId="28DBB97C" w14:textId="77777777" w:rsidR="00123B6E" w:rsidRPr="00EB133E" w:rsidRDefault="00EB133E" w:rsidP="00123B6E">
            <w:pPr>
              <w:spacing w:after="0" w:line="240" w:lineRule="auto"/>
              <w:jc w:val="center"/>
              <w:rPr>
                <w:sz w:val="20"/>
                <w:szCs w:val="20"/>
                <w:lang w:val="en-GB"/>
              </w:rPr>
            </w:pPr>
            <w:r w:rsidRPr="00EB133E">
              <w:rPr>
                <w:sz w:val="20"/>
                <w:szCs w:val="20"/>
                <w:lang w:val="en-GB"/>
              </w:rPr>
              <w:t>Bu</w:t>
            </w:r>
            <w:r>
              <w:rPr>
                <w:sz w:val="20"/>
                <w:szCs w:val="20"/>
                <w:lang w:val="en-GB"/>
              </w:rPr>
              <w:t>lgarian</w:t>
            </w:r>
            <w:r w:rsidRPr="00EB133E">
              <w:rPr>
                <w:sz w:val="20"/>
                <w:szCs w:val="20"/>
                <w:lang w:val="en-GB"/>
              </w:rPr>
              <w:t xml:space="preserve"> national minority</w:t>
            </w:r>
          </w:p>
          <w:p w14:paraId="106789E4" w14:textId="77777777" w:rsidR="00123B6E" w:rsidRPr="00EB133E" w:rsidRDefault="00123B6E" w:rsidP="00123B6E">
            <w:pPr>
              <w:spacing w:after="0" w:line="240" w:lineRule="auto"/>
              <w:jc w:val="center"/>
              <w:rPr>
                <w:sz w:val="20"/>
                <w:szCs w:val="20"/>
                <w:lang w:val="en-GB"/>
              </w:rPr>
            </w:pPr>
          </w:p>
        </w:tc>
      </w:tr>
      <w:tr w:rsidR="00123B6E" w:rsidRPr="00D62D04" w14:paraId="6AE66546" w14:textId="77777777" w:rsidTr="009756CB">
        <w:trPr>
          <w:trHeight w:val="309"/>
        </w:trPr>
        <w:tc>
          <w:tcPr>
            <w:tcW w:w="5665" w:type="dxa"/>
          </w:tcPr>
          <w:p w14:paraId="771E490B" w14:textId="77777777" w:rsidR="00123B6E" w:rsidRPr="00EB133E" w:rsidRDefault="00EB133E" w:rsidP="00123B6E">
            <w:pPr>
              <w:spacing w:after="0" w:line="240" w:lineRule="auto"/>
              <w:rPr>
                <w:sz w:val="20"/>
                <w:szCs w:val="20"/>
                <w:lang w:val="en-GB"/>
              </w:rPr>
            </w:pPr>
            <w:r w:rsidRPr="00EB133E">
              <w:rPr>
                <w:sz w:val="20"/>
                <w:szCs w:val="20"/>
                <w:lang w:val="en-GB"/>
              </w:rPr>
              <w:t>IVICA DAČIĆ-"Socialist Party of Serbia (SPS), Democratic Party of Bulgaria (DPB)"</w:t>
            </w:r>
          </w:p>
        </w:tc>
        <w:tc>
          <w:tcPr>
            <w:tcW w:w="2410" w:type="dxa"/>
          </w:tcPr>
          <w:p w14:paraId="5FE510D2" w14:textId="77777777" w:rsidR="00123B6E" w:rsidRPr="00EB133E" w:rsidRDefault="00EB133E" w:rsidP="00123B6E">
            <w:pPr>
              <w:spacing w:after="0" w:line="240" w:lineRule="auto"/>
              <w:rPr>
                <w:sz w:val="20"/>
                <w:szCs w:val="20"/>
                <w:lang w:val="en-GB"/>
              </w:rPr>
            </w:pPr>
            <w:proofErr w:type="spellStart"/>
            <w:r w:rsidRPr="00EB133E">
              <w:rPr>
                <w:sz w:val="20"/>
                <w:szCs w:val="20"/>
                <w:lang w:val="en-GB"/>
              </w:rPr>
              <w:t>Babušnica</w:t>
            </w:r>
            <w:proofErr w:type="spellEnd"/>
            <w:r w:rsidRPr="00EB133E">
              <w:rPr>
                <w:sz w:val="20"/>
                <w:szCs w:val="20"/>
                <w:lang w:val="en-GB"/>
              </w:rPr>
              <w:t xml:space="preserve"> </w:t>
            </w:r>
          </w:p>
        </w:tc>
        <w:tc>
          <w:tcPr>
            <w:tcW w:w="674" w:type="dxa"/>
          </w:tcPr>
          <w:p w14:paraId="71C342CB" w14:textId="77777777" w:rsidR="00123B6E" w:rsidRPr="00EB133E" w:rsidRDefault="00123B6E" w:rsidP="00123B6E">
            <w:pPr>
              <w:spacing w:after="0" w:line="240" w:lineRule="auto"/>
              <w:jc w:val="right"/>
              <w:rPr>
                <w:sz w:val="20"/>
                <w:szCs w:val="20"/>
                <w:lang w:val="en-GB"/>
              </w:rPr>
            </w:pPr>
            <w:r w:rsidRPr="00EB133E">
              <w:rPr>
                <w:sz w:val="20"/>
                <w:szCs w:val="20"/>
                <w:lang w:val="en-GB"/>
              </w:rPr>
              <w:t>4</w:t>
            </w:r>
          </w:p>
        </w:tc>
      </w:tr>
      <w:tr w:rsidR="00123B6E" w:rsidRPr="00D62D04" w14:paraId="0AA66FC1" w14:textId="77777777" w:rsidTr="009756CB">
        <w:trPr>
          <w:trHeight w:val="309"/>
        </w:trPr>
        <w:tc>
          <w:tcPr>
            <w:tcW w:w="5665" w:type="dxa"/>
          </w:tcPr>
          <w:p w14:paraId="23C80E44" w14:textId="77777777" w:rsidR="00EB133E" w:rsidRPr="00EB133E" w:rsidRDefault="00EB133E" w:rsidP="00123B6E">
            <w:pPr>
              <w:spacing w:after="0" w:line="240" w:lineRule="auto"/>
              <w:rPr>
                <w:sz w:val="20"/>
                <w:szCs w:val="20"/>
                <w:lang w:val="en-GB"/>
              </w:rPr>
            </w:pPr>
            <w:r w:rsidRPr="00EB133E">
              <w:rPr>
                <w:sz w:val="20"/>
                <w:szCs w:val="20"/>
                <w:lang w:val="en-GB"/>
              </w:rPr>
              <w:t>VLADIMIR ZAHARIJEV-THIS IS US-ALEKSANDAR VUČIĆ-FOR OUR CHILDREN</w:t>
            </w:r>
          </w:p>
          <w:p w14:paraId="4CD80677" w14:textId="77777777" w:rsidR="00123B6E" w:rsidRPr="00EB133E" w:rsidRDefault="00123B6E" w:rsidP="00123B6E">
            <w:pPr>
              <w:spacing w:after="0" w:line="240" w:lineRule="auto"/>
              <w:rPr>
                <w:sz w:val="20"/>
                <w:szCs w:val="20"/>
                <w:lang w:val="en-GB"/>
              </w:rPr>
            </w:pPr>
            <w:r w:rsidRPr="00EB133E">
              <w:rPr>
                <w:sz w:val="20"/>
                <w:szCs w:val="20"/>
                <w:lang w:val="en-GB"/>
              </w:rPr>
              <w:t>ВЛАДИМИР ЗАХАРИЙЕВ-ТОВА СМЕ НИЕ-АЛЕКСАНДАР ВУЧИЧ-ЗА НАШИТЕ ДЕЦА</w:t>
            </w:r>
          </w:p>
        </w:tc>
        <w:tc>
          <w:tcPr>
            <w:tcW w:w="2410" w:type="dxa"/>
          </w:tcPr>
          <w:p w14:paraId="167CF32D" w14:textId="77777777" w:rsidR="00123B6E" w:rsidRPr="00EB133E" w:rsidRDefault="00EB133E" w:rsidP="00123B6E">
            <w:pPr>
              <w:spacing w:after="0" w:line="240" w:lineRule="auto"/>
              <w:rPr>
                <w:sz w:val="20"/>
                <w:szCs w:val="20"/>
                <w:lang w:val="en-GB"/>
              </w:rPr>
            </w:pPr>
            <w:proofErr w:type="spellStart"/>
            <w:r>
              <w:rPr>
                <w:sz w:val="20"/>
                <w:szCs w:val="20"/>
                <w:lang w:val="en-GB"/>
              </w:rPr>
              <w:t>Bosilegrad</w:t>
            </w:r>
            <w:proofErr w:type="spellEnd"/>
            <w:r>
              <w:rPr>
                <w:sz w:val="20"/>
                <w:szCs w:val="20"/>
                <w:lang w:val="en-GB"/>
              </w:rPr>
              <w:t xml:space="preserve"> </w:t>
            </w:r>
          </w:p>
        </w:tc>
        <w:tc>
          <w:tcPr>
            <w:tcW w:w="674" w:type="dxa"/>
          </w:tcPr>
          <w:p w14:paraId="5289C70F" w14:textId="77777777" w:rsidR="00123B6E" w:rsidRPr="00EB133E" w:rsidRDefault="00123B6E" w:rsidP="00123B6E">
            <w:pPr>
              <w:spacing w:after="0" w:line="240" w:lineRule="auto"/>
              <w:jc w:val="right"/>
              <w:rPr>
                <w:sz w:val="20"/>
                <w:szCs w:val="20"/>
                <w:lang w:val="en-GB"/>
              </w:rPr>
            </w:pPr>
            <w:r w:rsidRPr="00EB133E">
              <w:rPr>
                <w:sz w:val="20"/>
                <w:szCs w:val="20"/>
                <w:lang w:val="en-GB"/>
              </w:rPr>
              <w:t>30</w:t>
            </w:r>
          </w:p>
        </w:tc>
      </w:tr>
      <w:tr w:rsidR="00123B6E" w:rsidRPr="00D62D04" w14:paraId="24772233" w14:textId="77777777" w:rsidTr="009756CB">
        <w:trPr>
          <w:trHeight w:val="309"/>
        </w:trPr>
        <w:tc>
          <w:tcPr>
            <w:tcW w:w="5665" w:type="dxa"/>
          </w:tcPr>
          <w:p w14:paraId="2E1A08C5" w14:textId="77777777" w:rsidR="00EB133E" w:rsidRPr="00EB133E" w:rsidRDefault="00EB133E" w:rsidP="00123B6E">
            <w:pPr>
              <w:spacing w:after="0" w:line="240" w:lineRule="auto"/>
              <w:rPr>
                <w:sz w:val="20"/>
                <w:szCs w:val="20"/>
                <w:lang w:val="en-GB"/>
              </w:rPr>
            </w:pPr>
            <w:r w:rsidRPr="00EB133E">
              <w:rPr>
                <w:sz w:val="20"/>
                <w:szCs w:val="20"/>
                <w:lang w:val="en-GB"/>
              </w:rPr>
              <w:t xml:space="preserve">DEMOCRATIC PARTY OF BULGARIANS - NEBOJŠA IVANOV </w:t>
            </w:r>
          </w:p>
          <w:p w14:paraId="37CF363F" w14:textId="77777777" w:rsidR="00123B6E" w:rsidRPr="00EB133E" w:rsidRDefault="00123B6E" w:rsidP="00123B6E">
            <w:pPr>
              <w:spacing w:after="0" w:line="240" w:lineRule="auto"/>
              <w:rPr>
                <w:sz w:val="20"/>
                <w:szCs w:val="20"/>
                <w:lang w:val="en-GB"/>
              </w:rPr>
            </w:pPr>
            <w:r w:rsidRPr="00EB133E">
              <w:rPr>
                <w:sz w:val="20"/>
                <w:szCs w:val="20"/>
                <w:lang w:val="en-GB"/>
              </w:rPr>
              <w:t>ДЕМОКРАТИЧЕСКА ПАРТИЯ НА БЪЛГАРИТЕ - НЕБОЙША ИВАНОВ</w:t>
            </w:r>
          </w:p>
        </w:tc>
        <w:tc>
          <w:tcPr>
            <w:tcW w:w="2410" w:type="dxa"/>
          </w:tcPr>
          <w:p w14:paraId="2360F012" w14:textId="77777777" w:rsidR="00123B6E" w:rsidRPr="00EB133E" w:rsidRDefault="00EB133E" w:rsidP="00123B6E">
            <w:pPr>
              <w:spacing w:after="0" w:line="240" w:lineRule="auto"/>
              <w:rPr>
                <w:sz w:val="20"/>
                <w:szCs w:val="20"/>
                <w:lang w:val="en-GB"/>
              </w:rPr>
            </w:pPr>
            <w:proofErr w:type="spellStart"/>
            <w:r w:rsidRPr="00EB133E">
              <w:rPr>
                <w:sz w:val="20"/>
                <w:szCs w:val="20"/>
                <w:lang w:val="en-GB"/>
              </w:rPr>
              <w:t>Dimitrovgrad</w:t>
            </w:r>
            <w:proofErr w:type="spellEnd"/>
            <w:r w:rsidRPr="00EB133E">
              <w:rPr>
                <w:sz w:val="20"/>
                <w:szCs w:val="20"/>
                <w:lang w:val="en-GB"/>
              </w:rPr>
              <w:t xml:space="preserve"> </w:t>
            </w:r>
          </w:p>
        </w:tc>
        <w:tc>
          <w:tcPr>
            <w:tcW w:w="674" w:type="dxa"/>
          </w:tcPr>
          <w:p w14:paraId="58E6AC91" w14:textId="77777777" w:rsidR="00123B6E" w:rsidRPr="00EB133E" w:rsidRDefault="00123B6E" w:rsidP="00123B6E">
            <w:pPr>
              <w:spacing w:after="0" w:line="240" w:lineRule="auto"/>
              <w:jc w:val="right"/>
              <w:rPr>
                <w:sz w:val="20"/>
                <w:szCs w:val="20"/>
                <w:lang w:val="en-GB"/>
              </w:rPr>
            </w:pPr>
            <w:r w:rsidRPr="00EB133E">
              <w:rPr>
                <w:sz w:val="20"/>
                <w:szCs w:val="20"/>
                <w:lang w:val="en-GB"/>
              </w:rPr>
              <w:t>4</w:t>
            </w:r>
          </w:p>
        </w:tc>
      </w:tr>
      <w:tr w:rsidR="00123B6E" w:rsidRPr="00D62D04" w14:paraId="1BF4718D" w14:textId="77777777" w:rsidTr="009756CB">
        <w:trPr>
          <w:trHeight w:val="309"/>
        </w:trPr>
        <w:tc>
          <w:tcPr>
            <w:tcW w:w="8749" w:type="dxa"/>
            <w:gridSpan w:val="3"/>
          </w:tcPr>
          <w:p w14:paraId="0967CB1C" w14:textId="77777777" w:rsidR="00123B6E" w:rsidRPr="00D62D04" w:rsidRDefault="00123B6E" w:rsidP="00123B6E">
            <w:pPr>
              <w:spacing w:after="0" w:line="240" w:lineRule="auto"/>
              <w:jc w:val="center"/>
              <w:rPr>
                <w:sz w:val="20"/>
                <w:szCs w:val="20"/>
                <w:highlight w:val="cyan"/>
                <w:lang w:val="en-GB"/>
              </w:rPr>
            </w:pPr>
          </w:p>
          <w:p w14:paraId="6DE796B5" w14:textId="77777777" w:rsidR="00EB133E" w:rsidRPr="00EB133E" w:rsidRDefault="00EB133E" w:rsidP="00EB133E">
            <w:pPr>
              <w:spacing w:after="0" w:line="240" w:lineRule="auto"/>
              <w:jc w:val="center"/>
              <w:rPr>
                <w:sz w:val="20"/>
                <w:szCs w:val="20"/>
                <w:lang w:val="en-GB"/>
              </w:rPr>
            </w:pPr>
            <w:proofErr w:type="spellStart"/>
            <w:r w:rsidRPr="00EB133E">
              <w:rPr>
                <w:sz w:val="20"/>
                <w:szCs w:val="20"/>
                <w:lang w:val="en-GB"/>
              </w:rPr>
              <w:lastRenderedPageBreak/>
              <w:t>Bunjevac</w:t>
            </w:r>
            <w:proofErr w:type="spellEnd"/>
            <w:r w:rsidRPr="00EB133E">
              <w:rPr>
                <w:sz w:val="20"/>
                <w:szCs w:val="20"/>
                <w:lang w:val="en-GB"/>
              </w:rPr>
              <w:t xml:space="preserve"> national minority</w:t>
            </w:r>
          </w:p>
          <w:p w14:paraId="688D9E07" w14:textId="77777777" w:rsidR="00123B6E" w:rsidRPr="00D62D04" w:rsidRDefault="00123B6E" w:rsidP="00123B6E">
            <w:pPr>
              <w:spacing w:after="0" w:line="240" w:lineRule="auto"/>
              <w:jc w:val="center"/>
              <w:rPr>
                <w:sz w:val="20"/>
                <w:szCs w:val="20"/>
                <w:highlight w:val="cyan"/>
                <w:lang w:val="en-GB"/>
              </w:rPr>
            </w:pPr>
          </w:p>
        </w:tc>
      </w:tr>
      <w:tr w:rsidR="00123B6E" w:rsidRPr="00D62D04" w14:paraId="02635FBB" w14:textId="77777777" w:rsidTr="009756CB">
        <w:trPr>
          <w:trHeight w:val="309"/>
        </w:trPr>
        <w:tc>
          <w:tcPr>
            <w:tcW w:w="5665" w:type="dxa"/>
          </w:tcPr>
          <w:p w14:paraId="0BB4DD22" w14:textId="77777777" w:rsidR="00123B6E" w:rsidRPr="00EB133E" w:rsidRDefault="00EB133E" w:rsidP="00EB133E">
            <w:pPr>
              <w:spacing w:after="0" w:line="240" w:lineRule="auto"/>
              <w:rPr>
                <w:sz w:val="20"/>
                <w:szCs w:val="20"/>
                <w:lang w:val="en-GB"/>
              </w:rPr>
            </w:pPr>
            <w:r w:rsidRPr="00EB133E">
              <w:rPr>
                <w:sz w:val="20"/>
                <w:szCs w:val="20"/>
                <w:lang w:val="en-GB"/>
              </w:rPr>
              <w:lastRenderedPageBreak/>
              <w:t>BUNJEVCI FOR SUBOTICA - ASSOCIATION OF  BUNJEVCI FROM BAČKA</w:t>
            </w:r>
          </w:p>
        </w:tc>
        <w:tc>
          <w:tcPr>
            <w:tcW w:w="2410" w:type="dxa"/>
          </w:tcPr>
          <w:p w14:paraId="34940997" w14:textId="77777777" w:rsidR="00123B6E" w:rsidRPr="00EB133E" w:rsidRDefault="00EB133E" w:rsidP="00123B6E">
            <w:pPr>
              <w:spacing w:after="0" w:line="240" w:lineRule="auto"/>
              <w:rPr>
                <w:sz w:val="20"/>
                <w:szCs w:val="20"/>
                <w:lang w:val="en-GB"/>
              </w:rPr>
            </w:pPr>
            <w:r w:rsidRPr="00EB133E">
              <w:rPr>
                <w:sz w:val="20"/>
                <w:szCs w:val="20"/>
                <w:lang w:val="en-GB"/>
              </w:rPr>
              <w:t xml:space="preserve">Subotica </w:t>
            </w:r>
          </w:p>
        </w:tc>
        <w:tc>
          <w:tcPr>
            <w:tcW w:w="674" w:type="dxa"/>
          </w:tcPr>
          <w:p w14:paraId="2E40AE16" w14:textId="77777777" w:rsidR="00123B6E" w:rsidRPr="00EB133E" w:rsidRDefault="00123B6E" w:rsidP="00123B6E">
            <w:pPr>
              <w:spacing w:after="0" w:line="240" w:lineRule="auto"/>
              <w:jc w:val="right"/>
              <w:rPr>
                <w:sz w:val="20"/>
                <w:szCs w:val="20"/>
                <w:lang w:val="en-GB"/>
              </w:rPr>
            </w:pPr>
            <w:r w:rsidRPr="00EB133E">
              <w:rPr>
                <w:sz w:val="20"/>
                <w:szCs w:val="20"/>
                <w:lang w:val="en-GB"/>
              </w:rPr>
              <w:t>2</w:t>
            </w:r>
          </w:p>
        </w:tc>
      </w:tr>
      <w:tr w:rsidR="00123B6E" w:rsidRPr="00D62D04" w14:paraId="46A33214" w14:textId="77777777" w:rsidTr="009756CB">
        <w:trPr>
          <w:trHeight w:val="309"/>
        </w:trPr>
        <w:tc>
          <w:tcPr>
            <w:tcW w:w="8749" w:type="dxa"/>
            <w:gridSpan w:val="3"/>
          </w:tcPr>
          <w:p w14:paraId="395C4554" w14:textId="77777777" w:rsidR="00123B6E" w:rsidRPr="00D54777" w:rsidRDefault="00123B6E" w:rsidP="00123B6E">
            <w:pPr>
              <w:spacing w:after="0" w:line="240" w:lineRule="auto"/>
              <w:jc w:val="center"/>
              <w:rPr>
                <w:sz w:val="20"/>
                <w:szCs w:val="20"/>
                <w:lang w:val="en-GB"/>
              </w:rPr>
            </w:pPr>
          </w:p>
          <w:p w14:paraId="23DC6A6E" w14:textId="77777777" w:rsidR="00123B6E" w:rsidRPr="00D54777" w:rsidRDefault="00D54777" w:rsidP="00123B6E">
            <w:pPr>
              <w:spacing w:after="0" w:line="240" w:lineRule="auto"/>
              <w:jc w:val="center"/>
              <w:rPr>
                <w:sz w:val="20"/>
                <w:szCs w:val="20"/>
                <w:lang w:val="en-GB"/>
              </w:rPr>
            </w:pPr>
            <w:r w:rsidRPr="00D54777">
              <w:rPr>
                <w:sz w:val="20"/>
                <w:szCs w:val="20"/>
                <w:lang w:val="en-GB"/>
              </w:rPr>
              <w:t>Wallachian national minority</w:t>
            </w:r>
          </w:p>
          <w:p w14:paraId="59EBD04E" w14:textId="77777777" w:rsidR="00123B6E" w:rsidRPr="00D54777" w:rsidRDefault="00123B6E" w:rsidP="00123B6E">
            <w:pPr>
              <w:spacing w:after="0" w:line="240" w:lineRule="auto"/>
              <w:jc w:val="center"/>
              <w:rPr>
                <w:sz w:val="20"/>
                <w:szCs w:val="20"/>
                <w:lang w:val="en-GB"/>
              </w:rPr>
            </w:pPr>
          </w:p>
        </w:tc>
      </w:tr>
      <w:tr w:rsidR="00123B6E" w:rsidRPr="00D54777" w14:paraId="41912725" w14:textId="77777777" w:rsidTr="009756CB">
        <w:trPr>
          <w:trHeight w:val="309"/>
        </w:trPr>
        <w:tc>
          <w:tcPr>
            <w:tcW w:w="5665" w:type="dxa"/>
            <w:vMerge w:val="restart"/>
            <w:vAlign w:val="center"/>
          </w:tcPr>
          <w:p w14:paraId="7DC4F8C3" w14:textId="77777777" w:rsidR="00123B6E" w:rsidRPr="00D54777" w:rsidRDefault="00D54777" w:rsidP="00123B6E">
            <w:pPr>
              <w:spacing w:after="0" w:line="240" w:lineRule="auto"/>
              <w:rPr>
                <w:sz w:val="20"/>
                <w:szCs w:val="20"/>
                <w:lang w:val="en-GB"/>
              </w:rPr>
            </w:pPr>
            <w:r w:rsidRPr="00D54777">
              <w:rPr>
                <w:sz w:val="20"/>
                <w:szCs w:val="20"/>
                <w:lang w:val="en-GB"/>
              </w:rPr>
              <w:t>Bridge Wallachian Party</w:t>
            </w:r>
          </w:p>
        </w:tc>
        <w:tc>
          <w:tcPr>
            <w:tcW w:w="2410" w:type="dxa"/>
          </w:tcPr>
          <w:p w14:paraId="08884655" w14:textId="77777777" w:rsidR="00123B6E" w:rsidRPr="00D54777" w:rsidRDefault="00D54777" w:rsidP="00123B6E">
            <w:pPr>
              <w:spacing w:after="0" w:line="240" w:lineRule="auto"/>
              <w:rPr>
                <w:sz w:val="20"/>
                <w:szCs w:val="20"/>
                <w:lang w:val="en-GB"/>
              </w:rPr>
            </w:pPr>
            <w:proofErr w:type="spellStart"/>
            <w:r w:rsidRPr="00D54777">
              <w:rPr>
                <w:sz w:val="20"/>
                <w:szCs w:val="20"/>
                <w:lang w:val="en-GB"/>
              </w:rPr>
              <w:t>Boljevac</w:t>
            </w:r>
            <w:proofErr w:type="spellEnd"/>
            <w:r w:rsidRPr="00D54777">
              <w:rPr>
                <w:sz w:val="20"/>
                <w:szCs w:val="20"/>
                <w:lang w:val="en-GB"/>
              </w:rPr>
              <w:t xml:space="preserve"> </w:t>
            </w:r>
          </w:p>
        </w:tc>
        <w:tc>
          <w:tcPr>
            <w:tcW w:w="674" w:type="dxa"/>
          </w:tcPr>
          <w:p w14:paraId="6EFED729" w14:textId="77777777" w:rsidR="00123B6E" w:rsidRPr="00D54777" w:rsidRDefault="00123B6E" w:rsidP="00123B6E">
            <w:pPr>
              <w:spacing w:after="0" w:line="240" w:lineRule="auto"/>
              <w:jc w:val="right"/>
              <w:rPr>
                <w:sz w:val="20"/>
                <w:szCs w:val="20"/>
                <w:lang w:val="en-GB"/>
              </w:rPr>
            </w:pPr>
            <w:r w:rsidRPr="00D54777">
              <w:rPr>
                <w:sz w:val="20"/>
                <w:szCs w:val="20"/>
                <w:lang w:val="en-GB"/>
              </w:rPr>
              <w:t>2</w:t>
            </w:r>
          </w:p>
        </w:tc>
      </w:tr>
      <w:tr w:rsidR="00123B6E" w:rsidRPr="00D54777" w14:paraId="67B9EC74" w14:textId="77777777" w:rsidTr="009756CB">
        <w:trPr>
          <w:trHeight w:val="309"/>
        </w:trPr>
        <w:tc>
          <w:tcPr>
            <w:tcW w:w="5665" w:type="dxa"/>
            <w:vMerge/>
          </w:tcPr>
          <w:p w14:paraId="78979BF7" w14:textId="77777777" w:rsidR="00123B6E" w:rsidRPr="00D54777" w:rsidRDefault="00123B6E" w:rsidP="00123B6E">
            <w:pPr>
              <w:spacing w:after="0" w:line="240" w:lineRule="auto"/>
              <w:rPr>
                <w:sz w:val="20"/>
                <w:szCs w:val="20"/>
                <w:lang w:val="en-GB"/>
              </w:rPr>
            </w:pPr>
          </w:p>
        </w:tc>
        <w:tc>
          <w:tcPr>
            <w:tcW w:w="2410" w:type="dxa"/>
          </w:tcPr>
          <w:p w14:paraId="6B4757A7" w14:textId="77777777" w:rsidR="00123B6E" w:rsidRPr="00D54777" w:rsidRDefault="00D54777" w:rsidP="00123B6E">
            <w:pPr>
              <w:spacing w:after="0" w:line="240" w:lineRule="auto"/>
              <w:rPr>
                <w:sz w:val="20"/>
                <w:szCs w:val="20"/>
                <w:lang w:val="en-GB"/>
              </w:rPr>
            </w:pPr>
            <w:proofErr w:type="spellStart"/>
            <w:r w:rsidRPr="00D54777">
              <w:rPr>
                <w:sz w:val="20"/>
                <w:szCs w:val="20"/>
                <w:lang w:val="en-GB"/>
              </w:rPr>
              <w:t>Kučevo</w:t>
            </w:r>
            <w:proofErr w:type="spellEnd"/>
            <w:r w:rsidRPr="00D54777">
              <w:rPr>
                <w:sz w:val="20"/>
                <w:szCs w:val="20"/>
                <w:lang w:val="en-GB"/>
              </w:rPr>
              <w:t xml:space="preserve"> </w:t>
            </w:r>
          </w:p>
        </w:tc>
        <w:tc>
          <w:tcPr>
            <w:tcW w:w="674" w:type="dxa"/>
          </w:tcPr>
          <w:p w14:paraId="2AFA8480" w14:textId="77777777" w:rsidR="00123B6E" w:rsidRPr="00D54777" w:rsidRDefault="00123B6E" w:rsidP="00123B6E">
            <w:pPr>
              <w:spacing w:after="0" w:line="240" w:lineRule="auto"/>
              <w:jc w:val="right"/>
              <w:rPr>
                <w:sz w:val="20"/>
                <w:szCs w:val="20"/>
                <w:lang w:val="en-GB"/>
              </w:rPr>
            </w:pPr>
            <w:r w:rsidRPr="00D54777">
              <w:rPr>
                <w:sz w:val="20"/>
                <w:szCs w:val="20"/>
                <w:lang w:val="en-GB"/>
              </w:rPr>
              <w:t>1</w:t>
            </w:r>
          </w:p>
        </w:tc>
      </w:tr>
      <w:tr w:rsidR="00123B6E" w:rsidRPr="00D54777" w14:paraId="04DFF881" w14:textId="77777777" w:rsidTr="009756CB">
        <w:trPr>
          <w:trHeight w:val="309"/>
        </w:trPr>
        <w:tc>
          <w:tcPr>
            <w:tcW w:w="5665" w:type="dxa"/>
            <w:vMerge/>
          </w:tcPr>
          <w:p w14:paraId="62B102B1" w14:textId="77777777" w:rsidR="00123B6E" w:rsidRPr="00D54777" w:rsidRDefault="00123B6E" w:rsidP="00123B6E">
            <w:pPr>
              <w:spacing w:after="0" w:line="240" w:lineRule="auto"/>
              <w:rPr>
                <w:sz w:val="20"/>
                <w:szCs w:val="20"/>
                <w:lang w:val="en-GB"/>
              </w:rPr>
            </w:pPr>
          </w:p>
        </w:tc>
        <w:tc>
          <w:tcPr>
            <w:tcW w:w="2410" w:type="dxa"/>
          </w:tcPr>
          <w:p w14:paraId="3BC1375D" w14:textId="77777777" w:rsidR="00123B6E" w:rsidRPr="00D54777" w:rsidRDefault="00D54777" w:rsidP="00123B6E">
            <w:pPr>
              <w:spacing w:after="0" w:line="240" w:lineRule="auto"/>
              <w:rPr>
                <w:sz w:val="20"/>
                <w:szCs w:val="20"/>
                <w:lang w:val="en-GB"/>
              </w:rPr>
            </w:pPr>
            <w:proofErr w:type="spellStart"/>
            <w:r w:rsidRPr="00D54777">
              <w:rPr>
                <w:sz w:val="20"/>
                <w:szCs w:val="20"/>
                <w:lang w:val="en-GB"/>
              </w:rPr>
              <w:t>Petrovac</w:t>
            </w:r>
            <w:proofErr w:type="spellEnd"/>
            <w:r w:rsidRPr="00D54777">
              <w:rPr>
                <w:sz w:val="20"/>
                <w:szCs w:val="20"/>
                <w:lang w:val="en-GB"/>
              </w:rPr>
              <w:t xml:space="preserve"> </w:t>
            </w:r>
            <w:proofErr w:type="spellStart"/>
            <w:r w:rsidRPr="00D54777">
              <w:rPr>
                <w:sz w:val="20"/>
                <w:szCs w:val="20"/>
                <w:lang w:val="en-GB"/>
              </w:rPr>
              <w:t>na</w:t>
            </w:r>
            <w:proofErr w:type="spellEnd"/>
            <w:r w:rsidRPr="00D54777">
              <w:rPr>
                <w:sz w:val="20"/>
                <w:szCs w:val="20"/>
                <w:lang w:val="en-GB"/>
              </w:rPr>
              <w:t xml:space="preserve"> </w:t>
            </w:r>
            <w:proofErr w:type="spellStart"/>
            <w:r w:rsidRPr="00D54777">
              <w:rPr>
                <w:sz w:val="20"/>
                <w:szCs w:val="20"/>
                <w:lang w:val="en-GB"/>
              </w:rPr>
              <w:t>Mlavi</w:t>
            </w:r>
            <w:proofErr w:type="spellEnd"/>
            <w:r w:rsidRPr="00D54777">
              <w:rPr>
                <w:sz w:val="20"/>
                <w:szCs w:val="20"/>
                <w:lang w:val="en-GB"/>
              </w:rPr>
              <w:t xml:space="preserve"> </w:t>
            </w:r>
          </w:p>
        </w:tc>
        <w:tc>
          <w:tcPr>
            <w:tcW w:w="674" w:type="dxa"/>
          </w:tcPr>
          <w:p w14:paraId="7E75B64F" w14:textId="77777777" w:rsidR="00123B6E" w:rsidRPr="00D54777" w:rsidRDefault="00123B6E" w:rsidP="00123B6E">
            <w:pPr>
              <w:spacing w:after="0" w:line="240" w:lineRule="auto"/>
              <w:jc w:val="right"/>
              <w:rPr>
                <w:sz w:val="20"/>
                <w:szCs w:val="20"/>
                <w:lang w:val="en-GB"/>
              </w:rPr>
            </w:pPr>
            <w:r w:rsidRPr="00D54777">
              <w:rPr>
                <w:sz w:val="20"/>
                <w:szCs w:val="20"/>
                <w:lang w:val="en-GB"/>
              </w:rPr>
              <w:t>2</w:t>
            </w:r>
          </w:p>
        </w:tc>
      </w:tr>
      <w:tr w:rsidR="00123B6E" w:rsidRPr="00D62D04" w14:paraId="3088E234" w14:textId="77777777" w:rsidTr="009756CB">
        <w:trPr>
          <w:trHeight w:val="309"/>
        </w:trPr>
        <w:tc>
          <w:tcPr>
            <w:tcW w:w="5665" w:type="dxa"/>
            <w:vMerge/>
          </w:tcPr>
          <w:p w14:paraId="1F4D0D76" w14:textId="77777777" w:rsidR="00123B6E" w:rsidRPr="00D54777" w:rsidRDefault="00123B6E" w:rsidP="00123B6E">
            <w:pPr>
              <w:spacing w:after="0" w:line="240" w:lineRule="auto"/>
              <w:rPr>
                <w:sz w:val="20"/>
                <w:szCs w:val="20"/>
                <w:lang w:val="en-GB"/>
              </w:rPr>
            </w:pPr>
          </w:p>
        </w:tc>
        <w:tc>
          <w:tcPr>
            <w:tcW w:w="2410" w:type="dxa"/>
          </w:tcPr>
          <w:p w14:paraId="6A0A1BDD" w14:textId="77777777" w:rsidR="00123B6E" w:rsidRPr="00D54777" w:rsidRDefault="00D54777" w:rsidP="00123B6E">
            <w:pPr>
              <w:spacing w:after="0" w:line="240" w:lineRule="auto"/>
              <w:rPr>
                <w:sz w:val="20"/>
                <w:szCs w:val="20"/>
                <w:lang w:val="en-GB"/>
              </w:rPr>
            </w:pPr>
            <w:proofErr w:type="spellStart"/>
            <w:r w:rsidRPr="00D54777">
              <w:rPr>
                <w:sz w:val="20"/>
                <w:szCs w:val="20"/>
                <w:lang w:val="en-GB"/>
              </w:rPr>
              <w:t>Požarevac</w:t>
            </w:r>
            <w:proofErr w:type="spellEnd"/>
            <w:r w:rsidRPr="00D54777">
              <w:rPr>
                <w:sz w:val="20"/>
                <w:szCs w:val="20"/>
                <w:lang w:val="en-GB"/>
              </w:rPr>
              <w:t xml:space="preserve"> </w:t>
            </w:r>
          </w:p>
        </w:tc>
        <w:tc>
          <w:tcPr>
            <w:tcW w:w="674" w:type="dxa"/>
          </w:tcPr>
          <w:p w14:paraId="20DBEFBD" w14:textId="77777777" w:rsidR="00123B6E" w:rsidRPr="00D54777" w:rsidRDefault="00123B6E" w:rsidP="00123B6E">
            <w:pPr>
              <w:spacing w:after="0" w:line="240" w:lineRule="auto"/>
              <w:jc w:val="right"/>
              <w:rPr>
                <w:sz w:val="20"/>
                <w:szCs w:val="20"/>
                <w:lang w:val="en-GB"/>
              </w:rPr>
            </w:pPr>
            <w:r w:rsidRPr="00D54777">
              <w:rPr>
                <w:sz w:val="20"/>
                <w:szCs w:val="20"/>
                <w:lang w:val="en-GB"/>
              </w:rPr>
              <w:t>2</w:t>
            </w:r>
          </w:p>
        </w:tc>
      </w:tr>
      <w:tr w:rsidR="00D54777" w:rsidRPr="00D62D04" w14:paraId="6F5074EB" w14:textId="77777777" w:rsidTr="009756CB">
        <w:trPr>
          <w:trHeight w:val="309"/>
        </w:trPr>
        <w:tc>
          <w:tcPr>
            <w:tcW w:w="5665" w:type="dxa"/>
          </w:tcPr>
          <w:p w14:paraId="0E5AB5BE" w14:textId="77777777" w:rsidR="00D54777" w:rsidRPr="00D54777" w:rsidRDefault="00D54777" w:rsidP="00D54777">
            <w:pPr>
              <w:spacing w:after="0" w:line="240" w:lineRule="auto"/>
              <w:rPr>
                <w:sz w:val="20"/>
                <w:szCs w:val="20"/>
                <w:lang w:val="en-GB"/>
              </w:rPr>
            </w:pPr>
            <w:r w:rsidRPr="00D54777">
              <w:rPr>
                <w:sz w:val="20"/>
                <w:szCs w:val="20"/>
                <w:lang w:val="en-GB"/>
              </w:rPr>
              <w:t xml:space="preserve">Together for </w:t>
            </w:r>
            <w:proofErr w:type="spellStart"/>
            <w:r w:rsidRPr="00D54777">
              <w:rPr>
                <w:sz w:val="20"/>
                <w:szCs w:val="20"/>
                <w:lang w:val="en-GB"/>
              </w:rPr>
              <w:t>Boljevac</w:t>
            </w:r>
            <w:proofErr w:type="spellEnd"/>
            <w:r w:rsidRPr="00D54777">
              <w:rPr>
                <w:sz w:val="20"/>
                <w:szCs w:val="20"/>
                <w:lang w:val="en-GB"/>
              </w:rPr>
              <w:t xml:space="preserve"> - DEJAN KARABAŠEVIĆ - Wallachian People's Party</w:t>
            </w:r>
          </w:p>
        </w:tc>
        <w:tc>
          <w:tcPr>
            <w:tcW w:w="2410" w:type="dxa"/>
          </w:tcPr>
          <w:p w14:paraId="48FAED20" w14:textId="77777777" w:rsidR="00D54777" w:rsidRPr="00D54777" w:rsidRDefault="00D54777" w:rsidP="00D54777">
            <w:pPr>
              <w:spacing w:after="0" w:line="240" w:lineRule="auto"/>
              <w:rPr>
                <w:sz w:val="20"/>
                <w:szCs w:val="20"/>
                <w:lang w:val="en-GB"/>
              </w:rPr>
            </w:pPr>
            <w:proofErr w:type="spellStart"/>
            <w:r w:rsidRPr="00D54777">
              <w:rPr>
                <w:sz w:val="20"/>
                <w:szCs w:val="20"/>
                <w:lang w:val="en-GB"/>
              </w:rPr>
              <w:t>Boljevac</w:t>
            </w:r>
            <w:proofErr w:type="spellEnd"/>
            <w:r w:rsidRPr="00D54777">
              <w:rPr>
                <w:sz w:val="20"/>
                <w:szCs w:val="20"/>
                <w:lang w:val="en-GB"/>
              </w:rPr>
              <w:t xml:space="preserve"> </w:t>
            </w:r>
          </w:p>
        </w:tc>
        <w:tc>
          <w:tcPr>
            <w:tcW w:w="674" w:type="dxa"/>
          </w:tcPr>
          <w:p w14:paraId="5D67B9D1" w14:textId="77777777" w:rsidR="00D54777" w:rsidRPr="00D54777" w:rsidRDefault="00D54777" w:rsidP="00D54777">
            <w:pPr>
              <w:spacing w:after="0" w:line="240" w:lineRule="auto"/>
              <w:jc w:val="right"/>
              <w:rPr>
                <w:sz w:val="20"/>
                <w:szCs w:val="20"/>
                <w:lang w:val="en-GB"/>
              </w:rPr>
            </w:pPr>
            <w:r w:rsidRPr="00D54777">
              <w:rPr>
                <w:sz w:val="20"/>
                <w:szCs w:val="20"/>
                <w:lang w:val="en-GB"/>
              </w:rPr>
              <w:t>2</w:t>
            </w:r>
          </w:p>
        </w:tc>
      </w:tr>
      <w:tr w:rsidR="00D54777" w:rsidRPr="00D62D04" w14:paraId="17ADC2D0" w14:textId="77777777" w:rsidTr="009756CB">
        <w:trPr>
          <w:trHeight w:val="309"/>
        </w:trPr>
        <w:tc>
          <w:tcPr>
            <w:tcW w:w="5665" w:type="dxa"/>
          </w:tcPr>
          <w:p w14:paraId="7CA24E15" w14:textId="77777777" w:rsidR="00D54777" w:rsidRPr="00D54777" w:rsidRDefault="00D54777" w:rsidP="00D54777">
            <w:pPr>
              <w:spacing w:after="0" w:line="240" w:lineRule="auto"/>
              <w:rPr>
                <w:sz w:val="20"/>
                <w:szCs w:val="20"/>
                <w:lang w:val="en-GB"/>
              </w:rPr>
            </w:pPr>
            <w:r w:rsidRPr="00D54777">
              <w:rPr>
                <w:sz w:val="20"/>
                <w:szCs w:val="20"/>
                <w:lang w:val="en-GB"/>
              </w:rPr>
              <w:t>TOGETHER FOR CHANGES COALITION UNITED SERBIA - WALLACHIAN PEOPLE'S PARTY</w:t>
            </w:r>
          </w:p>
        </w:tc>
        <w:tc>
          <w:tcPr>
            <w:tcW w:w="2410" w:type="dxa"/>
          </w:tcPr>
          <w:p w14:paraId="799A7F6D" w14:textId="77777777" w:rsidR="00D54777" w:rsidRPr="00D54777" w:rsidRDefault="00D54777" w:rsidP="00D54777">
            <w:pPr>
              <w:spacing w:after="0" w:line="240" w:lineRule="auto"/>
              <w:rPr>
                <w:sz w:val="20"/>
                <w:szCs w:val="20"/>
                <w:lang w:val="en-GB"/>
              </w:rPr>
            </w:pPr>
            <w:proofErr w:type="spellStart"/>
            <w:r w:rsidRPr="00D54777">
              <w:rPr>
                <w:sz w:val="20"/>
                <w:szCs w:val="20"/>
                <w:lang w:val="en-GB"/>
              </w:rPr>
              <w:t>Kučevo</w:t>
            </w:r>
            <w:proofErr w:type="spellEnd"/>
            <w:r w:rsidRPr="00D54777">
              <w:rPr>
                <w:sz w:val="20"/>
                <w:szCs w:val="20"/>
                <w:lang w:val="en-GB"/>
              </w:rPr>
              <w:t xml:space="preserve"> </w:t>
            </w:r>
          </w:p>
        </w:tc>
        <w:tc>
          <w:tcPr>
            <w:tcW w:w="674" w:type="dxa"/>
          </w:tcPr>
          <w:p w14:paraId="371765EB" w14:textId="77777777" w:rsidR="00D54777" w:rsidRPr="00D54777" w:rsidRDefault="00D54777" w:rsidP="00D54777">
            <w:pPr>
              <w:spacing w:after="0" w:line="240" w:lineRule="auto"/>
              <w:jc w:val="right"/>
              <w:rPr>
                <w:sz w:val="20"/>
                <w:szCs w:val="20"/>
                <w:lang w:val="en-GB"/>
              </w:rPr>
            </w:pPr>
            <w:r w:rsidRPr="00D54777">
              <w:rPr>
                <w:sz w:val="20"/>
                <w:szCs w:val="20"/>
                <w:lang w:val="en-GB"/>
              </w:rPr>
              <w:t>2</w:t>
            </w:r>
          </w:p>
        </w:tc>
      </w:tr>
      <w:tr w:rsidR="00123B6E" w:rsidRPr="00D62D04" w14:paraId="051A5F60" w14:textId="77777777" w:rsidTr="009756CB">
        <w:trPr>
          <w:trHeight w:val="309"/>
        </w:trPr>
        <w:tc>
          <w:tcPr>
            <w:tcW w:w="5665" w:type="dxa"/>
          </w:tcPr>
          <w:p w14:paraId="00176242" w14:textId="77777777" w:rsidR="00123B6E" w:rsidRPr="00D54777" w:rsidRDefault="00D54777" w:rsidP="00123B6E">
            <w:pPr>
              <w:spacing w:after="0" w:line="240" w:lineRule="auto"/>
              <w:rPr>
                <w:sz w:val="20"/>
                <w:szCs w:val="20"/>
                <w:lang w:val="en-GB"/>
              </w:rPr>
            </w:pPr>
            <w:r w:rsidRPr="00D54777">
              <w:rPr>
                <w:sz w:val="20"/>
                <w:szCs w:val="20"/>
                <w:lang w:val="en-GB"/>
              </w:rPr>
              <w:t>TRUTH</w:t>
            </w:r>
            <w:r w:rsidR="00123B6E" w:rsidRPr="00D54777">
              <w:rPr>
                <w:sz w:val="20"/>
                <w:szCs w:val="20"/>
                <w:lang w:val="en-GB"/>
              </w:rPr>
              <w:t xml:space="preserve"> – ADAVIERA</w:t>
            </w:r>
          </w:p>
        </w:tc>
        <w:tc>
          <w:tcPr>
            <w:tcW w:w="2410" w:type="dxa"/>
          </w:tcPr>
          <w:p w14:paraId="1C213666" w14:textId="77777777" w:rsidR="00123B6E" w:rsidRPr="00D54777" w:rsidRDefault="00D54777" w:rsidP="00123B6E">
            <w:pPr>
              <w:spacing w:after="0" w:line="240" w:lineRule="auto"/>
              <w:rPr>
                <w:sz w:val="20"/>
                <w:szCs w:val="20"/>
                <w:lang w:val="en-GB"/>
              </w:rPr>
            </w:pPr>
            <w:r w:rsidRPr="00D54777">
              <w:rPr>
                <w:sz w:val="20"/>
                <w:szCs w:val="20"/>
                <w:lang w:val="en-GB"/>
              </w:rPr>
              <w:t>Novi Sad</w:t>
            </w:r>
          </w:p>
        </w:tc>
        <w:tc>
          <w:tcPr>
            <w:tcW w:w="674" w:type="dxa"/>
          </w:tcPr>
          <w:p w14:paraId="4130B847" w14:textId="77777777" w:rsidR="00123B6E" w:rsidRPr="00D54777" w:rsidRDefault="00123B6E" w:rsidP="00123B6E">
            <w:pPr>
              <w:spacing w:after="0" w:line="240" w:lineRule="auto"/>
              <w:jc w:val="right"/>
              <w:rPr>
                <w:sz w:val="20"/>
                <w:szCs w:val="20"/>
                <w:lang w:val="en-GB"/>
              </w:rPr>
            </w:pPr>
            <w:r w:rsidRPr="00D54777">
              <w:rPr>
                <w:sz w:val="20"/>
                <w:szCs w:val="20"/>
                <w:lang w:val="en-GB"/>
              </w:rPr>
              <w:t>1</w:t>
            </w:r>
          </w:p>
        </w:tc>
      </w:tr>
      <w:tr w:rsidR="00123B6E" w:rsidRPr="00D62D04" w14:paraId="7635C3EC" w14:textId="77777777" w:rsidTr="009756CB">
        <w:trPr>
          <w:trHeight w:val="309"/>
        </w:trPr>
        <w:tc>
          <w:tcPr>
            <w:tcW w:w="8749" w:type="dxa"/>
            <w:gridSpan w:val="3"/>
          </w:tcPr>
          <w:p w14:paraId="5FC9A8B6" w14:textId="77777777" w:rsidR="00123B6E" w:rsidRPr="00D54777" w:rsidRDefault="00123B6E" w:rsidP="00123B6E">
            <w:pPr>
              <w:spacing w:after="0" w:line="240" w:lineRule="auto"/>
              <w:jc w:val="center"/>
              <w:rPr>
                <w:sz w:val="20"/>
                <w:szCs w:val="20"/>
                <w:lang w:val="en-GB"/>
              </w:rPr>
            </w:pPr>
          </w:p>
          <w:p w14:paraId="565A28DB" w14:textId="77777777" w:rsidR="00123B6E" w:rsidRPr="00D54777" w:rsidRDefault="00D54777" w:rsidP="00123B6E">
            <w:pPr>
              <w:spacing w:after="0" w:line="240" w:lineRule="auto"/>
              <w:jc w:val="center"/>
              <w:rPr>
                <w:sz w:val="20"/>
                <w:szCs w:val="20"/>
                <w:lang w:val="en-GB"/>
              </w:rPr>
            </w:pPr>
            <w:r w:rsidRPr="00D54777">
              <w:rPr>
                <w:sz w:val="20"/>
                <w:szCs w:val="20"/>
                <w:lang w:val="en-GB"/>
              </w:rPr>
              <w:t>Hungarian national minority</w:t>
            </w:r>
          </w:p>
          <w:p w14:paraId="5BDE321F" w14:textId="77777777" w:rsidR="00123B6E" w:rsidRPr="00D54777" w:rsidRDefault="00123B6E" w:rsidP="00123B6E">
            <w:pPr>
              <w:spacing w:after="0" w:line="240" w:lineRule="auto"/>
              <w:jc w:val="center"/>
              <w:rPr>
                <w:sz w:val="20"/>
                <w:szCs w:val="20"/>
                <w:lang w:val="en-GB"/>
              </w:rPr>
            </w:pPr>
          </w:p>
        </w:tc>
      </w:tr>
      <w:tr w:rsidR="00123B6E" w:rsidRPr="00D54777" w14:paraId="1E5A0107" w14:textId="77777777" w:rsidTr="009756CB">
        <w:trPr>
          <w:trHeight w:val="309"/>
        </w:trPr>
        <w:tc>
          <w:tcPr>
            <w:tcW w:w="5665" w:type="dxa"/>
            <w:vMerge w:val="restart"/>
            <w:vAlign w:val="center"/>
          </w:tcPr>
          <w:p w14:paraId="07AA2DD2" w14:textId="77777777" w:rsidR="00123B6E" w:rsidRPr="00D54777" w:rsidRDefault="00123B6E" w:rsidP="00123B6E">
            <w:pPr>
              <w:spacing w:after="0" w:line="240" w:lineRule="auto"/>
              <w:rPr>
                <w:sz w:val="20"/>
                <w:szCs w:val="20"/>
                <w:lang w:val="en-GB"/>
              </w:rPr>
            </w:pPr>
            <w:r w:rsidRPr="00D54777">
              <w:rPr>
                <w:sz w:val="20"/>
                <w:szCs w:val="20"/>
                <w:lang w:val="en-GB"/>
              </w:rPr>
              <w:t xml:space="preserve">VAJDASÁGI MAGYAR SZÖVETSÉG – PÁSZTOR ISTVÁN – </w:t>
            </w:r>
            <w:r w:rsidR="00D54777" w:rsidRPr="00D54777">
              <w:t xml:space="preserve"> </w:t>
            </w:r>
            <w:r w:rsidR="00D54777" w:rsidRPr="00D54777">
              <w:rPr>
                <w:sz w:val="20"/>
                <w:szCs w:val="20"/>
                <w:lang w:val="en-GB"/>
              </w:rPr>
              <w:t>ALLIANCE OF VOJVODINA HUNGARIANS - IŠTVAN PASTOR</w:t>
            </w:r>
          </w:p>
        </w:tc>
        <w:tc>
          <w:tcPr>
            <w:tcW w:w="2410" w:type="dxa"/>
          </w:tcPr>
          <w:p w14:paraId="26AC9926" w14:textId="77777777" w:rsidR="00123B6E" w:rsidRPr="00D54777" w:rsidRDefault="00D54777" w:rsidP="00123B6E">
            <w:pPr>
              <w:spacing w:after="0" w:line="240" w:lineRule="auto"/>
              <w:rPr>
                <w:sz w:val="20"/>
                <w:szCs w:val="20"/>
                <w:lang w:val="en-GB"/>
              </w:rPr>
            </w:pPr>
            <w:r w:rsidRPr="00D54777">
              <w:rPr>
                <w:sz w:val="20"/>
                <w:szCs w:val="20"/>
                <w:lang w:val="en-GB"/>
              </w:rPr>
              <w:t>Ada</w:t>
            </w:r>
          </w:p>
        </w:tc>
        <w:tc>
          <w:tcPr>
            <w:tcW w:w="674" w:type="dxa"/>
          </w:tcPr>
          <w:p w14:paraId="467C01B3" w14:textId="77777777" w:rsidR="00123B6E" w:rsidRPr="00D54777" w:rsidRDefault="00123B6E" w:rsidP="00123B6E">
            <w:pPr>
              <w:spacing w:after="0" w:line="240" w:lineRule="auto"/>
              <w:jc w:val="right"/>
              <w:rPr>
                <w:sz w:val="20"/>
                <w:szCs w:val="20"/>
                <w:lang w:val="en-GB"/>
              </w:rPr>
            </w:pPr>
            <w:r w:rsidRPr="00D54777">
              <w:rPr>
                <w:sz w:val="20"/>
                <w:szCs w:val="20"/>
                <w:lang w:val="en-GB"/>
              </w:rPr>
              <w:t xml:space="preserve">11 </w:t>
            </w:r>
          </w:p>
        </w:tc>
      </w:tr>
      <w:tr w:rsidR="00123B6E" w:rsidRPr="00D54777" w14:paraId="0E6E4946" w14:textId="77777777" w:rsidTr="009756CB">
        <w:trPr>
          <w:trHeight w:val="323"/>
        </w:trPr>
        <w:tc>
          <w:tcPr>
            <w:tcW w:w="5665" w:type="dxa"/>
            <w:vMerge/>
          </w:tcPr>
          <w:p w14:paraId="7DE62A94" w14:textId="77777777" w:rsidR="00123B6E" w:rsidRPr="00D54777" w:rsidRDefault="00123B6E" w:rsidP="00123B6E">
            <w:pPr>
              <w:spacing w:after="0" w:line="240" w:lineRule="auto"/>
              <w:rPr>
                <w:sz w:val="20"/>
                <w:szCs w:val="20"/>
                <w:lang w:val="en-GB"/>
              </w:rPr>
            </w:pPr>
          </w:p>
        </w:tc>
        <w:tc>
          <w:tcPr>
            <w:tcW w:w="2410" w:type="dxa"/>
          </w:tcPr>
          <w:p w14:paraId="01FC6316" w14:textId="77777777" w:rsidR="00123B6E" w:rsidRPr="00D54777" w:rsidRDefault="00D54777" w:rsidP="00123B6E">
            <w:pPr>
              <w:spacing w:after="0" w:line="240" w:lineRule="auto"/>
              <w:rPr>
                <w:sz w:val="20"/>
                <w:szCs w:val="20"/>
                <w:lang w:val="en-GB"/>
              </w:rPr>
            </w:pPr>
            <w:proofErr w:type="spellStart"/>
            <w:r w:rsidRPr="00D54777">
              <w:rPr>
                <w:sz w:val="20"/>
                <w:szCs w:val="20"/>
                <w:lang w:val="en-GB"/>
              </w:rPr>
              <w:t>Apatin</w:t>
            </w:r>
            <w:proofErr w:type="spellEnd"/>
            <w:r w:rsidRPr="00D54777">
              <w:rPr>
                <w:sz w:val="20"/>
                <w:szCs w:val="20"/>
                <w:lang w:val="en-GB"/>
              </w:rPr>
              <w:t xml:space="preserve"> </w:t>
            </w:r>
          </w:p>
        </w:tc>
        <w:tc>
          <w:tcPr>
            <w:tcW w:w="674" w:type="dxa"/>
          </w:tcPr>
          <w:p w14:paraId="4A71E516" w14:textId="77777777" w:rsidR="00123B6E" w:rsidRPr="00D54777" w:rsidRDefault="00123B6E" w:rsidP="00123B6E">
            <w:pPr>
              <w:spacing w:after="0" w:line="240" w:lineRule="auto"/>
              <w:jc w:val="right"/>
              <w:rPr>
                <w:sz w:val="20"/>
                <w:szCs w:val="20"/>
                <w:lang w:val="en-GB"/>
              </w:rPr>
            </w:pPr>
            <w:r w:rsidRPr="00D54777">
              <w:rPr>
                <w:sz w:val="20"/>
                <w:szCs w:val="20"/>
                <w:lang w:val="en-GB"/>
              </w:rPr>
              <w:t>2</w:t>
            </w:r>
          </w:p>
        </w:tc>
      </w:tr>
      <w:tr w:rsidR="00123B6E" w:rsidRPr="00D54777" w14:paraId="4F44CE0E" w14:textId="77777777" w:rsidTr="009756CB">
        <w:trPr>
          <w:trHeight w:val="323"/>
        </w:trPr>
        <w:tc>
          <w:tcPr>
            <w:tcW w:w="5665" w:type="dxa"/>
            <w:vMerge/>
          </w:tcPr>
          <w:p w14:paraId="37FDC976" w14:textId="77777777" w:rsidR="00123B6E" w:rsidRPr="00D54777" w:rsidRDefault="00123B6E" w:rsidP="00123B6E">
            <w:pPr>
              <w:spacing w:after="0" w:line="240" w:lineRule="auto"/>
              <w:rPr>
                <w:sz w:val="20"/>
                <w:szCs w:val="20"/>
                <w:lang w:val="en-GB"/>
              </w:rPr>
            </w:pPr>
          </w:p>
        </w:tc>
        <w:tc>
          <w:tcPr>
            <w:tcW w:w="2410" w:type="dxa"/>
          </w:tcPr>
          <w:p w14:paraId="1E269534" w14:textId="77777777" w:rsidR="00123B6E" w:rsidRPr="00D54777" w:rsidRDefault="00D54777" w:rsidP="00123B6E">
            <w:pPr>
              <w:spacing w:after="0" w:line="240" w:lineRule="auto"/>
              <w:rPr>
                <w:sz w:val="20"/>
                <w:szCs w:val="20"/>
                <w:lang w:val="en-GB"/>
              </w:rPr>
            </w:pPr>
            <w:proofErr w:type="spellStart"/>
            <w:r w:rsidRPr="00D54777">
              <w:rPr>
                <w:sz w:val="20"/>
                <w:szCs w:val="20"/>
                <w:lang w:val="en-GB"/>
              </w:rPr>
              <w:t>Bačka</w:t>
            </w:r>
            <w:proofErr w:type="spellEnd"/>
            <w:r w:rsidRPr="00D54777">
              <w:rPr>
                <w:sz w:val="20"/>
                <w:szCs w:val="20"/>
                <w:lang w:val="en-GB"/>
              </w:rPr>
              <w:t xml:space="preserve"> </w:t>
            </w:r>
            <w:proofErr w:type="spellStart"/>
            <w:r w:rsidRPr="00D54777">
              <w:rPr>
                <w:sz w:val="20"/>
                <w:szCs w:val="20"/>
                <w:lang w:val="en-GB"/>
              </w:rPr>
              <w:t>Topola</w:t>
            </w:r>
            <w:proofErr w:type="spellEnd"/>
          </w:p>
        </w:tc>
        <w:tc>
          <w:tcPr>
            <w:tcW w:w="674" w:type="dxa"/>
          </w:tcPr>
          <w:p w14:paraId="49369D7E" w14:textId="77777777" w:rsidR="00123B6E" w:rsidRPr="00D54777" w:rsidRDefault="00123B6E" w:rsidP="00123B6E">
            <w:pPr>
              <w:spacing w:after="0" w:line="240" w:lineRule="auto"/>
              <w:jc w:val="right"/>
              <w:rPr>
                <w:sz w:val="20"/>
                <w:szCs w:val="20"/>
                <w:lang w:val="en-GB"/>
              </w:rPr>
            </w:pPr>
            <w:r w:rsidRPr="00D54777">
              <w:rPr>
                <w:sz w:val="20"/>
                <w:szCs w:val="20"/>
                <w:lang w:val="en-GB"/>
              </w:rPr>
              <w:t>19</w:t>
            </w:r>
          </w:p>
        </w:tc>
      </w:tr>
      <w:tr w:rsidR="00123B6E" w:rsidRPr="00D54777" w14:paraId="5FDDFE5E" w14:textId="77777777" w:rsidTr="009756CB">
        <w:trPr>
          <w:trHeight w:val="323"/>
        </w:trPr>
        <w:tc>
          <w:tcPr>
            <w:tcW w:w="5665" w:type="dxa"/>
            <w:vMerge/>
          </w:tcPr>
          <w:p w14:paraId="1DA1BC6A" w14:textId="77777777" w:rsidR="00123B6E" w:rsidRPr="00D54777" w:rsidRDefault="00123B6E" w:rsidP="00123B6E">
            <w:pPr>
              <w:spacing w:after="0" w:line="240" w:lineRule="auto"/>
              <w:rPr>
                <w:sz w:val="20"/>
                <w:szCs w:val="20"/>
                <w:lang w:val="en-GB"/>
              </w:rPr>
            </w:pPr>
          </w:p>
        </w:tc>
        <w:tc>
          <w:tcPr>
            <w:tcW w:w="2410" w:type="dxa"/>
          </w:tcPr>
          <w:p w14:paraId="60C5F35E" w14:textId="77777777" w:rsidR="00123B6E" w:rsidRPr="00D54777" w:rsidRDefault="00D54777" w:rsidP="00123B6E">
            <w:pPr>
              <w:spacing w:after="0" w:line="240" w:lineRule="auto"/>
              <w:rPr>
                <w:sz w:val="20"/>
                <w:szCs w:val="20"/>
                <w:lang w:val="en-GB"/>
              </w:rPr>
            </w:pPr>
            <w:proofErr w:type="spellStart"/>
            <w:r w:rsidRPr="00D54777">
              <w:rPr>
                <w:sz w:val="20"/>
                <w:szCs w:val="20"/>
                <w:lang w:val="en-GB"/>
              </w:rPr>
              <w:t>Bečej</w:t>
            </w:r>
            <w:proofErr w:type="spellEnd"/>
            <w:r w:rsidRPr="00D54777">
              <w:rPr>
                <w:sz w:val="20"/>
                <w:szCs w:val="20"/>
                <w:lang w:val="en-GB"/>
              </w:rPr>
              <w:t xml:space="preserve"> </w:t>
            </w:r>
          </w:p>
        </w:tc>
        <w:tc>
          <w:tcPr>
            <w:tcW w:w="674" w:type="dxa"/>
          </w:tcPr>
          <w:p w14:paraId="25163438" w14:textId="77777777" w:rsidR="00123B6E" w:rsidRPr="00D54777" w:rsidRDefault="00123B6E" w:rsidP="00123B6E">
            <w:pPr>
              <w:spacing w:after="0" w:line="240" w:lineRule="auto"/>
              <w:jc w:val="right"/>
              <w:rPr>
                <w:sz w:val="20"/>
                <w:szCs w:val="20"/>
                <w:lang w:val="en-GB"/>
              </w:rPr>
            </w:pPr>
            <w:r w:rsidRPr="00D54777">
              <w:rPr>
                <w:sz w:val="20"/>
                <w:szCs w:val="20"/>
                <w:lang w:val="en-GB"/>
              </w:rPr>
              <w:t>11</w:t>
            </w:r>
          </w:p>
        </w:tc>
      </w:tr>
      <w:tr w:rsidR="00123B6E" w:rsidRPr="00662FA7" w14:paraId="297CFDB1" w14:textId="77777777" w:rsidTr="009756CB">
        <w:trPr>
          <w:trHeight w:val="323"/>
        </w:trPr>
        <w:tc>
          <w:tcPr>
            <w:tcW w:w="5665" w:type="dxa"/>
            <w:vMerge/>
          </w:tcPr>
          <w:p w14:paraId="62743490" w14:textId="77777777" w:rsidR="00123B6E" w:rsidRPr="00D54777" w:rsidRDefault="00123B6E" w:rsidP="00123B6E">
            <w:pPr>
              <w:spacing w:after="0" w:line="240" w:lineRule="auto"/>
              <w:rPr>
                <w:sz w:val="20"/>
                <w:szCs w:val="20"/>
                <w:lang w:val="en-GB"/>
              </w:rPr>
            </w:pPr>
          </w:p>
        </w:tc>
        <w:tc>
          <w:tcPr>
            <w:tcW w:w="2410" w:type="dxa"/>
          </w:tcPr>
          <w:p w14:paraId="1F115F0B" w14:textId="77777777" w:rsidR="00123B6E" w:rsidRPr="00D54777" w:rsidRDefault="00D54777" w:rsidP="00123B6E">
            <w:pPr>
              <w:spacing w:after="0" w:line="240" w:lineRule="auto"/>
              <w:rPr>
                <w:sz w:val="20"/>
                <w:szCs w:val="20"/>
                <w:lang w:val="en-GB"/>
              </w:rPr>
            </w:pPr>
            <w:proofErr w:type="spellStart"/>
            <w:r w:rsidRPr="00D54777">
              <w:rPr>
                <w:sz w:val="20"/>
                <w:szCs w:val="20"/>
                <w:lang w:val="en-GB"/>
              </w:rPr>
              <w:t>Žitište</w:t>
            </w:r>
            <w:proofErr w:type="spellEnd"/>
          </w:p>
        </w:tc>
        <w:tc>
          <w:tcPr>
            <w:tcW w:w="674" w:type="dxa"/>
          </w:tcPr>
          <w:p w14:paraId="7877DD98" w14:textId="77777777" w:rsidR="00123B6E" w:rsidRPr="00D54777" w:rsidRDefault="00123B6E" w:rsidP="00123B6E">
            <w:pPr>
              <w:spacing w:after="0" w:line="240" w:lineRule="auto"/>
              <w:jc w:val="right"/>
              <w:rPr>
                <w:sz w:val="20"/>
                <w:szCs w:val="20"/>
                <w:lang w:val="en-GB"/>
              </w:rPr>
            </w:pPr>
            <w:r w:rsidRPr="00D54777">
              <w:rPr>
                <w:sz w:val="20"/>
                <w:szCs w:val="20"/>
                <w:lang w:val="en-GB"/>
              </w:rPr>
              <w:t>3</w:t>
            </w:r>
          </w:p>
        </w:tc>
      </w:tr>
      <w:tr w:rsidR="00123B6E" w:rsidRPr="00D62D04" w14:paraId="3EC428D3" w14:textId="77777777" w:rsidTr="009756CB">
        <w:trPr>
          <w:trHeight w:val="323"/>
        </w:trPr>
        <w:tc>
          <w:tcPr>
            <w:tcW w:w="5665" w:type="dxa"/>
            <w:vMerge/>
          </w:tcPr>
          <w:p w14:paraId="3B1D3150" w14:textId="77777777" w:rsidR="00123B6E" w:rsidRPr="00D62D04" w:rsidRDefault="00123B6E" w:rsidP="00123B6E">
            <w:pPr>
              <w:spacing w:after="0" w:line="240" w:lineRule="auto"/>
              <w:rPr>
                <w:sz w:val="20"/>
                <w:szCs w:val="20"/>
                <w:highlight w:val="cyan"/>
                <w:lang w:val="en-GB"/>
              </w:rPr>
            </w:pPr>
          </w:p>
        </w:tc>
        <w:tc>
          <w:tcPr>
            <w:tcW w:w="2410" w:type="dxa"/>
          </w:tcPr>
          <w:p w14:paraId="69F9A4E0" w14:textId="77777777" w:rsidR="00123B6E" w:rsidRPr="00662FA7" w:rsidRDefault="00662FA7" w:rsidP="00123B6E">
            <w:pPr>
              <w:spacing w:after="0" w:line="240" w:lineRule="auto"/>
              <w:rPr>
                <w:sz w:val="20"/>
                <w:szCs w:val="20"/>
                <w:lang w:val="en-GB"/>
              </w:rPr>
            </w:pPr>
            <w:proofErr w:type="spellStart"/>
            <w:r w:rsidRPr="00662FA7">
              <w:rPr>
                <w:sz w:val="20"/>
                <w:szCs w:val="20"/>
                <w:lang w:val="en-GB"/>
              </w:rPr>
              <w:t>Zrenjanin</w:t>
            </w:r>
            <w:proofErr w:type="spellEnd"/>
          </w:p>
        </w:tc>
        <w:tc>
          <w:tcPr>
            <w:tcW w:w="674" w:type="dxa"/>
          </w:tcPr>
          <w:p w14:paraId="293704E9" w14:textId="77777777" w:rsidR="00123B6E" w:rsidRPr="00662FA7" w:rsidRDefault="00123B6E" w:rsidP="00123B6E">
            <w:pPr>
              <w:spacing w:after="0" w:line="240" w:lineRule="auto"/>
              <w:jc w:val="right"/>
              <w:rPr>
                <w:sz w:val="20"/>
                <w:szCs w:val="20"/>
                <w:lang w:val="en-GB"/>
              </w:rPr>
            </w:pPr>
            <w:r w:rsidRPr="00662FA7">
              <w:rPr>
                <w:sz w:val="20"/>
                <w:szCs w:val="20"/>
                <w:lang w:val="en-GB"/>
              </w:rPr>
              <w:t>3</w:t>
            </w:r>
          </w:p>
        </w:tc>
      </w:tr>
      <w:tr w:rsidR="00123B6E" w:rsidRPr="00D62D04" w14:paraId="55707BD0" w14:textId="77777777" w:rsidTr="009756CB">
        <w:trPr>
          <w:trHeight w:val="323"/>
        </w:trPr>
        <w:tc>
          <w:tcPr>
            <w:tcW w:w="5665" w:type="dxa"/>
            <w:vMerge/>
          </w:tcPr>
          <w:p w14:paraId="065EF9C0" w14:textId="77777777" w:rsidR="00123B6E" w:rsidRPr="00D62D04" w:rsidRDefault="00123B6E" w:rsidP="00123B6E">
            <w:pPr>
              <w:spacing w:after="0" w:line="240" w:lineRule="auto"/>
              <w:rPr>
                <w:sz w:val="20"/>
                <w:szCs w:val="20"/>
                <w:highlight w:val="cyan"/>
                <w:lang w:val="en-GB"/>
              </w:rPr>
            </w:pPr>
          </w:p>
        </w:tc>
        <w:tc>
          <w:tcPr>
            <w:tcW w:w="2410" w:type="dxa"/>
          </w:tcPr>
          <w:p w14:paraId="049FFF17" w14:textId="77777777" w:rsidR="00123B6E" w:rsidRPr="00662FA7" w:rsidRDefault="00662FA7" w:rsidP="00123B6E">
            <w:pPr>
              <w:spacing w:after="0" w:line="240" w:lineRule="auto"/>
              <w:rPr>
                <w:sz w:val="20"/>
                <w:szCs w:val="20"/>
                <w:lang w:val="en-GB"/>
              </w:rPr>
            </w:pPr>
            <w:proofErr w:type="spellStart"/>
            <w:r w:rsidRPr="00662FA7">
              <w:rPr>
                <w:sz w:val="20"/>
                <w:szCs w:val="20"/>
                <w:lang w:val="en-GB"/>
              </w:rPr>
              <w:t>Kanjiža</w:t>
            </w:r>
            <w:proofErr w:type="spellEnd"/>
            <w:r w:rsidRPr="00662FA7">
              <w:rPr>
                <w:sz w:val="20"/>
                <w:szCs w:val="20"/>
                <w:lang w:val="en-GB"/>
              </w:rPr>
              <w:t xml:space="preserve"> </w:t>
            </w:r>
          </w:p>
        </w:tc>
        <w:tc>
          <w:tcPr>
            <w:tcW w:w="674" w:type="dxa"/>
          </w:tcPr>
          <w:p w14:paraId="0909BBA6" w14:textId="77777777" w:rsidR="00123B6E" w:rsidRPr="00662FA7" w:rsidRDefault="00123B6E" w:rsidP="00123B6E">
            <w:pPr>
              <w:spacing w:after="0" w:line="240" w:lineRule="auto"/>
              <w:jc w:val="right"/>
              <w:rPr>
                <w:sz w:val="20"/>
                <w:szCs w:val="20"/>
                <w:lang w:val="en-GB"/>
              </w:rPr>
            </w:pPr>
            <w:r w:rsidRPr="00662FA7">
              <w:rPr>
                <w:sz w:val="20"/>
                <w:szCs w:val="20"/>
                <w:lang w:val="en-GB"/>
              </w:rPr>
              <w:t>20</w:t>
            </w:r>
          </w:p>
        </w:tc>
      </w:tr>
      <w:tr w:rsidR="00123B6E" w:rsidRPr="00D62D04" w14:paraId="3A5F4EAA" w14:textId="77777777" w:rsidTr="009756CB">
        <w:trPr>
          <w:trHeight w:val="323"/>
        </w:trPr>
        <w:tc>
          <w:tcPr>
            <w:tcW w:w="5665" w:type="dxa"/>
            <w:vMerge/>
          </w:tcPr>
          <w:p w14:paraId="574AB05B" w14:textId="77777777" w:rsidR="00123B6E" w:rsidRPr="00D62D04" w:rsidRDefault="00123B6E" w:rsidP="00123B6E">
            <w:pPr>
              <w:spacing w:after="0" w:line="240" w:lineRule="auto"/>
              <w:rPr>
                <w:sz w:val="20"/>
                <w:szCs w:val="20"/>
                <w:highlight w:val="cyan"/>
                <w:lang w:val="en-GB"/>
              </w:rPr>
            </w:pPr>
          </w:p>
        </w:tc>
        <w:tc>
          <w:tcPr>
            <w:tcW w:w="2410" w:type="dxa"/>
          </w:tcPr>
          <w:p w14:paraId="675C6C12" w14:textId="77777777" w:rsidR="00123B6E" w:rsidRPr="00662FA7" w:rsidRDefault="00662FA7" w:rsidP="00123B6E">
            <w:pPr>
              <w:spacing w:after="0" w:line="240" w:lineRule="auto"/>
              <w:rPr>
                <w:sz w:val="20"/>
                <w:szCs w:val="20"/>
                <w:lang w:val="en-GB"/>
              </w:rPr>
            </w:pPr>
            <w:proofErr w:type="spellStart"/>
            <w:r w:rsidRPr="00662FA7">
              <w:rPr>
                <w:sz w:val="20"/>
                <w:szCs w:val="20"/>
                <w:lang w:val="en-GB"/>
              </w:rPr>
              <w:t>Kikinda</w:t>
            </w:r>
            <w:proofErr w:type="spellEnd"/>
            <w:r w:rsidRPr="00662FA7">
              <w:rPr>
                <w:sz w:val="20"/>
                <w:szCs w:val="20"/>
                <w:lang w:val="en-GB"/>
              </w:rPr>
              <w:t xml:space="preserve"> </w:t>
            </w:r>
          </w:p>
        </w:tc>
        <w:tc>
          <w:tcPr>
            <w:tcW w:w="674" w:type="dxa"/>
          </w:tcPr>
          <w:p w14:paraId="5FAAE6A6" w14:textId="77777777" w:rsidR="00123B6E" w:rsidRPr="00662FA7" w:rsidRDefault="00123B6E" w:rsidP="00123B6E">
            <w:pPr>
              <w:spacing w:after="0" w:line="240" w:lineRule="auto"/>
              <w:jc w:val="right"/>
              <w:rPr>
                <w:sz w:val="20"/>
                <w:szCs w:val="20"/>
                <w:lang w:val="en-GB"/>
              </w:rPr>
            </w:pPr>
            <w:r w:rsidRPr="00662FA7">
              <w:rPr>
                <w:sz w:val="20"/>
                <w:szCs w:val="20"/>
                <w:lang w:val="en-GB"/>
              </w:rPr>
              <w:t>2</w:t>
            </w:r>
          </w:p>
        </w:tc>
      </w:tr>
      <w:tr w:rsidR="00123B6E" w:rsidRPr="00D62D04" w14:paraId="6DEE4901" w14:textId="77777777" w:rsidTr="009756CB">
        <w:trPr>
          <w:trHeight w:val="323"/>
        </w:trPr>
        <w:tc>
          <w:tcPr>
            <w:tcW w:w="5665" w:type="dxa"/>
            <w:vMerge/>
          </w:tcPr>
          <w:p w14:paraId="755999DC" w14:textId="77777777" w:rsidR="00123B6E" w:rsidRPr="00D62D04" w:rsidRDefault="00123B6E" w:rsidP="00123B6E">
            <w:pPr>
              <w:spacing w:after="0" w:line="240" w:lineRule="auto"/>
              <w:rPr>
                <w:sz w:val="20"/>
                <w:szCs w:val="20"/>
                <w:highlight w:val="cyan"/>
                <w:lang w:val="en-GB"/>
              </w:rPr>
            </w:pPr>
          </w:p>
        </w:tc>
        <w:tc>
          <w:tcPr>
            <w:tcW w:w="2410" w:type="dxa"/>
          </w:tcPr>
          <w:p w14:paraId="09707F6A" w14:textId="77777777" w:rsidR="00123B6E" w:rsidRPr="00662FA7" w:rsidRDefault="00662FA7" w:rsidP="00123B6E">
            <w:pPr>
              <w:spacing w:after="0" w:line="240" w:lineRule="auto"/>
              <w:rPr>
                <w:sz w:val="20"/>
                <w:szCs w:val="20"/>
                <w:lang w:val="en-GB"/>
              </w:rPr>
            </w:pPr>
            <w:proofErr w:type="spellStart"/>
            <w:r w:rsidRPr="00662FA7">
              <w:rPr>
                <w:sz w:val="20"/>
                <w:szCs w:val="20"/>
                <w:lang w:val="en-GB"/>
              </w:rPr>
              <w:t>Kovačica</w:t>
            </w:r>
            <w:proofErr w:type="spellEnd"/>
            <w:r w:rsidRPr="00662FA7">
              <w:rPr>
                <w:sz w:val="20"/>
                <w:szCs w:val="20"/>
                <w:lang w:val="en-GB"/>
              </w:rPr>
              <w:t xml:space="preserve"> </w:t>
            </w:r>
          </w:p>
        </w:tc>
        <w:tc>
          <w:tcPr>
            <w:tcW w:w="674" w:type="dxa"/>
          </w:tcPr>
          <w:p w14:paraId="3BD4CDF7" w14:textId="77777777" w:rsidR="00123B6E" w:rsidRPr="00662FA7" w:rsidRDefault="00123B6E" w:rsidP="00123B6E">
            <w:pPr>
              <w:spacing w:after="0" w:line="240" w:lineRule="auto"/>
              <w:jc w:val="right"/>
              <w:rPr>
                <w:sz w:val="20"/>
                <w:szCs w:val="20"/>
                <w:lang w:val="en-GB"/>
              </w:rPr>
            </w:pPr>
            <w:r w:rsidRPr="00662FA7">
              <w:rPr>
                <w:sz w:val="20"/>
                <w:szCs w:val="20"/>
                <w:lang w:val="en-GB"/>
              </w:rPr>
              <w:t>1</w:t>
            </w:r>
          </w:p>
        </w:tc>
      </w:tr>
      <w:tr w:rsidR="00123B6E" w:rsidRPr="00D62D04" w14:paraId="4E8BDDFF" w14:textId="77777777" w:rsidTr="009756CB">
        <w:trPr>
          <w:trHeight w:val="323"/>
        </w:trPr>
        <w:tc>
          <w:tcPr>
            <w:tcW w:w="5665" w:type="dxa"/>
            <w:vMerge/>
          </w:tcPr>
          <w:p w14:paraId="6973A81E" w14:textId="77777777" w:rsidR="00123B6E" w:rsidRPr="00D62D04" w:rsidRDefault="00123B6E" w:rsidP="00123B6E">
            <w:pPr>
              <w:spacing w:after="0" w:line="240" w:lineRule="auto"/>
              <w:rPr>
                <w:sz w:val="20"/>
                <w:szCs w:val="20"/>
                <w:highlight w:val="cyan"/>
                <w:lang w:val="en-GB"/>
              </w:rPr>
            </w:pPr>
          </w:p>
        </w:tc>
        <w:tc>
          <w:tcPr>
            <w:tcW w:w="2410" w:type="dxa"/>
          </w:tcPr>
          <w:p w14:paraId="15057160" w14:textId="77777777" w:rsidR="00123B6E" w:rsidRPr="00662FA7" w:rsidRDefault="00662FA7" w:rsidP="00123B6E">
            <w:pPr>
              <w:spacing w:after="0" w:line="240" w:lineRule="auto"/>
              <w:rPr>
                <w:sz w:val="20"/>
                <w:szCs w:val="20"/>
                <w:lang w:val="en-GB"/>
              </w:rPr>
            </w:pPr>
            <w:proofErr w:type="spellStart"/>
            <w:r w:rsidRPr="00662FA7">
              <w:rPr>
                <w:sz w:val="20"/>
                <w:szCs w:val="20"/>
                <w:lang w:val="en-GB"/>
              </w:rPr>
              <w:t>Kovin</w:t>
            </w:r>
            <w:proofErr w:type="spellEnd"/>
            <w:r w:rsidRPr="00662FA7">
              <w:rPr>
                <w:sz w:val="20"/>
                <w:szCs w:val="20"/>
                <w:lang w:val="en-GB"/>
              </w:rPr>
              <w:t xml:space="preserve"> </w:t>
            </w:r>
          </w:p>
        </w:tc>
        <w:tc>
          <w:tcPr>
            <w:tcW w:w="674" w:type="dxa"/>
          </w:tcPr>
          <w:p w14:paraId="0CDB27A0" w14:textId="77777777" w:rsidR="00123B6E" w:rsidRPr="00662FA7" w:rsidRDefault="00123B6E" w:rsidP="00123B6E">
            <w:pPr>
              <w:spacing w:after="0" w:line="240" w:lineRule="auto"/>
              <w:jc w:val="right"/>
              <w:rPr>
                <w:sz w:val="20"/>
                <w:szCs w:val="20"/>
                <w:lang w:val="en-GB"/>
              </w:rPr>
            </w:pPr>
            <w:r w:rsidRPr="00662FA7">
              <w:rPr>
                <w:sz w:val="20"/>
                <w:szCs w:val="20"/>
                <w:lang w:val="en-GB"/>
              </w:rPr>
              <w:t>3</w:t>
            </w:r>
          </w:p>
        </w:tc>
      </w:tr>
      <w:tr w:rsidR="00123B6E" w:rsidRPr="00D62D04" w14:paraId="3222ACFE" w14:textId="77777777" w:rsidTr="009756CB">
        <w:trPr>
          <w:trHeight w:val="323"/>
        </w:trPr>
        <w:tc>
          <w:tcPr>
            <w:tcW w:w="5665" w:type="dxa"/>
            <w:vMerge/>
          </w:tcPr>
          <w:p w14:paraId="66D0544E" w14:textId="77777777" w:rsidR="00123B6E" w:rsidRPr="00D62D04" w:rsidRDefault="00123B6E" w:rsidP="00123B6E">
            <w:pPr>
              <w:spacing w:after="0" w:line="240" w:lineRule="auto"/>
              <w:rPr>
                <w:sz w:val="20"/>
                <w:szCs w:val="20"/>
                <w:highlight w:val="cyan"/>
                <w:lang w:val="en-GB"/>
              </w:rPr>
            </w:pPr>
          </w:p>
        </w:tc>
        <w:tc>
          <w:tcPr>
            <w:tcW w:w="2410" w:type="dxa"/>
          </w:tcPr>
          <w:p w14:paraId="613F17EA" w14:textId="77777777" w:rsidR="00123B6E" w:rsidRPr="00662FA7" w:rsidRDefault="00662FA7" w:rsidP="00123B6E">
            <w:pPr>
              <w:spacing w:after="0" w:line="240" w:lineRule="auto"/>
              <w:rPr>
                <w:sz w:val="20"/>
                <w:szCs w:val="20"/>
                <w:lang w:val="en-GB"/>
              </w:rPr>
            </w:pPr>
            <w:r w:rsidRPr="00662FA7">
              <w:rPr>
                <w:sz w:val="20"/>
                <w:szCs w:val="20"/>
                <w:lang w:val="en-GB"/>
              </w:rPr>
              <w:t xml:space="preserve">Mali </w:t>
            </w:r>
            <w:proofErr w:type="spellStart"/>
            <w:r w:rsidRPr="00662FA7">
              <w:rPr>
                <w:sz w:val="20"/>
                <w:szCs w:val="20"/>
                <w:lang w:val="en-GB"/>
              </w:rPr>
              <w:t>Iđoš</w:t>
            </w:r>
            <w:proofErr w:type="spellEnd"/>
          </w:p>
        </w:tc>
        <w:tc>
          <w:tcPr>
            <w:tcW w:w="674" w:type="dxa"/>
          </w:tcPr>
          <w:p w14:paraId="4C855535" w14:textId="77777777" w:rsidR="00123B6E" w:rsidRPr="00662FA7" w:rsidRDefault="00123B6E" w:rsidP="00123B6E">
            <w:pPr>
              <w:spacing w:after="0" w:line="240" w:lineRule="auto"/>
              <w:jc w:val="right"/>
              <w:rPr>
                <w:sz w:val="20"/>
                <w:szCs w:val="20"/>
                <w:lang w:val="en-GB"/>
              </w:rPr>
            </w:pPr>
            <w:r w:rsidRPr="00662FA7">
              <w:rPr>
                <w:sz w:val="20"/>
                <w:szCs w:val="20"/>
                <w:lang w:val="en-GB"/>
              </w:rPr>
              <w:t>12</w:t>
            </w:r>
          </w:p>
        </w:tc>
      </w:tr>
      <w:tr w:rsidR="00123B6E" w:rsidRPr="00D62D04" w14:paraId="206D6E98" w14:textId="77777777" w:rsidTr="009756CB">
        <w:trPr>
          <w:trHeight w:val="323"/>
        </w:trPr>
        <w:tc>
          <w:tcPr>
            <w:tcW w:w="5665" w:type="dxa"/>
            <w:vMerge/>
          </w:tcPr>
          <w:p w14:paraId="775364D6" w14:textId="77777777" w:rsidR="00123B6E" w:rsidRPr="00D62D04" w:rsidRDefault="00123B6E" w:rsidP="00123B6E">
            <w:pPr>
              <w:spacing w:after="0" w:line="240" w:lineRule="auto"/>
              <w:rPr>
                <w:sz w:val="20"/>
                <w:szCs w:val="20"/>
                <w:highlight w:val="cyan"/>
                <w:lang w:val="en-GB"/>
              </w:rPr>
            </w:pPr>
          </w:p>
        </w:tc>
        <w:tc>
          <w:tcPr>
            <w:tcW w:w="2410" w:type="dxa"/>
          </w:tcPr>
          <w:p w14:paraId="55505A68" w14:textId="77777777" w:rsidR="00123B6E" w:rsidRPr="00662FA7" w:rsidRDefault="00662FA7" w:rsidP="00123B6E">
            <w:pPr>
              <w:spacing w:after="0" w:line="240" w:lineRule="auto"/>
              <w:rPr>
                <w:sz w:val="20"/>
                <w:szCs w:val="20"/>
                <w:lang w:val="en-GB"/>
              </w:rPr>
            </w:pPr>
            <w:r w:rsidRPr="00662FA7">
              <w:rPr>
                <w:sz w:val="20"/>
                <w:szCs w:val="20"/>
                <w:lang w:val="en-GB"/>
              </w:rPr>
              <w:t xml:space="preserve">Nova </w:t>
            </w:r>
            <w:proofErr w:type="spellStart"/>
            <w:r w:rsidRPr="00662FA7">
              <w:rPr>
                <w:sz w:val="20"/>
                <w:szCs w:val="20"/>
                <w:lang w:val="en-GB"/>
              </w:rPr>
              <w:t>Crnja</w:t>
            </w:r>
            <w:proofErr w:type="spellEnd"/>
            <w:r w:rsidRPr="00662FA7">
              <w:rPr>
                <w:sz w:val="20"/>
                <w:szCs w:val="20"/>
                <w:lang w:val="en-GB"/>
              </w:rPr>
              <w:t xml:space="preserve"> </w:t>
            </w:r>
          </w:p>
        </w:tc>
        <w:tc>
          <w:tcPr>
            <w:tcW w:w="674" w:type="dxa"/>
          </w:tcPr>
          <w:p w14:paraId="06A91A95" w14:textId="77777777" w:rsidR="00123B6E" w:rsidRPr="00662FA7" w:rsidRDefault="00123B6E" w:rsidP="00123B6E">
            <w:pPr>
              <w:spacing w:after="0" w:line="240" w:lineRule="auto"/>
              <w:jc w:val="right"/>
              <w:rPr>
                <w:sz w:val="20"/>
                <w:szCs w:val="20"/>
                <w:lang w:val="en-GB"/>
              </w:rPr>
            </w:pPr>
            <w:r w:rsidRPr="00662FA7">
              <w:rPr>
                <w:sz w:val="20"/>
                <w:szCs w:val="20"/>
                <w:lang w:val="en-GB"/>
              </w:rPr>
              <w:t>2</w:t>
            </w:r>
          </w:p>
        </w:tc>
      </w:tr>
      <w:tr w:rsidR="00123B6E" w:rsidRPr="00D62D04" w14:paraId="602647FF" w14:textId="77777777" w:rsidTr="009756CB">
        <w:trPr>
          <w:trHeight w:val="323"/>
        </w:trPr>
        <w:tc>
          <w:tcPr>
            <w:tcW w:w="5665" w:type="dxa"/>
            <w:vMerge/>
          </w:tcPr>
          <w:p w14:paraId="213873FE" w14:textId="77777777" w:rsidR="00123B6E" w:rsidRPr="00D62D04" w:rsidRDefault="00123B6E" w:rsidP="00123B6E">
            <w:pPr>
              <w:spacing w:after="0" w:line="240" w:lineRule="auto"/>
              <w:rPr>
                <w:sz w:val="20"/>
                <w:szCs w:val="20"/>
                <w:highlight w:val="cyan"/>
                <w:lang w:val="en-GB"/>
              </w:rPr>
            </w:pPr>
          </w:p>
        </w:tc>
        <w:tc>
          <w:tcPr>
            <w:tcW w:w="2410" w:type="dxa"/>
          </w:tcPr>
          <w:p w14:paraId="0DC6A8A6" w14:textId="77777777" w:rsidR="00123B6E" w:rsidRPr="00662FA7" w:rsidRDefault="00662FA7" w:rsidP="00123B6E">
            <w:pPr>
              <w:spacing w:after="0" w:line="240" w:lineRule="auto"/>
              <w:rPr>
                <w:sz w:val="20"/>
                <w:szCs w:val="20"/>
                <w:lang w:val="en-GB"/>
              </w:rPr>
            </w:pPr>
            <w:r w:rsidRPr="00662FA7">
              <w:rPr>
                <w:sz w:val="20"/>
                <w:szCs w:val="20"/>
                <w:lang w:val="en-GB"/>
              </w:rPr>
              <w:t xml:space="preserve">Novi </w:t>
            </w:r>
            <w:proofErr w:type="spellStart"/>
            <w:r w:rsidRPr="00662FA7">
              <w:rPr>
                <w:sz w:val="20"/>
                <w:szCs w:val="20"/>
                <w:lang w:val="en-GB"/>
              </w:rPr>
              <w:t>Bečej</w:t>
            </w:r>
            <w:proofErr w:type="spellEnd"/>
            <w:r w:rsidRPr="00662FA7">
              <w:rPr>
                <w:sz w:val="20"/>
                <w:szCs w:val="20"/>
                <w:lang w:val="en-GB"/>
              </w:rPr>
              <w:t xml:space="preserve"> </w:t>
            </w:r>
          </w:p>
        </w:tc>
        <w:tc>
          <w:tcPr>
            <w:tcW w:w="674" w:type="dxa"/>
          </w:tcPr>
          <w:p w14:paraId="1940A5D3" w14:textId="77777777" w:rsidR="00123B6E" w:rsidRPr="00662FA7" w:rsidRDefault="00123B6E" w:rsidP="00123B6E">
            <w:pPr>
              <w:spacing w:after="0" w:line="240" w:lineRule="auto"/>
              <w:jc w:val="right"/>
              <w:rPr>
                <w:sz w:val="20"/>
                <w:szCs w:val="20"/>
                <w:lang w:val="en-GB"/>
              </w:rPr>
            </w:pPr>
            <w:r w:rsidRPr="00662FA7">
              <w:rPr>
                <w:sz w:val="20"/>
                <w:szCs w:val="20"/>
                <w:lang w:val="en-GB"/>
              </w:rPr>
              <w:t>2</w:t>
            </w:r>
          </w:p>
        </w:tc>
      </w:tr>
      <w:tr w:rsidR="00123B6E" w:rsidRPr="00D62D04" w14:paraId="400A12A0" w14:textId="77777777" w:rsidTr="009756CB">
        <w:trPr>
          <w:trHeight w:val="323"/>
        </w:trPr>
        <w:tc>
          <w:tcPr>
            <w:tcW w:w="5665" w:type="dxa"/>
            <w:vMerge/>
          </w:tcPr>
          <w:p w14:paraId="37A4F241" w14:textId="77777777" w:rsidR="00123B6E" w:rsidRPr="00D62D04" w:rsidRDefault="00123B6E" w:rsidP="00123B6E">
            <w:pPr>
              <w:spacing w:after="0" w:line="240" w:lineRule="auto"/>
              <w:rPr>
                <w:sz w:val="20"/>
                <w:szCs w:val="20"/>
                <w:highlight w:val="cyan"/>
                <w:lang w:val="en-GB"/>
              </w:rPr>
            </w:pPr>
          </w:p>
        </w:tc>
        <w:tc>
          <w:tcPr>
            <w:tcW w:w="2410" w:type="dxa"/>
          </w:tcPr>
          <w:p w14:paraId="4DEE81AD" w14:textId="77777777" w:rsidR="00123B6E" w:rsidRPr="00662FA7" w:rsidRDefault="00662FA7" w:rsidP="00123B6E">
            <w:pPr>
              <w:spacing w:after="0" w:line="240" w:lineRule="auto"/>
              <w:rPr>
                <w:sz w:val="20"/>
                <w:szCs w:val="20"/>
                <w:lang w:val="en-GB"/>
              </w:rPr>
            </w:pPr>
            <w:r w:rsidRPr="00662FA7">
              <w:rPr>
                <w:sz w:val="20"/>
                <w:szCs w:val="20"/>
                <w:lang w:val="en-GB"/>
              </w:rPr>
              <w:t xml:space="preserve">Novi </w:t>
            </w:r>
            <w:proofErr w:type="spellStart"/>
            <w:r w:rsidRPr="00662FA7">
              <w:rPr>
                <w:sz w:val="20"/>
                <w:szCs w:val="20"/>
                <w:lang w:val="en-GB"/>
              </w:rPr>
              <w:t>Kneževac</w:t>
            </w:r>
            <w:proofErr w:type="spellEnd"/>
            <w:r w:rsidRPr="00662FA7">
              <w:rPr>
                <w:sz w:val="20"/>
                <w:szCs w:val="20"/>
                <w:lang w:val="en-GB"/>
              </w:rPr>
              <w:t xml:space="preserve"> </w:t>
            </w:r>
          </w:p>
        </w:tc>
        <w:tc>
          <w:tcPr>
            <w:tcW w:w="674" w:type="dxa"/>
          </w:tcPr>
          <w:p w14:paraId="51F1B06C" w14:textId="77777777" w:rsidR="00123B6E" w:rsidRPr="00662FA7" w:rsidRDefault="00123B6E" w:rsidP="00123B6E">
            <w:pPr>
              <w:spacing w:after="0" w:line="240" w:lineRule="auto"/>
              <w:jc w:val="right"/>
              <w:rPr>
                <w:sz w:val="20"/>
                <w:szCs w:val="20"/>
                <w:lang w:val="en-GB"/>
              </w:rPr>
            </w:pPr>
            <w:r w:rsidRPr="00662FA7">
              <w:rPr>
                <w:sz w:val="20"/>
                <w:szCs w:val="20"/>
                <w:lang w:val="en-GB"/>
              </w:rPr>
              <w:t>10</w:t>
            </w:r>
          </w:p>
        </w:tc>
      </w:tr>
      <w:tr w:rsidR="00123B6E" w:rsidRPr="00D62D04" w14:paraId="33CE2D0A" w14:textId="77777777" w:rsidTr="009756CB">
        <w:trPr>
          <w:trHeight w:val="323"/>
        </w:trPr>
        <w:tc>
          <w:tcPr>
            <w:tcW w:w="5665" w:type="dxa"/>
            <w:vMerge/>
          </w:tcPr>
          <w:p w14:paraId="5D795379" w14:textId="77777777" w:rsidR="00123B6E" w:rsidRPr="00D62D04" w:rsidRDefault="00123B6E" w:rsidP="00123B6E">
            <w:pPr>
              <w:spacing w:after="0" w:line="240" w:lineRule="auto"/>
              <w:rPr>
                <w:sz w:val="20"/>
                <w:szCs w:val="20"/>
                <w:highlight w:val="cyan"/>
                <w:lang w:val="en-GB"/>
              </w:rPr>
            </w:pPr>
          </w:p>
        </w:tc>
        <w:tc>
          <w:tcPr>
            <w:tcW w:w="2410" w:type="dxa"/>
          </w:tcPr>
          <w:p w14:paraId="12843083" w14:textId="77777777" w:rsidR="00123B6E" w:rsidRPr="00662FA7" w:rsidRDefault="00662FA7" w:rsidP="00123B6E">
            <w:pPr>
              <w:spacing w:after="0" w:line="240" w:lineRule="auto"/>
              <w:rPr>
                <w:sz w:val="20"/>
                <w:szCs w:val="20"/>
                <w:lang w:val="en-GB"/>
              </w:rPr>
            </w:pPr>
            <w:r w:rsidRPr="00662FA7">
              <w:rPr>
                <w:sz w:val="20"/>
                <w:szCs w:val="20"/>
                <w:lang w:val="en-GB"/>
              </w:rPr>
              <w:t xml:space="preserve">Novi Sad </w:t>
            </w:r>
          </w:p>
        </w:tc>
        <w:tc>
          <w:tcPr>
            <w:tcW w:w="674" w:type="dxa"/>
          </w:tcPr>
          <w:p w14:paraId="7445C61D" w14:textId="77777777" w:rsidR="00123B6E" w:rsidRPr="00662FA7" w:rsidRDefault="00123B6E" w:rsidP="00123B6E">
            <w:pPr>
              <w:spacing w:after="0" w:line="240" w:lineRule="auto"/>
              <w:jc w:val="right"/>
              <w:rPr>
                <w:sz w:val="20"/>
                <w:szCs w:val="20"/>
                <w:lang w:val="en-GB"/>
              </w:rPr>
            </w:pPr>
            <w:r w:rsidRPr="00662FA7">
              <w:rPr>
                <w:sz w:val="20"/>
                <w:szCs w:val="20"/>
                <w:lang w:val="en-GB"/>
              </w:rPr>
              <w:t>2</w:t>
            </w:r>
          </w:p>
        </w:tc>
      </w:tr>
      <w:tr w:rsidR="00123B6E" w:rsidRPr="00D62D04" w14:paraId="76D18A6E" w14:textId="77777777" w:rsidTr="009756CB">
        <w:trPr>
          <w:trHeight w:val="323"/>
        </w:trPr>
        <w:tc>
          <w:tcPr>
            <w:tcW w:w="5665" w:type="dxa"/>
            <w:vMerge/>
          </w:tcPr>
          <w:p w14:paraId="07A29EB2" w14:textId="77777777" w:rsidR="00123B6E" w:rsidRPr="00D62D04" w:rsidRDefault="00123B6E" w:rsidP="00123B6E">
            <w:pPr>
              <w:spacing w:after="0" w:line="240" w:lineRule="auto"/>
              <w:rPr>
                <w:sz w:val="20"/>
                <w:szCs w:val="20"/>
                <w:highlight w:val="cyan"/>
                <w:lang w:val="en-GB"/>
              </w:rPr>
            </w:pPr>
          </w:p>
        </w:tc>
        <w:tc>
          <w:tcPr>
            <w:tcW w:w="2410" w:type="dxa"/>
          </w:tcPr>
          <w:p w14:paraId="04AEBFC6" w14:textId="77777777" w:rsidR="00123B6E" w:rsidRPr="00662FA7" w:rsidRDefault="00662FA7" w:rsidP="00123B6E">
            <w:pPr>
              <w:spacing w:after="0" w:line="240" w:lineRule="auto"/>
              <w:rPr>
                <w:sz w:val="20"/>
                <w:szCs w:val="20"/>
                <w:lang w:val="en-GB"/>
              </w:rPr>
            </w:pPr>
            <w:proofErr w:type="spellStart"/>
            <w:r w:rsidRPr="00662FA7">
              <w:rPr>
                <w:sz w:val="20"/>
                <w:szCs w:val="20"/>
                <w:lang w:val="en-GB"/>
              </w:rPr>
              <w:t>Pančevo</w:t>
            </w:r>
            <w:proofErr w:type="spellEnd"/>
            <w:r w:rsidRPr="00662FA7">
              <w:rPr>
                <w:sz w:val="20"/>
                <w:szCs w:val="20"/>
                <w:lang w:val="en-GB"/>
              </w:rPr>
              <w:t xml:space="preserve"> </w:t>
            </w:r>
          </w:p>
        </w:tc>
        <w:tc>
          <w:tcPr>
            <w:tcW w:w="674" w:type="dxa"/>
          </w:tcPr>
          <w:p w14:paraId="3EFFCFBE" w14:textId="77777777" w:rsidR="00123B6E" w:rsidRPr="00662FA7" w:rsidRDefault="00123B6E" w:rsidP="00123B6E">
            <w:pPr>
              <w:spacing w:after="0" w:line="240" w:lineRule="auto"/>
              <w:jc w:val="right"/>
              <w:rPr>
                <w:sz w:val="20"/>
                <w:szCs w:val="20"/>
                <w:lang w:val="en-GB"/>
              </w:rPr>
            </w:pPr>
            <w:r w:rsidRPr="00662FA7">
              <w:rPr>
                <w:sz w:val="20"/>
                <w:szCs w:val="20"/>
                <w:lang w:val="en-GB"/>
              </w:rPr>
              <w:t>2</w:t>
            </w:r>
          </w:p>
        </w:tc>
      </w:tr>
      <w:tr w:rsidR="00123B6E" w:rsidRPr="00D62D04" w14:paraId="52F83E86" w14:textId="77777777" w:rsidTr="009756CB">
        <w:trPr>
          <w:trHeight w:val="323"/>
        </w:trPr>
        <w:tc>
          <w:tcPr>
            <w:tcW w:w="5665" w:type="dxa"/>
            <w:vMerge/>
          </w:tcPr>
          <w:p w14:paraId="5FB89911" w14:textId="77777777" w:rsidR="00123B6E" w:rsidRPr="00D62D04" w:rsidRDefault="00123B6E" w:rsidP="00123B6E">
            <w:pPr>
              <w:spacing w:after="0" w:line="240" w:lineRule="auto"/>
              <w:rPr>
                <w:sz w:val="20"/>
                <w:szCs w:val="20"/>
                <w:highlight w:val="cyan"/>
                <w:lang w:val="en-GB"/>
              </w:rPr>
            </w:pPr>
          </w:p>
        </w:tc>
        <w:tc>
          <w:tcPr>
            <w:tcW w:w="2410" w:type="dxa"/>
          </w:tcPr>
          <w:p w14:paraId="47D50BCC" w14:textId="77777777" w:rsidR="00123B6E" w:rsidRPr="00662FA7" w:rsidRDefault="00662FA7" w:rsidP="00123B6E">
            <w:pPr>
              <w:spacing w:after="0" w:line="240" w:lineRule="auto"/>
              <w:rPr>
                <w:sz w:val="20"/>
                <w:szCs w:val="20"/>
                <w:lang w:val="en-GB"/>
              </w:rPr>
            </w:pPr>
            <w:proofErr w:type="spellStart"/>
            <w:r w:rsidRPr="00662FA7">
              <w:rPr>
                <w:sz w:val="20"/>
                <w:szCs w:val="20"/>
                <w:lang w:val="en-GB"/>
              </w:rPr>
              <w:t>Senta</w:t>
            </w:r>
            <w:proofErr w:type="spellEnd"/>
            <w:r w:rsidRPr="00662FA7">
              <w:rPr>
                <w:sz w:val="20"/>
                <w:szCs w:val="20"/>
                <w:lang w:val="en-GB"/>
              </w:rPr>
              <w:t xml:space="preserve"> </w:t>
            </w:r>
          </w:p>
        </w:tc>
        <w:tc>
          <w:tcPr>
            <w:tcW w:w="674" w:type="dxa"/>
          </w:tcPr>
          <w:p w14:paraId="53327D28" w14:textId="77777777" w:rsidR="00123B6E" w:rsidRPr="00662FA7" w:rsidRDefault="00123B6E" w:rsidP="00123B6E">
            <w:pPr>
              <w:spacing w:after="0" w:line="240" w:lineRule="auto"/>
              <w:jc w:val="right"/>
              <w:rPr>
                <w:sz w:val="20"/>
                <w:szCs w:val="20"/>
                <w:lang w:val="en-GB"/>
              </w:rPr>
            </w:pPr>
            <w:r w:rsidRPr="00662FA7">
              <w:rPr>
                <w:sz w:val="20"/>
                <w:szCs w:val="20"/>
                <w:lang w:val="en-GB"/>
              </w:rPr>
              <w:t>13</w:t>
            </w:r>
          </w:p>
        </w:tc>
      </w:tr>
      <w:tr w:rsidR="00123B6E" w:rsidRPr="00D62D04" w14:paraId="06CEEE3D" w14:textId="77777777" w:rsidTr="009756CB">
        <w:trPr>
          <w:trHeight w:val="323"/>
        </w:trPr>
        <w:tc>
          <w:tcPr>
            <w:tcW w:w="5665" w:type="dxa"/>
            <w:vMerge/>
          </w:tcPr>
          <w:p w14:paraId="1883701A" w14:textId="77777777" w:rsidR="00123B6E" w:rsidRPr="00D62D04" w:rsidRDefault="00123B6E" w:rsidP="00123B6E">
            <w:pPr>
              <w:spacing w:after="0" w:line="240" w:lineRule="auto"/>
              <w:rPr>
                <w:sz w:val="20"/>
                <w:szCs w:val="20"/>
                <w:highlight w:val="cyan"/>
                <w:lang w:val="en-GB"/>
              </w:rPr>
            </w:pPr>
          </w:p>
        </w:tc>
        <w:tc>
          <w:tcPr>
            <w:tcW w:w="2410" w:type="dxa"/>
          </w:tcPr>
          <w:p w14:paraId="05704B9F" w14:textId="77777777" w:rsidR="00123B6E" w:rsidRPr="00662FA7" w:rsidRDefault="00662FA7" w:rsidP="00123B6E">
            <w:pPr>
              <w:spacing w:after="0" w:line="240" w:lineRule="auto"/>
              <w:rPr>
                <w:sz w:val="20"/>
                <w:szCs w:val="20"/>
                <w:lang w:val="en-GB"/>
              </w:rPr>
            </w:pPr>
            <w:proofErr w:type="spellStart"/>
            <w:r w:rsidRPr="00662FA7">
              <w:rPr>
                <w:sz w:val="20"/>
                <w:szCs w:val="20"/>
                <w:lang w:val="en-GB"/>
              </w:rPr>
              <w:t>Sombor</w:t>
            </w:r>
            <w:proofErr w:type="spellEnd"/>
            <w:r w:rsidRPr="00662FA7">
              <w:rPr>
                <w:sz w:val="20"/>
                <w:szCs w:val="20"/>
                <w:lang w:val="en-GB"/>
              </w:rPr>
              <w:t xml:space="preserve"> </w:t>
            </w:r>
          </w:p>
        </w:tc>
        <w:tc>
          <w:tcPr>
            <w:tcW w:w="674" w:type="dxa"/>
          </w:tcPr>
          <w:p w14:paraId="4011D2C0" w14:textId="77777777" w:rsidR="00123B6E" w:rsidRPr="00662FA7" w:rsidRDefault="00123B6E" w:rsidP="00123B6E">
            <w:pPr>
              <w:spacing w:after="0" w:line="240" w:lineRule="auto"/>
              <w:jc w:val="right"/>
              <w:rPr>
                <w:sz w:val="20"/>
                <w:szCs w:val="20"/>
                <w:lang w:val="en-GB"/>
              </w:rPr>
            </w:pPr>
            <w:r w:rsidRPr="00662FA7">
              <w:rPr>
                <w:sz w:val="20"/>
                <w:szCs w:val="20"/>
                <w:lang w:val="en-GB"/>
              </w:rPr>
              <w:t>5</w:t>
            </w:r>
          </w:p>
        </w:tc>
      </w:tr>
      <w:tr w:rsidR="00123B6E" w:rsidRPr="00D62D04" w14:paraId="3090ECDB" w14:textId="77777777" w:rsidTr="009756CB">
        <w:trPr>
          <w:trHeight w:val="323"/>
        </w:trPr>
        <w:tc>
          <w:tcPr>
            <w:tcW w:w="5665" w:type="dxa"/>
            <w:vMerge/>
          </w:tcPr>
          <w:p w14:paraId="4B964F82" w14:textId="77777777" w:rsidR="00123B6E" w:rsidRPr="00D62D04" w:rsidRDefault="00123B6E" w:rsidP="00123B6E">
            <w:pPr>
              <w:spacing w:after="0" w:line="240" w:lineRule="auto"/>
              <w:rPr>
                <w:sz w:val="20"/>
                <w:szCs w:val="20"/>
                <w:highlight w:val="cyan"/>
                <w:lang w:val="en-GB"/>
              </w:rPr>
            </w:pPr>
          </w:p>
        </w:tc>
        <w:tc>
          <w:tcPr>
            <w:tcW w:w="2410" w:type="dxa"/>
          </w:tcPr>
          <w:p w14:paraId="607514A7" w14:textId="77777777" w:rsidR="00123B6E" w:rsidRPr="00662FA7" w:rsidRDefault="00662FA7" w:rsidP="00123B6E">
            <w:pPr>
              <w:spacing w:after="0" w:line="240" w:lineRule="auto"/>
              <w:rPr>
                <w:sz w:val="20"/>
                <w:szCs w:val="20"/>
                <w:lang w:val="en-GB"/>
              </w:rPr>
            </w:pPr>
            <w:proofErr w:type="spellStart"/>
            <w:r w:rsidRPr="00662FA7">
              <w:rPr>
                <w:sz w:val="20"/>
                <w:szCs w:val="20"/>
                <w:lang w:val="en-GB"/>
              </w:rPr>
              <w:t>Srbobran</w:t>
            </w:r>
            <w:proofErr w:type="spellEnd"/>
            <w:r w:rsidRPr="00662FA7">
              <w:rPr>
                <w:sz w:val="20"/>
                <w:szCs w:val="20"/>
                <w:lang w:val="en-GB"/>
              </w:rPr>
              <w:t xml:space="preserve"> </w:t>
            </w:r>
          </w:p>
        </w:tc>
        <w:tc>
          <w:tcPr>
            <w:tcW w:w="674" w:type="dxa"/>
          </w:tcPr>
          <w:p w14:paraId="06A63020" w14:textId="77777777" w:rsidR="00123B6E" w:rsidRPr="00662FA7" w:rsidRDefault="00123B6E" w:rsidP="00123B6E">
            <w:pPr>
              <w:spacing w:after="0" w:line="240" w:lineRule="auto"/>
              <w:jc w:val="right"/>
              <w:rPr>
                <w:sz w:val="20"/>
                <w:szCs w:val="20"/>
                <w:lang w:val="en-GB"/>
              </w:rPr>
            </w:pPr>
            <w:r w:rsidRPr="00662FA7">
              <w:rPr>
                <w:sz w:val="20"/>
                <w:szCs w:val="20"/>
                <w:lang w:val="en-GB"/>
              </w:rPr>
              <w:t>2</w:t>
            </w:r>
          </w:p>
        </w:tc>
      </w:tr>
      <w:tr w:rsidR="00123B6E" w:rsidRPr="00D62D04" w14:paraId="3041BC01" w14:textId="77777777" w:rsidTr="009756CB">
        <w:trPr>
          <w:trHeight w:val="323"/>
        </w:trPr>
        <w:tc>
          <w:tcPr>
            <w:tcW w:w="5665" w:type="dxa"/>
            <w:vMerge/>
          </w:tcPr>
          <w:p w14:paraId="42DB4DFF" w14:textId="77777777" w:rsidR="00123B6E" w:rsidRPr="00D62D04" w:rsidRDefault="00123B6E" w:rsidP="00123B6E">
            <w:pPr>
              <w:spacing w:after="0" w:line="240" w:lineRule="auto"/>
              <w:rPr>
                <w:sz w:val="20"/>
                <w:szCs w:val="20"/>
                <w:highlight w:val="cyan"/>
                <w:lang w:val="en-GB"/>
              </w:rPr>
            </w:pPr>
          </w:p>
        </w:tc>
        <w:tc>
          <w:tcPr>
            <w:tcW w:w="2410" w:type="dxa"/>
          </w:tcPr>
          <w:p w14:paraId="724C1191" w14:textId="77777777" w:rsidR="00123B6E" w:rsidRPr="00662FA7" w:rsidRDefault="00662FA7" w:rsidP="00123B6E">
            <w:pPr>
              <w:spacing w:after="0" w:line="240" w:lineRule="auto"/>
              <w:rPr>
                <w:sz w:val="20"/>
                <w:szCs w:val="20"/>
                <w:lang w:val="en-GB"/>
              </w:rPr>
            </w:pPr>
            <w:r w:rsidRPr="00662FA7">
              <w:rPr>
                <w:sz w:val="20"/>
                <w:szCs w:val="20"/>
                <w:lang w:val="en-GB"/>
              </w:rPr>
              <w:t xml:space="preserve">Subotica </w:t>
            </w:r>
          </w:p>
        </w:tc>
        <w:tc>
          <w:tcPr>
            <w:tcW w:w="674" w:type="dxa"/>
          </w:tcPr>
          <w:p w14:paraId="6B4AD106" w14:textId="77777777" w:rsidR="00123B6E" w:rsidRPr="00662FA7" w:rsidRDefault="00123B6E" w:rsidP="00123B6E">
            <w:pPr>
              <w:spacing w:after="0" w:line="240" w:lineRule="auto"/>
              <w:jc w:val="right"/>
              <w:rPr>
                <w:sz w:val="20"/>
                <w:szCs w:val="20"/>
                <w:lang w:val="en-GB"/>
              </w:rPr>
            </w:pPr>
            <w:r w:rsidRPr="00662FA7">
              <w:rPr>
                <w:sz w:val="20"/>
                <w:szCs w:val="20"/>
                <w:lang w:val="en-GB"/>
              </w:rPr>
              <w:t>22</w:t>
            </w:r>
          </w:p>
        </w:tc>
      </w:tr>
      <w:tr w:rsidR="00123B6E" w:rsidRPr="00D62D04" w14:paraId="3EA424C8" w14:textId="77777777" w:rsidTr="009756CB">
        <w:trPr>
          <w:trHeight w:val="323"/>
        </w:trPr>
        <w:tc>
          <w:tcPr>
            <w:tcW w:w="5665" w:type="dxa"/>
            <w:vMerge/>
          </w:tcPr>
          <w:p w14:paraId="64D650B2" w14:textId="77777777" w:rsidR="00123B6E" w:rsidRPr="00D62D04" w:rsidRDefault="00123B6E" w:rsidP="00123B6E">
            <w:pPr>
              <w:spacing w:after="0" w:line="240" w:lineRule="auto"/>
              <w:rPr>
                <w:sz w:val="20"/>
                <w:szCs w:val="20"/>
                <w:highlight w:val="cyan"/>
                <w:lang w:val="en-GB"/>
              </w:rPr>
            </w:pPr>
          </w:p>
        </w:tc>
        <w:tc>
          <w:tcPr>
            <w:tcW w:w="2410" w:type="dxa"/>
          </w:tcPr>
          <w:p w14:paraId="0CE2B0CE" w14:textId="77777777" w:rsidR="00123B6E" w:rsidRPr="00662FA7" w:rsidRDefault="00662FA7" w:rsidP="00123B6E">
            <w:pPr>
              <w:spacing w:after="0" w:line="240" w:lineRule="auto"/>
              <w:rPr>
                <w:sz w:val="20"/>
                <w:szCs w:val="20"/>
                <w:lang w:val="en-GB"/>
              </w:rPr>
            </w:pPr>
            <w:proofErr w:type="spellStart"/>
            <w:r w:rsidRPr="00662FA7">
              <w:rPr>
                <w:sz w:val="20"/>
                <w:szCs w:val="20"/>
                <w:lang w:val="en-GB"/>
              </w:rPr>
              <w:t>Temerin</w:t>
            </w:r>
            <w:proofErr w:type="spellEnd"/>
            <w:r w:rsidRPr="00662FA7">
              <w:rPr>
                <w:sz w:val="20"/>
                <w:szCs w:val="20"/>
                <w:lang w:val="en-GB"/>
              </w:rPr>
              <w:t xml:space="preserve"> </w:t>
            </w:r>
          </w:p>
        </w:tc>
        <w:tc>
          <w:tcPr>
            <w:tcW w:w="674" w:type="dxa"/>
          </w:tcPr>
          <w:p w14:paraId="6FA59724" w14:textId="77777777" w:rsidR="00123B6E" w:rsidRPr="00662FA7" w:rsidRDefault="00123B6E" w:rsidP="00123B6E">
            <w:pPr>
              <w:spacing w:after="0" w:line="240" w:lineRule="auto"/>
              <w:jc w:val="right"/>
              <w:rPr>
                <w:sz w:val="20"/>
                <w:szCs w:val="20"/>
                <w:lang w:val="en-GB"/>
              </w:rPr>
            </w:pPr>
            <w:r w:rsidRPr="00662FA7">
              <w:rPr>
                <w:sz w:val="20"/>
                <w:szCs w:val="20"/>
                <w:lang w:val="en-GB"/>
              </w:rPr>
              <w:t>6</w:t>
            </w:r>
          </w:p>
        </w:tc>
      </w:tr>
      <w:tr w:rsidR="00123B6E" w:rsidRPr="00D62D04" w14:paraId="46B5010F" w14:textId="77777777" w:rsidTr="009756CB">
        <w:trPr>
          <w:trHeight w:val="323"/>
        </w:trPr>
        <w:tc>
          <w:tcPr>
            <w:tcW w:w="5665" w:type="dxa"/>
            <w:vMerge/>
          </w:tcPr>
          <w:p w14:paraId="3A23EB4B" w14:textId="77777777" w:rsidR="00123B6E" w:rsidRPr="00D62D04" w:rsidRDefault="00123B6E" w:rsidP="00123B6E">
            <w:pPr>
              <w:spacing w:after="0" w:line="240" w:lineRule="auto"/>
              <w:rPr>
                <w:sz w:val="20"/>
                <w:szCs w:val="20"/>
                <w:highlight w:val="cyan"/>
                <w:lang w:val="en-GB"/>
              </w:rPr>
            </w:pPr>
          </w:p>
        </w:tc>
        <w:tc>
          <w:tcPr>
            <w:tcW w:w="2410" w:type="dxa"/>
          </w:tcPr>
          <w:p w14:paraId="0F065F89" w14:textId="77777777" w:rsidR="00123B6E" w:rsidRPr="00662FA7" w:rsidRDefault="00662FA7" w:rsidP="00123B6E">
            <w:pPr>
              <w:spacing w:after="0" w:line="240" w:lineRule="auto"/>
              <w:rPr>
                <w:sz w:val="20"/>
                <w:szCs w:val="20"/>
                <w:lang w:val="en-GB"/>
              </w:rPr>
            </w:pPr>
            <w:proofErr w:type="spellStart"/>
            <w:r w:rsidRPr="00662FA7">
              <w:rPr>
                <w:sz w:val="20"/>
                <w:szCs w:val="20"/>
                <w:lang w:val="en-GB"/>
              </w:rPr>
              <w:t>Čoka</w:t>
            </w:r>
            <w:proofErr w:type="spellEnd"/>
            <w:r w:rsidRPr="00662FA7">
              <w:rPr>
                <w:sz w:val="20"/>
                <w:szCs w:val="20"/>
                <w:lang w:val="en-GB"/>
              </w:rPr>
              <w:t xml:space="preserve"> </w:t>
            </w:r>
          </w:p>
        </w:tc>
        <w:tc>
          <w:tcPr>
            <w:tcW w:w="674" w:type="dxa"/>
          </w:tcPr>
          <w:p w14:paraId="028BC298" w14:textId="77777777" w:rsidR="00123B6E" w:rsidRPr="00662FA7" w:rsidRDefault="00123B6E" w:rsidP="00123B6E">
            <w:pPr>
              <w:spacing w:after="0" w:line="240" w:lineRule="auto"/>
              <w:jc w:val="right"/>
              <w:rPr>
                <w:sz w:val="20"/>
                <w:szCs w:val="20"/>
                <w:lang w:val="en-GB"/>
              </w:rPr>
            </w:pPr>
            <w:r w:rsidRPr="00662FA7">
              <w:rPr>
                <w:sz w:val="20"/>
                <w:szCs w:val="20"/>
                <w:lang w:val="en-GB"/>
              </w:rPr>
              <w:t>9</w:t>
            </w:r>
          </w:p>
        </w:tc>
      </w:tr>
      <w:tr w:rsidR="00123B6E" w:rsidRPr="00D62D04" w14:paraId="4BDF7E56" w14:textId="77777777" w:rsidTr="009756CB">
        <w:trPr>
          <w:trHeight w:val="309"/>
        </w:trPr>
        <w:tc>
          <w:tcPr>
            <w:tcW w:w="5665" w:type="dxa"/>
          </w:tcPr>
          <w:p w14:paraId="28F66D00" w14:textId="77777777" w:rsidR="00123B6E" w:rsidRPr="00662FA7" w:rsidRDefault="00123B6E" w:rsidP="00662FA7">
            <w:pPr>
              <w:spacing w:after="0" w:line="240" w:lineRule="auto"/>
              <w:rPr>
                <w:sz w:val="20"/>
                <w:szCs w:val="20"/>
                <w:lang w:val="en-GB"/>
              </w:rPr>
            </w:pPr>
            <w:r w:rsidRPr="00662FA7">
              <w:rPr>
                <w:sz w:val="20"/>
                <w:szCs w:val="20"/>
                <w:lang w:val="en-GB"/>
              </w:rPr>
              <w:t>„UKROK – ÖSSZEFOGÁS - TANDARI” -TANDARI ZOLTÁN   -   „UKROK - U</w:t>
            </w:r>
            <w:r w:rsidR="00662FA7" w:rsidRPr="00662FA7">
              <w:rPr>
                <w:sz w:val="20"/>
                <w:szCs w:val="20"/>
                <w:lang w:val="en-GB"/>
              </w:rPr>
              <w:t>NITED</w:t>
            </w:r>
            <w:r w:rsidRPr="00662FA7">
              <w:rPr>
                <w:sz w:val="20"/>
                <w:szCs w:val="20"/>
                <w:lang w:val="en-GB"/>
              </w:rPr>
              <w:t xml:space="preserve"> - TANDARI“ – ZOLTAN TANDARI  </w:t>
            </w:r>
          </w:p>
        </w:tc>
        <w:tc>
          <w:tcPr>
            <w:tcW w:w="2410" w:type="dxa"/>
          </w:tcPr>
          <w:p w14:paraId="10C06D99" w14:textId="77777777" w:rsidR="00123B6E" w:rsidRPr="00662FA7" w:rsidRDefault="00662FA7" w:rsidP="00123B6E">
            <w:pPr>
              <w:spacing w:after="0" w:line="240" w:lineRule="auto"/>
              <w:rPr>
                <w:sz w:val="20"/>
                <w:szCs w:val="20"/>
                <w:lang w:val="en-GB"/>
              </w:rPr>
            </w:pPr>
            <w:proofErr w:type="spellStart"/>
            <w:r w:rsidRPr="00662FA7">
              <w:rPr>
                <w:sz w:val="20"/>
                <w:szCs w:val="20"/>
                <w:lang w:val="en-GB"/>
              </w:rPr>
              <w:t>Kanjiža</w:t>
            </w:r>
            <w:proofErr w:type="spellEnd"/>
            <w:r w:rsidRPr="00662FA7">
              <w:rPr>
                <w:sz w:val="20"/>
                <w:szCs w:val="20"/>
                <w:lang w:val="en-GB"/>
              </w:rPr>
              <w:t xml:space="preserve"> </w:t>
            </w:r>
          </w:p>
        </w:tc>
        <w:tc>
          <w:tcPr>
            <w:tcW w:w="674" w:type="dxa"/>
          </w:tcPr>
          <w:p w14:paraId="41393CD5" w14:textId="77777777" w:rsidR="00123B6E" w:rsidRPr="00662FA7" w:rsidRDefault="00123B6E" w:rsidP="00123B6E">
            <w:pPr>
              <w:spacing w:after="0" w:line="240" w:lineRule="auto"/>
              <w:jc w:val="right"/>
              <w:rPr>
                <w:sz w:val="20"/>
                <w:szCs w:val="20"/>
                <w:lang w:val="en-GB"/>
              </w:rPr>
            </w:pPr>
            <w:r w:rsidRPr="00662FA7">
              <w:rPr>
                <w:sz w:val="20"/>
                <w:szCs w:val="20"/>
                <w:lang w:val="en-GB"/>
              </w:rPr>
              <w:t>2</w:t>
            </w:r>
          </w:p>
        </w:tc>
      </w:tr>
      <w:tr w:rsidR="00123B6E" w:rsidRPr="00D62D04" w14:paraId="01F3646F" w14:textId="77777777" w:rsidTr="009756CB">
        <w:trPr>
          <w:trHeight w:val="309"/>
        </w:trPr>
        <w:tc>
          <w:tcPr>
            <w:tcW w:w="5665" w:type="dxa"/>
          </w:tcPr>
          <w:p w14:paraId="57FE839B" w14:textId="77777777" w:rsidR="00123B6E" w:rsidRPr="00662FA7" w:rsidRDefault="00662FA7" w:rsidP="00662FA7">
            <w:pPr>
              <w:spacing w:after="0" w:line="240" w:lineRule="auto"/>
              <w:rPr>
                <w:sz w:val="20"/>
                <w:szCs w:val="20"/>
                <w:lang w:val="en-GB"/>
              </w:rPr>
            </w:pPr>
            <w:r w:rsidRPr="00662FA7">
              <w:rPr>
                <w:sz w:val="20"/>
                <w:szCs w:val="20"/>
                <w:lang w:val="en-GB"/>
              </w:rPr>
              <w:t xml:space="preserve">GROUP OF CITIZENS TOGETHER FOR BETTER SENTA </w:t>
            </w:r>
            <w:r w:rsidR="00123B6E" w:rsidRPr="00662FA7">
              <w:rPr>
                <w:sz w:val="20"/>
                <w:szCs w:val="20"/>
                <w:lang w:val="en-GB"/>
              </w:rPr>
              <w:t>- POLGÁROK CSOPORTJA EGYÜTT A  JOBB ZENTÁÉRT</w:t>
            </w:r>
          </w:p>
        </w:tc>
        <w:tc>
          <w:tcPr>
            <w:tcW w:w="2410" w:type="dxa"/>
          </w:tcPr>
          <w:p w14:paraId="5A0BAD65" w14:textId="77777777" w:rsidR="00123B6E" w:rsidRPr="00662FA7" w:rsidRDefault="00662FA7" w:rsidP="00123B6E">
            <w:pPr>
              <w:spacing w:after="0" w:line="240" w:lineRule="auto"/>
              <w:rPr>
                <w:sz w:val="20"/>
                <w:szCs w:val="20"/>
                <w:lang w:val="en-GB"/>
              </w:rPr>
            </w:pPr>
            <w:proofErr w:type="spellStart"/>
            <w:r w:rsidRPr="00662FA7">
              <w:rPr>
                <w:sz w:val="20"/>
                <w:szCs w:val="20"/>
                <w:lang w:val="en-GB"/>
              </w:rPr>
              <w:t>Senta</w:t>
            </w:r>
            <w:proofErr w:type="spellEnd"/>
            <w:r w:rsidRPr="00662FA7">
              <w:rPr>
                <w:sz w:val="20"/>
                <w:szCs w:val="20"/>
                <w:lang w:val="en-GB"/>
              </w:rPr>
              <w:t xml:space="preserve"> </w:t>
            </w:r>
          </w:p>
        </w:tc>
        <w:tc>
          <w:tcPr>
            <w:tcW w:w="674" w:type="dxa"/>
          </w:tcPr>
          <w:p w14:paraId="0D07DE9A" w14:textId="77777777" w:rsidR="00123B6E" w:rsidRPr="00662FA7" w:rsidRDefault="00123B6E" w:rsidP="00123B6E">
            <w:pPr>
              <w:spacing w:after="0" w:line="240" w:lineRule="auto"/>
              <w:jc w:val="right"/>
              <w:rPr>
                <w:sz w:val="20"/>
                <w:szCs w:val="20"/>
                <w:lang w:val="en-GB"/>
              </w:rPr>
            </w:pPr>
            <w:r w:rsidRPr="00662FA7">
              <w:rPr>
                <w:sz w:val="20"/>
                <w:szCs w:val="20"/>
                <w:lang w:val="en-GB"/>
              </w:rPr>
              <w:t>3</w:t>
            </w:r>
          </w:p>
        </w:tc>
      </w:tr>
      <w:tr w:rsidR="00123B6E" w:rsidRPr="00D62D04" w14:paraId="14A49BE4" w14:textId="77777777" w:rsidTr="009756CB">
        <w:trPr>
          <w:trHeight w:val="309"/>
        </w:trPr>
        <w:tc>
          <w:tcPr>
            <w:tcW w:w="5665" w:type="dxa"/>
          </w:tcPr>
          <w:p w14:paraId="7160A96C" w14:textId="77777777" w:rsidR="00123B6E" w:rsidRPr="00662FA7" w:rsidRDefault="00662FA7" w:rsidP="00662FA7">
            <w:pPr>
              <w:spacing w:after="0" w:line="240" w:lineRule="auto"/>
              <w:rPr>
                <w:sz w:val="20"/>
                <w:szCs w:val="20"/>
                <w:lang w:val="en-GB"/>
              </w:rPr>
            </w:pPr>
            <w:r w:rsidRPr="00662FA7">
              <w:rPr>
                <w:sz w:val="20"/>
                <w:szCs w:val="20"/>
                <w:lang w:val="en-GB"/>
              </w:rPr>
              <w:t xml:space="preserve">ŠANDOR JOŽEF - "CIVIL MOVEMENT FOR SENTA" GROUP OF CITIZENS </w:t>
            </w:r>
            <w:r w:rsidR="00123B6E" w:rsidRPr="00662FA7">
              <w:rPr>
                <w:sz w:val="20"/>
                <w:szCs w:val="20"/>
                <w:lang w:val="en-GB"/>
              </w:rPr>
              <w:t xml:space="preserve">- SÁNDOR JÓZSEF - "POLGÁRI MOZGALOM </w:t>
            </w:r>
            <w:r w:rsidR="00123B6E" w:rsidRPr="00662FA7">
              <w:rPr>
                <w:sz w:val="20"/>
                <w:szCs w:val="20"/>
                <w:lang w:val="en-GB"/>
              </w:rPr>
              <w:lastRenderedPageBreak/>
              <w:t>ZENTÁÉRT" POLGÁROK CSOPORTJA - ŠANDOR JOŽEF - GRUPA GRAĐANA "GRAĐANSKI POKRET ZA SENTU"</w:t>
            </w:r>
          </w:p>
        </w:tc>
        <w:tc>
          <w:tcPr>
            <w:tcW w:w="2410" w:type="dxa"/>
          </w:tcPr>
          <w:p w14:paraId="24508FCC" w14:textId="77777777" w:rsidR="00123B6E" w:rsidRPr="00662FA7" w:rsidRDefault="00662FA7" w:rsidP="00123B6E">
            <w:pPr>
              <w:spacing w:after="0" w:line="240" w:lineRule="auto"/>
              <w:rPr>
                <w:sz w:val="20"/>
                <w:szCs w:val="20"/>
                <w:lang w:val="en-GB"/>
              </w:rPr>
            </w:pPr>
            <w:proofErr w:type="spellStart"/>
            <w:r w:rsidRPr="00662FA7">
              <w:rPr>
                <w:sz w:val="20"/>
                <w:szCs w:val="20"/>
                <w:lang w:val="en-GB"/>
              </w:rPr>
              <w:lastRenderedPageBreak/>
              <w:t>Senta</w:t>
            </w:r>
            <w:proofErr w:type="spellEnd"/>
            <w:r w:rsidRPr="00662FA7">
              <w:rPr>
                <w:sz w:val="20"/>
                <w:szCs w:val="20"/>
                <w:lang w:val="en-GB"/>
              </w:rPr>
              <w:t xml:space="preserve"> </w:t>
            </w:r>
          </w:p>
        </w:tc>
        <w:tc>
          <w:tcPr>
            <w:tcW w:w="674" w:type="dxa"/>
          </w:tcPr>
          <w:p w14:paraId="41A93D61" w14:textId="77777777" w:rsidR="00123B6E" w:rsidRPr="00662FA7" w:rsidRDefault="00123B6E" w:rsidP="00123B6E">
            <w:pPr>
              <w:spacing w:after="0" w:line="240" w:lineRule="auto"/>
              <w:jc w:val="right"/>
              <w:rPr>
                <w:sz w:val="20"/>
                <w:szCs w:val="20"/>
                <w:lang w:val="en-GB"/>
              </w:rPr>
            </w:pPr>
            <w:r w:rsidRPr="00662FA7">
              <w:rPr>
                <w:sz w:val="20"/>
                <w:szCs w:val="20"/>
                <w:lang w:val="en-GB"/>
              </w:rPr>
              <w:t>3</w:t>
            </w:r>
          </w:p>
        </w:tc>
      </w:tr>
      <w:tr w:rsidR="00123B6E" w:rsidRPr="00D62D04" w14:paraId="121839E3" w14:textId="77777777" w:rsidTr="009756CB">
        <w:trPr>
          <w:trHeight w:val="309"/>
        </w:trPr>
        <w:tc>
          <w:tcPr>
            <w:tcW w:w="5665" w:type="dxa"/>
          </w:tcPr>
          <w:p w14:paraId="09FD31A7" w14:textId="77777777" w:rsidR="00123B6E" w:rsidRPr="00662FA7" w:rsidRDefault="00662FA7" w:rsidP="00662FA7">
            <w:pPr>
              <w:spacing w:after="0" w:line="240" w:lineRule="auto"/>
              <w:rPr>
                <w:sz w:val="20"/>
                <w:szCs w:val="20"/>
                <w:lang w:val="en-GB"/>
              </w:rPr>
            </w:pPr>
            <w:r w:rsidRPr="00662FA7">
              <w:rPr>
                <w:sz w:val="20"/>
                <w:szCs w:val="20"/>
                <w:lang w:val="en-GB"/>
              </w:rPr>
              <w:t xml:space="preserve">"Alliance for </w:t>
            </w:r>
            <w:proofErr w:type="spellStart"/>
            <w:r w:rsidRPr="00662FA7">
              <w:rPr>
                <w:sz w:val="20"/>
                <w:szCs w:val="20"/>
                <w:lang w:val="en-GB"/>
              </w:rPr>
              <w:t>Srbobran</w:t>
            </w:r>
            <w:proofErr w:type="spellEnd"/>
            <w:r w:rsidRPr="00662FA7">
              <w:rPr>
                <w:sz w:val="20"/>
                <w:szCs w:val="20"/>
                <w:lang w:val="en-GB"/>
              </w:rPr>
              <w:t xml:space="preserve">, </w:t>
            </w:r>
            <w:proofErr w:type="spellStart"/>
            <w:r w:rsidRPr="00662FA7">
              <w:rPr>
                <w:sz w:val="20"/>
                <w:szCs w:val="20"/>
                <w:lang w:val="en-GB"/>
              </w:rPr>
              <w:t>Turija</w:t>
            </w:r>
            <w:proofErr w:type="spellEnd"/>
            <w:r w:rsidRPr="00662FA7">
              <w:rPr>
                <w:sz w:val="20"/>
                <w:szCs w:val="20"/>
                <w:lang w:val="en-GB"/>
              </w:rPr>
              <w:t xml:space="preserve"> and </w:t>
            </w:r>
            <w:proofErr w:type="spellStart"/>
            <w:r w:rsidRPr="00662FA7">
              <w:rPr>
                <w:sz w:val="20"/>
                <w:szCs w:val="20"/>
                <w:lang w:val="en-GB"/>
              </w:rPr>
              <w:t>Nadalj</w:t>
            </w:r>
            <w:proofErr w:type="spellEnd"/>
            <w:r w:rsidRPr="00662FA7">
              <w:rPr>
                <w:sz w:val="20"/>
                <w:szCs w:val="20"/>
                <w:lang w:val="en-GB"/>
              </w:rPr>
              <w:t>”</w:t>
            </w:r>
            <w:r w:rsidRPr="00662FA7">
              <w:t xml:space="preserve"> </w:t>
            </w:r>
            <w:r w:rsidRPr="00662FA7">
              <w:rPr>
                <w:sz w:val="20"/>
                <w:szCs w:val="20"/>
                <w:lang w:val="en-GB"/>
              </w:rPr>
              <w:t xml:space="preserve">Group of Citizens  </w:t>
            </w:r>
            <w:r w:rsidR="00123B6E" w:rsidRPr="00662FA7">
              <w:rPr>
                <w:sz w:val="20"/>
                <w:szCs w:val="20"/>
                <w:lang w:val="en-GB"/>
              </w:rPr>
              <w:t>-</w:t>
            </w:r>
            <w:proofErr w:type="spellStart"/>
            <w:r w:rsidR="00123B6E" w:rsidRPr="00662FA7">
              <w:rPr>
                <w:sz w:val="20"/>
                <w:szCs w:val="20"/>
                <w:lang w:val="en-GB"/>
              </w:rPr>
              <w:t>Szövetség</w:t>
            </w:r>
            <w:proofErr w:type="spellEnd"/>
            <w:r w:rsidR="00123B6E" w:rsidRPr="00662FA7">
              <w:rPr>
                <w:sz w:val="20"/>
                <w:szCs w:val="20"/>
                <w:lang w:val="en-GB"/>
              </w:rPr>
              <w:t xml:space="preserve"> </w:t>
            </w:r>
            <w:proofErr w:type="spellStart"/>
            <w:r w:rsidR="00123B6E" w:rsidRPr="00662FA7">
              <w:rPr>
                <w:sz w:val="20"/>
                <w:szCs w:val="20"/>
                <w:lang w:val="en-GB"/>
              </w:rPr>
              <w:t>Szenttamásért</w:t>
            </w:r>
            <w:proofErr w:type="spellEnd"/>
            <w:r w:rsidR="00123B6E" w:rsidRPr="00662FA7">
              <w:rPr>
                <w:sz w:val="20"/>
                <w:szCs w:val="20"/>
                <w:lang w:val="en-GB"/>
              </w:rPr>
              <w:t xml:space="preserve">, </w:t>
            </w:r>
            <w:proofErr w:type="spellStart"/>
            <w:r w:rsidR="00123B6E" w:rsidRPr="00662FA7">
              <w:rPr>
                <w:sz w:val="20"/>
                <w:szCs w:val="20"/>
                <w:lang w:val="en-GB"/>
              </w:rPr>
              <w:t>Turiáért</w:t>
            </w:r>
            <w:proofErr w:type="spellEnd"/>
            <w:r w:rsidR="00123B6E" w:rsidRPr="00662FA7">
              <w:rPr>
                <w:sz w:val="20"/>
                <w:szCs w:val="20"/>
                <w:lang w:val="en-GB"/>
              </w:rPr>
              <w:t xml:space="preserve">, </w:t>
            </w:r>
            <w:proofErr w:type="spellStart"/>
            <w:r w:rsidR="00123B6E" w:rsidRPr="00662FA7">
              <w:rPr>
                <w:sz w:val="20"/>
                <w:szCs w:val="20"/>
                <w:lang w:val="en-GB"/>
              </w:rPr>
              <w:t>Nádaljáért</w:t>
            </w:r>
            <w:proofErr w:type="spellEnd"/>
            <w:r w:rsidR="00123B6E" w:rsidRPr="00662FA7">
              <w:rPr>
                <w:sz w:val="20"/>
                <w:szCs w:val="20"/>
                <w:lang w:val="en-GB"/>
              </w:rPr>
              <w:t>“</w:t>
            </w:r>
          </w:p>
        </w:tc>
        <w:tc>
          <w:tcPr>
            <w:tcW w:w="2410" w:type="dxa"/>
          </w:tcPr>
          <w:p w14:paraId="51669382" w14:textId="77777777" w:rsidR="00123B6E" w:rsidRPr="00662FA7" w:rsidRDefault="00662FA7" w:rsidP="00123B6E">
            <w:pPr>
              <w:spacing w:after="0" w:line="240" w:lineRule="auto"/>
              <w:rPr>
                <w:sz w:val="20"/>
                <w:szCs w:val="20"/>
                <w:lang w:val="en-GB"/>
              </w:rPr>
            </w:pPr>
            <w:proofErr w:type="spellStart"/>
            <w:r w:rsidRPr="00662FA7">
              <w:rPr>
                <w:sz w:val="20"/>
                <w:szCs w:val="20"/>
                <w:lang w:val="en-GB"/>
              </w:rPr>
              <w:t>Srbobran</w:t>
            </w:r>
            <w:proofErr w:type="spellEnd"/>
            <w:r w:rsidRPr="00662FA7">
              <w:rPr>
                <w:sz w:val="20"/>
                <w:szCs w:val="20"/>
                <w:lang w:val="en-GB"/>
              </w:rPr>
              <w:t xml:space="preserve"> </w:t>
            </w:r>
          </w:p>
        </w:tc>
        <w:tc>
          <w:tcPr>
            <w:tcW w:w="674" w:type="dxa"/>
          </w:tcPr>
          <w:p w14:paraId="6735B2C6" w14:textId="77777777" w:rsidR="00123B6E" w:rsidRPr="00662FA7" w:rsidRDefault="00123B6E" w:rsidP="00123B6E">
            <w:pPr>
              <w:spacing w:after="0" w:line="240" w:lineRule="auto"/>
              <w:jc w:val="right"/>
              <w:rPr>
                <w:sz w:val="20"/>
                <w:szCs w:val="20"/>
                <w:lang w:val="en-GB"/>
              </w:rPr>
            </w:pPr>
            <w:r w:rsidRPr="00662FA7">
              <w:rPr>
                <w:sz w:val="20"/>
                <w:szCs w:val="20"/>
                <w:lang w:val="en-GB"/>
              </w:rPr>
              <w:t>1</w:t>
            </w:r>
          </w:p>
        </w:tc>
      </w:tr>
      <w:tr w:rsidR="00123B6E" w:rsidRPr="00D62D04" w14:paraId="733D2457" w14:textId="77777777" w:rsidTr="009756CB">
        <w:trPr>
          <w:trHeight w:val="309"/>
        </w:trPr>
        <w:tc>
          <w:tcPr>
            <w:tcW w:w="5665" w:type="dxa"/>
          </w:tcPr>
          <w:p w14:paraId="467178C7" w14:textId="77777777" w:rsidR="00123B6E" w:rsidRPr="00662FA7" w:rsidRDefault="00123B6E" w:rsidP="00662FA7">
            <w:pPr>
              <w:spacing w:after="0" w:line="240" w:lineRule="auto"/>
              <w:rPr>
                <w:sz w:val="20"/>
                <w:szCs w:val="20"/>
                <w:lang w:val="en-GB"/>
              </w:rPr>
            </w:pPr>
            <w:r w:rsidRPr="00662FA7">
              <w:rPr>
                <w:sz w:val="20"/>
                <w:szCs w:val="20"/>
                <w:lang w:val="en-GB"/>
              </w:rPr>
              <w:t xml:space="preserve">"JENŐ MAGLAI – </w:t>
            </w:r>
            <w:r w:rsidR="00662FA7" w:rsidRPr="00662FA7">
              <w:t xml:space="preserve"> </w:t>
            </w:r>
            <w:r w:rsidR="00662FA7" w:rsidRPr="00662FA7">
              <w:rPr>
                <w:sz w:val="20"/>
                <w:szCs w:val="20"/>
                <w:lang w:val="en-GB"/>
              </w:rPr>
              <w:t>"CITIZENS' MOVEMENT OF SUBOTICA"</w:t>
            </w:r>
            <w:r w:rsidRPr="00662FA7">
              <w:rPr>
                <w:sz w:val="20"/>
                <w:szCs w:val="20"/>
                <w:lang w:val="en-GB"/>
              </w:rPr>
              <w:t xml:space="preserve"> </w:t>
            </w:r>
            <w:r w:rsidR="00662FA7" w:rsidRPr="00662FA7">
              <w:rPr>
                <w:sz w:val="20"/>
                <w:szCs w:val="20"/>
                <w:lang w:val="en-GB"/>
              </w:rPr>
              <w:t xml:space="preserve"> GROUP OF CITIZENS </w:t>
            </w:r>
            <w:r w:rsidRPr="00662FA7">
              <w:rPr>
                <w:sz w:val="20"/>
                <w:szCs w:val="20"/>
                <w:lang w:val="en-GB"/>
              </w:rPr>
              <w:t>MAGLAI JENŐ – „SZABADKA POLGÁRI MOZGALMA” POLGÁROK CSOPORTJA JENŐ MAGLAI - GRUPA GRAĐANA „POKRET GRAĐANSKE SUBOTICE"</w:t>
            </w:r>
          </w:p>
        </w:tc>
        <w:tc>
          <w:tcPr>
            <w:tcW w:w="2410" w:type="dxa"/>
          </w:tcPr>
          <w:p w14:paraId="0A3356CB" w14:textId="77777777" w:rsidR="00123B6E" w:rsidRPr="00662FA7" w:rsidRDefault="00662FA7" w:rsidP="00123B6E">
            <w:pPr>
              <w:spacing w:after="0" w:line="240" w:lineRule="auto"/>
              <w:rPr>
                <w:sz w:val="20"/>
                <w:szCs w:val="20"/>
                <w:lang w:val="en-GB"/>
              </w:rPr>
            </w:pPr>
            <w:r w:rsidRPr="00662FA7">
              <w:rPr>
                <w:sz w:val="20"/>
                <w:szCs w:val="20"/>
                <w:lang w:val="en-GB"/>
              </w:rPr>
              <w:t xml:space="preserve">Subotica </w:t>
            </w:r>
          </w:p>
        </w:tc>
        <w:tc>
          <w:tcPr>
            <w:tcW w:w="674" w:type="dxa"/>
          </w:tcPr>
          <w:p w14:paraId="6E955DD2" w14:textId="77777777" w:rsidR="00123B6E" w:rsidRPr="00662FA7" w:rsidRDefault="00123B6E" w:rsidP="00123B6E">
            <w:pPr>
              <w:spacing w:after="0" w:line="240" w:lineRule="auto"/>
              <w:jc w:val="right"/>
              <w:rPr>
                <w:sz w:val="20"/>
                <w:szCs w:val="20"/>
                <w:lang w:val="en-GB"/>
              </w:rPr>
            </w:pPr>
            <w:r w:rsidRPr="00662FA7">
              <w:rPr>
                <w:sz w:val="20"/>
                <w:szCs w:val="20"/>
                <w:lang w:val="en-GB"/>
              </w:rPr>
              <w:t>4</w:t>
            </w:r>
          </w:p>
        </w:tc>
      </w:tr>
      <w:tr w:rsidR="00123B6E" w:rsidRPr="00D62D04" w14:paraId="7BE84052" w14:textId="77777777" w:rsidTr="009756CB">
        <w:trPr>
          <w:trHeight w:val="309"/>
        </w:trPr>
        <w:tc>
          <w:tcPr>
            <w:tcW w:w="8749" w:type="dxa"/>
            <w:gridSpan w:val="3"/>
          </w:tcPr>
          <w:p w14:paraId="0BA822E8" w14:textId="77777777" w:rsidR="00123B6E" w:rsidRPr="00662FA7" w:rsidRDefault="00123B6E" w:rsidP="00123B6E">
            <w:pPr>
              <w:spacing w:after="0" w:line="240" w:lineRule="auto"/>
              <w:jc w:val="center"/>
              <w:rPr>
                <w:sz w:val="20"/>
                <w:szCs w:val="20"/>
                <w:lang w:val="en-GB"/>
              </w:rPr>
            </w:pPr>
          </w:p>
          <w:p w14:paraId="4C4FD727" w14:textId="77777777" w:rsidR="00123B6E" w:rsidRPr="00662FA7" w:rsidRDefault="00662FA7" w:rsidP="00123B6E">
            <w:pPr>
              <w:spacing w:after="0" w:line="240" w:lineRule="auto"/>
              <w:jc w:val="center"/>
              <w:rPr>
                <w:sz w:val="20"/>
                <w:szCs w:val="20"/>
                <w:lang w:val="en-GB"/>
              </w:rPr>
            </w:pPr>
            <w:r w:rsidRPr="00662FA7">
              <w:rPr>
                <w:sz w:val="20"/>
                <w:szCs w:val="20"/>
                <w:lang w:val="en-GB"/>
              </w:rPr>
              <w:t>Macedonian national minority</w:t>
            </w:r>
          </w:p>
          <w:p w14:paraId="2DFDC7D7" w14:textId="77777777" w:rsidR="00123B6E" w:rsidRPr="00662FA7" w:rsidRDefault="00123B6E" w:rsidP="00123B6E">
            <w:pPr>
              <w:spacing w:after="0" w:line="240" w:lineRule="auto"/>
              <w:jc w:val="center"/>
              <w:rPr>
                <w:sz w:val="20"/>
                <w:szCs w:val="20"/>
                <w:lang w:val="en-GB"/>
              </w:rPr>
            </w:pPr>
          </w:p>
        </w:tc>
      </w:tr>
      <w:tr w:rsidR="00123B6E" w:rsidRPr="00D62D04" w14:paraId="29AC2F50" w14:textId="77777777" w:rsidTr="009756CB">
        <w:trPr>
          <w:trHeight w:val="309"/>
        </w:trPr>
        <w:tc>
          <w:tcPr>
            <w:tcW w:w="5665" w:type="dxa"/>
          </w:tcPr>
          <w:p w14:paraId="17F872FE" w14:textId="77777777" w:rsidR="00123B6E" w:rsidRPr="00662FA7" w:rsidRDefault="00662FA7" w:rsidP="00123B6E">
            <w:pPr>
              <w:spacing w:after="0" w:line="240" w:lineRule="auto"/>
              <w:rPr>
                <w:sz w:val="20"/>
                <w:szCs w:val="20"/>
                <w:lang w:val="en-GB"/>
              </w:rPr>
            </w:pPr>
            <w:r w:rsidRPr="00662FA7">
              <w:rPr>
                <w:sz w:val="20"/>
                <w:szCs w:val="20"/>
                <w:lang w:val="en-GB"/>
              </w:rPr>
              <w:t>Democratic Party of Macedonians (DPM)</w:t>
            </w:r>
            <w:r w:rsidR="00123B6E" w:rsidRPr="00662FA7">
              <w:rPr>
                <w:sz w:val="20"/>
                <w:szCs w:val="20"/>
                <w:lang w:val="en-GB"/>
              </w:rPr>
              <w:t xml:space="preserve">– </w:t>
            </w:r>
            <w:proofErr w:type="spellStart"/>
            <w:r w:rsidR="00123B6E" w:rsidRPr="00662FA7">
              <w:rPr>
                <w:sz w:val="20"/>
                <w:szCs w:val="20"/>
                <w:lang w:val="en-GB"/>
              </w:rPr>
              <w:t>Демократска</w:t>
            </w:r>
            <w:proofErr w:type="spellEnd"/>
            <w:r w:rsidR="00123B6E" w:rsidRPr="00662FA7">
              <w:rPr>
                <w:sz w:val="20"/>
                <w:szCs w:val="20"/>
                <w:lang w:val="en-GB"/>
              </w:rPr>
              <w:t xml:space="preserve"> </w:t>
            </w:r>
            <w:proofErr w:type="spellStart"/>
            <w:r w:rsidR="00123B6E" w:rsidRPr="00662FA7">
              <w:rPr>
                <w:sz w:val="20"/>
                <w:szCs w:val="20"/>
                <w:lang w:val="en-GB"/>
              </w:rPr>
              <w:t>партија</w:t>
            </w:r>
            <w:proofErr w:type="spellEnd"/>
            <w:r w:rsidR="00123B6E" w:rsidRPr="00662FA7">
              <w:rPr>
                <w:sz w:val="20"/>
                <w:szCs w:val="20"/>
                <w:lang w:val="en-GB"/>
              </w:rPr>
              <w:t xml:space="preserve"> </w:t>
            </w:r>
            <w:proofErr w:type="spellStart"/>
            <w:r w:rsidR="00123B6E" w:rsidRPr="00662FA7">
              <w:rPr>
                <w:sz w:val="20"/>
                <w:szCs w:val="20"/>
                <w:lang w:val="en-GB"/>
              </w:rPr>
              <w:t>на</w:t>
            </w:r>
            <w:proofErr w:type="spellEnd"/>
            <w:r w:rsidR="00123B6E" w:rsidRPr="00662FA7">
              <w:rPr>
                <w:sz w:val="20"/>
                <w:szCs w:val="20"/>
                <w:lang w:val="en-GB"/>
              </w:rPr>
              <w:t xml:space="preserve"> </w:t>
            </w:r>
            <w:proofErr w:type="spellStart"/>
            <w:r w:rsidR="00123B6E" w:rsidRPr="00662FA7">
              <w:rPr>
                <w:sz w:val="20"/>
                <w:szCs w:val="20"/>
                <w:lang w:val="en-GB"/>
              </w:rPr>
              <w:t>Македонците</w:t>
            </w:r>
            <w:proofErr w:type="spellEnd"/>
            <w:r w:rsidR="00123B6E" w:rsidRPr="00662FA7">
              <w:rPr>
                <w:sz w:val="20"/>
                <w:szCs w:val="20"/>
                <w:lang w:val="en-GB"/>
              </w:rPr>
              <w:t xml:space="preserve"> (ДМП) – </w:t>
            </w:r>
            <w:proofErr w:type="spellStart"/>
            <w:r w:rsidR="00123B6E" w:rsidRPr="00662FA7">
              <w:rPr>
                <w:sz w:val="20"/>
                <w:szCs w:val="20"/>
                <w:lang w:val="en-GB"/>
              </w:rPr>
              <w:t>Др</w:t>
            </w:r>
            <w:proofErr w:type="spellEnd"/>
            <w:r w:rsidR="00123B6E" w:rsidRPr="00662FA7">
              <w:rPr>
                <w:sz w:val="20"/>
                <w:szCs w:val="20"/>
                <w:lang w:val="en-GB"/>
              </w:rPr>
              <w:t xml:space="preserve"> </w:t>
            </w:r>
            <w:proofErr w:type="spellStart"/>
            <w:r w:rsidR="00123B6E" w:rsidRPr="00662FA7">
              <w:rPr>
                <w:sz w:val="20"/>
                <w:szCs w:val="20"/>
                <w:lang w:val="en-GB"/>
              </w:rPr>
              <w:t>Ненад</w:t>
            </w:r>
            <w:proofErr w:type="spellEnd"/>
            <w:r w:rsidR="00123B6E" w:rsidRPr="00662FA7">
              <w:rPr>
                <w:sz w:val="20"/>
                <w:szCs w:val="20"/>
                <w:lang w:val="en-GB"/>
              </w:rPr>
              <w:t xml:space="preserve"> </w:t>
            </w:r>
            <w:proofErr w:type="spellStart"/>
            <w:r w:rsidR="00123B6E" w:rsidRPr="00662FA7">
              <w:rPr>
                <w:sz w:val="20"/>
                <w:szCs w:val="20"/>
                <w:lang w:val="en-GB"/>
              </w:rPr>
              <w:t>Крстевски</w:t>
            </w:r>
            <w:proofErr w:type="spellEnd"/>
          </w:p>
        </w:tc>
        <w:tc>
          <w:tcPr>
            <w:tcW w:w="2410" w:type="dxa"/>
          </w:tcPr>
          <w:p w14:paraId="31602EA6" w14:textId="77777777" w:rsidR="00123B6E" w:rsidRPr="00662FA7" w:rsidRDefault="00662FA7" w:rsidP="00123B6E">
            <w:pPr>
              <w:spacing w:after="0" w:line="240" w:lineRule="auto"/>
              <w:rPr>
                <w:sz w:val="20"/>
                <w:szCs w:val="20"/>
                <w:lang w:val="en-GB"/>
              </w:rPr>
            </w:pPr>
            <w:proofErr w:type="spellStart"/>
            <w:r w:rsidRPr="00662FA7">
              <w:rPr>
                <w:sz w:val="20"/>
                <w:szCs w:val="20"/>
                <w:lang w:val="en-GB"/>
              </w:rPr>
              <w:t>Opovo</w:t>
            </w:r>
            <w:proofErr w:type="spellEnd"/>
            <w:r w:rsidRPr="00662FA7">
              <w:rPr>
                <w:sz w:val="20"/>
                <w:szCs w:val="20"/>
                <w:lang w:val="en-GB"/>
              </w:rPr>
              <w:t xml:space="preserve"> </w:t>
            </w:r>
          </w:p>
        </w:tc>
        <w:tc>
          <w:tcPr>
            <w:tcW w:w="674" w:type="dxa"/>
          </w:tcPr>
          <w:p w14:paraId="51EA6EDF" w14:textId="77777777" w:rsidR="00123B6E" w:rsidRPr="00662FA7" w:rsidRDefault="00123B6E" w:rsidP="00123B6E">
            <w:pPr>
              <w:spacing w:after="0" w:line="240" w:lineRule="auto"/>
              <w:jc w:val="right"/>
              <w:rPr>
                <w:sz w:val="20"/>
                <w:szCs w:val="20"/>
                <w:lang w:val="en-GB"/>
              </w:rPr>
            </w:pPr>
            <w:r w:rsidRPr="00662FA7">
              <w:rPr>
                <w:sz w:val="20"/>
                <w:szCs w:val="20"/>
                <w:lang w:val="en-GB"/>
              </w:rPr>
              <w:t>1</w:t>
            </w:r>
          </w:p>
        </w:tc>
      </w:tr>
      <w:tr w:rsidR="00123B6E" w:rsidRPr="00D62D04" w14:paraId="2D1C81DA" w14:textId="77777777" w:rsidTr="009756CB">
        <w:trPr>
          <w:trHeight w:val="309"/>
        </w:trPr>
        <w:tc>
          <w:tcPr>
            <w:tcW w:w="8749" w:type="dxa"/>
            <w:gridSpan w:val="3"/>
          </w:tcPr>
          <w:p w14:paraId="4D9FE2C8" w14:textId="77777777" w:rsidR="00123B6E" w:rsidRPr="00662FA7" w:rsidRDefault="00123B6E" w:rsidP="00123B6E">
            <w:pPr>
              <w:spacing w:after="0" w:line="240" w:lineRule="auto"/>
              <w:rPr>
                <w:sz w:val="20"/>
                <w:szCs w:val="20"/>
                <w:lang w:val="en-GB"/>
              </w:rPr>
            </w:pPr>
          </w:p>
          <w:p w14:paraId="09CC00E1" w14:textId="77777777" w:rsidR="00123B6E" w:rsidRPr="00662FA7" w:rsidRDefault="00662FA7" w:rsidP="00123B6E">
            <w:pPr>
              <w:spacing w:after="0" w:line="240" w:lineRule="auto"/>
              <w:jc w:val="center"/>
              <w:rPr>
                <w:sz w:val="20"/>
                <w:szCs w:val="20"/>
                <w:lang w:val="en-GB"/>
              </w:rPr>
            </w:pPr>
            <w:r w:rsidRPr="00662FA7">
              <w:rPr>
                <w:sz w:val="20"/>
                <w:szCs w:val="20"/>
                <w:lang w:val="en-GB"/>
              </w:rPr>
              <w:t>Roma national minority</w:t>
            </w:r>
          </w:p>
          <w:p w14:paraId="724A72A1" w14:textId="77777777" w:rsidR="00123B6E" w:rsidRPr="00662FA7" w:rsidRDefault="00123B6E" w:rsidP="00123B6E">
            <w:pPr>
              <w:spacing w:after="0" w:line="240" w:lineRule="auto"/>
              <w:rPr>
                <w:sz w:val="20"/>
                <w:szCs w:val="20"/>
                <w:lang w:val="en-GB"/>
              </w:rPr>
            </w:pPr>
          </w:p>
        </w:tc>
      </w:tr>
      <w:tr w:rsidR="00123B6E" w:rsidRPr="00D62D04" w14:paraId="2C37CAF1" w14:textId="77777777" w:rsidTr="009756CB">
        <w:trPr>
          <w:trHeight w:val="309"/>
        </w:trPr>
        <w:tc>
          <w:tcPr>
            <w:tcW w:w="5665" w:type="dxa"/>
          </w:tcPr>
          <w:p w14:paraId="39AE494F" w14:textId="77777777" w:rsidR="00123B6E" w:rsidRPr="00432070" w:rsidRDefault="00432070" w:rsidP="00123B6E">
            <w:pPr>
              <w:spacing w:after="0" w:line="240" w:lineRule="auto"/>
              <w:rPr>
                <w:sz w:val="20"/>
                <w:szCs w:val="20"/>
                <w:lang w:val="en-GB"/>
              </w:rPr>
            </w:pPr>
            <w:r w:rsidRPr="00432070">
              <w:rPr>
                <w:sz w:val="20"/>
                <w:szCs w:val="20"/>
                <w:lang w:val="en-GB"/>
              </w:rPr>
              <w:t xml:space="preserve">UNITY ROMA PARTY  </w:t>
            </w:r>
            <w:r w:rsidR="00123B6E" w:rsidRPr="00432070">
              <w:rPr>
                <w:sz w:val="20"/>
                <w:szCs w:val="20"/>
                <w:lang w:val="en-GB"/>
              </w:rPr>
              <w:t>– РОМАНИ СТРАНКА ЈЕКИПЕ – АДЕМ САЛИХИ – PARTIA ROME BASHKIMI – ROMANI STRANKA JEKIPE – ADEM SALIHI</w:t>
            </w:r>
          </w:p>
        </w:tc>
        <w:tc>
          <w:tcPr>
            <w:tcW w:w="2410" w:type="dxa"/>
          </w:tcPr>
          <w:p w14:paraId="6E3F2F9E" w14:textId="77777777" w:rsidR="00123B6E" w:rsidRPr="00432070" w:rsidRDefault="00432070" w:rsidP="00123B6E">
            <w:pPr>
              <w:spacing w:after="0" w:line="240" w:lineRule="auto"/>
              <w:rPr>
                <w:sz w:val="20"/>
                <w:szCs w:val="20"/>
                <w:lang w:val="en-GB"/>
              </w:rPr>
            </w:pPr>
            <w:proofErr w:type="spellStart"/>
            <w:r w:rsidRPr="00432070">
              <w:rPr>
                <w:sz w:val="20"/>
                <w:szCs w:val="20"/>
                <w:lang w:val="en-GB"/>
              </w:rPr>
              <w:t>Bujanovac</w:t>
            </w:r>
            <w:proofErr w:type="spellEnd"/>
            <w:r w:rsidRPr="00432070">
              <w:rPr>
                <w:sz w:val="20"/>
                <w:szCs w:val="20"/>
                <w:lang w:val="en-GB"/>
              </w:rPr>
              <w:t xml:space="preserve"> </w:t>
            </w:r>
          </w:p>
        </w:tc>
        <w:tc>
          <w:tcPr>
            <w:tcW w:w="674" w:type="dxa"/>
          </w:tcPr>
          <w:p w14:paraId="0912AB06" w14:textId="77777777" w:rsidR="00123B6E" w:rsidRPr="00432070" w:rsidRDefault="00123B6E" w:rsidP="00123B6E">
            <w:pPr>
              <w:spacing w:after="0" w:line="240" w:lineRule="auto"/>
              <w:jc w:val="right"/>
              <w:rPr>
                <w:sz w:val="20"/>
                <w:szCs w:val="20"/>
                <w:lang w:val="en-GB"/>
              </w:rPr>
            </w:pPr>
            <w:r w:rsidRPr="00432070">
              <w:rPr>
                <w:sz w:val="20"/>
                <w:szCs w:val="20"/>
                <w:lang w:val="en-GB"/>
              </w:rPr>
              <w:t>1</w:t>
            </w:r>
          </w:p>
        </w:tc>
      </w:tr>
      <w:tr w:rsidR="00123B6E" w:rsidRPr="00D62D04" w14:paraId="1F6DCDC3" w14:textId="77777777" w:rsidTr="009756CB">
        <w:trPr>
          <w:trHeight w:val="309"/>
        </w:trPr>
        <w:tc>
          <w:tcPr>
            <w:tcW w:w="5665" w:type="dxa"/>
          </w:tcPr>
          <w:p w14:paraId="73713725" w14:textId="77777777" w:rsidR="00123B6E" w:rsidRPr="00432070" w:rsidRDefault="00432070" w:rsidP="00432070">
            <w:pPr>
              <w:spacing w:after="0" w:line="240" w:lineRule="auto"/>
              <w:rPr>
                <w:sz w:val="20"/>
                <w:szCs w:val="20"/>
                <w:lang w:val="en-GB"/>
              </w:rPr>
            </w:pPr>
            <w:r w:rsidRPr="00432070">
              <w:rPr>
                <w:sz w:val="20"/>
                <w:szCs w:val="20"/>
                <w:lang w:val="en-GB"/>
              </w:rPr>
              <w:t xml:space="preserve">UNITED ROMA PARTY - URP </w:t>
            </w:r>
            <w:r w:rsidR="00123B6E" w:rsidRPr="00432070">
              <w:rPr>
                <w:sz w:val="20"/>
                <w:szCs w:val="20"/>
                <w:lang w:val="en-GB"/>
              </w:rPr>
              <w:t>– ЈПР – ФАИК ИСЕНИ – PARTIA E BASHKUAR ROME – PBR – JPR – FAIK ISENI</w:t>
            </w:r>
          </w:p>
        </w:tc>
        <w:tc>
          <w:tcPr>
            <w:tcW w:w="2410" w:type="dxa"/>
          </w:tcPr>
          <w:p w14:paraId="595D7E1A" w14:textId="77777777" w:rsidR="00123B6E" w:rsidRPr="00432070" w:rsidRDefault="00432070" w:rsidP="00123B6E">
            <w:pPr>
              <w:spacing w:after="0" w:line="240" w:lineRule="auto"/>
              <w:rPr>
                <w:sz w:val="20"/>
                <w:szCs w:val="20"/>
                <w:lang w:val="en-GB"/>
              </w:rPr>
            </w:pPr>
            <w:proofErr w:type="spellStart"/>
            <w:r w:rsidRPr="00432070">
              <w:rPr>
                <w:sz w:val="20"/>
                <w:szCs w:val="20"/>
                <w:lang w:val="en-GB"/>
              </w:rPr>
              <w:t>Bujanovac</w:t>
            </w:r>
            <w:proofErr w:type="spellEnd"/>
            <w:r w:rsidRPr="00432070">
              <w:rPr>
                <w:sz w:val="20"/>
                <w:szCs w:val="20"/>
                <w:lang w:val="en-GB"/>
              </w:rPr>
              <w:t xml:space="preserve"> </w:t>
            </w:r>
          </w:p>
        </w:tc>
        <w:tc>
          <w:tcPr>
            <w:tcW w:w="674" w:type="dxa"/>
          </w:tcPr>
          <w:p w14:paraId="72BB886E" w14:textId="77777777" w:rsidR="00123B6E" w:rsidRPr="00432070" w:rsidRDefault="00123B6E" w:rsidP="00123B6E">
            <w:pPr>
              <w:spacing w:after="0" w:line="240" w:lineRule="auto"/>
              <w:jc w:val="right"/>
              <w:rPr>
                <w:sz w:val="20"/>
                <w:szCs w:val="20"/>
                <w:lang w:val="en-GB"/>
              </w:rPr>
            </w:pPr>
            <w:r w:rsidRPr="00432070">
              <w:rPr>
                <w:sz w:val="20"/>
                <w:szCs w:val="20"/>
                <w:lang w:val="en-GB"/>
              </w:rPr>
              <w:t>1</w:t>
            </w:r>
          </w:p>
        </w:tc>
      </w:tr>
      <w:tr w:rsidR="00123B6E" w:rsidRPr="00D62D04" w14:paraId="4C3CEFA8" w14:textId="77777777" w:rsidTr="009756CB">
        <w:trPr>
          <w:trHeight w:val="309"/>
        </w:trPr>
        <w:tc>
          <w:tcPr>
            <w:tcW w:w="8749" w:type="dxa"/>
            <w:gridSpan w:val="3"/>
          </w:tcPr>
          <w:p w14:paraId="527B7799" w14:textId="77777777" w:rsidR="00123B6E" w:rsidRPr="00FE08D5" w:rsidRDefault="00123B6E" w:rsidP="00123B6E">
            <w:pPr>
              <w:spacing w:after="0" w:line="240" w:lineRule="auto"/>
              <w:rPr>
                <w:sz w:val="20"/>
                <w:szCs w:val="20"/>
                <w:lang w:val="en-GB"/>
              </w:rPr>
            </w:pPr>
          </w:p>
          <w:p w14:paraId="65A8068A" w14:textId="77777777" w:rsidR="00123B6E" w:rsidRPr="00FE08D5" w:rsidRDefault="00FE08D5" w:rsidP="00123B6E">
            <w:pPr>
              <w:spacing w:after="0" w:line="240" w:lineRule="auto"/>
              <w:jc w:val="center"/>
              <w:rPr>
                <w:sz w:val="20"/>
                <w:szCs w:val="20"/>
                <w:lang w:val="en-GB"/>
              </w:rPr>
            </w:pPr>
            <w:r w:rsidRPr="00FE08D5">
              <w:rPr>
                <w:sz w:val="20"/>
                <w:szCs w:val="20"/>
                <w:lang w:val="en-GB"/>
              </w:rPr>
              <w:t>Russian national minority</w:t>
            </w:r>
          </w:p>
          <w:p w14:paraId="7A0FD3CA" w14:textId="77777777" w:rsidR="00123B6E" w:rsidRPr="00FE08D5" w:rsidRDefault="00123B6E" w:rsidP="00123B6E">
            <w:pPr>
              <w:spacing w:after="0" w:line="240" w:lineRule="auto"/>
              <w:rPr>
                <w:sz w:val="20"/>
                <w:szCs w:val="20"/>
                <w:lang w:val="en-GB"/>
              </w:rPr>
            </w:pPr>
          </w:p>
        </w:tc>
      </w:tr>
      <w:tr w:rsidR="00123B6E" w:rsidRPr="00FE08D5" w14:paraId="5EC44D49" w14:textId="77777777" w:rsidTr="009756CB">
        <w:trPr>
          <w:trHeight w:val="309"/>
        </w:trPr>
        <w:tc>
          <w:tcPr>
            <w:tcW w:w="5665" w:type="dxa"/>
            <w:vMerge w:val="restart"/>
            <w:vAlign w:val="center"/>
          </w:tcPr>
          <w:p w14:paraId="58C2E2DC" w14:textId="77777777" w:rsidR="00123B6E" w:rsidRPr="00FE08D5" w:rsidRDefault="00FE08D5" w:rsidP="00123B6E">
            <w:pPr>
              <w:spacing w:after="0" w:line="240" w:lineRule="auto"/>
              <w:rPr>
                <w:sz w:val="20"/>
                <w:szCs w:val="20"/>
                <w:lang w:val="en-GB"/>
              </w:rPr>
            </w:pPr>
            <w:r w:rsidRPr="00FE08D5">
              <w:rPr>
                <w:sz w:val="20"/>
                <w:szCs w:val="20"/>
                <w:lang w:val="en-GB"/>
              </w:rPr>
              <w:t>PARTY OF RUSSIAN OF SERBIA</w:t>
            </w:r>
          </w:p>
        </w:tc>
        <w:tc>
          <w:tcPr>
            <w:tcW w:w="2410" w:type="dxa"/>
          </w:tcPr>
          <w:p w14:paraId="4786022A" w14:textId="77777777" w:rsidR="00123B6E" w:rsidRPr="00FE08D5" w:rsidRDefault="00FE08D5" w:rsidP="00123B6E">
            <w:pPr>
              <w:spacing w:after="0" w:line="240" w:lineRule="auto"/>
              <w:rPr>
                <w:sz w:val="20"/>
                <w:szCs w:val="20"/>
                <w:lang w:val="en-GB"/>
              </w:rPr>
            </w:pPr>
            <w:proofErr w:type="spellStart"/>
            <w:r w:rsidRPr="00FE08D5">
              <w:rPr>
                <w:sz w:val="20"/>
                <w:szCs w:val="20"/>
                <w:lang w:val="en-GB"/>
              </w:rPr>
              <w:t>Aleksinac</w:t>
            </w:r>
            <w:proofErr w:type="spellEnd"/>
            <w:r w:rsidRPr="00FE08D5">
              <w:rPr>
                <w:sz w:val="20"/>
                <w:szCs w:val="20"/>
                <w:lang w:val="en-GB"/>
              </w:rPr>
              <w:t xml:space="preserve"> </w:t>
            </w:r>
          </w:p>
        </w:tc>
        <w:tc>
          <w:tcPr>
            <w:tcW w:w="674" w:type="dxa"/>
          </w:tcPr>
          <w:p w14:paraId="7B0DE2D7" w14:textId="77777777" w:rsidR="00123B6E" w:rsidRPr="00FE08D5" w:rsidRDefault="00123B6E" w:rsidP="00123B6E">
            <w:pPr>
              <w:spacing w:after="0" w:line="240" w:lineRule="auto"/>
              <w:jc w:val="right"/>
              <w:rPr>
                <w:sz w:val="20"/>
                <w:szCs w:val="20"/>
                <w:lang w:val="en-GB"/>
              </w:rPr>
            </w:pPr>
            <w:r w:rsidRPr="00FE08D5">
              <w:rPr>
                <w:sz w:val="20"/>
                <w:szCs w:val="20"/>
                <w:lang w:val="en-GB"/>
              </w:rPr>
              <w:t>1</w:t>
            </w:r>
          </w:p>
        </w:tc>
      </w:tr>
      <w:tr w:rsidR="00123B6E" w:rsidRPr="00D62D04" w14:paraId="1900EC79" w14:textId="77777777" w:rsidTr="009756CB">
        <w:trPr>
          <w:trHeight w:val="309"/>
        </w:trPr>
        <w:tc>
          <w:tcPr>
            <w:tcW w:w="5665" w:type="dxa"/>
            <w:vMerge/>
          </w:tcPr>
          <w:p w14:paraId="2BD5DB0A" w14:textId="77777777" w:rsidR="00123B6E" w:rsidRPr="00FE08D5" w:rsidRDefault="00123B6E" w:rsidP="00123B6E">
            <w:pPr>
              <w:spacing w:after="0" w:line="240" w:lineRule="auto"/>
              <w:rPr>
                <w:sz w:val="20"/>
                <w:szCs w:val="20"/>
                <w:lang w:val="en-GB"/>
              </w:rPr>
            </w:pPr>
          </w:p>
        </w:tc>
        <w:tc>
          <w:tcPr>
            <w:tcW w:w="2410" w:type="dxa"/>
          </w:tcPr>
          <w:p w14:paraId="4640C93A" w14:textId="77777777" w:rsidR="00123B6E" w:rsidRPr="00FE08D5" w:rsidRDefault="00662FA7" w:rsidP="00123B6E">
            <w:pPr>
              <w:spacing w:after="0" w:line="240" w:lineRule="auto"/>
              <w:rPr>
                <w:sz w:val="20"/>
                <w:szCs w:val="20"/>
                <w:lang w:val="en-GB"/>
              </w:rPr>
            </w:pPr>
            <w:proofErr w:type="spellStart"/>
            <w:r w:rsidRPr="00FE08D5">
              <w:rPr>
                <w:sz w:val="20"/>
                <w:szCs w:val="20"/>
                <w:lang w:val="en-GB"/>
              </w:rPr>
              <w:t>Čačak</w:t>
            </w:r>
            <w:proofErr w:type="spellEnd"/>
          </w:p>
        </w:tc>
        <w:tc>
          <w:tcPr>
            <w:tcW w:w="674" w:type="dxa"/>
          </w:tcPr>
          <w:p w14:paraId="3E74918F" w14:textId="77777777" w:rsidR="00123B6E" w:rsidRPr="00FE08D5" w:rsidRDefault="00123B6E" w:rsidP="00123B6E">
            <w:pPr>
              <w:spacing w:after="0" w:line="240" w:lineRule="auto"/>
              <w:jc w:val="right"/>
              <w:rPr>
                <w:sz w:val="20"/>
                <w:szCs w:val="20"/>
                <w:lang w:val="en-GB"/>
              </w:rPr>
            </w:pPr>
            <w:r w:rsidRPr="00FE08D5">
              <w:rPr>
                <w:sz w:val="20"/>
                <w:szCs w:val="20"/>
                <w:lang w:val="en-GB"/>
              </w:rPr>
              <w:t>1</w:t>
            </w:r>
          </w:p>
        </w:tc>
      </w:tr>
      <w:tr w:rsidR="00123B6E" w:rsidRPr="00D62D04" w14:paraId="7B1C0BBA" w14:textId="77777777" w:rsidTr="009756CB">
        <w:trPr>
          <w:trHeight w:val="309"/>
        </w:trPr>
        <w:tc>
          <w:tcPr>
            <w:tcW w:w="5665" w:type="dxa"/>
          </w:tcPr>
          <w:p w14:paraId="537CA969" w14:textId="77777777" w:rsidR="00123B6E" w:rsidRPr="00FE08D5" w:rsidRDefault="00FE08D5" w:rsidP="00FE08D5">
            <w:pPr>
              <w:spacing w:after="0" w:line="240" w:lineRule="auto"/>
              <w:rPr>
                <w:sz w:val="20"/>
                <w:szCs w:val="20"/>
                <w:lang w:val="en-GB"/>
              </w:rPr>
            </w:pPr>
            <w:r w:rsidRPr="00FE08D5">
              <w:rPr>
                <w:sz w:val="20"/>
                <w:szCs w:val="20"/>
                <w:lang w:val="en-GB"/>
              </w:rPr>
              <w:t>WOLVES SERBIAN RUSSIAN PARTY</w:t>
            </w:r>
          </w:p>
        </w:tc>
        <w:tc>
          <w:tcPr>
            <w:tcW w:w="2410" w:type="dxa"/>
          </w:tcPr>
          <w:p w14:paraId="707BF79C" w14:textId="77777777" w:rsidR="00123B6E" w:rsidRPr="00FE08D5" w:rsidRDefault="00FE08D5" w:rsidP="00123B6E">
            <w:pPr>
              <w:spacing w:after="0" w:line="240" w:lineRule="auto"/>
              <w:rPr>
                <w:sz w:val="20"/>
                <w:szCs w:val="20"/>
                <w:lang w:val="en-GB"/>
              </w:rPr>
            </w:pPr>
            <w:proofErr w:type="spellStart"/>
            <w:r w:rsidRPr="00FE08D5">
              <w:rPr>
                <w:sz w:val="20"/>
                <w:szCs w:val="20"/>
                <w:lang w:val="en-GB"/>
              </w:rPr>
              <w:t>Velika</w:t>
            </w:r>
            <w:proofErr w:type="spellEnd"/>
            <w:r w:rsidRPr="00FE08D5">
              <w:rPr>
                <w:sz w:val="20"/>
                <w:szCs w:val="20"/>
                <w:lang w:val="en-GB"/>
              </w:rPr>
              <w:t xml:space="preserve"> Plana</w:t>
            </w:r>
          </w:p>
        </w:tc>
        <w:tc>
          <w:tcPr>
            <w:tcW w:w="674" w:type="dxa"/>
          </w:tcPr>
          <w:p w14:paraId="5ED70D09" w14:textId="77777777" w:rsidR="00123B6E" w:rsidRPr="00FE08D5" w:rsidRDefault="00123B6E" w:rsidP="00123B6E">
            <w:pPr>
              <w:spacing w:after="0" w:line="240" w:lineRule="auto"/>
              <w:jc w:val="right"/>
              <w:rPr>
                <w:sz w:val="20"/>
                <w:szCs w:val="20"/>
                <w:lang w:val="en-GB"/>
              </w:rPr>
            </w:pPr>
            <w:r w:rsidRPr="00FE08D5">
              <w:rPr>
                <w:sz w:val="20"/>
                <w:szCs w:val="20"/>
                <w:lang w:val="en-GB"/>
              </w:rPr>
              <w:t>1</w:t>
            </w:r>
          </w:p>
        </w:tc>
      </w:tr>
      <w:tr w:rsidR="00123B6E" w:rsidRPr="00D62D04" w14:paraId="7CC53B24" w14:textId="77777777" w:rsidTr="009756CB">
        <w:trPr>
          <w:trHeight w:val="309"/>
        </w:trPr>
        <w:tc>
          <w:tcPr>
            <w:tcW w:w="5665" w:type="dxa"/>
            <w:vMerge w:val="restart"/>
            <w:vAlign w:val="center"/>
          </w:tcPr>
          <w:p w14:paraId="7DFAC944" w14:textId="77777777" w:rsidR="00123B6E" w:rsidRPr="008940E1" w:rsidRDefault="008940E1" w:rsidP="00123B6E">
            <w:pPr>
              <w:spacing w:after="0" w:line="240" w:lineRule="auto"/>
              <w:rPr>
                <w:sz w:val="20"/>
                <w:szCs w:val="20"/>
                <w:lang w:val="en-GB"/>
              </w:rPr>
            </w:pPr>
            <w:r w:rsidRPr="008940E1">
              <w:rPr>
                <w:sz w:val="20"/>
                <w:szCs w:val="20"/>
                <w:lang w:val="en-GB"/>
              </w:rPr>
              <w:t>RUSSIAN PARTY</w:t>
            </w:r>
            <w:r w:rsidR="00123B6E" w:rsidRPr="008940E1">
              <w:rPr>
                <w:sz w:val="20"/>
                <w:szCs w:val="20"/>
                <w:lang w:val="en-GB"/>
              </w:rPr>
              <w:t xml:space="preserve"> </w:t>
            </w:r>
          </w:p>
        </w:tc>
        <w:tc>
          <w:tcPr>
            <w:tcW w:w="2410" w:type="dxa"/>
          </w:tcPr>
          <w:p w14:paraId="190828B9" w14:textId="77777777" w:rsidR="00123B6E" w:rsidRPr="008940E1" w:rsidRDefault="008940E1" w:rsidP="00123B6E">
            <w:pPr>
              <w:spacing w:after="0" w:line="240" w:lineRule="auto"/>
              <w:rPr>
                <w:sz w:val="20"/>
                <w:szCs w:val="20"/>
                <w:lang w:val="en-GB"/>
              </w:rPr>
            </w:pPr>
            <w:proofErr w:type="spellStart"/>
            <w:r w:rsidRPr="008940E1">
              <w:rPr>
                <w:sz w:val="20"/>
                <w:szCs w:val="20"/>
                <w:lang w:val="en-GB"/>
              </w:rPr>
              <w:t>Vladičin</w:t>
            </w:r>
            <w:proofErr w:type="spellEnd"/>
            <w:r w:rsidRPr="008940E1">
              <w:rPr>
                <w:sz w:val="20"/>
                <w:szCs w:val="20"/>
                <w:lang w:val="en-GB"/>
              </w:rPr>
              <w:t xml:space="preserve"> Han</w:t>
            </w:r>
          </w:p>
        </w:tc>
        <w:tc>
          <w:tcPr>
            <w:tcW w:w="674" w:type="dxa"/>
          </w:tcPr>
          <w:p w14:paraId="690EEDCA" w14:textId="77777777" w:rsidR="00123B6E" w:rsidRPr="008940E1" w:rsidRDefault="00123B6E" w:rsidP="00123B6E">
            <w:pPr>
              <w:spacing w:after="0" w:line="240" w:lineRule="auto"/>
              <w:jc w:val="right"/>
              <w:rPr>
                <w:sz w:val="20"/>
                <w:szCs w:val="20"/>
                <w:lang w:val="en-GB"/>
              </w:rPr>
            </w:pPr>
            <w:r w:rsidRPr="008940E1">
              <w:rPr>
                <w:sz w:val="20"/>
                <w:szCs w:val="20"/>
                <w:lang w:val="en-GB"/>
              </w:rPr>
              <w:t>1</w:t>
            </w:r>
          </w:p>
        </w:tc>
      </w:tr>
      <w:tr w:rsidR="00123B6E" w:rsidRPr="00D62D04" w14:paraId="435D5D84" w14:textId="77777777" w:rsidTr="009756CB">
        <w:trPr>
          <w:trHeight w:val="309"/>
        </w:trPr>
        <w:tc>
          <w:tcPr>
            <w:tcW w:w="5665" w:type="dxa"/>
            <w:vMerge/>
          </w:tcPr>
          <w:p w14:paraId="357ACF56" w14:textId="77777777" w:rsidR="00123B6E" w:rsidRPr="008940E1" w:rsidRDefault="00123B6E" w:rsidP="00123B6E">
            <w:pPr>
              <w:spacing w:after="0" w:line="240" w:lineRule="auto"/>
              <w:rPr>
                <w:sz w:val="20"/>
                <w:szCs w:val="20"/>
                <w:lang w:val="en-GB"/>
              </w:rPr>
            </w:pPr>
          </w:p>
        </w:tc>
        <w:tc>
          <w:tcPr>
            <w:tcW w:w="2410" w:type="dxa"/>
          </w:tcPr>
          <w:p w14:paraId="4370E870" w14:textId="77777777" w:rsidR="00123B6E" w:rsidRPr="008940E1" w:rsidRDefault="008940E1" w:rsidP="00123B6E">
            <w:pPr>
              <w:spacing w:after="0" w:line="240" w:lineRule="auto"/>
              <w:rPr>
                <w:sz w:val="20"/>
                <w:szCs w:val="20"/>
                <w:lang w:val="en-GB"/>
              </w:rPr>
            </w:pPr>
            <w:proofErr w:type="spellStart"/>
            <w:r w:rsidRPr="008940E1">
              <w:rPr>
                <w:sz w:val="20"/>
                <w:szCs w:val="20"/>
                <w:lang w:val="en-GB"/>
              </w:rPr>
              <w:t>Niš</w:t>
            </w:r>
            <w:proofErr w:type="spellEnd"/>
          </w:p>
        </w:tc>
        <w:tc>
          <w:tcPr>
            <w:tcW w:w="674" w:type="dxa"/>
          </w:tcPr>
          <w:p w14:paraId="5D91F47E" w14:textId="77777777" w:rsidR="00123B6E" w:rsidRPr="008940E1" w:rsidRDefault="00123B6E" w:rsidP="00123B6E">
            <w:pPr>
              <w:spacing w:after="0" w:line="240" w:lineRule="auto"/>
              <w:jc w:val="right"/>
              <w:rPr>
                <w:sz w:val="20"/>
                <w:szCs w:val="20"/>
                <w:lang w:val="en-GB"/>
              </w:rPr>
            </w:pPr>
            <w:r w:rsidRPr="008940E1">
              <w:rPr>
                <w:sz w:val="20"/>
                <w:szCs w:val="20"/>
                <w:lang w:val="en-GB"/>
              </w:rPr>
              <w:t>1</w:t>
            </w:r>
          </w:p>
        </w:tc>
      </w:tr>
      <w:tr w:rsidR="00123B6E" w:rsidRPr="00D62D04" w14:paraId="7192DA69" w14:textId="77777777" w:rsidTr="009756CB">
        <w:trPr>
          <w:trHeight w:val="309"/>
        </w:trPr>
        <w:tc>
          <w:tcPr>
            <w:tcW w:w="5665" w:type="dxa"/>
            <w:vMerge/>
          </w:tcPr>
          <w:p w14:paraId="6FD95F53" w14:textId="77777777" w:rsidR="00123B6E" w:rsidRPr="008940E1" w:rsidRDefault="00123B6E" w:rsidP="00123B6E">
            <w:pPr>
              <w:spacing w:after="0" w:line="240" w:lineRule="auto"/>
              <w:rPr>
                <w:sz w:val="20"/>
                <w:szCs w:val="20"/>
                <w:lang w:val="en-GB"/>
              </w:rPr>
            </w:pPr>
          </w:p>
        </w:tc>
        <w:tc>
          <w:tcPr>
            <w:tcW w:w="2410" w:type="dxa"/>
          </w:tcPr>
          <w:p w14:paraId="012AF335" w14:textId="77777777" w:rsidR="00123B6E" w:rsidRPr="008940E1" w:rsidRDefault="008940E1" w:rsidP="00123B6E">
            <w:pPr>
              <w:spacing w:after="0" w:line="240" w:lineRule="auto"/>
              <w:rPr>
                <w:sz w:val="20"/>
                <w:szCs w:val="20"/>
                <w:lang w:val="en-GB"/>
              </w:rPr>
            </w:pPr>
            <w:proofErr w:type="spellStart"/>
            <w:r w:rsidRPr="008940E1">
              <w:rPr>
                <w:sz w:val="20"/>
                <w:szCs w:val="20"/>
                <w:lang w:val="en-GB"/>
              </w:rPr>
              <w:t>Niš</w:t>
            </w:r>
            <w:proofErr w:type="spellEnd"/>
            <w:r w:rsidRPr="008940E1">
              <w:rPr>
                <w:sz w:val="20"/>
                <w:szCs w:val="20"/>
                <w:lang w:val="en-GB"/>
              </w:rPr>
              <w:t xml:space="preserve"> - </w:t>
            </w:r>
            <w:proofErr w:type="spellStart"/>
            <w:r w:rsidRPr="008940E1">
              <w:rPr>
                <w:sz w:val="20"/>
                <w:szCs w:val="20"/>
                <w:lang w:val="en-GB"/>
              </w:rPr>
              <w:t>Medijana</w:t>
            </w:r>
            <w:proofErr w:type="spellEnd"/>
          </w:p>
        </w:tc>
        <w:tc>
          <w:tcPr>
            <w:tcW w:w="674" w:type="dxa"/>
          </w:tcPr>
          <w:p w14:paraId="67C0FC10" w14:textId="77777777" w:rsidR="00123B6E" w:rsidRPr="008940E1" w:rsidRDefault="00123B6E" w:rsidP="00123B6E">
            <w:pPr>
              <w:spacing w:after="0" w:line="240" w:lineRule="auto"/>
              <w:jc w:val="right"/>
              <w:rPr>
                <w:sz w:val="20"/>
                <w:szCs w:val="20"/>
                <w:lang w:val="en-GB"/>
              </w:rPr>
            </w:pPr>
            <w:r w:rsidRPr="008940E1">
              <w:rPr>
                <w:sz w:val="20"/>
                <w:szCs w:val="20"/>
                <w:lang w:val="en-GB"/>
              </w:rPr>
              <w:t>1</w:t>
            </w:r>
          </w:p>
        </w:tc>
      </w:tr>
      <w:tr w:rsidR="00123B6E" w:rsidRPr="00D62D04" w14:paraId="6BDE6DE7" w14:textId="77777777" w:rsidTr="009756CB">
        <w:trPr>
          <w:trHeight w:val="309"/>
        </w:trPr>
        <w:tc>
          <w:tcPr>
            <w:tcW w:w="5665" w:type="dxa"/>
            <w:vMerge/>
          </w:tcPr>
          <w:p w14:paraId="29D1E954" w14:textId="77777777" w:rsidR="00123B6E" w:rsidRPr="008940E1" w:rsidRDefault="00123B6E" w:rsidP="00123B6E">
            <w:pPr>
              <w:spacing w:after="0" w:line="240" w:lineRule="auto"/>
              <w:rPr>
                <w:sz w:val="20"/>
                <w:szCs w:val="20"/>
                <w:lang w:val="en-GB"/>
              </w:rPr>
            </w:pPr>
          </w:p>
        </w:tc>
        <w:tc>
          <w:tcPr>
            <w:tcW w:w="2410" w:type="dxa"/>
          </w:tcPr>
          <w:p w14:paraId="74F106AA" w14:textId="77777777" w:rsidR="00123B6E" w:rsidRPr="008940E1" w:rsidRDefault="008940E1" w:rsidP="00123B6E">
            <w:pPr>
              <w:spacing w:after="0" w:line="240" w:lineRule="auto"/>
              <w:rPr>
                <w:sz w:val="20"/>
                <w:szCs w:val="20"/>
                <w:lang w:val="en-GB"/>
              </w:rPr>
            </w:pPr>
            <w:proofErr w:type="spellStart"/>
            <w:r w:rsidRPr="008940E1">
              <w:rPr>
                <w:sz w:val="20"/>
                <w:szCs w:val="20"/>
                <w:lang w:val="en-GB"/>
              </w:rPr>
              <w:t>Niš</w:t>
            </w:r>
            <w:proofErr w:type="spellEnd"/>
            <w:r w:rsidRPr="008940E1">
              <w:rPr>
                <w:sz w:val="20"/>
                <w:szCs w:val="20"/>
                <w:lang w:val="en-GB"/>
              </w:rPr>
              <w:t xml:space="preserve"> – </w:t>
            </w:r>
            <w:proofErr w:type="spellStart"/>
            <w:r w:rsidRPr="008940E1">
              <w:rPr>
                <w:sz w:val="20"/>
                <w:szCs w:val="20"/>
                <w:lang w:val="en-GB"/>
              </w:rPr>
              <w:t>Niška</w:t>
            </w:r>
            <w:proofErr w:type="spellEnd"/>
            <w:r w:rsidRPr="008940E1">
              <w:rPr>
                <w:sz w:val="20"/>
                <w:szCs w:val="20"/>
                <w:lang w:val="en-GB"/>
              </w:rPr>
              <w:t xml:space="preserve"> Banja</w:t>
            </w:r>
          </w:p>
        </w:tc>
        <w:tc>
          <w:tcPr>
            <w:tcW w:w="674" w:type="dxa"/>
          </w:tcPr>
          <w:p w14:paraId="5D99AF14" w14:textId="77777777" w:rsidR="00123B6E" w:rsidRPr="008940E1" w:rsidRDefault="00123B6E" w:rsidP="00123B6E">
            <w:pPr>
              <w:spacing w:after="0" w:line="240" w:lineRule="auto"/>
              <w:jc w:val="right"/>
              <w:rPr>
                <w:sz w:val="20"/>
                <w:szCs w:val="20"/>
                <w:lang w:val="en-GB"/>
              </w:rPr>
            </w:pPr>
            <w:r w:rsidRPr="008940E1">
              <w:rPr>
                <w:sz w:val="20"/>
                <w:szCs w:val="20"/>
                <w:lang w:val="en-GB"/>
              </w:rPr>
              <w:t>2</w:t>
            </w:r>
          </w:p>
        </w:tc>
      </w:tr>
      <w:tr w:rsidR="00123B6E" w:rsidRPr="00D62D04" w14:paraId="42EA7261" w14:textId="77777777" w:rsidTr="009756CB">
        <w:trPr>
          <w:trHeight w:val="309"/>
        </w:trPr>
        <w:tc>
          <w:tcPr>
            <w:tcW w:w="5665" w:type="dxa"/>
            <w:vMerge/>
          </w:tcPr>
          <w:p w14:paraId="4F2B1660" w14:textId="77777777" w:rsidR="00123B6E" w:rsidRPr="008940E1" w:rsidRDefault="00123B6E" w:rsidP="00123B6E">
            <w:pPr>
              <w:spacing w:after="0" w:line="240" w:lineRule="auto"/>
              <w:rPr>
                <w:sz w:val="20"/>
                <w:szCs w:val="20"/>
                <w:lang w:val="en-GB"/>
              </w:rPr>
            </w:pPr>
          </w:p>
        </w:tc>
        <w:tc>
          <w:tcPr>
            <w:tcW w:w="2410" w:type="dxa"/>
          </w:tcPr>
          <w:p w14:paraId="43064A99" w14:textId="77777777" w:rsidR="00123B6E" w:rsidRPr="008940E1" w:rsidRDefault="008940E1" w:rsidP="00123B6E">
            <w:pPr>
              <w:spacing w:after="0" w:line="240" w:lineRule="auto"/>
              <w:rPr>
                <w:sz w:val="20"/>
                <w:szCs w:val="20"/>
                <w:lang w:val="en-GB"/>
              </w:rPr>
            </w:pPr>
            <w:r w:rsidRPr="008940E1">
              <w:rPr>
                <w:sz w:val="20"/>
                <w:szCs w:val="20"/>
                <w:lang w:val="en-GB"/>
              </w:rPr>
              <w:t>Novi Sad</w:t>
            </w:r>
          </w:p>
        </w:tc>
        <w:tc>
          <w:tcPr>
            <w:tcW w:w="674" w:type="dxa"/>
          </w:tcPr>
          <w:p w14:paraId="6368B4BC" w14:textId="77777777" w:rsidR="00123B6E" w:rsidRPr="008940E1" w:rsidRDefault="00123B6E" w:rsidP="00123B6E">
            <w:pPr>
              <w:spacing w:after="0" w:line="240" w:lineRule="auto"/>
              <w:jc w:val="right"/>
              <w:rPr>
                <w:sz w:val="20"/>
                <w:szCs w:val="20"/>
                <w:lang w:val="en-GB"/>
              </w:rPr>
            </w:pPr>
            <w:r w:rsidRPr="008940E1">
              <w:rPr>
                <w:sz w:val="20"/>
                <w:szCs w:val="20"/>
                <w:lang w:val="en-GB"/>
              </w:rPr>
              <w:t>1</w:t>
            </w:r>
          </w:p>
        </w:tc>
      </w:tr>
      <w:tr w:rsidR="00123B6E" w:rsidRPr="00D62D04" w14:paraId="096594DD" w14:textId="77777777" w:rsidTr="009756CB">
        <w:trPr>
          <w:trHeight w:val="309"/>
        </w:trPr>
        <w:tc>
          <w:tcPr>
            <w:tcW w:w="5665" w:type="dxa"/>
            <w:vMerge/>
          </w:tcPr>
          <w:p w14:paraId="3732C429" w14:textId="77777777" w:rsidR="00123B6E" w:rsidRPr="008940E1" w:rsidRDefault="00123B6E" w:rsidP="00123B6E">
            <w:pPr>
              <w:spacing w:after="0" w:line="240" w:lineRule="auto"/>
              <w:rPr>
                <w:sz w:val="20"/>
                <w:szCs w:val="20"/>
                <w:lang w:val="en-GB"/>
              </w:rPr>
            </w:pPr>
          </w:p>
        </w:tc>
        <w:tc>
          <w:tcPr>
            <w:tcW w:w="2410" w:type="dxa"/>
          </w:tcPr>
          <w:p w14:paraId="319C3954" w14:textId="77777777" w:rsidR="00123B6E" w:rsidRPr="008940E1" w:rsidRDefault="008940E1" w:rsidP="00123B6E">
            <w:pPr>
              <w:spacing w:after="0" w:line="240" w:lineRule="auto"/>
              <w:rPr>
                <w:sz w:val="20"/>
                <w:szCs w:val="20"/>
                <w:lang w:val="en-GB"/>
              </w:rPr>
            </w:pPr>
            <w:r w:rsidRPr="008940E1">
              <w:rPr>
                <w:sz w:val="20"/>
                <w:szCs w:val="20"/>
                <w:lang w:val="en-GB"/>
              </w:rPr>
              <w:t xml:space="preserve">Subotica </w:t>
            </w:r>
          </w:p>
        </w:tc>
        <w:tc>
          <w:tcPr>
            <w:tcW w:w="674" w:type="dxa"/>
          </w:tcPr>
          <w:p w14:paraId="51501C96" w14:textId="77777777" w:rsidR="00123B6E" w:rsidRPr="008940E1" w:rsidRDefault="00123B6E" w:rsidP="00123B6E">
            <w:pPr>
              <w:spacing w:after="0" w:line="240" w:lineRule="auto"/>
              <w:jc w:val="right"/>
              <w:rPr>
                <w:sz w:val="20"/>
                <w:szCs w:val="20"/>
                <w:lang w:val="en-GB"/>
              </w:rPr>
            </w:pPr>
            <w:r w:rsidRPr="008940E1">
              <w:rPr>
                <w:sz w:val="20"/>
                <w:szCs w:val="20"/>
                <w:lang w:val="en-GB"/>
              </w:rPr>
              <w:t>1</w:t>
            </w:r>
          </w:p>
        </w:tc>
      </w:tr>
      <w:tr w:rsidR="00123B6E" w:rsidRPr="00D62D04" w14:paraId="681ACA32" w14:textId="77777777" w:rsidTr="009756CB">
        <w:trPr>
          <w:trHeight w:val="309"/>
        </w:trPr>
        <w:tc>
          <w:tcPr>
            <w:tcW w:w="5665" w:type="dxa"/>
          </w:tcPr>
          <w:p w14:paraId="190CAB1E" w14:textId="77777777" w:rsidR="00123B6E" w:rsidRPr="00252116" w:rsidRDefault="00252116" w:rsidP="00123B6E">
            <w:pPr>
              <w:spacing w:after="0" w:line="240" w:lineRule="auto"/>
              <w:rPr>
                <w:sz w:val="20"/>
                <w:szCs w:val="20"/>
                <w:lang w:val="en-GB"/>
              </w:rPr>
            </w:pPr>
            <w:r w:rsidRPr="00252116">
              <w:rPr>
                <w:sz w:val="20"/>
                <w:szCs w:val="20"/>
                <w:lang w:val="en-GB"/>
              </w:rPr>
              <w:t xml:space="preserve">IVICA DAČIĆ - "Socialist Party of Serbia (SPS), United Russian Party (JRS) - </w:t>
            </w:r>
            <w:proofErr w:type="spellStart"/>
            <w:r w:rsidRPr="00252116">
              <w:rPr>
                <w:sz w:val="20"/>
                <w:szCs w:val="20"/>
                <w:lang w:val="en-GB"/>
              </w:rPr>
              <w:t>Žanna</w:t>
            </w:r>
            <w:proofErr w:type="spellEnd"/>
            <w:r w:rsidRPr="00252116">
              <w:rPr>
                <w:sz w:val="20"/>
                <w:szCs w:val="20"/>
                <w:lang w:val="en-GB"/>
              </w:rPr>
              <w:t xml:space="preserve"> </w:t>
            </w:r>
            <w:proofErr w:type="spellStart"/>
            <w:r w:rsidRPr="00252116">
              <w:rPr>
                <w:sz w:val="20"/>
                <w:szCs w:val="20"/>
                <w:lang w:val="en-GB"/>
              </w:rPr>
              <w:t>Knežević</w:t>
            </w:r>
            <w:proofErr w:type="spellEnd"/>
            <w:r w:rsidRPr="00252116">
              <w:rPr>
                <w:sz w:val="20"/>
                <w:szCs w:val="20"/>
                <w:lang w:val="en-GB"/>
              </w:rPr>
              <w:t>"</w:t>
            </w:r>
          </w:p>
        </w:tc>
        <w:tc>
          <w:tcPr>
            <w:tcW w:w="2410" w:type="dxa"/>
          </w:tcPr>
          <w:p w14:paraId="160D66A8" w14:textId="77777777" w:rsidR="00123B6E" w:rsidRPr="00252116" w:rsidRDefault="008940E1" w:rsidP="00123B6E">
            <w:pPr>
              <w:spacing w:after="0" w:line="240" w:lineRule="auto"/>
              <w:rPr>
                <w:sz w:val="20"/>
                <w:szCs w:val="20"/>
                <w:lang w:val="en-GB"/>
              </w:rPr>
            </w:pPr>
            <w:proofErr w:type="spellStart"/>
            <w:r w:rsidRPr="00252116">
              <w:rPr>
                <w:sz w:val="20"/>
                <w:szCs w:val="20"/>
                <w:lang w:val="en-GB"/>
              </w:rPr>
              <w:t>Opovo</w:t>
            </w:r>
            <w:proofErr w:type="spellEnd"/>
            <w:r w:rsidRPr="00252116">
              <w:rPr>
                <w:sz w:val="20"/>
                <w:szCs w:val="20"/>
                <w:lang w:val="en-GB"/>
              </w:rPr>
              <w:t xml:space="preserve"> </w:t>
            </w:r>
          </w:p>
        </w:tc>
        <w:tc>
          <w:tcPr>
            <w:tcW w:w="674" w:type="dxa"/>
          </w:tcPr>
          <w:p w14:paraId="1B27FCD2" w14:textId="77777777" w:rsidR="00123B6E" w:rsidRPr="00252116" w:rsidRDefault="00123B6E" w:rsidP="00123B6E">
            <w:pPr>
              <w:spacing w:after="0" w:line="240" w:lineRule="auto"/>
              <w:jc w:val="right"/>
              <w:rPr>
                <w:sz w:val="20"/>
                <w:szCs w:val="20"/>
                <w:lang w:val="en-GB"/>
              </w:rPr>
            </w:pPr>
            <w:r w:rsidRPr="00252116">
              <w:rPr>
                <w:sz w:val="20"/>
                <w:szCs w:val="20"/>
                <w:lang w:val="en-GB"/>
              </w:rPr>
              <w:t>5</w:t>
            </w:r>
          </w:p>
        </w:tc>
      </w:tr>
      <w:tr w:rsidR="00123B6E" w:rsidRPr="00D62D04" w14:paraId="1A885072" w14:textId="77777777" w:rsidTr="009756CB">
        <w:trPr>
          <w:trHeight w:val="309"/>
        </w:trPr>
        <w:tc>
          <w:tcPr>
            <w:tcW w:w="5665" w:type="dxa"/>
          </w:tcPr>
          <w:p w14:paraId="66CBCC0F" w14:textId="77777777" w:rsidR="00123B6E" w:rsidRPr="00252116" w:rsidRDefault="00252116" w:rsidP="00123B6E">
            <w:pPr>
              <w:spacing w:after="0" w:line="240" w:lineRule="auto"/>
              <w:rPr>
                <w:sz w:val="20"/>
                <w:szCs w:val="20"/>
                <w:lang w:val="en-GB"/>
              </w:rPr>
            </w:pPr>
            <w:proofErr w:type="spellStart"/>
            <w:r w:rsidRPr="00252116">
              <w:rPr>
                <w:sz w:val="20"/>
                <w:szCs w:val="20"/>
                <w:lang w:val="en-GB"/>
              </w:rPr>
              <w:t>Aleksandar</w:t>
            </w:r>
            <w:proofErr w:type="spellEnd"/>
            <w:r w:rsidRPr="00252116">
              <w:rPr>
                <w:sz w:val="20"/>
                <w:szCs w:val="20"/>
                <w:lang w:val="en-GB"/>
              </w:rPr>
              <w:t xml:space="preserve"> </w:t>
            </w:r>
            <w:proofErr w:type="spellStart"/>
            <w:r w:rsidRPr="00252116">
              <w:rPr>
                <w:sz w:val="20"/>
                <w:szCs w:val="20"/>
                <w:lang w:val="en-GB"/>
              </w:rPr>
              <w:t>Firaunović</w:t>
            </w:r>
            <w:proofErr w:type="spellEnd"/>
            <w:r w:rsidRPr="00252116">
              <w:rPr>
                <w:sz w:val="20"/>
                <w:szCs w:val="20"/>
                <w:lang w:val="en-GB"/>
              </w:rPr>
              <w:t xml:space="preserve">, B.Sc. Eng.  EUROPEAN GREEN PARTY </w:t>
            </w:r>
            <w:r w:rsidR="00123B6E" w:rsidRPr="00252116">
              <w:rPr>
                <w:sz w:val="20"/>
                <w:szCs w:val="20"/>
                <w:lang w:val="en-GB"/>
              </w:rPr>
              <w:t>– ЕВРОПЕЙСКАЯ ПАРТИЯ</w:t>
            </w:r>
          </w:p>
          <w:p w14:paraId="33604ADE" w14:textId="77777777" w:rsidR="00123B6E" w:rsidRPr="00252116" w:rsidRDefault="00123B6E" w:rsidP="00123B6E">
            <w:pPr>
              <w:spacing w:after="0" w:line="240" w:lineRule="auto"/>
              <w:rPr>
                <w:sz w:val="20"/>
                <w:szCs w:val="20"/>
                <w:lang w:val="en-GB"/>
              </w:rPr>
            </w:pPr>
            <w:r w:rsidRPr="00252116">
              <w:rPr>
                <w:sz w:val="20"/>
                <w:szCs w:val="20"/>
                <w:lang w:val="en-GB"/>
              </w:rPr>
              <w:t>ЗЕЛЕНЫХ</w:t>
            </w:r>
          </w:p>
        </w:tc>
        <w:tc>
          <w:tcPr>
            <w:tcW w:w="2410" w:type="dxa"/>
          </w:tcPr>
          <w:p w14:paraId="10250450" w14:textId="77777777" w:rsidR="00123B6E" w:rsidRPr="00252116" w:rsidRDefault="008940E1" w:rsidP="00123B6E">
            <w:pPr>
              <w:spacing w:after="0" w:line="240" w:lineRule="auto"/>
              <w:rPr>
                <w:sz w:val="20"/>
                <w:szCs w:val="20"/>
                <w:lang w:val="en-GB"/>
              </w:rPr>
            </w:pPr>
            <w:proofErr w:type="spellStart"/>
            <w:r w:rsidRPr="00252116">
              <w:rPr>
                <w:sz w:val="20"/>
                <w:szCs w:val="20"/>
                <w:lang w:val="en-GB"/>
              </w:rPr>
              <w:t>Bogatić</w:t>
            </w:r>
            <w:proofErr w:type="spellEnd"/>
            <w:r w:rsidRPr="00252116">
              <w:rPr>
                <w:sz w:val="20"/>
                <w:szCs w:val="20"/>
                <w:lang w:val="en-GB"/>
              </w:rPr>
              <w:t xml:space="preserve"> </w:t>
            </w:r>
          </w:p>
        </w:tc>
        <w:tc>
          <w:tcPr>
            <w:tcW w:w="674" w:type="dxa"/>
          </w:tcPr>
          <w:p w14:paraId="7723267C" w14:textId="77777777" w:rsidR="00123B6E" w:rsidRPr="00252116" w:rsidRDefault="00123B6E" w:rsidP="00123B6E">
            <w:pPr>
              <w:spacing w:after="0" w:line="240" w:lineRule="auto"/>
              <w:jc w:val="right"/>
              <w:rPr>
                <w:sz w:val="20"/>
                <w:szCs w:val="20"/>
                <w:lang w:val="en-GB"/>
              </w:rPr>
            </w:pPr>
            <w:r w:rsidRPr="00252116">
              <w:rPr>
                <w:sz w:val="20"/>
                <w:szCs w:val="20"/>
                <w:lang w:val="en-GB"/>
              </w:rPr>
              <w:t>1</w:t>
            </w:r>
          </w:p>
        </w:tc>
      </w:tr>
      <w:tr w:rsidR="00123B6E" w:rsidRPr="00D62D04" w14:paraId="7A4E891A" w14:textId="77777777" w:rsidTr="009756CB">
        <w:trPr>
          <w:trHeight w:val="309"/>
        </w:trPr>
        <w:tc>
          <w:tcPr>
            <w:tcW w:w="8749" w:type="dxa"/>
            <w:gridSpan w:val="3"/>
          </w:tcPr>
          <w:p w14:paraId="7A82E061" w14:textId="77777777" w:rsidR="00123B6E" w:rsidRPr="00252116" w:rsidRDefault="00252116" w:rsidP="00123B6E">
            <w:pPr>
              <w:spacing w:after="0" w:line="240" w:lineRule="auto"/>
              <w:jc w:val="center"/>
              <w:rPr>
                <w:sz w:val="20"/>
                <w:szCs w:val="20"/>
                <w:lang w:val="en-GB"/>
              </w:rPr>
            </w:pPr>
            <w:proofErr w:type="spellStart"/>
            <w:r w:rsidRPr="00252116">
              <w:rPr>
                <w:sz w:val="20"/>
                <w:szCs w:val="20"/>
                <w:lang w:val="en-GB"/>
              </w:rPr>
              <w:t>Ruthenian</w:t>
            </w:r>
            <w:proofErr w:type="spellEnd"/>
            <w:r w:rsidRPr="00252116">
              <w:rPr>
                <w:sz w:val="20"/>
                <w:szCs w:val="20"/>
                <w:lang w:val="en-GB"/>
              </w:rPr>
              <w:t xml:space="preserve"> national minority</w:t>
            </w:r>
          </w:p>
          <w:p w14:paraId="09E6E792" w14:textId="77777777" w:rsidR="00123B6E" w:rsidRPr="00252116" w:rsidRDefault="00123B6E" w:rsidP="00123B6E">
            <w:pPr>
              <w:spacing w:after="0" w:line="240" w:lineRule="auto"/>
              <w:jc w:val="center"/>
              <w:rPr>
                <w:sz w:val="20"/>
                <w:szCs w:val="20"/>
                <w:lang w:val="en-GB"/>
              </w:rPr>
            </w:pPr>
          </w:p>
        </w:tc>
      </w:tr>
      <w:tr w:rsidR="00123B6E" w:rsidRPr="00D62D04" w14:paraId="4F31087A" w14:textId="77777777" w:rsidTr="009756CB">
        <w:trPr>
          <w:trHeight w:val="309"/>
        </w:trPr>
        <w:tc>
          <w:tcPr>
            <w:tcW w:w="5665" w:type="dxa"/>
          </w:tcPr>
          <w:p w14:paraId="31EEAC13" w14:textId="77777777" w:rsidR="00123B6E" w:rsidRPr="00252116" w:rsidRDefault="00252116" w:rsidP="00252116">
            <w:pPr>
              <w:spacing w:after="0" w:line="240" w:lineRule="auto"/>
              <w:rPr>
                <w:sz w:val="20"/>
                <w:szCs w:val="20"/>
                <w:lang w:val="en-GB"/>
              </w:rPr>
            </w:pPr>
            <w:proofErr w:type="spellStart"/>
            <w:r w:rsidRPr="00252116">
              <w:rPr>
                <w:sz w:val="20"/>
                <w:szCs w:val="20"/>
                <w:lang w:val="en-GB"/>
              </w:rPr>
              <w:t>Vojvodina</w:t>
            </w:r>
            <w:proofErr w:type="spellEnd"/>
            <w:r w:rsidRPr="00252116">
              <w:rPr>
                <w:sz w:val="20"/>
                <w:szCs w:val="20"/>
                <w:lang w:val="en-GB"/>
              </w:rPr>
              <w:t xml:space="preserve"> Front-</w:t>
            </w:r>
            <w:proofErr w:type="spellStart"/>
            <w:r w:rsidRPr="00252116">
              <w:rPr>
                <w:sz w:val="20"/>
                <w:szCs w:val="20"/>
                <w:lang w:val="en-GB"/>
              </w:rPr>
              <w:t>Nenad</w:t>
            </w:r>
            <w:proofErr w:type="spellEnd"/>
            <w:r w:rsidRPr="00252116">
              <w:rPr>
                <w:sz w:val="20"/>
                <w:szCs w:val="20"/>
                <w:lang w:val="en-GB"/>
              </w:rPr>
              <w:t xml:space="preserve"> </w:t>
            </w:r>
            <w:proofErr w:type="spellStart"/>
            <w:r w:rsidRPr="00252116">
              <w:rPr>
                <w:sz w:val="20"/>
                <w:szCs w:val="20"/>
                <w:lang w:val="en-GB"/>
              </w:rPr>
              <w:t>Čanak</w:t>
            </w:r>
            <w:proofErr w:type="spellEnd"/>
            <w:r w:rsidRPr="00252116">
              <w:rPr>
                <w:sz w:val="20"/>
                <w:szCs w:val="20"/>
                <w:lang w:val="en-GB"/>
              </w:rPr>
              <w:t xml:space="preserve"> (League of Social Democrats of </w:t>
            </w:r>
            <w:proofErr w:type="spellStart"/>
            <w:r w:rsidRPr="00252116">
              <w:rPr>
                <w:sz w:val="20"/>
                <w:szCs w:val="20"/>
                <w:lang w:val="en-GB"/>
              </w:rPr>
              <w:t>Vojvodina</w:t>
            </w:r>
            <w:proofErr w:type="spellEnd"/>
            <w:r w:rsidRPr="00252116">
              <w:rPr>
                <w:sz w:val="20"/>
                <w:szCs w:val="20"/>
                <w:lang w:val="en-GB"/>
              </w:rPr>
              <w:t xml:space="preserve">, Together for </w:t>
            </w:r>
            <w:proofErr w:type="spellStart"/>
            <w:r w:rsidRPr="00252116">
              <w:rPr>
                <w:sz w:val="20"/>
                <w:szCs w:val="20"/>
                <w:lang w:val="en-GB"/>
              </w:rPr>
              <w:t>Vojvodina</w:t>
            </w:r>
            <w:proofErr w:type="spellEnd"/>
            <w:r w:rsidRPr="00252116">
              <w:rPr>
                <w:sz w:val="20"/>
                <w:szCs w:val="20"/>
                <w:lang w:val="en-GB"/>
              </w:rPr>
              <w:t>)</w:t>
            </w:r>
          </w:p>
        </w:tc>
        <w:tc>
          <w:tcPr>
            <w:tcW w:w="2410" w:type="dxa"/>
          </w:tcPr>
          <w:p w14:paraId="2C4C11AC" w14:textId="77777777" w:rsidR="00123B6E" w:rsidRPr="00252116" w:rsidRDefault="008940E1" w:rsidP="00123B6E">
            <w:pPr>
              <w:spacing w:after="0" w:line="240" w:lineRule="auto"/>
              <w:rPr>
                <w:sz w:val="20"/>
                <w:szCs w:val="20"/>
                <w:lang w:val="en-GB"/>
              </w:rPr>
            </w:pPr>
            <w:proofErr w:type="spellStart"/>
            <w:r w:rsidRPr="00252116">
              <w:rPr>
                <w:sz w:val="20"/>
                <w:szCs w:val="20"/>
                <w:lang w:val="en-GB"/>
              </w:rPr>
              <w:t>Žabalj</w:t>
            </w:r>
            <w:proofErr w:type="spellEnd"/>
            <w:r w:rsidRPr="00252116">
              <w:rPr>
                <w:sz w:val="20"/>
                <w:szCs w:val="20"/>
                <w:lang w:val="en-GB"/>
              </w:rPr>
              <w:t xml:space="preserve"> </w:t>
            </w:r>
          </w:p>
        </w:tc>
        <w:tc>
          <w:tcPr>
            <w:tcW w:w="674" w:type="dxa"/>
          </w:tcPr>
          <w:p w14:paraId="7D4EB2DF" w14:textId="77777777" w:rsidR="00123B6E" w:rsidRPr="00252116" w:rsidRDefault="00123B6E" w:rsidP="00123B6E">
            <w:pPr>
              <w:spacing w:after="0" w:line="240" w:lineRule="auto"/>
              <w:jc w:val="right"/>
              <w:rPr>
                <w:sz w:val="20"/>
                <w:szCs w:val="20"/>
                <w:lang w:val="en-GB"/>
              </w:rPr>
            </w:pPr>
            <w:r w:rsidRPr="00252116">
              <w:rPr>
                <w:sz w:val="20"/>
                <w:szCs w:val="20"/>
                <w:lang w:val="en-GB"/>
              </w:rPr>
              <w:t>1</w:t>
            </w:r>
          </w:p>
        </w:tc>
      </w:tr>
      <w:tr w:rsidR="00123B6E" w:rsidRPr="00D62D04" w14:paraId="0E7E4612" w14:textId="77777777" w:rsidTr="009756CB">
        <w:trPr>
          <w:trHeight w:val="309"/>
        </w:trPr>
        <w:tc>
          <w:tcPr>
            <w:tcW w:w="5665" w:type="dxa"/>
          </w:tcPr>
          <w:p w14:paraId="271F06B7" w14:textId="77777777" w:rsidR="00252116" w:rsidRPr="00252116" w:rsidRDefault="00252116" w:rsidP="00252116">
            <w:pPr>
              <w:spacing w:after="0" w:line="240" w:lineRule="auto"/>
              <w:rPr>
                <w:sz w:val="20"/>
                <w:szCs w:val="20"/>
                <w:lang w:val="en-GB"/>
              </w:rPr>
            </w:pPr>
            <w:r w:rsidRPr="00252116">
              <w:rPr>
                <w:sz w:val="20"/>
                <w:szCs w:val="20"/>
                <w:lang w:val="en-GB"/>
              </w:rPr>
              <w:t>Coalition VOJVO</w:t>
            </w:r>
            <w:r>
              <w:rPr>
                <w:sz w:val="20"/>
                <w:szCs w:val="20"/>
                <w:lang w:val="en-GB"/>
              </w:rPr>
              <w:t>DINA</w:t>
            </w:r>
            <w:r w:rsidRPr="00252116">
              <w:rPr>
                <w:sz w:val="20"/>
                <w:szCs w:val="20"/>
                <w:lang w:val="en-GB"/>
              </w:rPr>
              <w:t xml:space="preserve"> FRONT - united for democratic Novi Sad</w:t>
            </w:r>
          </w:p>
          <w:p w14:paraId="6C515E83" w14:textId="77777777" w:rsidR="00123B6E" w:rsidRPr="00252116" w:rsidRDefault="00252116" w:rsidP="00252116">
            <w:pPr>
              <w:spacing w:after="0" w:line="240" w:lineRule="auto"/>
              <w:rPr>
                <w:sz w:val="20"/>
                <w:szCs w:val="20"/>
                <w:lang w:val="en-GB"/>
              </w:rPr>
            </w:pPr>
            <w:r w:rsidRPr="00252116">
              <w:rPr>
                <w:sz w:val="20"/>
                <w:szCs w:val="20"/>
                <w:lang w:val="en-GB"/>
              </w:rPr>
              <w:t xml:space="preserve">(League of Social Democrats of </w:t>
            </w:r>
            <w:proofErr w:type="spellStart"/>
            <w:r w:rsidRPr="00252116">
              <w:rPr>
                <w:sz w:val="20"/>
                <w:szCs w:val="20"/>
                <w:lang w:val="en-GB"/>
              </w:rPr>
              <w:t>Vojvodina</w:t>
            </w:r>
            <w:proofErr w:type="spellEnd"/>
            <w:r w:rsidRPr="00252116">
              <w:rPr>
                <w:sz w:val="20"/>
                <w:szCs w:val="20"/>
                <w:lang w:val="en-GB"/>
              </w:rPr>
              <w:t xml:space="preserve">, </w:t>
            </w:r>
            <w:proofErr w:type="spellStart"/>
            <w:r w:rsidRPr="00252116">
              <w:rPr>
                <w:sz w:val="20"/>
                <w:szCs w:val="20"/>
                <w:lang w:val="en-GB"/>
              </w:rPr>
              <w:t>Vojvodina</w:t>
            </w:r>
            <w:proofErr w:type="spellEnd"/>
            <w:r w:rsidRPr="00252116">
              <w:rPr>
                <w:sz w:val="20"/>
                <w:szCs w:val="20"/>
                <w:lang w:val="en-GB"/>
              </w:rPr>
              <w:t xml:space="preserve"> Party, Together for </w:t>
            </w:r>
            <w:proofErr w:type="spellStart"/>
            <w:r w:rsidRPr="00252116">
              <w:rPr>
                <w:sz w:val="20"/>
                <w:szCs w:val="20"/>
                <w:lang w:val="en-GB"/>
              </w:rPr>
              <w:t>Vojvodina</w:t>
            </w:r>
            <w:proofErr w:type="spellEnd"/>
            <w:r w:rsidRPr="00252116">
              <w:rPr>
                <w:sz w:val="20"/>
                <w:szCs w:val="20"/>
                <w:lang w:val="en-GB"/>
              </w:rPr>
              <w:t>)</w:t>
            </w:r>
          </w:p>
        </w:tc>
        <w:tc>
          <w:tcPr>
            <w:tcW w:w="2410" w:type="dxa"/>
          </w:tcPr>
          <w:p w14:paraId="08A3C519" w14:textId="77777777" w:rsidR="00123B6E" w:rsidRPr="00252116" w:rsidRDefault="008940E1" w:rsidP="00123B6E">
            <w:pPr>
              <w:spacing w:after="0" w:line="240" w:lineRule="auto"/>
              <w:rPr>
                <w:sz w:val="20"/>
                <w:szCs w:val="20"/>
                <w:lang w:val="en-GB"/>
              </w:rPr>
            </w:pPr>
            <w:r w:rsidRPr="00252116">
              <w:rPr>
                <w:sz w:val="20"/>
                <w:szCs w:val="20"/>
                <w:lang w:val="en-GB"/>
              </w:rPr>
              <w:t>Novi Sad</w:t>
            </w:r>
          </w:p>
        </w:tc>
        <w:tc>
          <w:tcPr>
            <w:tcW w:w="674" w:type="dxa"/>
          </w:tcPr>
          <w:p w14:paraId="0DCD0D27" w14:textId="77777777" w:rsidR="00123B6E" w:rsidRPr="00252116" w:rsidRDefault="00123B6E" w:rsidP="00123B6E">
            <w:pPr>
              <w:spacing w:after="0" w:line="240" w:lineRule="auto"/>
              <w:jc w:val="right"/>
              <w:rPr>
                <w:sz w:val="20"/>
                <w:szCs w:val="20"/>
                <w:lang w:val="en-GB"/>
              </w:rPr>
            </w:pPr>
            <w:r w:rsidRPr="00252116">
              <w:rPr>
                <w:sz w:val="20"/>
                <w:szCs w:val="20"/>
                <w:lang w:val="en-GB"/>
              </w:rPr>
              <w:t>3</w:t>
            </w:r>
          </w:p>
        </w:tc>
      </w:tr>
      <w:tr w:rsidR="00123B6E" w:rsidRPr="00D62D04" w14:paraId="2018B86B" w14:textId="77777777" w:rsidTr="009756CB">
        <w:trPr>
          <w:trHeight w:val="309"/>
        </w:trPr>
        <w:tc>
          <w:tcPr>
            <w:tcW w:w="5665" w:type="dxa"/>
          </w:tcPr>
          <w:p w14:paraId="1D52DD29" w14:textId="77777777" w:rsidR="00123B6E" w:rsidRPr="00252116" w:rsidRDefault="00252116" w:rsidP="00252116">
            <w:pPr>
              <w:spacing w:after="0" w:line="240" w:lineRule="auto"/>
              <w:rPr>
                <w:sz w:val="20"/>
                <w:szCs w:val="20"/>
                <w:lang w:val="en-GB"/>
              </w:rPr>
            </w:pPr>
            <w:r w:rsidRPr="00252116">
              <w:rPr>
                <w:sz w:val="20"/>
                <w:szCs w:val="20"/>
                <w:lang w:val="en-GB"/>
              </w:rPr>
              <w:t>VOJVODI</w:t>
            </w:r>
            <w:r>
              <w:rPr>
                <w:sz w:val="20"/>
                <w:szCs w:val="20"/>
                <w:lang w:val="en-GB"/>
              </w:rPr>
              <w:t>NA</w:t>
            </w:r>
            <w:r w:rsidRPr="00252116">
              <w:rPr>
                <w:sz w:val="20"/>
                <w:szCs w:val="20"/>
                <w:lang w:val="en-GB"/>
              </w:rPr>
              <w:t xml:space="preserve"> FRONT - united for democratic </w:t>
            </w:r>
            <w:proofErr w:type="spellStart"/>
            <w:r w:rsidRPr="00252116">
              <w:rPr>
                <w:sz w:val="20"/>
                <w:szCs w:val="20"/>
                <w:lang w:val="en-GB"/>
              </w:rPr>
              <w:t>Šid</w:t>
            </w:r>
            <w:proofErr w:type="spellEnd"/>
            <w:r w:rsidRPr="00252116">
              <w:rPr>
                <w:sz w:val="20"/>
                <w:szCs w:val="20"/>
                <w:lang w:val="en-GB"/>
              </w:rPr>
              <w:t xml:space="preserve"> (League of Social Democrats of </w:t>
            </w:r>
            <w:proofErr w:type="spellStart"/>
            <w:r w:rsidRPr="00252116">
              <w:rPr>
                <w:sz w:val="20"/>
                <w:szCs w:val="20"/>
                <w:lang w:val="en-GB"/>
              </w:rPr>
              <w:t>Vojvodina</w:t>
            </w:r>
            <w:proofErr w:type="spellEnd"/>
            <w:r w:rsidRPr="00252116">
              <w:rPr>
                <w:sz w:val="20"/>
                <w:szCs w:val="20"/>
                <w:lang w:val="en-GB"/>
              </w:rPr>
              <w:t xml:space="preserve">, Together for </w:t>
            </w:r>
            <w:proofErr w:type="spellStart"/>
            <w:r w:rsidRPr="00252116">
              <w:rPr>
                <w:sz w:val="20"/>
                <w:szCs w:val="20"/>
                <w:lang w:val="en-GB"/>
              </w:rPr>
              <w:t>Vojvodina</w:t>
            </w:r>
            <w:proofErr w:type="spellEnd"/>
            <w:r w:rsidRPr="00252116">
              <w:rPr>
                <w:sz w:val="20"/>
                <w:szCs w:val="20"/>
                <w:lang w:val="en-GB"/>
              </w:rPr>
              <w:t xml:space="preserve">, </w:t>
            </w:r>
            <w:proofErr w:type="spellStart"/>
            <w:r w:rsidRPr="00252116">
              <w:rPr>
                <w:sz w:val="20"/>
                <w:szCs w:val="20"/>
                <w:lang w:val="en-GB"/>
              </w:rPr>
              <w:t>Vojvodina</w:t>
            </w:r>
            <w:proofErr w:type="spellEnd"/>
            <w:r w:rsidRPr="00252116">
              <w:rPr>
                <w:sz w:val="20"/>
                <w:szCs w:val="20"/>
                <w:lang w:val="en-GB"/>
              </w:rPr>
              <w:t xml:space="preserve"> Party) - </w:t>
            </w:r>
            <w:proofErr w:type="spellStart"/>
            <w:r w:rsidRPr="00252116">
              <w:rPr>
                <w:sz w:val="20"/>
                <w:szCs w:val="20"/>
                <w:lang w:val="en-GB"/>
              </w:rPr>
              <w:t>Dejana</w:t>
            </w:r>
            <w:proofErr w:type="spellEnd"/>
            <w:r w:rsidRPr="00252116">
              <w:rPr>
                <w:sz w:val="20"/>
                <w:szCs w:val="20"/>
                <w:lang w:val="en-GB"/>
              </w:rPr>
              <w:t xml:space="preserve"> </w:t>
            </w:r>
            <w:proofErr w:type="spellStart"/>
            <w:r w:rsidRPr="00252116">
              <w:rPr>
                <w:sz w:val="20"/>
                <w:szCs w:val="20"/>
                <w:lang w:val="en-GB"/>
              </w:rPr>
              <w:t>Đurđević</w:t>
            </w:r>
            <w:proofErr w:type="spellEnd"/>
          </w:p>
        </w:tc>
        <w:tc>
          <w:tcPr>
            <w:tcW w:w="2410" w:type="dxa"/>
          </w:tcPr>
          <w:p w14:paraId="0EFB1F5A" w14:textId="77777777" w:rsidR="00123B6E" w:rsidRPr="00252116" w:rsidRDefault="008940E1" w:rsidP="00123B6E">
            <w:pPr>
              <w:spacing w:after="0" w:line="240" w:lineRule="auto"/>
              <w:rPr>
                <w:sz w:val="20"/>
                <w:szCs w:val="20"/>
                <w:lang w:val="en-GB"/>
              </w:rPr>
            </w:pPr>
            <w:proofErr w:type="spellStart"/>
            <w:r w:rsidRPr="00252116">
              <w:rPr>
                <w:sz w:val="20"/>
                <w:szCs w:val="20"/>
                <w:lang w:val="en-GB"/>
              </w:rPr>
              <w:t>Šid</w:t>
            </w:r>
            <w:proofErr w:type="spellEnd"/>
            <w:r w:rsidRPr="00252116">
              <w:rPr>
                <w:sz w:val="20"/>
                <w:szCs w:val="20"/>
                <w:lang w:val="en-GB"/>
              </w:rPr>
              <w:t xml:space="preserve"> </w:t>
            </w:r>
          </w:p>
        </w:tc>
        <w:tc>
          <w:tcPr>
            <w:tcW w:w="674" w:type="dxa"/>
          </w:tcPr>
          <w:p w14:paraId="52EE6EAD" w14:textId="77777777" w:rsidR="00123B6E" w:rsidRPr="00252116" w:rsidRDefault="00123B6E" w:rsidP="00123B6E">
            <w:pPr>
              <w:spacing w:after="0" w:line="240" w:lineRule="auto"/>
              <w:jc w:val="right"/>
              <w:rPr>
                <w:sz w:val="20"/>
                <w:szCs w:val="20"/>
                <w:lang w:val="en-GB"/>
              </w:rPr>
            </w:pPr>
            <w:r w:rsidRPr="00252116">
              <w:rPr>
                <w:sz w:val="20"/>
                <w:szCs w:val="20"/>
                <w:lang w:val="en-GB"/>
              </w:rPr>
              <w:t>3</w:t>
            </w:r>
          </w:p>
        </w:tc>
      </w:tr>
      <w:tr w:rsidR="00123B6E" w:rsidRPr="00D62D04" w14:paraId="3CA1366E" w14:textId="77777777" w:rsidTr="009756CB">
        <w:trPr>
          <w:trHeight w:val="309"/>
        </w:trPr>
        <w:tc>
          <w:tcPr>
            <w:tcW w:w="8749" w:type="dxa"/>
            <w:gridSpan w:val="3"/>
          </w:tcPr>
          <w:p w14:paraId="6F67A4FA" w14:textId="77777777" w:rsidR="00123B6E" w:rsidRPr="00252116" w:rsidRDefault="00123B6E" w:rsidP="00123B6E">
            <w:pPr>
              <w:spacing w:after="0" w:line="240" w:lineRule="auto"/>
              <w:rPr>
                <w:sz w:val="20"/>
                <w:szCs w:val="20"/>
                <w:lang w:val="en-GB"/>
              </w:rPr>
            </w:pPr>
          </w:p>
          <w:p w14:paraId="76310F4A" w14:textId="77777777" w:rsidR="00123B6E" w:rsidRPr="00252116" w:rsidRDefault="00252116" w:rsidP="00123B6E">
            <w:pPr>
              <w:spacing w:after="0" w:line="240" w:lineRule="auto"/>
              <w:jc w:val="center"/>
              <w:rPr>
                <w:sz w:val="20"/>
                <w:szCs w:val="20"/>
                <w:lang w:val="en-GB"/>
              </w:rPr>
            </w:pPr>
            <w:r w:rsidRPr="00252116">
              <w:rPr>
                <w:sz w:val="20"/>
                <w:szCs w:val="20"/>
                <w:lang w:val="en-GB"/>
              </w:rPr>
              <w:t>Slovak national minority</w:t>
            </w:r>
          </w:p>
          <w:p w14:paraId="53248F7B" w14:textId="77777777" w:rsidR="00123B6E" w:rsidRPr="00252116" w:rsidRDefault="00123B6E" w:rsidP="00123B6E">
            <w:pPr>
              <w:spacing w:after="0" w:line="240" w:lineRule="auto"/>
              <w:rPr>
                <w:sz w:val="20"/>
                <w:szCs w:val="20"/>
                <w:lang w:val="en-GB"/>
              </w:rPr>
            </w:pPr>
          </w:p>
        </w:tc>
      </w:tr>
      <w:tr w:rsidR="00123B6E" w:rsidRPr="00D62D04" w14:paraId="7FEF9C00" w14:textId="77777777" w:rsidTr="009756CB">
        <w:trPr>
          <w:trHeight w:val="309"/>
        </w:trPr>
        <w:tc>
          <w:tcPr>
            <w:tcW w:w="5665" w:type="dxa"/>
          </w:tcPr>
          <w:p w14:paraId="0FB1DE26" w14:textId="77777777" w:rsidR="00123B6E" w:rsidRPr="00252116" w:rsidRDefault="00252116" w:rsidP="00123B6E">
            <w:pPr>
              <w:spacing w:after="0" w:line="240" w:lineRule="auto"/>
              <w:rPr>
                <w:sz w:val="20"/>
                <w:szCs w:val="20"/>
                <w:lang w:val="en-GB"/>
              </w:rPr>
            </w:pPr>
            <w:r w:rsidRPr="00252116">
              <w:rPr>
                <w:sz w:val="20"/>
                <w:szCs w:val="20"/>
                <w:lang w:val="en-GB"/>
              </w:rPr>
              <w:t xml:space="preserve">"Together for </w:t>
            </w:r>
            <w:proofErr w:type="spellStart"/>
            <w:r w:rsidRPr="00252116">
              <w:rPr>
                <w:sz w:val="20"/>
                <w:szCs w:val="20"/>
                <w:lang w:val="en-GB"/>
              </w:rPr>
              <w:t>Bačka</w:t>
            </w:r>
            <w:proofErr w:type="spellEnd"/>
            <w:r w:rsidRPr="00252116">
              <w:rPr>
                <w:sz w:val="20"/>
                <w:szCs w:val="20"/>
                <w:lang w:val="en-GB"/>
              </w:rPr>
              <w:t xml:space="preserve"> </w:t>
            </w:r>
            <w:proofErr w:type="spellStart"/>
            <w:r w:rsidRPr="00252116">
              <w:rPr>
                <w:sz w:val="20"/>
                <w:szCs w:val="20"/>
                <w:lang w:val="en-GB"/>
              </w:rPr>
              <w:t>Palanka</w:t>
            </w:r>
            <w:proofErr w:type="spellEnd"/>
            <w:r w:rsidRPr="00252116">
              <w:rPr>
                <w:sz w:val="20"/>
                <w:szCs w:val="20"/>
                <w:lang w:val="en-GB"/>
              </w:rPr>
              <w:t xml:space="preserve">" - Socialist Movement - </w:t>
            </w:r>
            <w:proofErr w:type="spellStart"/>
            <w:r w:rsidRPr="00252116">
              <w:rPr>
                <w:sz w:val="20"/>
                <w:szCs w:val="20"/>
                <w:lang w:val="en-GB"/>
              </w:rPr>
              <w:t>Vojvodina</w:t>
            </w:r>
            <w:proofErr w:type="spellEnd"/>
            <w:r w:rsidRPr="00252116">
              <w:rPr>
                <w:sz w:val="20"/>
                <w:szCs w:val="20"/>
                <w:lang w:val="en-GB"/>
              </w:rPr>
              <w:t xml:space="preserve"> Slovak Party - </w:t>
            </w:r>
            <w:proofErr w:type="spellStart"/>
            <w:r w:rsidRPr="00252116">
              <w:rPr>
                <w:sz w:val="20"/>
                <w:szCs w:val="20"/>
                <w:lang w:val="en-GB"/>
              </w:rPr>
              <w:t>Saša</w:t>
            </w:r>
            <w:proofErr w:type="spellEnd"/>
            <w:r w:rsidRPr="00252116">
              <w:rPr>
                <w:sz w:val="20"/>
                <w:szCs w:val="20"/>
                <w:lang w:val="en-GB"/>
              </w:rPr>
              <w:t xml:space="preserve"> </w:t>
            </w:r>
            <w:proofErr w:type="spellStart"/>
            <w:r w:rsidRPr="00252116">
              <w:rPr>
                <w:sz w:val="20"/>
                <w:szCs w:val="20"/>
                <w:lang w:val="en-GB"/>
              </w:rPr>
              <w:t>Borković</w:t>
            </w:r>
            <w:proofErr w:type="spellEnd"/>
            <w:r w:rsidRPr="00252116">
              <w:rPr>
                <w:sz w:val="20"/>
                <w:szCs w:val="20"/>
                <w:lang w:val="en-GB"/>
              </w:rPr>
              <w:t xml:space="preserve">, </w:t>
            </w:r>
            <w:proofErr w:type="spellStart"/>
            <w:r w:rsidRPr="00252116">
              <w:rPr>
                <w:sz w:val="20"/>
                <w:szCs w:val="20"/>
                <w:lang w:val="en-GB"/>
              </w:rPr>
              <w:t>Peđa</w:t>
            </w:r>
            <w:proofErr w:type="spellEnd"/>
            <w:r w:rsidRPr="00252116">
              <w:rPr>
                <w:sz w:val="20"/>
                <w:szCs w:val="20"/>
                <w:lang w:val="en-GB"/>
              </w:rPr>
              <w:t xml:space="preserve"> </w:t>
            </w:r>
            <w:proofErr w:type="spellStart"/>
            <w:r w:rsidRPr="00252116">
              <w:rPr>
                <w:sz w:val="20"/>
                <w:szCs w:val="20"/>
                <w:lang w:val="en-GB"/>
              </w:rPr>
              <w:t>Vuletić</w:t>
            </w:r>
            <w:proofErr w:type="spellEnd"/>
            <w:r w:rsidRPr="00252116">
              <w:rPr>
                <w:sz w:val="20"/>
                <w:szCs w:val="20"/>
                <w:lang w:val="en-GB"/>
              </w:rPr>
              <w:t xml:space="preserve"> (PS-SVS)</w:t>
            </w:r>
          </w:p>
        </w:tc>
        <w:tc>
          <w:tcPr>
            <w:tcW w:w="2410" w:type="dxa"/>
          </w:tcPr>
          <w:p w14:paraId="35A41685" w14:textId="77777777" w:rsidR="00123B6E" w:rsidRPr="00252116" w:rsidRDefault="008940E1" w:rsidP="00123B6E">
            <w:pPr>
              <w:spacing w:after="0" w:line="240" w:lineRule="auto"/>
              <w:rPr>
                <w:sz w:val="20"/>
                <w:szCs w:val="20"/>
                <w:lang w:val="en-GB"/>
              </w:rPr>
            </w:pPr>
            <w:proofErr w:type="spellStart"/>
            <w:r w:rsidRPr="00252116">
              <w:rPr>
                <w:sz w:val="20"/>
                <w:szCs w:val="20"/>
                <w:lang w:val="en-GB"/>
              </w:rPr>
              <w:t>Bačka</w:t>
            </w:r>
            <w:proofErr w:type="spellEnd"/>
            <w:r w:rsidRPr="00252116">
              <w:rPr>
                <w:sz w:val="20"/>
                <w:szCs w:val="20"/>
                <w:lang w:val="en-GB"/>
              </w:rPr>
              <w:t xml:space="preserve"> </w:t>
            </w:r>
            <w:proofErr w:type="spellStart"/>
            <w:r w:rsidRPr="00252116">
              <w:rPr>
                <w:sz w:val="20"/>
                <w:szCs w:val="20"/>
                <w:lang w:val="en-GB"/>
              </w:rPr>
              <w:t>Palanka</w:t>
            </w:r>
            <w:proofErr w:type="spellEnd"/>
          </w:p>
        </w:tc>
        <w:tc>
          <w:tcPr>
            <w:tcW w:w="674" w:type="dxa"/>
          </w:tcPr>
          <w:p w14:paraId="7300C76D" w14:textId="77777777" w:rsidR="00123B6E" w:rsidRPr="00252116" w:rsidRDefault="00123B6E" w:rsidP="00123B6E">
            <w:pPr>
              <w:spacing w:after="0" w:line="240" w:lineRule="auto"/>
              <w:jc w:val="right"/>
              <w:rPr>
                <w:sz w:val="20"/>
                <w:szCs w:val="20"/>
                <w:lang w:val="en-GB"/>
              </w:rPr>
            </w:pPr>
            <w:r w:rsidRPr="00252116">
              <w:rPr>
                <w:sz w:val="20"/>
                <w:szCs w:val="20"/>
                <w:lang w:val="en-GB"/>
              </w:rPr>
              <w:t>10</w:t>
            </w:r>
          </w:p>
        </w:tc>
      </w:tr>
      <w:tr w:rsidR="00123B6E" w:rsidRPr="00D62D04" w14:paraId="7E25F389" w14:textId="77777777" w:rsidTr="009756CB">
        <w:trPr>
          <w:trHeight w:val="309"/>
        </w:trPr>
        <w:tc>
          <w:tcPr>
            <w:tcW w:w="5665" w:type="dxa"/>
            <w:vMerge w:val="restart"/>
            <w:vAlign w:val="center"/>
          </w:tcPr>
          <w:p w14:paraId="2640B280" w14:textId="77777777" w:rsidR="00123B6E" w:rsidRPr="00252116" w:rsidRDefault="00252116" w:rsidP="00123B6E">
            <w:pPr>
              <w:spacing w:after="0" w:line="240" w:lineRule="auto"/>
              <w:rPr>
                <w:sz w:val="20"/>
                <w:szCs w:val="20"/>
                <w:lang w:val="en-GB"/>
              </w:rPr>
            </w:pPr>
            <w:r w:rsidRPr="00252116">
              <w:rPr>
                <w:sz w:val="20"/>
                <w:szCs w:val="20"/>
                <w:lang w:val="en-GB"/>
              </w:rPr>
              <w:t>Green Party</w:t>
            </w:r>
            <w:r w:rsidR="00123B6E" w:rsidRPr="00252116">
              <w:rPr>
                <w:sz w:val="20"/>
                <w:szCs w:val="20"/>
                <w:lang w:val="en-GB"/>
              </w:rPr>
              <w:t xml:space="preserve"> - </w:t>
            </w:r>
            <w:proofErr w:type="spellStart"/>
            <w:r w:rsidR="00123B6E" w:rsidRPr="00252116">
              <w:rPr>
                <w:sz w:val="20"/>
                <w:szCs w:val="20"/>
                <w:lang w:val="en-GB"/>
              </w:rPr>
              <w:t>Zelená</w:t>
            </w:r>
            <w:proofErr w:type="spellEnd"/>
            <w:r w:rsidR="00123B6E" w:rsidRPr="00252116">
              <w:rPr>
                <w:sz w:val="20"/>
                <w:szCs w:val="20"/>
                <w:lang w:val="en-GB"/>
              </w:rPr>
              <w:t xml:space="preserve"> </w:t>
            </w:r>
            <w:proofErr w:type="spellStart"/>
            <w:r w:rsidR="00123B6E" w:rsidRPr="00252116">
              <w:rPr>
                <w:sz w:val="20"/>
                <w:szCs w:val="20"/>
                <w:lang w:val="en-GB"/>
              </w:rPr>
              <w:t>Strana</w:t>
            </w:r>
            <w:proofErr w:type="spellEnd"/>
            <w:r w:rsidR="00123B6E" w:rsidRPr="00252116">
              <w:rPr>
                <w:sz w:val="20"/>
                <w:szCs w:val="20"/>
                <w:lang w:val="en-GB"/>
              </w:rPr>
              <w:t xml:space="preserve"> </w:t>
            </w:r>
          </w:p>
        </w:tc>
        <w:tc>
          <w:tcPr>
            <w:tcW w:w="2410" w:type="dxa"/>
          </w:tcPr>
          <w:p w14:paraId="1B0C8DC7" w14:textId="77777777" w:rsidR="00123B6E" w:rsidRPr="00252116" w:rsidRDefault="00252116" w:rsidP="00123B6E">
            <w:pPr>
              <w:spacing w:after="0" w:line="240" w:lineRule="auto"/>
              <w:rPr>
                <w:sz w:val="20"/>
                <w:szCs w:val="20"/>
                <w:lang w:val="en-GB"/>
              </w:rPr>
            </w:pPr>
            <w:proofErr w:type="spellStart"/>
            <w:r w:rsidRPr="00252116">
              <w:rPr>
                <w:sz w:val="20"/>
                <w:szCs w:val="20"/>
                <w:lang w:val="en-GB"/>
              </w:rPr>
              <w:t>Veliko</w:t>
            </w:r>
            <w:proofErr w:type="spellEnd"/>
            <w:r w:rsidRPr="00252116">
              <w:rPr>
                <w:sz w:val="20"/>
                <w:szCs w:val="20"/>
                <w:lang w:val="en-GB"/>
              </w:rPr>
              <w:t xml:space="preserve"> </w:t>
            </w:r>
            <w:proofErr w:type="spellStart"/>
            <w:r w:rsidRPr="00252116">
              <w:rPr>
                <w:sz w:val="20"/>
                <w:szCs w:val="20"/>
                <w:lang w:val="en-GB"/>
              </w:rPr>
              <w:t>Gradište</w:t>
            </w:r>
            <w:proofErr w:type="spellEnd"/>
          </w:p>
        </w:tc>
        <w:tc>
          <w:tcPr>
            <w:tcW w:w="674" w:type="dxa"/>
          </w:tcPr>
          <w:p w14:paraId="4BA7C463" w14:textId="77777777" w:rsidR="00123B6E" w:rsidRPr="00252116" w:rsidRDefault="00123B6E" w:rsidP="00123B6E">
            <w:pPr>
              <w:spacing w:after="0" w:line="240" w:lineRule="auto"/>
              <w:jc w:val="right"/>
              <w:rPr>
                <w:sz w:val="20"/>
                <w:szCs w:val="20"/>
                <w:lang w:val="en-GB"/>
              </w:rPr>
            </w:pPr>
            <w:r w:rsidRPr="00252116">
              <w:rPr>
                <w:sz w:val="20"/>
                <w:szCs w:val="20"/>
                <w:lang w:val="en-GB"/>
              </w:rPr>
              <w:t>1</w:t>
            </w:r>
          </w:p>
        </w:tc>
      </w:tr>
      <w:tr w:rsidR="00123B6E" w:rsidRPr="00D62D04" w14:paraId="7C9BD75D" w14:textId="77777777" w:rsidTr="009756CB">
        <w:trPr>
          <w:trHeight w:val="309"/>
        </w:trPr>
        <w:tc>
          <w:tcPr>
            <w:tcW w:w="5665" w:type="dxa"/>
            <w:vMerge/>
          </w:tcPr>
          <w:p w14:paraId="10FCCC5A" w14:textId="77777777" w:rsidR="00123B6E" w:rsidRPr="00252116" w:rsidRDefault="00123B6E" w:rsidP="00123B6E">
            <w:pPr>
              <w:spacing w:after="0" w:line="240" w:lineRule="auto"/>
              <w:rPr>
                <w:sz w:val="20"/>
                <w:szCs w:val="20"/>
                <w:lang w:val="en-GB"/>
              </w:rPr>
            </w:pPr>
          </w:p>
        </w:tc>
        <w:tc>
          <w:tcPr>
            <w:tcW w:w="2410" w:type="dxa"/>
          </w:tcPr>
          <w:p w14:paraId="4D385CA8" w14:textId="77777777" w:rsidR="00123B6E" w:rsidRPr="00252116" w:rsidRDefault="00252116" w:rsidP="00123B6E">
            <w:pPr>
              <w:spacing w:after="0" w:line="240" w:lineRule="auto"/>
              <w:rPr>
                <w:sz w:val="20"/>
                <w:szCs w:val="20"/>
                <w:lang w:val="en-GB"/>
              </w:rPr>
            </w:pPr>
            <w:proofErr w:type="spellStart"/>
            <w:r w:rsidRPr="00252116">
              <w:rPr>
                <w:sz w:val="20"/>
                <w:szCs w:val="20"/>
                <w:lang w:val="en-GB"/>
              </w:rPr>
              <w:t>Stara</w:t>
            </w:r>
            <w:proofErr w:type="spellEnd"/>
            <w:r w:rsidRPr="00252116">
              <w:rPr>
                <w:sz w:val="20"/>
                <w:szCs w:val="20"/>
                <w:lang w:val="en-GB"/>
              </w:rPr>
              <w:t xml:space="preserve"> </w:t>
            </w:r>
            <w:proofErr w:type="spellStart"/>
            <w:r w:rsidRPr="00252116">
              <w:rPr>
                <w:sz w:val="20"/>
                <w:szCs w:val="20"/>
                <w:lang w:val="en-GB"/>
              </w:rPr>
              <w:t>Pazova</w:t>
            </w:r>
            <w:proofErr w:type="spellEnd"/>
          </w:p>
        </w:tc>
        <w:tc>
          <w:tcPr>
            <w:tcW w:w="674" w:type="dxa"/>
          </w:tcPr>
          <w:p w14:paraId="06476935" w14:textId="77777777" w:rsidR="00123B6E" w:rsidRPr="00252116" w:rsidRDefault="00123B6E" w:rsidP="00123B6E">
            <w:pPr>
              <w:spacing w:after="0" w:line="240" w:lineRule="auto"/>
              <w:jc w:val="right"/>
              <w:rPr>
                <w:sz w:val="20"/>
                <w:szCs w:val="20"/>
                <w:lang w:val="en-GB"/>
              </w:rPr>
            </w:pPr>
            <w:r w:rsidRPr="00252116">
              <w:rPr>
                <w:sz w:val="20"/>
                <w:szCs w:val="20"/>
                <w:lang w:val="en-GB"/>
              </w:rPr>
              <w:t>2</w:t>
            </w:r>
          </w:p>
        </w:tc>
      </w:tr>
      <w:tr w:rsidR="00123B6E" w:rsidRPr="00D62D04" w14:paraId="5C344928" w14:textId="77777777" w:rsidTr="009756CB">
        <w:trPr>
          <w:trHeight w:val="309"/>
        </w:trPr>
        <w:tc>
          <w:tcPr>
            <w:tcW w:w="8749" w:type="dxa"/>
            <w:gridSpan w:val="3"/>
          </w:tcPr>
          <w:p w14:paraId="01A20512" w14:textId="77777777" w:rsidR="00123B6E" w:rsidRPr="00252116" w:rsidRDefault="00252116" w:rsidP="00123B6E">
            <w:pPr>
              <w:spacing w:after="0" w:line="240" w:lineRule="auto"/>
              <w:jc w:val="center"/>
              <w:rPr>
                <w:sz w:val="20"/>
                <w:szCs w:val="20"/>
                <w:lang w:val="en-GB"/>
              </w:rPr>
            </w:pPr>
            <w:r w:rsidRPr="00252116">
              <w:rPr>
                <w:sz w:val="20"/>
                <w:szCs w:val="20"/>
                <w:lang w:val="en-GB"/>
              </w:rPr>
              <w:t>Croatian national minority</w:t>
            </w:r>
          </w:p>
          <w:p w14:paraId="3FA947CD" w14:textId="77777777" w:rsidR="00123B6E" w:rsidRPr="00252116" w:rsidRDefault="00123B6E" w:rsidP="00123B6E">
            <w:pPr>
              <w:spacing w:after="0" w:line="240" w:lineRule="auto"/>
              <w:rPr>
                <w:sz w:val="20"/>
                <w:szCs w:val="20"/>
                <w:lang w:val="en-GB"/>
              </w:rPr>
            </w:pPr>
          </w:p>
        </w:tc>
      </w:tr>
      <w:tr w:rsidR="00123B6E" w:rsidRPr="00D62D04" w14:paraId="4C394DC6" w14:textId="77777777" w:rsidTr="009756CB">
        <w:trPr>
          <w:trHeight w:val="309"/>
        </w:trPr>
        <w:tc>
          <w:tcPr>
            <w:tcW w:w="5665" w:type="dxa"/>
          </w:tcPr>
          <w:p w14:paraId="5CE765FC" w14:textId="77777777" w:rsidR="00123B6E" w:rsidRPr="002959E5" w:rsidRDefault="002959E5" w:rsidP="002959E5">
            <w:pPr>
              <w:spacing w:after="0" w:line="240" w:lineRule="auto"/>
              <w:rPr>
                <w:sz w:val="20"/>
                <w:szCs w:val="20"/>
                <w:lang w:val="en-GB"/>
              </w:rPr>
            </w:pPr>
            <w:r w:rsidRPr="002959E5">
              <w:rPr>
                <w:sz w:val="20"/>
                <w:szCs w:val="20"/>
                <w:lang w:val="en-GB"/>
              </w:rPr>
              <w:t xml:space="preserve">VOJVODINA FRONT - united for democratic </w:t>
            </w:r>
            <w:proofErr w:type="spellStart"/>
            <w:r w:rsidRPr="002959E5">
              <w:rPr>
                <w:sz w:val="20"/>
                <w:szCs w:val="20"/>
                <w:lang w:val="en-GB"/>
              </w:rPr>
              <w:t>Bač</w:t>
            </w:r>
            <w:proofErr w:type="spellEnd"/>
            <w:r w:rsidRPr="002959E5">
              <w:rPr>
                <w:sz w:val="20"/>
                <w:szCs w:val="20"/>
                <w:lang w:val="en-GB"/>
              </w:rPr>
              <w:t xml:space="preserve"> (League of Social Democrats of </w:t>
            </w:r>
            <w:proofErr w:type="spellStart"/>
            <w:r w:rsidRPr="002959E5">
              <w:rPr>
                <w:sz w:val="20"/>
                <w:szCs w:val="20"/>
                <w:lang w:val="en-GB"/>
              </w:rPr>
              <w:t>Vojvodina</w:t>
            </w:r>
            <w:proofErr w:type="spellEnd"/>
            <w:r w:rsidRPr="002959E5">
              <w:rPr>
                <w:sz w:val="20"/>
                <w:szCs w:val="20"/>
                <w:lang w:val="en-GB"/>
              </w:rPr>
              <w:t xml:space="preserve">, Together for </w:t>
            </w:r>
            <w:proofErr w:type="spellStart"/>
            <w:r w:rsidRPr="002959E5">
              <w:rPr>
                <w:sz w:val="20"/>
                <w:szCs w:val="20"/>
                <w:lang w:val="en-GB"/>
              </w:rPr>
              <w:t>Vojvodina</w:t>
            </w:r>
            <w:proofErr w:type="spellEnd"/>
            <w:r w:rsidRPr="002959E5">
              <w:rPr>
                <w:sz w:val="20"/>
                <w:szCs w:val="20"/>
                <w:lang w:val="en-GB"/>
              </w:rPr>
              <w:t xml:space="preserve">, Democratic Alliance of Croats in </w:t>
            </w:r>
            <w:proofErr w:type="spellStart"/>
            <w:r w:rsidRPr="002959E5">
              <w:rPr>
                <w:sz w:val="20"/>
                <w:szCs w:val="20"/>
                <w:lang w:val="en-GB"/>
              </w:rPr>
              <w:t>Vojvodina</w:t>
            </w:r>
            <w:proofErr w:type="spellEnd"/>
            <w:r w:rsidRPr="002959E5">
              <w:rPr>
                <w:sz w:val="20"/>
                <w:szCs w:val="20"/>
                <w:lang w:val="en-GB"/>
              </w:rPr>
              <w:t>)</w:t>
            </w:r>
          </w:p>
        </w:tc>
        <w:tc>
          <w:tcPr>
            <w:tcW w:w="2410" w:type="dxa"/>
          </w:tcPr>
          <w:p w14:paraId="34406850" w14:textId="77777777" w:rsidR="00123B6E" w:rsidRPr="002959E5" w:rsidRDefault="00252116" w:rsidP="00123B6E">
            <w:pPr>
              <w:spacing w:after="0" w:line="240" w:lineRule="auto"/>
              <w:rPr>
                <w:sz w:val="20"/>
                <w:szCs w:val="20"/>
                <w:lang w:val="en-GB"/>
              </w:rPr>
            </w:pPr>
            <w:proofErr w:type="spellStart"/>
            <w:r w:rsidRPr="002959E5">
              <w:rPr>
                <w:sz w:val="20"/>
                <w:szCs w:val="20"/>
                <w:lang w:val="en-GB"/>
              </w:rPr>
              <w:t>Bač</w:t>
            </w:r>
            <w:proofErr w:type="spellEnd"/>
            <w:r w:rsidRPr="002959E5">
              <w:rPr>
                <w:sz w:val="20"/>
                <w:szCs w:val="20"/>
                <w:lang w:val="en-GB"/>
              </w:rPr>
              <w:t xml:space="preserve"> </w:t>
            </w:r>
          </w:p>
        </w:tc>
        <w:tc>
          <w:tcPr>
            <w:tcW w:w="674" w:type="dxa"/>
          </w:tcPr>
          <w:p w14:paraId="25EE90E4" w14:textId="77777777" w:rsidR="00123B6E" w:rsidRPr="002959E5" w:rsidRDefault="00123B6E" w:rsidP="00123B6E">
            <w:pPr>
              <w:spacing w:after="0" w:line="240" w:lineRule="auto"/>
              <w:jc w:val="right"/>
              <w:rPr>
                <w:sz w:val="20"/>
                <w:szCs w:val="20"/>
                <w:lang w:val="en-GB"/>
              </w:rPr>
            </w:pPr>
            <w:r w:rsidRPr="002959E5">
              <w:rPr>
                <w:sz w:val="20"/>
                <w:szCs w:val="20"/>
                <w:lang w:val="en-GB"/>
              </w:rPr>
              <w:t>2</w:t>
            </w:r>
          </w:p>
        </w:tc>
      </w:tr>
      <w:tr w:rsidR="00123B6E" w:rsidRPr="00D62D04" w14:paraId="7D45D55A" w14:textId="77777777" w:rsidTr="009756CB">
        <w:trPr>
          <w:trHeight w:val="309"/>
        </w:trPr>
        <w:tc>
          <w:tcPr>
            <w:tcW w:w="5665" w:type="dxa"/>
          </w:tcPr>
          <w:p w14:paraId="4D6981B1" w14:textId="77777777" w:rsidR="00123B6E" w:rsidRPr="00983E50" w:rsidRDefault="00983E50" w:rsidP="00983E50">
            <w:pPr>
              <w:spacing w:after="0" w:line="240" w:lineRule="auto"/>
              <w:rPr>
                <w:sz w:val="20"/>
                <w:szCs w:val="20"/>
                <w:lang w:val="en-GB"/>
              </w:rPr>
            </w:pPr>
            <w:r w:rsidRPr="00983E50">
              <w:rPr>
                <w:sz w:val="20"/>
                <w:szCs w:val="20"/>
                <w:lang w:val="en-GB"/>
              </w:rPr>
              <w:t xml:space="preserve">VOJVODINA FRONT - united for democratic </w:t>
            </w:r>
            <w:proofErr w:type="spellStart"/>
            <w:r w:rsidRPr="00983E50">
              <w:rPr>
                <w:sz w:val="20"/>
                <w:szCs w:val="20"/>
                <w:lang w:val="en-GB"/>
              </w:rPr>
              <w:t>Zrenjanin</w:t>
            </w:r>
            <w:proofErr w:type="spellEnd"/>
            <w:r w:rsidRPr="00983E50">
              <w:rPr>
                <w:sz w:val="20"/>
                <w:szCs w:val="20"/>
                <w:lang w:val="en-GB"/>
              </w:rPr>
              <w:t xml:space="preserve"> (League of Social Democrats of </w:t>
            </w:r>
            <w:proofErr w:type="spellStart"/>
            <w:r w:rsidRPr="00983E50">
              <w:rPr>
                <w:sz w:val="20"/>
                <w:szCs w:val="20"/>
                <w:lang w:val="en-GB"/>
              </w:rPr>
              <w:t>Vojvodina</w:t>
            </w:r>
            <w:proofErr w:type="spellEnd"/>
            <w:r w:rsidRPr="00983E50">
              <w:rPr>
                <w:sz w:val="20"/>
                <w:szCs w:val="20"/>
                <w:lang w:val="en-GB"/>
              </w:rPr>
              <w:t xml:space="preserve">, </w:t>
            </w:r>
            <w:proofErr w:type="spellStart"/>
            <w:r w:rsidRPr="00983E50">
              <w:rPr>
                <w:sz w:val="20"/>
                <w:szCs w:val="20"/>
                <w:lang w:val="en-GB"/>
              </w:rPr>
              <w:t>Vojvodina</w:t>
            </w:r>
            <w:proofErr w:type="spellEnd"/>
            <w:r w:rsidRPr="00983E50">
              <w:rPr>
                <w:sz w:val="20"/>
                <w:szCs w:val="20"/>
                <w:lang w:val="en-GB"/>
              </w:rPr>
              <w:t xml:space="preserve"> Party, Together for </w:t>
            </w:r>
            <w:proofErr w:type="spellStart"/>
            <w:r w:rsidRPr="00983E50">
              <w:rPr>
                <w:sz w:val="20"/>
                <w:szCs w:val="20"/>
                <w:lang w:val="en-GB"/>
              </w:rPr>
              <w:t>Vojvodina</w:t>
            </w:r>
            <w:proofErr w:type="spellEnd"/>
            <w:r w:rsidRPr="00983E50">
              <w:rPr>
                <w:sz w:val="20"/>
                <w:szCs w:val="20"/>
                <w:lang w:val="en-GB"/>
              </w:rPr>
              <w:t xml:space="preserve">, Democratic Alliance of Croats in </w:t>
            </w:r>
            <w:proofErr w:type="spellStart"/>
            <w:r w:rsidRPr="00983E50">
              <w:rPr>
                <w:sz w:val="20"/>
                <w:szCs w:val="20"/>
                <w:lang w:val="en-GB"/>
              </w:rPr>
              <w:t>Vojvodina</w:t>
            </w:r>
            <w:proofErr w:type="spellEnd"/>
            <w:r w:rsidRPr="00983E50">
              <w:rPr>
                <w:sz w:val="20"/>
                <w:szCs w:val="20"/>
                <w:lang w:val="en-GB"/>
              </w:rPr>
              <w:t xml:space="preserve">) - </w:t>
            </w:r>
            <w:proofErr w:type="spellStart"/>
            <w:r w:rsidRPr="00983E50">
              <w:rPr>
                <w:sz w:val="20"/>
                <w:szCs w:val="20"/>
                <w:lang w:val="en-GB"/>
              </w:rPr>
              <w:t>Nenad</w:t>
            </w:r>
            <w:proofErr w:type="spellEnd"/>
            <w:r w:rsidRPr="00983E50">
              <w:rPr>
                <w:sz w:val="20"/>
                <w:szCs w:val="20"/>
                <w:lang w:val="en-GB"/>
              </w:rPr>
              <w:t xml:space="preserve">  </w:t>
            </w:r>
            <w:proofErr w:type="spellStart"/>
            <w:r w:rsidRPr="00983E50">
              <w:rPr>
                <w:sz w:val="20"/>
                <w:szCs w:val="20"/>
                <w:lang w:val="en-GB"/>
              </w:rPr>
              <w:t>Čanak</w:t>
            </w:r>
            <w:proofErr w:type="spellEnd"/>
          </w:p>
        </w:tc>
        <w:tc>
          <w:tcPr>
            <w:tcW w:w="2410" w:type="dxa"/>
          </w:tcPr>
          <w:p w14:paraId="63A13831" w14:textId="77777777" w:rsidR="00123B6E" w:rsidRPr="00983E50" w:rsidRDefault="00252116" w:rsidP="00123B6E">
            <w:pPr>
              <w:spacing w:after="0" w:line="240" w:lineRule="auto"/>
              <w:rPr>
                <w:sz w:val="20"/>
                <w:szCs w:val="20"/>
                <w:lang w:val="en-GB"/>
              </w:rPr>
            </w:pPr>
            <w:proofErr w:type="spellStart"/>
            <w:r w:rsidRPr="00983E50">
              <w:rPr>
                <w:sz w:val="20"/>
                <w:szCs w:val="20"/>
                <w:lang w:val="en-GB"/>
              </w:rPr>
              <w:t>Zrenjanin</w:t>
            </w:r>
            <w:proofErr w:type="spellEnd"/>
            <w:r w:rsidRPr="00983E50">
              <w:rPr>
                <w:sz w:val="20"/>
                <w:szCs w:val="20"/>
                <w:lang w:val="en-GB"/>
              </w:rPr>
              <w:t xml:space="preserve"> </w:t>
            </w:r>
          </w:p>
        </w:tc>
        <w:tc>
          <w:tcPr>
            <w:tcW w:w="674" w:type="dxa"/>
          </w:tcPr>
          <w:p w14:paraId="3AF5A849" w14:textId="77777777" w:rsidR="00123B6E" w:rsidRPr="00983E50" w:rsidRDefault="00123B6E" w:rsidP="00123B6E">
            <w:pPr>
              <w:spacing w:after="0" w:line="240" w:lineRule="auto"/>
              <w:jc w:val="right"/>
              <w:rPr>
                <w:sz w:val="20"/>
                <w:szCs w:val="20"/>
                <w:lang w:val="en-GB"/>
              </w:rPr>
            </w:pPr>
            <w:r w:rsidRPr="00983E50">
              <w:rPr>
                <w:sz w:val="20"/>
                <w:szCs w:val="20"/>
                <w:lang w:val="en-GB"/>
              </w:rPr>
              <w:t>4</w:t>
            </w:r>
          </w:p>
        </w:tc>
      </w:tr>
      <w:tr w:rsidR="00123B6E" w:rsidRPr="00D62D04" w14:paraId="7D296A37" w14:textId="77777777" w:rsidTr="009756CB">
        <w:trPr>
          <w:trHeight w:val="309"/>
        </w:trPr>
        <w:tc>
          <w:tcPr>
            <w:tcW w:w="5665" w:type="dxa"/>
          </w:tcPr>
          <w:p w14:paraId="7B16DFEB" w14:textId="77777777" w:rsidR="00123B6E" w:rsidRPr="00851FCA" w:rsidRDefault="00851FCA" w:rsidP="00851FCA">
            <w:pPr>
              <w:spacing w:after="0" w:line="240" w:lineRule="auto"/>
              <w:rPr>
                <w:sz w:val="20"/>
                <w:szCs w:val="20"/>
                <w:lang w:val="en-GB"/>
              </w:rPr>
            </w:pPr>
            <w:r w:rsidRPr="00851FCA">
              <w:rPr>
                <w:sz w:val="20"/>
                <w:szCs w:val="20"/>
                <w:lang w:val="en-GB"/>
              </w:rPr>
              <w:t xml:space="preserve">VOJVODINA FRONT - united for democratic </w:t>
            </w:r>
            <w:proofErr w:type="spellStart"/>
            <w:r w:rsidRPr="00851FCA">
              <w:rPr>
                <w:sz w:val="20"/>
                <w:szCs w:val="20"/>
                <w:lang w:val="en-GB"/>
              </w:rPr>
              <w:t>Sombor</w:t>
            </w:r>
            <w:proofErr w:type="spellEnd"/>
            <w:r w:rsidRPr="00851FCA">
              <w:rPr>
                <w:sz w:val="20"/>
                <w:szCs w:val="20"/>
                <w:lang w:val="en-GB"/>
              </w:rPr>
              <w:t xml:space="preserve"> (League of Social Democrats of </w:t>
            </w:r>
            <w:proofErr w:type="spellStart"/>
            <w:r w:rsidRPr="00851FCA">
              <w:rPr>
                <w:sz w:val="20"/>
                <w:szCs w:val="20"/>
                <w:lang w:val="en-GB"/>
              </w:rPr>
              <w:t>Vojvodina</w:t>
            </w:r>
            <w:proofErr w:type="spellEnd"/>
            <w:r w:rsidRPr="00851FCA">
              <w:rPr>
                <w:sz w:val="20"/>
                <w:szCs w:val="20"/>
                <w:lang w:val="en-GB"/>
              </w:rPr>
              <w:t xml:space="preserve">, </w:t>
            </w:r>
            <w:proofErr w:type="spellStart"/>
            <w:r w:rsidRPr="00851FCA">
              <w:rPr>
                <w:sz w:val="20"/>
                <w:szCs w:val="20"/>
                <w:lang w:val="en-GB"/>
              </w:rPr>
              <w:t>Vojvodina</w:t>
            </w:r>
            <w:proofErr w:type="spellEnd"/>
            <w:r w:rsidRPr="00851FCA">
              <w:rPr>
                <w:sz w:val="20"/>
                <w:szCs w:val="20"/>
                <w:lang w:val="en-GB"/>
              </w:rPr>
              <w:t xml:space="preserve"> Party, Together for </w:t>
            </w:r>
            <w:proofErr w:type="spellStart"/>
            <w:r w:rsidRPr="00851FCA">
              <w:rPr>
                <w:sz w:val="20"/>
                <w:szCs w:val="20"/>
                <w:lang w:val="en-GB"/>
              </w:rPr>
              <w:t>Vojvodina</w:t>
            </w:r>
            <w:proofErr w:type="spellEnd"/>
            <w:r w:rsidRPr="00851FCA">
              <w:rPr>
                <w:sz w:val="20"/>
                <w:szCs w:val="20"/>
                <w:lang w:val="en-GB"/>
              </w:rPr>
              <w:t xml:space="preserve">, Democratic Alliance of Croats in </w:t>
            </w:r>
            <w:proofErr w:type="spellStart"/>
            <w:r w:rsidRPr="00851FCA">
              <w:rPr>
                <w:sz w:val="20"/>
                <w:szCs w:val="20"/>
                <w:lang w:val="en-GB"/>
              </w:rPr>
              <w:t>Vojvodina</w:t>
            </w:r>
            <w:proofErr w:type="spellEnd"/>
            <w:r w:rsidRPr="00851FCA">
              <w:rPr>
                <w:sz w:val="20"/>
                <w:szCs w:val="20"/>
                <w:lang w:val="en-GB"/>
              </w:rPr>
              <w:t>)</w:t>
            </w:r>
          </w:p>
        </w:tc>
        <w:tc>
          <w:tcPr>
            <w:tcW w:w="2410" w:type="dxa"/>
          </w:tcPr>
          <w:p w14:paraId="37992EE3" w14:textId="77777777" w:rsidR="00123B6E" w:rsidRPr="00851FCA" w:rsidRDefault="00252116" w:rsidP="00123B6E">
            <w:pPr>
              <w:spacing w:after="0" w:line="240" w:lineRule="auto"/>
              <w:rPr>
                <w:sz w:val="20"/>
                <w:szCs w:val="20"/>
                <w:lang w:val="en-GB"/>
              </w:rPr>
            </w:pPr>
            <w:proofErr w:type="spellStart"/>
            <w:r w:rsidRPr="00851FCA">
              <w:rPr>
                <w:sz w:val="20"/>
                <w:szCs w:val="20"/>
                <w:lang w:val="en-GB"/>
              </w:rPr>
              <w:t>Sombor</w:t>
            </w:r>
            <w:proofErr w:type="spellEnd"/>
            <w:r w:rsidRPr="00851FCA">
              <w:rPr>
                <w:sz w:val="20"/>
                <w:szCs w:val="20"/>
                <w:lang w:val="en-GB"/>
              </w:rPr>
              <w:t xml:space="preserve"> </w:t>
            </w:r>
          </w:p>
        </w:tc>
        <w:tc>
          <w:tcPr>
            <w:tcW w:w="674" w:type="dxa"/>
          </w:tcPr>
          <w:p w14:paraId="0AA87F54" w14:textId="77777777" w:rsidR="00123B6E" w:rsidRPr="00851FCA" w:rsidRDefault="00123B6E" w:rsidP="00123B6E">
            <w:pPr>
              <w:spacing w:after="0" w:line="240" w:lineRule="auto"/>
              <w:jc w:val="right"/>
              <w:rPr>
                <w:sz w:val="20"/>
                <w:szCs w:val="20"/>
                <w:lang w:val="en-GB"/>
              </w:rPr>
            </w:pPr>
            <w:r w:rsidRPr="00851FCA">
              <w:rPr>
                <w:sz w:val="20"/>
                <w:szCs w:val="20"/>
                <w:lang w:val="en-GB"/>
              </w:rPr>
              <w:t>2</w:t>
            </w:r>
          </w:p>
        </w:tc>
      </w:tr>
      <w:tr w:rsidR="00123B6E" w:rsidRPr="00D62D04" w14:paraId="61C7C54D" w14:textId="77777777" w:rsidTr="009756CB">
        <w:trPr>
          <w:trHeight w:val="309"/>
        </w:trPr>
        <w:tc>
          <w:tcPr>
            <w:tcW w:w="5665" w:type="dxa"/>
          </w:tcPr>
          <w:p w14:paraId="38DCC2BB" w14:textId="77777777" w:rsidR="00123B6E" w:rsidRPr="00851FCA" w:rsidRDefault="00851FCA" w:rsidP="00851FCA">
            <w:pPr>
              <w:spacing w:after="0" w:line="240" w:lineRule="auto"/>
              <w:rPr>
                <w:sz w:val="20"/>
                <w:szCs w:val="20"/>
                <w:lang w:val="en-GB"/>
              </w:rPr>
            </w:pPr>
            <w:r w:rsidRPr="00851FCA">
              <w:rPr>
                <w:sz w:val="20"/>
                <w:szCs w:val="20"/>
                <w:lang w:val="en-GB"/>
              </w:rPr>
              <w:t>"VOJVODINA FRONT – UNITED FOR DEMOCRATIC SUBOTICA (LEAGUE OF SOCIAL DEMOCRATS OF VOJVODINA, DEMOCRATIC ALLIANCE OF CROATS IN VOJVODINA, VOJVOD</w:t>
            </w:r>
            <w:r>
              <w:rPr>
                <w:sz w:val="20"/>
                <w:szCs w:val="20"/>
                <w:lang w:val="en-GB"/>
              </w:rPr>
              <w:t>INIAN</w:t>
            </w:r>
            <w:r w:rsidRPr="00851FCA">
              <w:rPr>
                <w:sz w:val="20"/>
                <w:szCs w:val="20"/>
                <w:lang w:val="en-GB"/>
              </w:rPr>
              <w:t xml:space="preserve"> PARTY) - TOMISLAV ŽIGMANOV"</w:t>
            </w:r>
          </w:p>
        </w:tc>
        <w:tc>
          <w:tcPr>
            <w:tcW w:w="2410" w:type="dxa"/>
          </w:tcPr>
          <w:p w14:paraId="0827586D" w14:textId="77777777" w:rsidR="00123B6E" w:rsidRPr="00851FCA" w:rsidRDefault="00252116" w:rsidP="00123B6E">
            <w:pPr>
              <w:spacing w:after="0" w:line="240" w:lineRule="auto"/>
              <w:rPr>
                <w:sz w:val="20"/>
                <w:szCs w:val="20"/>
                <w:lang w:val="en-GB"/>
              </w:rPr>
            </w:pPr>
            <w:r w:rsidRPr="00851FCA">
              <w:rPr>
                <w:sz w:val="20"/>
                <w:szCs w:val="20"/>
                <w:lang w:val="en-GB"/>
              </w:rPr>
              <w:t xml:space="preserve">Subotica </w:t>
            </w:r>
          </w:p>
        </w:tc>
        <w:tc>
          <w:tcPr>
            <w:tcW w:w="674" w:type="dxa"/>
          </w:tcPr>
          <w:p w14:paraId="687814ED" w14:textId="77777777" w:rsidR="00123B6E" w:rsidRPr="00851FCA" w:rsidRDefault="00123B6E" w:rsidP="00123B6E">
            <w:pPr>
              <w:spacing w:after="0" w:line="240" w:lineRule="auto"/>
              <w:jc w:val="right"/>
              <w:rPr>
                <w:sz w:val="20"/>
                <w:szCs w:val="20"/>
                <w:lang w:val="en-GB"/>
              </w:rPr>
            </w:pPr>
            <w:r w:rsidRPr="00851FCA">
              <w:rPr>
                <w:sz w:val="20"/>
                <w:szCs w:val="20"/>
                <w:lang w:val="en-GB"/>
              </w:rPr>
              <w:t>3</w:t>
            </w:r>
          </w:p>
        </w:tc>
      </w:tr>
    </w:tbl>
    <w:p w14:paraId="47E908D1" w14:textId="77777777" w:rsidR="00123B6E" w:rsidRPr="00D62D04" w:rsidRDefault="00123B6E" w:rsidP="00543C3D">
      <w:pPr>
        <w:spacing w:after="0"/>
        <w:jc w:val="both"/>
        <w:rPr>
          <w:sz w:val="24"/>
          <w:szCs w:val="24"/>
          <w:highlight w:val="cyan"/>
          <w:lang w:val="en-GB"/>
        </w:rPr>
      </w:pPr>
    </w:p>
    <w:p w14:paraId="52041EB4" w14:textId="77777777" w:rsidR="00FD4151" w:rsidRDefault="00B85A49" w:rsidP="00F04EA0">
      <w:pPr>
        <w:spacing w:after="0"/>
        <w:jc w:val="both"/>
        <w:rPr>
          <w:sz w:val="24"/>
          <w:szCs w:val="24"/>
          <w:lang w:val="en-GB"/>
        </w:rPr>
      </w:pPr>
      <w:r w:rsidRPr="00FD4151">
        <w:rPr>
          <w:sz w:val="24"/>
          <w:szCs w:val="24"/>
          <w:lang w:val="en-GB"/>
        </w:rPr>
        <w:tab/>
      </w:r>
      <w:r w:rsidR="00FD4151" w:rsidRPr="00FD4151">
        <w:rPr>
          <w:sz w:val="24"/>
          <w:szCs w:val="24"/>
          <w:lang w:val="en-GB"/>
        </w:rPr>
        <w:t xml:space="preserve">For a complete overview of the representation of national minorities in elected bodies, it is important to point out the fact that the National </w:t>
      </w:r>
      <w:r w:rsidR="00FD4151">
        <w:rPr>
          <w:sz w:val="24"/>
          <w:szCs w:val="24"/>
          <w:lang w:val="en-GB"/>
        </w:rPr>
        <w:t>Parliament</w:t>
      </w:r>
      <w:r w:rsidR="00FD4151" w:rsidRPr="00FD4151">
        <w:rPr>
          <w:sz w:val="24"/>
          <w:szCs w:val="24"/>
          <w:lang w:val="en-GB"/>
        </w:rPr>
        <w:t xml:space="preserve"> of the Republic of Serbia and the Assembly of AP </w:t>
      </w:r>
      <w:r w:rsidR="00FD4151">
        <w:rPr>
          <w:sz w:val="24"/>
          <w:szCs w:val="24"/>
          <w:lang w:val="en-GB"/>
        </w:rPr>
        <w:t xml:space="preserve">of </w:t>
      </w:r>
      <w:proofErr w:type="spellStart"/>
      <w:r w:rsidR="00FD4151" w:rsidRPr="00FD4151">
        <w:rPr>
          <w:sz w:val="24"/>
          <w:szCs w:val="24"/>
          <w:lang w:val="en-GB"/>
        </w:rPr>
        <w:t>Vojvodina</w:t>
      </w:r>
      <w:proofErr w:type="spellEnd"/>
      <w:r w:rsidR="00FD4151" w:rsidRPr="00FD4151">
        <w:rPr>
          <w:sz w:val="24"/>
          <w:szCs w:val="24"/>
          <w:lang w:val="en-GB"/>
        </w:rPr>
        <w:t xml:space="preserve"> have established committees that deal with issues of minority rights and national equality. In the National </w:t>
      </w:r>
      <w:r w:rsidR="00FD4151">
        <w:rPr>
          <w:sz w:val="24"/>
          <w:szCs w:val="24"/>
          <w:lang w:val="en-GB"/>
        </w:rPr>
        <w:t>Parliament</w:t>
      </w:r>
      <w:r w:rsidR="00FD4151" w:rsidRPr="00FD4151">
        <w:rPr>
          <w:sz w:val="24"/>
          <w:szCs w:val="24"/>
          <w:lang w:val="en-GB"/>
        </w:rPr>
        <w:t>, it is the Committee for Human and Minority Rights and Gender Equality, which, among other things, considers issues re</w:t>
      </w:r>
      <w:r w:rsidR="00FD4151">
        <w:rPr>
          <w:sz w:val="24"/>
          <w:szCs w:val="24"/>
          <w:lang w:val="en-GB"/>
        </w:rPr>
        <w:t>ferring</w:t>
      </w:r>
      <w:r w:rsidR="00FD4151" w:rsidRPr="00FD4151">
        <w:rPr>
          <w:sz w:val="24"/>
          <w:szCs w:val="24"/>
          <w:lang w:val="en-GB"/>
        </w:rPr>
        <w:t xml:space="preserve"> to the </w:t>
      </w:r>
      <w:r w:rsidR="00FD4151">
        <w:rPr>
          <w:sz w:val="24"/>
          <w:szCs w:val="24"/>
          <w:lang w:val="en-GB"/>
        </w:rPr>
        <w:t>exercise</w:t>
      </w:r>
      <w:r w:rsidR="00FD4151" w:rsidRPr="00FD4151">
        <w:rPr>
          <w:sz w:val="24"/>
          <w:szCs w:val="24"/>
          <w:lang w:val="en-GB"/>
        </w:rPr>
        <w:t xml:space="preserve"> of the rights of national minorities and inter-ethnic relations in the Republic of Serbia and cooperates with the national councils of national minorities. In the Assembly of AP </w:t>
      </w:r>
      <w:r w:rsidR="00FD4151">
        <w:rPr>
          <w:sz w:val="24"/>
          <w:szCs w:val="24"/>
          <w:lang w:val="en-GB"/>
        </w:rPr>
        <w:t xml:space="preserve">of </w:t>
      </w:r>
      <w:proofErr w:type="spellStart"/>
      <w:r w:rsidR="00FD4151" w:rsidRPr="00FD4151">
        <w:rPr>
          <w:sz w:val="24"/>
          <w:szCs w:val="24"/>
          <w:lang w:val="en-GB"/>
        </w:rPr>
        <w:t>Vojvodina</w:t>
      </w:r>
      <w:proofErr w:type="spellEnd"/>
      <w:r w:rsidR="00FD4151" w:rsidRPr="00FD4151">
        <w:rPr>
          <w:sz w:val="24"/>
          <w:szCs w:val="24"/>
          <w:lang w:val="en-GB"/>
        </w:rPr>
        <w:t xml:space="preserve">, the Committee for National Equality was </w:t>
      </w:r>
      <w:r w:rsidR="00FD4151">
        <w:rPr>
          <w:sz w:val="24"/>
          <w:szCs w:val="24"/>
          <w:lang w:val="en-GB"/>
        </w:rPr>
        <w:t>established</w:t>
      </w:r>
      <w:r w:rsidR="00FD4151" w:rsidRPr="00FD4151">
        <w:rPr>
          <w:sz w:val="24"/>
          <w:szCs w:val="24"/>
          <w:lang w:val="en-GB"/>
        </w:rPr>
        <w:t xml:space="preserve">, which, among other things, monitors the </w:t>
      </w:r>
      <w:r w:rsidR="00FD4151">
        <w:rPr>
          <w:sz w:val="24"/>
          <w:szCs w:val="24"/>
          <w:lang w:val="en-GB"/>
        </w:rPr>
        <w:t>exercise</w:t>
      </w:r>
      <w:r w:rsidR="00FD4151" w:rsidRPr="00FD4151">
        <w:rPr>
          <w:sz w:val="24"/>
          <w:szCs w:val="24"/>
          <w:lang w:val="en-GB"/>
        </w:rPr>
        <w:t xml:space="preserve"> of national equality.</w:t>
      </w:r>
    </w:p>
    <w:p w14:paraId="031AC4FF" w14:textId="77777777" w:rsidR="00B85A49" w:rsidRPr="00D62D04" w:rsidRDefault="00F04EA0" w:rsidP="00543C3D">
      <w:pPr>
        <w:spacing w:after="0"/>
        <w:jc w:val="both"/>
        <w:rPr>
          <w:sz w:val="24"/>
          <w:szCs w:val="24"/>
          <w:highlight w:val="cyan"/>
          <w:lang w:val="en-GB"/>
        </w:rPr>
      </w:pPr>
      <w:r w:rsidRPr="00D62D04">
        <w:rPr>
          <w:sz w:val="24"/>
          <w:szCs w:val="24"/>
          <w:highlight w:val="cyan"/>
          <w:lang w:val="en-GB"/>
        </w:rPr>
        <w:t xml:space="preserve">  </w:t>
      </w:r>
    </w:p>
    <w:p w14:paraId="350429CD" w14:textId="77777777" w:rsidR="00171ADA" w:rsidRPr="00D62D04" w:rsidRDefault="00AB5F44" w:rsidP="00F333CD">
      <w:pPr>
        <w:pStyle w:val="Heading3"/>
        <w:jc w:val="center"/>
        <w:rPr>
          <w:rFonts w:ascii="Times New Roman" w:hAnsi="Times New Roman" w:cs="Times New Roman"/>
          <w:b/>
          <w:highlight w:val="cyan"/>
          <w:lang w:val="en-GB"/>
        </w:rPr>
      </w:pPr>
      <w:bookmarkStart w:id="36" w:name="_Toc112932737"/>
      <w:r w:rsidRPr="00AB5F44">
        <w:rPr>
          <w:rFonts w:ascii="Times New Roman" w:hAnsi="Times New Roman" w:cs="Times New Roman"/>
          <w:b/>
          <w:color w:val="auto"/>
          <w:lang w:val="en-GB"/>
        </w:rPr>
        <w:t>Representation of national minorities in public administration</w:t>
      </w:r>
      <w:bookmarkEnd w:id="36"/>
    </w:p>
    <w:p w14:paraId="7BC47C08" w14:textId="77777777" w:rsidR="00171ADA" w:rsidRPr="00D62D04" w:rsidRDefault="00171ADA" w:rsidP="00171ADA">
      <w:pPr>
        <w:spacing w:after="0"/>
        <w:rPr>
          <w:b/>
          <w:sz w:val="24"/>
          <w:szCs w:val="24"/>
          <w:highlight w:val="cyan"/>
          <w:lang w:val="en-GB"/>
        </w:rPr>
      </w:pPr>
    </w:p>
    <w:p w14:paraId="3BD73897" w14:textId="77777777" w:rsidR="005A2BE2" w:rsidRDefault="00171ADA" w:rsidP="00171ADA">
      <w:pPr>
        <w:spacing w:after="0"/>
        <w:jc w:val="both"/>
        <w:rPr>
          <w:i/>
          <w:lang w:val="en-GB"/>
        </w:rPr>
      </w:pPr>
      <w:r w:rsidRPr="005A2BE2">
        <w:rPr>
          <w:i/>
          <w:sz w:val="24"/>
          <w:szCs w:val="24"/>
          <w:lang w:val="en-GB"/>
        </w:rPr>
        <w:t>128.</w:t>
      </w:r>
      <w:r w:rsidRPr="005A2BE2">
        <w:rPr>
          <w:i/>
          <w:lang w:val="en-GB"/>
        </w:rPr>
        <w:t xml:space="preserve"> </w:t>
      </w:r>
      <w:r w:rsidR="005A2BE2" w:rsidRPr="005A2BE2">
        <w:rPr>
          <w:i/>
          <w:lang w:val="en-GB"/>
        </w:rPr>
        <w:t>The Advisory Committee calls on the authorities to establish and use, as soon as possible, and no later than the deadline for issuing the fifth national report, a sustainable framework for the collection of human rights-based data within the public administration and, based on that data, establish, implement and periodically review concrete and effective measures aimed at creating long-term and measurable progress in the representation of national minorities in public administration, especially those living in remote areas and the most marginalised.</w:t>
      </w:r>
    </w:p>
    <w:p w14:paraId="4AA2D218" w14:textId="77777777" w:rsidR="00171ADA" w:rsidRPr="00D62D04" w:rsidRDefault="00171ADA" w:rsidP="00171ADA">
      <w:pPr>
        <w:spacing w:after="0"/>
        <w:jc w:val="both"/>
        <w:rPr>
          <w:i/>
          <w:sz w:val="24"/>
          <w:szCs w:val="24"/>
          <w:highlight w:val="cyan"/>
          <w:lang w:val="en-GB"/>
        </w:rPr>
      </w:pPr>
    </w:p>
    <w:p w14:paraId="6362C95E" w14:textId="4BDB91F2" w:rsidR="00171ADA" w:rsidRDefault="005A2BE2" w:rsidP="005A2BE2">
      <w:pPr>
        <w:spacing w:after="0"/>
        <w:ind w:firstLine="720"/>
        <w:jc w:val="both"/>
        <w:rPr>
          <w:sz w:val="24"/>
          <w:szCs w:val="24"/>
          <w:lang w:val="en-GB"/>
        </w:rPr>
      </w:pPr>
      <w:r w:rsidRPr="005A2BE2">
        <w:rPr>
          <w:sz w:val="24"/>
          <w:szCs w:val="24"/>
          <w:lang w:val="en-GB"/>
        </w:rPr>
        <w:t xml:space="preserve">The </w:t>
      </w:r>
      <w:r>
        <w:rPr>
          <w:sz w:val="24"/>
          <w:szCs w:val="24"/>
          <w:lang w:val="en-GB"/>
        </w:rPr>
        <w:t>response</w:t>
      </w:r>
      <w:r w:rsidRPr="005A2BE2">
        <w:rPr>
          <w:sz w:val="24"/>
          <w:szCs w:val="24"/>
          <w:lang w:val="en-GB"/>
        </w:rPr>
        <w:t xml:space="preserve"> to this recommendation is </w:t>
      </w:r>
      <w:r>
        <w:rPr>
          <w:sz w:val="24"/>
          <w:szCs w:val="24"/>
          <w:lang w:val="en-GB"/>
        </w:rPr>
        <w:t>given</w:t>
      </w:r>
      <w:r w:rsidRPr="005A2BE2">
        <w:rPr>
          <w:sz w:val="24"/>
          <w:szCs w:val="24"/>
          <w:lang w:val="en-GB"/>
        </w:rPr>
        <w:t xml:space="preserve"> in the </w:t>
      </w:r>
      <w:r>
        <w:rPr>
          <w:sz w:val="24"/>
          <w:szCs w:val="24"/>
          <w:lang w:val="en-GB"/>
        </w:rPr>
        <w:t>response</w:t>
      </w:r>
      <w:r w:rsidRPr="005A2BE2">
        <w:rPr>
          <w:sz w:val="24"/>
          <w:szCs w:val="24"/>
          <w:lang w:val="en-GB"/>
        </w:rPr>
        <w:t xml:space="preserve"> to recommendation 5 </w:t>
      </w:r>
      <w:r>
        <w:rPr>
          <w:sz w:val="24"/>
          <w:szCs w:val="24"/>
          <w:lang w:val="en-GB"/>
        </w:rPr>
        <w:t>of</w:t>
      </w:r>
      <w:r w:rsidRPr="005A2BE2">
        <w:rPr>
          <w:sz w:val="24"/>
          <w:szCs w:val="24"/>
          <w:lang w:val="en-GB"/>
        </w:rPr>
        <w:t xml:space="preserve"> the </w:t>
      </w:r>
      <w:r w:rsidR="00AC33C4">
        <w:rPr>
          <w:sz w:val="24"/>
          <w:szCs w:val="24"/>
          <w:lang w:val="en-GB"/>
        </w:rPr>
        <w:t>Committee of Ministers Resolution</w:t>
      </w:r>
      <w:r w:rsidRPr="005A2BE2">
        <w:rPr>
          <w:sz w:val="24"/>
          <w:szCs w:val="24"/>
          <w:lang w:val="en-GB"/>
        </w:rPr>
        <w:t>.</w:t>
      </w:r>
    </w:p>
    <w:p w14:paraId="5FD41581" w14:textId="77777777" w:rsidR="005A2BE2" w:rsidRPr="00D62D04" w:rsidRDefault="005A2BE2" w:rsidP="00171ADA">
      <w:pPr>
        <w:spacing w:after="0"/>
        <w:jc w:val="both"/>
        <w:rPr>
          <w:sz w:val="24"/>
          <w:szCs w:val="24"/>
          <w:highlight w:val="cyan"/>
          <w:lang w:val="en-GB"/>
        </w:rPr>
      </w:pPr>
    </w:p>
    <w:p w14:paraId="6649E774" w14:textId="77777777" w:rsidR="00171ADA" w:rsidRPr="00D62D04" w:rsidRDefault="00BD2AA9" w:rsidP="00F333CD">
      <w:pPr>
        <w:pStyle w:val="Heading3"/>
        <w:jc w:val="center"/>
        <w:rPr>
          <w:rFonts w:ascii="Times New Roman" w:hAnsi="Times New Roman" w:cs="Times New Roman"/>
          <w:b/>
          <w:highlight w:val="cyan"/>
          <w:lang w:val="en-GB"/>
        </w:rPr>
      </w:pPr>
      <w:bookmarkStart w:id="37" w:name="_Toc112932738"/>
      <w:r w:rsidRPr="00BD2AA9">
        <w:rPr>
          <w:rFonts w:ascii="Times New Roman" w:hAnsi="Times New Roman" w:cs="Times New Roman"/>
          <w:b/>
          <w:color w:val="auto"/>
          <w:lang w:val="en-GB"/>
        </w:rPr>
        <w:t>Participation in social and economic life</w:t>
      </w:r>
      <w:bookmarkEnd w:id="37"/>
    </w:p>
    <w:p w14:paraId="3C413511" w14:textId="77777777" w:rsidR="00171ADA" w:rsidRPr="00D62D04" w:rsidRDefault="00171ADA" w:rsidP="00171ADA">
      <w:pPr>
        <w:spacing w:after="0"/>
        <w:rPr>
          <w:b/>
          <w:sz w:val="24"/>
          <w:szCs w:val="24"/>
          <w:highlight w:val="cyan"/>
          <w:lang w:val="en-GB"/>
        </w:rPr>
      </w:pPr>
    </w:p>
    <w:p w14:paraId="2C9DA48B" w14:textId="77777777" w:rsidR="00AE725D" w:rsidRDefault="00171ADA" w:rsidP="00171ADA">
      <w:pPr>
        <w:spacing w:after="0"/>
        <w:jc w:val="both"/>
        <w:rPr>
          <w:i/>
          <w:sz w:val="24"/>
          <w:szCs w:val="24"/>
          <w:lang w:val="en-GB"/>
        </w:rPr>
      </w:pPr>
      <w:r w:rsidRPr="00AE725D">
        <w:rPr>
          <w:i/>
          <w:sz w:val="24"/>
          <w:szCs w:val="24"/>
          <w:lang w:val="en-GB"/>
        </w:rPr>
        <w:t xml:space="preserve">135. </w:t>
      </w:r>
      <w:r w:rsidR="00AE725D" w:rsidRPr="00AE725D">
        <w:rPr>
          <w:i/>
          <w:sz w:val="24"/>
          <w:szCs w:val="24"/>
          <w:lang w:val="en-GB"/>
        </w:rPr>
        <w:t>The Advisory Committee calls on the authorities to prioritise the economic revitalisation of areas where members of national minorities live in central and southern Serbia, including infrastructure improvements and incentives for greater employment opportunities.</w:t>
      </w:r>
    </w:p>
    <w:p w14:paraId="36BE3A65" w14:textId="77777777" w:rsidR="00171ADA" w:rsidRPr="00D62D04" w:rsidRDefault="00171ADA" w:rsidP="00171ADA">
      <w:pPr>
        <w:spacing w:after="0"/>
        <w:jc w:val="both"/>
        <w:rPr>
          <w:i/>
          <w:sz w:val="24"/>
          <w:szCs w:val="24"/>
          <w:highlight w:val="cyan"/>
          <w:lang w:val="en-GB"/>
        </w:rPr>
      </w:pPr>
    </w:p>
    <w:p w14:paraId="3AD2FCA0" w14:textId="21BDBD63" w:rsidR="00033233" w:rsidRDefault="00033233" w:rsidP="00033233">
      <w:pPr>
        <w:spacing w:after="0"/>
        <w:ind w:firstLine="720"/>
        <w:jc w:val="both"/>
        <w:rPr>
          <w:sz w:val="24"/>
          <w:szCs w:val="24"/>
          <w:lang w:val="en-GB"/>
        </w:rPr>
      </w:pPr>
      <w:r w:rsidRPr="005A2BE2">
        <w:rPr>
          <w:sz w:val="24"/>
          <w:szCs w:val="24"/>
          <w:lang w:val="en-GB"/>
        </w:rPr>
        <w:lastRenderedPageBreak/>
        <w:t xml:space="preserve">The </w:t>
      </w:r>
      <w:r>
        <w:rPr>
          <w:sz w:val="24"/>
          <w:szCs w:val="24"/>
          <w:lang w:val="en-GB"/>
        </w:rPr>
        <w:t>response</w:t>
      </w:r>
      <w:r w:rsidRPr="005A2BE2">
        <w:rPr>
          <w:sz w:val="24"/>
          <w:szCs w:val="24"/>
          <w:lang w:val="en-GB"/>
        </w:rPr>
        <w:t xml:space="preserve"> to this recommendation is </w:t>
      </w:r>
      <w:r>
        <w:rPr>
          <w:sz w:val="24"/>
          <w:szCs w:val="24"/>
          <w:lang w:val="en-GB"/>
        </w:rPr>
        <w:t>given</w:t>
      </w:r>
      <w:r w:rsidRPr="005A2BE2">
        <w:rPr>
          <w:sz w:val="24"/>
          <w:szCs w:val="24"/>
          <w:lang w:val="en-GB"/>
        </w:rPr>
        <w:t xml:space="preserve"> in the </w:t>
      </w:r>
      <w:r>
        <w:rPr>
          <w:sz w:val="24"/>
          <w:szCs w:val="24"/>
          <w:lang w:val="en-GB"/>
        </w:rPr>
        <w:t>response</w:t>
      </w:r>
      <w:r w:rsidRPr="005A2BE2">
        <w:rPr>
          <w:sz w:val="24"/>
          <w:szCs w:val="24"/>
          <w:lang w:val="en-GB"/>
        </w:rPr>
        <w:t xml:space="preserve"> to recommendation </w:t>
      </w:r>
      <w:r>
        <w:rPr>
          <w:sz w:val="24"/>
          <w:szCs w:val="24"/>
          <w:lang w:val="en-GB"/>
        </w:rPr>
        <w:t>13</w:t>
      </w:r>
      <w:r w:rsidRPr="005A2BE2">
        <w:rPr>
          <w:sz w:val="24"/>
          <w:szCs w:val="24"/>
          <w:lang w:val="en-GB"/>
        </w:rPr>
        <w:t xml:space="preserve"> </w:t>
      </w:r>
      <w:r>
        <w:rPr>
          <w:sz w:val="24"/>
          <w:szCs w:val="24"/>
          <w:lang w:val="en-GB"/>
        </w:rPr>
        <w:t>of</w:t>
      </w:r>
      <w:r w:rsidRPr="005A2BE2">
        <w:rPr>
          <w:sz w:val="24"/>
          <w:szCs w:val="24"/>
          <w:lang w:val="en-GB"/>
        </w:rPr>
        <w:t xml:space="preserve"> the </w:t>
      </w:r>
      <w:r w:rsidR="00AC33C4">
        <w:rPr>
          <w:sz w:val="24"/>
          <w:szCs w:val="24"/>
          <w:lang w:val="en-GB"/>
        </w:rPr>
        <w:t>Committee of Ministers Resolution</w:t>
      </w:r>
      <w:r w:rsidRPr="005A2BE2">
        <w:rPr>
          <w:sz w:val="24"/>
          <w:szCs w:val="24"/>
          <w:lang w:val="en-GB"/>
        </w:rPr>
        <w:t>.</w:t>
      </w:r>
    </w:p>
    <w:p w14:paraId="4B3247FD" w14:textId="77777777" w:rsidR="00171ADA" w:rsidRPr="00D62D04" w:rsidRDefault="00171ADA" w:rsidP="00171ADA">
      <w:pPr>
        <w:spacing w:after="0"/>
        <w:jc w:val="both"/>
        <w:rPr>
          <w:sz w:val="24"/>
          <w:szCs w:val="24"/>
          <w:highlight w:val="cyan"/>
          <w:lang w:val="en-GB"/>
        </w:rPr>
      </w:pPr>
    </w:p>
    <w:p w14:paraId="630081C9" w14:textId="77777777" w:rsidR="000050A7" w:rsidRDefault="00171ADA" w:rsidP="00171ADA">
      <w:pPr>
        <w:spacing w:after="0"/>
        <w:jc w:val="both"/>
        <w:rPr>
          <w:i/>
          <w:sz w:val="24"/>
          <w:szCs w:val="24"/>
          <w:lang w:val="en-GB"/>
        </w:rPr>
      </w:pPr>
      <w:r w:rsidRPr="000050A7">
        <w:rPr>
          <w:i/>
          <w:sz w:val="24"/>
          <w:szCs w:val="24"/>
          <w:lang w:val="en-GB"/>
        </w:rPr>
        <w:t>136.</w:t>
      </w:r>
      <w:r w:rsidR="000050A7" w:rsidRPr="000050A7">
        <w:t xml:space="preserve"> </w:t>
      </w:r>
      <w:r w:rsidR="000050A7" w:rsidRPr="000050A7">
        <w:rPr>
          <w:i/>
          <w:sz w:val="24"/>
          <w:szCs w:val="24"/>
          <w:lang w:val="en-GB"/>
        </w:rPr>
        <w:t>The Advisory Committee calls on the authorities to strengthen their efforts to ensure the effective participation of Roma in economic and social life, by designing policy measures based on disaggregated data, establishing clear indicators, monitoring them in close cooperation with Roma representatives, in order to adapt and strengthen them on a periodic basis.</w:t>
      </w:r>
    </w:p>
    <w:p w14:paraId="257FE3CC" w14:textId="77777777" w:rsidR="00171ADA" w:rsidRPr="00D62D04" w:rsidRDefault="00171ADA" w:rsidP="00171ADA">
      <w:pPr>
        <w:spacing w:after="0"/>
        <w:jc w:val="both"/>
        <w:rPr>
          <w:i/>
          <w:sz w:val="24"/>
          <w:szCs w:val="24"/>
          <w:highlight w:val="cyan"/>
          <w:lang w:val="en-GB"/>
        </w:rPr>
      </w:pPr>
    </w:p>
    <w:p w14:paraId="3652D28A" w14:textId="22584F4F" w:rsidR="00AE725D" w:rsidRDefault="00AE725D" w:rsidP="00AE725D">
      <w:pPr>
        <w:spacing w:after="0"/>
        <w:ind w:firstLine="720"/>
        <w:jc w:val="both"/>
        <w:rPr>
          <w:sz w:val="24"/>
          <w:szCs w:val="24"/>
          <w:lang w:val="en-GB"/>
        </w:rPr>
      </w:pPr>
      <w:r w:rsidRPr="005A2BE2">
        <w:rPr>
          <w:sz w:val="24"/>
          <w:szCs w:val="24"/>
          <w:lang w:val="en-GB"/>
        </w:rPr>
        <w:t xml:space="preserve">The </w:t>
      </w:r>
      <w:r>
        <w:rPr>
          <w:sz w:val="24"/>
          <w:szCs w:val="24"/>
          <w:lang w:val="en-GB"/>
        </w:rPr>
        <w:t>response</w:t>
      </w:r>
      <w:r w:rsidRPr="005A2BE2">
        <w:rPr>
          <w:sz w:val="24"/>
          <w:szCs w:val="24"/>
          <w:lang w:val="en-GB"/>
        </w:rPr>
        <w:t xml:space="preserve"> to this recommendation is </w:t>
      </w:r>
      <w:r>
        <w:rPr>
          <w:sz w:val="24"/>
          <w:szCs w:val="24"/>
          <w:lang w:val="en-GB"/>
        </w:rPr>
        <w:t>given</w:t>
      </w:r>
      <w:r w:rsidRPr="005A2BE2">
        <w:rPr>
          <w:sz w:val="24"/>
          <w:szCs w:val="24"/>
          <w:lang w:val="en-GB"/>
        </w:rPr>
        <w:t xml:space="preserve"> in the </w:t>
      </w:r>
      <w:r>
        <w:rPr>
          <w:sz w:val="24"/>
          <w:szCs w:val="24"/>
          <w:lang w:val="en-GB"/>
        </w:rPr>
        <w:t>response</w:t>
      </w:r>
      <w:r w:rsidRPr="005A2BE2">
        <w:rPr>
          <w:sz w:val="24"/>
          <w:szCs w:val="24"/>
          <w:lang w:val="en-GB"/>
        </w:rPr>
        <w:t xml:space="preserve"> to recommendation </w:t>
      </w:r>
      <w:r>
        <w:rPr>
          <w:sz w:val="24"/>
          <w:szCs w:val="24"/>
          <w:lang w:val="en-GB"/>
        </w:rPr>
        <w:t>1</w:t>
      </w:r>
      <w:r w:rsidRPr="005A2BE2">
        <w:rPr>
          <w:sz w:val="24"/>
          <w:szCs w:val="24"/>
          <w:lang w:val="en-GB"/>
        </w:rPr>
        <w:t xml:space="preserve"> </w:t>
      </w:r>
      <w:r>
        <w:rPr>
          <w:sz w:val="24"/>
          <w:szCs w:val="24"/>
          <w:lang w:val="en-GB"/>
        </w:rPr>
        <w:t>of</w:t>
      </w:r>
      <w:r w:rsidRPr="005A2BE2">
        <w:rPr>
          <w:sz w:val="24"/>
          <w:szCs w:val="24"/>
          <w:lang w:val="en-GB"/>
        </w:rPr>
        <w:t xml:space="preserve"> the </w:t>
      </w:r>
      <w:r w:rsidR="00AC33C4">
        <w:rPr>
          <w:sz w:val="24"/>
          <w:szCs w:val="24"/>
          <w:lang w:val="en-GB"/>
        </w:rPr>
        <w:t>Committee of Ministers Resolution</w:t>
      </w:r>
      <w:r w:rsidRPr="005A2BE2">
        <w:rPr>
          <w:sz w:val="24"/>
          <w:szCs w:val="24"/>
          <w:lang w:val="en-GB"/>
        </w:rPr>
        <w:t>.</w:t>
      </w:r>
    </w:p>
    <w:p w14:paraId="2263D246" w14:textId="77777777" w:rsidR="00171ADA" w:rsidRPr="00D62D04" w:rsidRDefault="00171ADA" w:rsidP="00171ADA">
      <w:pPr>
        <w:spacing w:after="0"/>
        <w:jc w:val="both"/>
        <w:rPr>
          <w:i/>
          <w:sz w:val="24"/>
          <w:szCs w:val="24"/>
          <w:highlight w:val="cyan"/>
          <w:lang w:val="en-GB"/>
        </w:rPr>
      </w:pPr>
    </w:p>
    <w:p w14:paraId="6A868E9C" w14:textId="77777777" w:rsidR="00171ADA" w:rsidRPr="00D617E8" w:rsidRDefault="00D617E8" w:rsidP="00F333CD">
      <w:pPr>
        <w:pStyle w:val="Heading2"/>
        <w:jc w:val="center"/>
        <w:rPr>
          <w:rFonts w:ascii="Times New Roman" w:hAnsi="Times New Roman" w:cs="Times New Roman"/>
          <w:b/>
          <w:sz w:val="24"/>
          <w:szCs w:val="24"/>
          <w:lang w:val="en-GB"/>
        </w:rPr>
      </w:pPr>
      <w:bookmarkStart w:id="38" w:name="_Toc112932739"/>
      <w:proofErr w:type="gramStart"/>
      <w:r w:rsidRPr="00D617E8">
        <w:rPr>
          <w:rFonts w:ascii="Times New Roman" w:hAnsi="Times New Roman" w:cs="Times New Roman"/>
          <w:b/>
          <w:color w:val="auto"/>
          <w:sz w:val="24"/>
          <w:szCs w:val="24"/>
          <w:lang w:val="en-GB"/>
        </w:rPr>
        <w:t xml:space="preserve">Articles </w:t>
      </w:r>
      <w:r w:rsidR="00171ADA" w:rsidRPr="00D617E8">
        <w:rPr>
          <w:rFonts w:ascii="Times New Roman" w:hAnsi="Times New Roman" w:cs="Times New Roman"/>
          <w:b/>
          <w:color w:val="auto"/>
          <w:sz w:val="24"/>
          <w:szCs w:val="24"/>
          <w:lang w:val="en-GB"/>
        </w:rPr>
        <w:t xml:space="preserve"> 17</w:t>
      </w:r>
      <w:proofErr w:type="gramEnd"/>
      <w:r w:rsidRPr="00D617E8">
        <w:rPr>
          <w:rFonts w:ascii="Times New Roman" w:hAnsi="Times New Roman" w:cs="Times New Roman"/>
          <w:b/>
          <w:color w:val="auto"/>
          <w:sz w:val="24"/>
          <w:szCs w:val="24"/>
          <w:lang w:val="en-GB"/>
        </w:rPr>
        <w:t xml:space="preserve"> and</w:t>
      </w:r>
      <w:r w:rsidR="00171ADA" w:rsidRPr="00D617E8">
        <w:rPr>
          <w:rFonts w:ascii="Times New Roman" w:hAnsi="Times New Roman" w:cs="Times New Roman"/>
          <w:b/>
          <w:color w:val="auto"/>
          <w:sz w:val="24"/>
          <w:szCs w:val="24"/>
          <w:lang w:val="en-GB"/>
        </w:rPr>
        <w:t xml:space="preserve"> 18</w:t>
      </w:r>
      <w:r w:rsidRPr="00D617E8">
        <w:rPr>
          <w:rFonts w:ascii="Times New Roman" w:hAnsi="Times New Roman" w:cs="Times New Roman"/>
          <w:b/>
          <w:color w:val="auto"/>
          <w:sz w:val="24"/>
          <w:szCs w:val="24"/>
          <w:lang w:val="en-GB"/>
        </w:rPr>
        <w:t xml:space="preserve"> of the Framework Convention</w:t>
      </w:r>
      <w:bookmarkEnd w:id="38"/>
      <w:r w:rsidRPr="00D617E8">
        <w:rPr>
          <w:rFonts w:ascii="Times New Roman" w:hAnsi="Times New Roman" w:cs="Times New Roman"/>
          <w:b/>
          <w:color w:val="auto"/>
          <w:sz w:val="24"/>
          <w:szCs w:val="24"/>
          <w:lang w:val="en-GB"/>
        </w:rPr>
        <w:t xml:space="preserve"> </w:t>
      </w:r>
      <w:r w:rsidR="00171ADA" w:rsidRPr="00D617E8">
        <w:rPr>
          <w:rFonts w:ascii="Times New Roman" w:hAnsi="Times New Roman" w:cs="Times New Roman"/>
          <w:b/>
          <w:color w:val="auto"/>
          <w:sz w:val="24"/>
          <w:szCs w:val="24"/>
          <w:lang w:val="en-GB"/>
        </w:rPr>
        <w:t xml:space="preserve"> </w:t>
      </w:r>
    </w:p>
    <w:p w14:paraId="4719E5F1" w14:textId="77777777" w:rsidR="00171ADA" w:rsidRPr="00D62D04" w:rsidRDefault="00D617E8" w:rsidP="00F333CD">
      <w:pPr>
        <w:pStyle w:val="Heading3"/>
        <w:jc w:val="center"/>
        <w:rPr>
          <w:rFonts w:ascii="Times New Roman" w:hAnsi="Times New Roman" w:cs="Times New Roman"/>
          <w:b/>
          <w:highlight w:val="cyan"/>
          <w:lang w:val="en-GB"/>
        </w:rPr>
      </w:pPr>
      <w:bookmarkStart w:id="39" w:name="_Toc112932740"/>
      <w:r w:rsidRPr="00D617E8">
        <w:rPr>
          <w:rFonts w:ascii="Times New Roman" w:hAnsi="Times New Roman" w:cs="Times New Roman"/>
          <w:b/>
          <w:color w:val="auto"/>
          <w:lang w:val="en-GB"/>
        </w:rPr>
        <w:t>Bilateral agreements and regional cooperation</w:t>
      </w:r>
      <w:bookmarkEnd w:id="39"/>
    </w:p>
    <w:p w14:paraId="47971E46" w14:textId="77777777" w:rsidR="00C83DFA" w:rsidRPr="00D62D04" w:rsidRDefault="00C83DFA" w:rsidP="00171ADA">
      <w:pPr>
        <w:spacing w:after="0"/>
        <w:jc w:val="center"/>
        <w:rPr>
          <w:b/>
          <w:sz w:val="24"/>
          <w:szCs w:val="24"/>
          <w:highlight w:val="cyan"/>
          <w:lang w:val="en-GB"/>
        </w:rPr>
      </w:pPr>
    </w:p>
    <w:p w14:paraId="0B714776" w14:textId="77777777" w:rsidR="00BB6251" w:rsidRDefault="00171ADA" w:rsidP="00171ADA">
      <w:pPr>
        <w:spacing w:after="0"/>
        <w:jc w:val="both"/>
        <w:rPr>
          <w:i/>
          <w:sz w:val="24"/>
          <w:szCs w:val="24"/>
          <w:lang w:val="en-GB"/>
        </w:rPr>
      </w:pPr>
      <w:r w:rsidRPr="00BB6251">
        <w:rPr>
          <w:i/>
          <w:sz w:val="24"/>
          <w:szCs w:val="24"/>
          <w:lang w:val="en-GB"/>
        </w:rPr>
        <w:t xml:space="preserve">139. </w:t>
      </w:r>
      <w:r w:rsidR="00BB6251" w:rsidRPr="00BB6251">
        <w:rPr>
          <w:i/>
          <w:sz w:val="24"/>
          <w:szCs w:val="24"/>
          <w:lang w:val="en-GB"/>
        </w:rPr>
        <w:t>The Advisory Committee calls on the authorities to consider strengthening bilateral cooperation regarding the protection of national minorities, with neighbouring EU countries and non-EU countries, in order to stimulate the economic development of areas where members of national minorities live, especially in central and southern Serbia.</w:t>
      </w:r>
    </w:p>
    <w:p w14:paraId="13CF4027" w14:textId="77777777" w:rsidR="00171ADA" w:rsidRPr="00D62D04" w:rsidRDefault="00171ADA" w:rsidP="00171ADA">
      <w:pPr>
        <w:spacing w:after="0"/>
        <w:jc w:val="both"/>
        <w:rPr>
          <w:i/>
          <w:sz w:val="24"/>
          <w:szCs w:val="24"/>
          <w:highlight w:val="cyan"/>
          <w:lang w:val="en-GB"/>
        </w:rPr>
      </w:pPr>
    </w:p>
    <w:p w14:paraId="10DCDA2F" w14:textId="77777777" w:rsidR="006271E2" w:rsidRDefault="006271E2" w:rsidP="003650A7">
      <w:pPr>
        <w:spacing w:after="0"/>
        <w:ind w:firstLine="720"/>
        <w:jc w:val="both"/>
        <w:rPr>
          <w:sz w:val="24"/>
          <w:szCs w:val="24"/>
          <w:lang w:val="en-GB"/>
        </w:rPr>
      </w:pPr>
      <w:r w:rsidRPr="006271E2">
        <w:rPr>
          <w:sz w:val="24"/>
          <w:szCs w:val="24"/>
          <w:lang w:val="en-GB"/>
        </w:rPr>
        <w:t xml:space="preserve">As the Advisory Committee was informed in previous reports, the institutional framework for bilateral cooperation in the context of the protection of national minorities was established by concluding bilateral agreements on the protection of national minorities with Hungary, Romania, Croatia and North Macedonia, which, among other things, envisage the establishment of intergovernmental mixed bodies </w:t>
      </w:r>
      <w:r w:rsidR="00257F76">
        <w:rPr>
          <w:sz w:val="24"/>
          <w:szCs w:val="24"/>
          <w:lang w:val="en-GB"/>
        </w:rPr>
        <w:t>the</w:t>
      </w:r>
      <w:r w:rsidRPr="006271E2">
        <w:rPr>
          <w:sz w:val="24"/>
          <w:szCs w:val="24"/>
          <w:lang w:val="en-GB"/>
        </w:rPr>
        <w:t xml:space="preserve"> task </w:t>
      </w:r>
      <w:r w:rsidR="00257F76">
        <w:rPr>
          <w:sz w:val="24"/>
          <w:szCs w:val="24"/>
          <w:lang w:val="en-GB"/>
        </w:rPr>
        <w:t xml:space="preserve">of which </w:t>
      </w:r>
      <w:r w:rsidRPr="006271E2">
        <w:rPr>
          <w:sz w:val="24"/>
          <w:szCs w:val="24"/>
          <w:lang w:val="en-GB"/>
        </w:rPr>
        <w:t>is to monitor the implementation of those agreements.</w:t>
      </w:r>
    </w:p>
    <w:p w14:paraId="03AAF187" w14:textId="77777777" w:rsidR="00BC2626" w:rsidRDefault="00BC2626" w:rsidP="003650A7">
      <w:pPr>
        <w:spacing w:after="0"/>
        <w:ind w:firstLine="720"/>
        <w:jc w:val="both"/>
        <w:rPr>
          <w:sz w:val="24"/>
          <w:szCs w:val="24"/>
          <w:lang w:val="en-GB"/>
        </w:rPr>
      </w:pPr>
      <w:r w:rsidRPr="00BC2626">
        <w:rPr>
          <w:sz w:val="24"/>
          <w:szCs w:val="24"/>
          <w:lang w:val="en-GB"/>
        </w:rPr>
        <w:t>In the period from 2016, several sessions of mixed bodies were held, and in the periods between the holding of sessions, there were also other activities that are directly related to the work of these bodies. Co-presidents and co-secretaries, and in certain situations the members of the mixed body themselves who are experts in a specific field, meet in the periods between two sessions. Meetings of the president</w:t>
      </w:r>
      <w:r w:rsidR="00D55B9A">
        <w:rPr>
          <w:sz w:val="24"/>
          <w:szCs w:val="24"/>
          <w:lang w:val="en-GB"/>
        </w:rPr>
        <w:t>s</w:t>
      </w:r>
      <w:r w:rsidRPr="00BC2626">
        <w:rPr>
          <w:sz w:val="24"/>
          <w:szCs w:val="24"/>
          <w:lang w:val="en-GB"/>
        </w:rPr>
        <w:t xml:space="preserve"> of the mixed body are also held with members of the minority, but also with representatives of line institutions with the aim of speeding up the implementation of some of the recommendations or solving an open issue, as well as preparatory meetings of the Serbian part of the delegation in these mixed bodies.</w:t>
      </w:r>
    </w:p>
    <w:p w14:paraId="50008136" w14:textId="77777777" w:rsidR="002873B6" w:rsidRDefault="002873B6" w:rsidP="003650A7">
      <w:pPr>
        <w:spacing w:after="0"/>
        <w:ind w:firstLine="720"/>
        <w:jc w:val="both"/>
        <w:rPr>
          <w:sz w:val="24"/>
          <w:szCs w:val="24"/>
          <w:lang w:val="en-GB"/>
        </w:rPr>
      </w:pPr>
      <w:r w:rsidRPr="002873B6">
        <w:rPr>
          <w:sz w:val="24"/>
          <w:szCs w:val="24"/>
          <w:lang w:val="en-GB"/>
        </w:rPr>
        <w:t xml:space="preserve">The intergovernmental mixed commission on national minorities with Hungary held its fifth session in 2016. </w:t>
      </w:r>
      <w:r>
        <w:rPr>
          <w:sz w:val="24"/>
          <w:szCs w:val="24"/>
          <w:lang w:val="en-GB"/>
        </w:rPr>
        <w:t>A</w:t>
      </w:r>
      <w:r w:rsidRPr="002873B6">
        <w:rPr>
          <w:sz w:val="24"/>
          <w:szCs w:val="24"/>
          <w:lang w:val="en-GB"/>
        </w:rPr>
        <w:t>t the meeting</w:t>
      </w:r>
      <w:r>
        <w:rPr>
          <w:sz w:val="24"/>
          <w:szCs w:val="24"/>
          <w:lang w:val="en-GB"/>
        </w:rPr>
        <w:t>,</w:t>
      </w:r>
      <w:r w:rsidRPr="002873B6">
        <w:rPr>
          <w:sz w:val="24"/>
          <w:szCs w:val="24"/>
          <w:lang w:val="en-GB"/>
        </w:rPr>
        <w:t xml:space="preserve"> </w:t>
      </w:r>
      <w:r>
        <w:rPr>
          <w:sz w:val="24"/>
          <w:szCs w:val="24"/>
          <w:lang w:val="en-GB"/>
        </w:rPr>
        <w:t>b</w:t>
      </w:r>
      <w:r w:rsidRPr="002873B6">
        <w:rPr>
          <w:sz w:val="24"/>
          <w:szCs w:val="24"/>
          <w:lang w:val="en-GB"/>
        </w:rPr>
        <w:t>oth parties emphasi</w:t>
      </w:r>
      <w:r>
        <w:rPr>
          <w:sz w:val="24"/>
          <w:szCs w:val="24"/>
          <w:lang w:val="en-GB"/>
        </w:rPr>
        <w:t>s</w:t>
      </w:r>
      <w:r w:rsidRPr="002873B6">
        <w:rPr>
          <w:sz w:val="24"/>
          <w:szCs w:val="24"/>
          <w:lang w:val="en-GB"/>
        </w:rPr>
        <w:t xml:space="preserve">ed that there </w:t>
      </w:r>
      <w:r>
        <w:rPr>
          <w:sz w:val="24"/>
          <w:szCs w:val="24"/>
          <w:lang w:val="en-GB"/>
        </w:rPr>
        <w:t>were</w:t>
      </w:r>
      <w:r w:rsidRPr="002873B6">
        <w:rPr>
          <w:sz w:val="24"/>
          <w:szCs w:val="24"/>
          <w:lang w:val="en-GB"/>
        </w:rPr>
        <w:t xml:space="preserve"> no open issues in the relations between Serbia and Hungary and that they </w:t>
      </w:r>
      <w:r>
        <w:rPr>
          <w:sz w:val="24"/>
          <w:szCs w:val="24"/>
          <w:lang w:val="en-GB"/>
        </w:rPr>
        <w:t>were</w:t>
      </w:r>
      <w:r w:rsidRPr="002873B6">
        <w:rPr>
          <w:sz w:val="24"/>
          <w:szCs w:val="24"/>
          <w:lang w:val="en-GB"/>
        </w:rPr>
        <w:t xml:space="preserve"> committed to determining the </w:t>
      </w:r>
      <w:r>
        <w:rPr>
          <w:sz w:val="24"/>
          <w:szCs w:val="24"/>
          <w:lang w:val="en-GB"/>
        </w:rPr>
        <w:t>status</w:t>
      </w:r>
      <w:r w:rsidRPr="002873B6">
        <w:rPr>
          <w:sz w:val="24"/>
          <w:szCs w:val="24"/>
          <w:lang w:val="en-GB"/>
        </w:rPr>
        <w:t xml:space="preserve"> of the two minorities in a long-term manner. In the minutes of the session, the determination of the Republic of Serbia to join the European Union was welcomed, which the Government of Hungary politically supports and provides professional assistance in the process of joining. Also, the adoption of a special Action Plan for the </w:t>
      </w:r>
      <w:r w:rsidR="00E05291">
        <w:rPr>
          <w:sz w:val="24"/>
          <w:szCs w:val="24"/>
          <w:lang w:val="en-GB"/>
        </w:rPr>
        <w:t>exercise</w:t>
      </w:r>
      <w:r w:rsidRPr="002873B6">
        <w:rPr>
          <w:sz w:val="24"/>
          <w:szCs w:val="24"/>
          <w:lang w:val="en-GB"/>
        </w:rPr>
        <w:t xml:space="preserve"> of the rights of national minorities in Serbia, with the participation of representatives of national minorities, was welcomed, which was highlighted as a precedent and example in the region in the field of protection of national minorities. The parties highlighted the fact that </w:t>
      </w:r>
      <w:r w:rsidR="00E05291">
        <w:rPr>
          <w:sz w:val="24"/>
          <w:szCs w:val="24"/>
          <w:lang w:val="en-GB"/>
        </w:rPr>
        <w:t>owing</w:t>
      </w:r>
      <w:r w:rsidRPr="002873B6">
        <w:rPr>
          <w:sz w:val="24"/>
          <w:szCs w:val="24"/>
          <w:lang w:val="en-GB"/>
        </w:rPr>
        <w:t xml:space="preserve"> to the favo</w:t>
      </w:r>
      <w:r w:rsidR="00E05291">
        <w:rPr>
          <w:sz w:val="24"/>
          <w:szCs w:val="24"/>
          <w:lang w:val="en-GB"/>
        </w:rPr>
        <w:t>u</w:t>
      </w:r>
      <w:r w:rsidRPr="002873B6">
        <w:rPr>
          <w:sz w:val="24"/>
          <w:szCs w:val="24"/>
          <w:lang w:val="en-GB"/>
        </w:rPr>
        <w:t xml:space="preserve">rable </w:t>
      </w:r>
      <w:r w:rsidRPr="002873B6">
        <w:rPr>
          <w:sz w:val="24"/>
          <w:szCs w:val="24"/>
          <w:lang w:val="en-GB"/>
        </w:rPr>
        <w:lastRenderedPageBreak/>
        <w:t>political environment and the implementation of various tolerance program</w:t>
      </w:r>
      <w:r w:rsidR="00E05291">
        <w:rPr>
          <w:sz w:val="24"/>
          <w:szCs w:val="24"/>
          <w:lang w:val="en-GB"/>
        </w:rPr>
        <w:t>me</w:t>
      </w:r>
      <w:r w:rsidRPr="002873B6">
        <w:rPr>
          <w:sz w:val="24"/>
          <w:szCs w:val="24"/>
          <w:lang w:val="en-GB"/>
        </w:rPr>
        <w:t>s, violence between members of various national communities ha</w:t>
      </w:r>
      <w:r w:rsidR="00E05291">
        <w:rPr>
          <w:sz w:val="24"/>
          <w:szCs w:val="24"/>
          <w:lang w:val="en-GB"/>
        </w:rPr>
        <w:t>d</w:t>
      </w:r>
      <w:r w:rsidRPr="002873B6">
        <w:rPr>
          <w:sz w:val="24"/>
          <w:szCs w:val="24"/>
          <w:lang w:val="en-GB"/>
        </w:rPr>
        <w:t xml:space="preserve"> been significantly reduced and they welcomed the peaceful coexistence and cohabitation of various ethnic communities. The </w:t>
      </w:r>
      <w:r w:rsidR="00E05291">
        <w:rPr>
          <w:sz w:val="24"/>
          <w:szCs w:val="24"/>
          <w:lang w:val="en-GB"/>
        </w:rPr>
        <w:t>latest</w:t>
      </w:r>
      <w:r w:rsidRPr="002873B6">
        <w:rPr>
          <w:sz w:val="24"/>
          <w:szCs w:val="24"/>
          <w:lang w:val="en-GB"/>
        </w:rPr>
        <w:t xml:space="preserve"> meeting of the co-presidents of the Intergovernmental Mixed Commission was held at the end of 2019. At the meeting, the Serbian side proposed that before the next session of the Commission, which will be hosted by the Hungarian side, a meeting of co-secretaries should be organi</w:t>
      </w:r>
      <w:r w:rsidR="00E05291">
        <w:rPr>
          <w:sz w:val="24"/>
          <w:szCs w:val="24"/>
          <w:lang w:val="en-GB"/>
        </w:rPr>
        <w:t>s</w:t>
      </w:r>
      <w:r w:rsidRPr="002873B6">
        <w:rPr>
          <w:sz w:val="24"/>
          <w:szCs w:val="24"/>
          <w:lang w:val="en-GB"/>
        </w:rPr>
        <w:t>ed in order to harmoni</w:t>
      </w:r>
      <w:r w:rsidR="00E05291">
        <w:rPr>
          <w:sz w:val="24"/>
          <w:szCs w:val="24"/>
          <w:lang w:val="en-GB"/>
        </w:rPr>
        <w:t>s</w:t>
      </w:r>
      <w:r w:rsidRPr="002873B6">
        <w:rPr>
          <w:sz w:val="24"/>
          <w:szCs w:val="24"/>
          <w:lang w:val="en-GB"/>
        </w:rPr>
        <w:t>e the format and content of the minutes. After the meeting, a corrected proposal for the structure of the minutes was sent to the Hungarian side.</w:t>
      </w:r>
    </w:p>
    <w:p w14:paraId="2DFC8790" w14:textId="7482B88B" w:rsidR="00CC3382" w:rsidRPr="00A32AA1" w:rsidRDefault="00593BBE" w:rsidP="00A32AA1">
      <w:pPr>
        <w:pStyle w:val="NormalWeb"/>
        <w:shd w:val="clear" w:color="auto" w:fill="FFFFFF"/>
        <w:spacing w:before="0" w:beforeAutospacing="0" w:after="0" w:afterAutospacing="0" w:line="276" w:lineRule="auto"/>
        <w:ind w:firstLine="720"/>
        <w:jc w:val="both"/>
        <w:rPr>
          <w:rStyle w:val="FontStyle17"/>
          <w:sz w:val="24"/>
          <w:szCs w:val="24"/>
          <w:lang w:val="en-GB" w:eastAsia="sr-Cyrl-CS"/>
        </w:rPr>
      </w:pPr>
      <w:r w:rsidRPr="00A32AA1">
        <w:rPr>
          <w:rStyle w:val="FontStyle17"/>
          <w:sz w:val="24"/>
          <w:szCs w:val="24"/>
          <w:lang w:val="en-GB" w:eastAsia="sr-Cyrl-CS"/>
        </w:rPr>
        <w:t xml:space="preserve">The intergovernmental mixed commission with Romania did not meet, however, </w:t>
      </w:r>
      <w:r w:rsidR="00794F2C" w:rsidRPr="00A32AA1">
        <w:rPr>
          <w:rStyle w:val="FontStyle17"/>
          <w:sz w:val="24"/>
          <w:szCs w:val="24"/>
          <w:lang w:val="en-GB" w:eastAsia="sr-Cyrl-CS"/>
        </w:rPr>
        <w:t xml:space="preserve">two </w:t>
      </w:r>
      <w:proofErr w:type="spellStart"/>
      <w:r w:rsidR="00794F2C" w:rsidRPr="00A32AA1">
        <w:rPr>
          <w:rStyle w:val="FontStyle17"/>
          <w:sz w:val="24"/>
          <w:szCs w:val="24"/>
          <w:lang w:val="en-GB" w:eastAsia="sr-Cyrl-CS"/>
        </w:rPr>
        <w:t>copresidential</w:t>
      </w:r>
      <w:proofErr w:type="spellEnd"/>
      <w:r w:rsidR="00794F2C" w:rsidRPr="00A32AA1">
        <w:rPr>
          <w:rStyle w:val="FontStyle17"/>
          <w:sz w:val="24"/>
          <w:szCs w:val="24"/>
          <w:lang w:val="en-GB" w:eastAsia="sr-Cyrl-CS"/>
        </w:rPr>
        <w:t xml:space="preserve"> </w:t>
      </w:r>
      <w:r w:rsidR="00287FCD" w:rsidRPr="00A32AA1">
        <w:rPr>
          <w:rStyle w:val="FontStyle17"/>
          <w:sz w:val="24"/>
          <w:szCs w:val="24"/>
          <w:lang w:val="en-GB" w:eastAsia="sr-Cyrl-CS"/>
        </w:rPr>
        <w:t xml:space="preserve">level </w:t>
      </w:r>
      <w:r w:rsidR="00794F2C" w:rsidRPr="00A32AA1">
        <w:rPr>
          <w:rStyle w:val="FontStyle17"/>
          <w:sz w:val="24"/>
          <w:szCs w:val="24"/>
          <w:lang w:val="en-GB" w:eastAsia="sr-Cyrl-CS"/>
        </w:rPr>
        <w:t xml:space="preserve">meetings were held (2018 and 2022), as well as one </w:t>
      </w:r>
      <w:proofErr w:type="spellStart"/>
      <w:r w:rsidR="00794F2C" w:rsidRPr="00A32AA1">
        <w:rPr>
          <w:rStyle w:val="FontStyle17"/>
          <w:sz w:val="24"/>
          <w:szCs w:val="24"/>
          <w:lang w:val="en-GB" w:eastAsia="sr-Cyrl-CS"/>
        </w:rPr>
        <w:t>cosecretarial</w:t>
      </w:r>
      <w:proofErr w:type="spellEnd"/>
      <w:r w:rsidR="00287FCD" w:rsidRPr="00A32AA1">
        <w:rPr>
          <w:rStyle w:val="FontStyle17"/>
          <w:sz w:val="24"/>
          <w:szCs w:val="24"/>
          <w:lang w:val="en-GB" w:eastAsia="sr-Cyrl-CS"/>
        </w:rPr>
        <w:t xml:space="preserve"> level meeting</w:t>
      </w:r>
      <w:r w:rsidR="00794F2C" w:rsidRPr="00A32AA1">
        <w:rPr>
          <w:rStyle w:val="FontStyle17"/>
          <w:sz w:val="24"/>
          <w:szCs w:val="24"/>
          <w:lang w:val="en-GB" w:eastAsia="sr-Cyrl-CS"/>
        </w:rPr>
        <w:t xml:space="preserve"> (2018) in order to establish further work dynamic and to prepare the Third session of the Commission that was supposed to be held in Romania, </w:t>
      </w:r>
      <w:r w:rsidR="00287FCD" w:rsidRPr="00A32AA1">
        <w:rPr>
          <w:rStyle w:val="FontStyle17"/>
          <w:sz w:val="24"/>
          <w:szCs w:val="24"/>
          <w:lang w:val="en-GB" w:eastAsia="sr-Cyrl-CS"/>
        </w:rPr>
        <w:t xml:space="preserve">in </w:t>
      </w:r>
      <w:r w:rsidR="00794F2C" w:rsidRPr="00A32AA1">
        <w:rPr>
          <w:rStyle w:val="FontStyle17"/>
          <w:sz w:val="24"/>
          <w:szCs w:val="24"/>
          <w:lang w:val="en-GB" w:eastAsia="sr-Cyrl-CS"/>
        </w:rPr>
        <w:t>accord</w:t>
      </w:r>
      <w:r w:rsidR="00287FCD" w:rsidRPr="00A32AA1">
        <w:rPr>
          <w:rStyle w:val="FontStyle17"/>
          <w:sz w:val="24"/>
          <w:szCs w:val="24"/>
          <w:lang w:val="en-GB" w:eastAsia="sr-Cyrl-CS"/>
        </w:rPr>
        <w:t xml:space="preserve">ance </w:t>
      </w:r>
      <w:r w:rsidR="00794F2C" w:rsidRPr="00A32AA1">
        <w:rPr>
          <w:rStyle w:val="FontStyle17"/>
          <w:sz w:val="24"/>
          <w:szCs w:val="24"/>
          <w:lang w:val="en-GB" w:eastAsia="sr-Cyrl-CS"/>
        </w:rPr>
        <w:t>to the Rulebook of work of the IMC. A</w:t>
      </w:r>
      <w:r w:rsidRPr="00A32AA1">
        <w:rPr>
          <w:rStyle w:val="FontStyle17"/>
          <w:sz w:val="24"/>
          <w:szCs w:val="24"/>
          <w:lang w:val="en-GB" w:eastAsia="sr-Cyrl-CS"/>
        </w:rPr>
        <w:t xml:space="preserve"> large number of preparatory meetings of the Serbian p</w:t>
      </w:r>
      <w:r w:rsidR="00794F2C" w:rsidRPr="00A32AA1">
        <w:rPr>
          <w:rStyle w:val="FontStyle17"/>
          <w:sz w:val="24"/>
          <w:szCs w:val="24"/>
          <w:lang w:val="en-GB" w:eastAsia="sr-Cyrl-CS"/>
        </w:rPr>
        <w:t xml:space="preserve">art of the Commission were held on which the representatives of the Romanian national minority were present. </w:t>
      </w:r>
      <w:r w:rsidRPr="00A32AA1">
        <w:rPr>
          <w:rStyle w:val="FontStyle17"/>
          <w:sz w:val="24"/>
          <w:szCs w:val="24"/>
          <w:lang w:val="en-GB" w:eastAsia="sr-Cyrl-CS"/>
        </w:rPr>
        <w:t xml:space="preserve">The last </w:t>
      </w:r>
      <w:r w:rsidRPr="00593BBE">
        <w:rPr>
          <w:rStyle w:val="FontStyle17"/>
          <w:sz w:val="24"/>
          <w:szCs w:val="24"/>
          <w:lang w:val="en-GB" w:eastAsia="sr-Cyrl-CS"/>
        </w:rPr>
        <w:t xml:space="preserve">preparatory meeting of the Serbian part of the Commission was held in December 2021. At the meeting, the status and topicality of all recommendations from previous meetings were discussed in </w:t>
      </w:r>
      <w:r w:rsidR="006B0D7E">
        <w:rPr>
          <w:rStyle w:val="FontStyle17"/>
          <w:sz w:val="24"/>
          <w:szCs w:val="24"/>
          <w:lang w:val="en-GB" w:eastAsia="sr-Cyrl-CS"/>
        </w:rPr>
        <w:t xml:space="preserve">terms of </w:t>
      </w:r>
      <w:r w:rsidRPr="00593BBE">
        <w:rPr>
          <w:rStyle w:val="FontStyle17"/>
          <w:sz w:val="24"/>
          <w:szCs w:val="24"/>
          <w:lang w:val="en-GB" w:eastAsia="sr-Cyrl-CS"/>
        </w:rPr>
        <w:t xml:space="preserve">the existing legislative framework, and the relevant institutions reported on the state of implementation of the recommendations. The president of the Romanian part of the </w:t>
      </w:r>
      <w:r w:rsidR="00B9249E">
        <w:rPr>
          <w:rStyle w:val="FontStyle17"/>
          <w:sz w:val="24"/>
          <w:szCs w:val="24"/>
          <w:lang w:val="en-GB" w:eastAsia="sr-Cyrl-CS"/>
        </w:rPr>
        <w:t>Joint Intergovernmental Commission on national minorities</w:t>
      </w:r>
      <w:r w:rsidRPr="00593BBE">
        <w:rPr>
          <w:rStyle w:val="FontStyle17"/>
          <w:sz w:val="24"/>
          <w:szCs w:val="24"/>
          <w:lang w:val="en-GB" w:eastAsia="sr-Cyrl-CS"/>
        </w:rPr>
        <w:t xml:space="preserve"> visited the Republic of Serbia in February 2022, and on that occasion</w:t>
      </w:r>
      <w:r w:rsidR="006B0D7E">
        <w:rPr>
          <w:rStyle w:val="FontStyle17"/>
          <w:sz w:val="24"/>
          <w:szCs w:val="24"/>
          <w:lang w:val="en-GB" w:eastAsia="sr-Cyrl-CS"/>
        </w:rPr>
        <w:t>,</w:t>
      </w:r>
      <w:r w:rsidRPr="00593BBE">
        <w:rPr>
          <w:rStyle w:val="FontStyle17"/>
          <w:sz w:val="24"/>
          <w:szCs w:val="24"/>
          <w:lang w:val="en-GB" w:eastAsia="sr-Cyrl-CS"/>
        </w:rPr>
        <w:t xml:space="preserve"> a meeting of the two co-presidents of the Mixed Commission was held. The co-presidents emphasi</w:t>
      </w:r>
      <w:r w:rsidR="006B0D7E">
        <w:rPr>
          <w:rStyle w:val="FontStyle17"/>
          <w:sz w:val="24"/>
          <w:szCs w:val="24"/>
          <w:lang w:val="en-GB" w:eastAsia="sr-Cyrl-CS"/>
        </w:rPr>
        <w:t>s</w:t>
      </w:r>
      <w:r w:rsidRPr="00593BBE">
        <w:rPr>
          <w:rStyle w:val="FontStyle17"/>
          <w:sz w:val="24"/>
          <w:szCs w:val="24"/>
          <w:lang w:val="en-GB" w:eastAsia="sr-Cyrl-CS"/>
        </w:rPr>
        <w:t xml:space="preserve">ed at the meeting that issues related to the </w:t>
      </w:r>
      <w:r w:rsidR="006B0D7E">
        <w:rPr>
          <w:rStyle w:val="FontStyle17"/>
          <w:sz w:val="24"/>
          <w:szCs w:val="24"/>
          <w:lang w:val="en-GB" w:eastAsia="sr-Cyrl-CS"/>
        </w:rPr>
        <w:t>status</w:t>
      </w:r>
      <w:r w:rsidRPr="00593BBE">
        <w:rPr>
          <w:rStyle w:val="FontStyle17"/>
          <w:sz w:val="24"/>
          <w:szCs w:val="24"/>
          <w:lang w:val="en-GB" w:eastAsia="sr-Cyrl-CS"/>
        </w:rPr>
        <w:t xml:space="preserve"> of minority communities in the two countries occup</w:t>
      </w:r>
      <w:r w:rsidR="006B0D7E">
        <w:rPr>
          <w:rStyle w:val="FontStyle17"/>
          <w:sz w:val="24"/>
          <w:szCs w:val="24"/>
          <w:lang w:val="en-GB" w:eastAsia="sr-Cyrl-CS"/>
        </w:rPr>
        <w:t>ied</w:t>
      </w:r>
      <w:r w:rsidRPr="00593BBE">
        <w:rPr>
          <w:rStyle w:val="FontStyle17"/>
          <w:sz w:val="24"/>
          <w:szCs w:val="24"/>
          <w:lang w:val="en-GB" w:eastAsia="sr-Cyrl-CS"/>
        </w:rPr>
        <w:t xml:space="preserve"> a special place in the overall bilateral relations, which are characteri</w:t>
      </w:r>
      <w:r w:rsidR="006B0D7E">
        <w:rPr>
          <w:rStyle w:val="FontStyle17"/>
          <w:sz w:val="24"/>
          <w:szCs w:val="24"/>
          <w:lang w:val="en-GB" w:eastAsia="sr-Cyrl-CS"/>
        </w:rPr>
        <w:t>s</w:t>
      </w:r>
      <w:r w:rsidRPr="00593BBE">
        <w:rPr>
          <w:rStyle w:val="FontStyle17"/>
          <w:sz w:val="24"/>
          <w:szCs w:val="24"/>
          <w:lang w:val="en-GB" w:eastAsia="sr-Cyrl-CS"/>
        </w:rPr>
        <w:t xml:space="preserve">ed by a high degree of mutual respect and trust, and that the legal-institutional framework in this area </w:t>
      </w:r>
      <w:r w:rsidR="006B0D7E">
        <w:rPr>
          <w:rStyle w:val="FontStyle17"/>
          <w:sz w:val="24"/>
          <w:szCs w:val="24"/>
          <w:lang w:val="en-GB" w:eastAsia="sr-Cyrl-CS"/>
        </w:rPr>
        <w:t>was</w:t>
      </w:r>
      <w:r w:rsidRPr="00593BBE">
        <w:rPr>
          <w:rStyle w:val="FontStyle17"/>
          <w:sz w:val="24"/>
          <w:szCs w:val="24"/>
          <w:lang w:val="en-GB" w:eastAsia="sr-Cyrl-CS"/>
        </w:rPr>
        <w:t xml:space="preserve"> good in both countries. They also emphasi</w:t>
      </w:r>
      <w:r w:rsidR="006B0D7E">
        <w:rPr>
          <w:rStyle w:val="FontStyle17"/>
          <w:sz w:val="24"/>
          <w:szCs w:val="24"/>
          <w:lang w:val="en-GB" w:eastAsia="sr-Cyrl-CS"/>
        </w:rPr>
        <w:t>s</w:t>
      </w:r>
      <w:r w:rsidRPr="00593BBE">
        <w:rPr>
          <w:rStyle w:val="FontStyle17"/>
          <w:sz w:val="24"/>
          <w:szCs w:val="24"/>
          <w:lang w:val="en-GB" w:eastAsia="sr-Cyrl-CS"/>
        </w:rPr>
        <w:t xml:space="preserve">ed their willingness to resolve all issues concerning the </w:t>
      </w:r>
      <w:r w:rsidR="006B0D7E">
        <w:rPr>
          <w:rStyle w:val="FontStyle17"/>
          <w:sz w:val="24"/>
          <w:szCs w:val="24"/>
          <w:lang w:val="en-GB" w:eastAsia="sr-Cyrl-CS"/>
        </w:rPr>
        <w:t>status</w:t>
      </w:r>
      <w:r w:rsidRPr="00593BBE">
        <w:rPr>
          <w:rStyle w:val="FontStyle17"/>
          <w:sz w:val="24"/>
          <w:szCs w:val="24"/>
          <w:lang w:val="en-GB" w:eastAsia="sr-Cyrl-CS"/>
        </w:rPr>
        <w:t xml:space="preserve"> of the Serbian and Romanian national minorities through an open dialogue and within the framework of the Intergovernmental Mixed Commission. At the time of preparation of this report, the parties are in the process of agreeing on all issues that will be on the agenda of the next session of the Commission.</w:t>
      </w:r>
      <w:r w:rsidR="00794F2C">
        <w:rPr>
          <w:rStyle w:val="FontStyle17"/>
          <w:sz w:val="24"/>
          <w:szCs w:val="24"/>
          <w:lang w:val="en-GB" w:eastAsia="sr-Cyrl-CS"/>
        </w:rPr>
        <w:t xml:space="preserve"> </w:t>
      </w:r>
      <w:r w:rsidR="00CC3382" w:rsidRPr="005D2C13">
        <w:rPr>
          <w:rStyle w:val="FontStyle17"/>
          <w:sz w:val="24"/>
          <w:szCs w:val="24"/>
          <w:lang w:val="en-GB" w:eastAsia="sr-Cyrl-CS"/>
        </w:rPr>
        <w:t xml:space="preserve">An Agreement </w:t>
      </w:r>
      <w:r w:rsidR="00CC3382" w:rsidRPr="00A32AA1">
        <w:rPr>
          <w:rStyle w:val="FontStyle17"/>
          <w:sz w:val="24"/>
          <w:szCs w:val="24"/>
          <w:lang w:val="en-GB" w:eastAsia="sr-Cyrl-CS"/>
        </w:rPr>
        <w:t xml:space="preserve">on the assignment of property rights over the </w:t>
      </w:r>
      <w:bookmarkStart w:id="40" w:name="_GoBack"/>
      <w:proofErr w:type="spellStart"/>
      <w:r w:rsidR="00CC3382" w:rsidRPr="005D2C13">
        <w:rPr>
          <w:rStyle w:val="FontStyle17"/>
          <w:sz w:val="24"/>
          <w:szCs w:val="24"/>
          <w:lang w:val="en-GB" w:eastAsia="sr-Cyrl-CS"/>
        </w:rPr>
        <w:t>Lucafarul</w:t>
      </w:r>
      <w:bookmarkEnd w:id="40"/>
      <w:proofErr w:type="spellEnd"/>
      <w:r w:rsidR="00CC3382" w:rsidRPr="005D2C13">
        <w:rPr>
          <w:rStyle w:val="FontStyle17"/>
          <w:sz w:val="24"/>
          <w:szCs w:val="24"/>
          <w:lang w:val="en-GB" w:eastAsia="sr-Cyrl-CS"/>
        </w:rPr>
        <w:t xml:space="preserve"> </w:t>
      </w:r>
      <w:r w:rsidR="00CC3382" w:rsidRPr="00A32AA1">
        <w:rPr>
          <w:rStyle w:val="FontStyle17"/>
          <w:sz w:val="24"/>
          <w:szCs w:val="24"/>
          <w:lang w:val="en-GB" w:eastAsia="sr-Cyrl-CS"/>
        </w:rPr>
        <w:t xml:space="preserve">building to Romania, was signed between the Government of Serbia and the Government of Romania </w:t>
      </w:r>
      <w:r w:rsidR="00287FCD" w:rsidRPr="00A32AA1">
        <w:rPr>
          <w:rStyle w:val="FontStyle17"/>
          <w:sz w:val="24"/>
          <w:szCs w:val="24"/>
          <w:lang w:val="en-GB" w:eastAsia="sr-Cyrl-CS"/>
        </w:rPr>
        <w:t xml:space="preserve">in order </w:t>
      </w:r>
      <w:r w:rsidR="00CC3382" w:rsidRPr="00A32AA1">
        <w:rPr>
          <w:rStyle w:val="FontStyle17"/>
          <w:sz w:val="24"/>
          <w:szCs w:val="24"/>
          <w:lang w:val="en-GB" w:eastAsia="sr-Cyrl-CS"/>
        </w:rPr>
        <w:t xml:space="preserve">to strengthen the bilateral cooperation in the field of protection of the Romanian national minority in the Republic of Serbia. This </w:t>
      </w:r>
      <w:r w:rsidR="008260F5" w:rsidRPr="00A32AA1">
        <w:rPr>
          <w:rStyle w:val="FontStyle17"/>
          <w:sz w:val="24"/>
          <w:szCs w:val="24"/>
          <w:lang w:val="en-GB" w:eastAsia="sr-Cyrl-CS"/>
        </w:rPr>
        <w:t xml:space="preserve">object of great significance for the representatives of the Romanian national minority is located in </w:t>
      </w:r>
      <w:proofErr w:type="spellStart"/>
      <w:r w:rsidR="008260F5" w:rsidRPr="00A32AA1">
        <w:rPr>
          <w:rStyle w:val="FontStyle17"/>
          <w:sz w:val="24"/>
          <w:szCs w:val="24"/>
          <w:lang w:val="en-GB" w:eastAsia="sr-Cyrl-CS"/>
        </w:rPr>
        <w:t>Vr</w:t>
      </w:r>
      <w:proofErr w:type="spellEnd"/>
      <w:r w:rsidR="008260F5" w:rsidRPr="00A32AA1">
        <w:rPr>
          <w:rStyle w:val="FontStyle17"/>
          <w:sz w:val="24"/>
          <w:szCs w:val="24"/>
          <w:lang w:val="sr-Latn-RS" w:eastAsia="sr-Cyrl-CS"/>
        </w:rPr>
        <w:t>šac, and it is foressen to be used not only for consular activities</w:t>
      </w:r>
      <w:r w:rsidR="00287FCD" w:rsidRPr="00A32AA1">
        <w:rPr>
          <w:rStyle w:val="FontStyle17"/>
          <w:sz w:val="24"/>
          <w:szCs w:val="24"/>
          <w:lang w:val="sr-Latn-RS" w:eastAsia="sr-Cyrl-CS"/>
        </w:rPr>
        <w:t>,</w:t>
      </w:r>
      <w:r w:rsidR="008260F5" w:rsidRPr="00A32AA1">
        <w:rPr>
          <w:rStyle w:val="FontStyle17"/>
          <w:sz w:val="24"/>
          <w:szCs w:val="24"/>
          <w:lang w:val="sr-Latn-RS" w:eastAsia="sr-Cyrl-CS"/>
        </w:rPr>
        <w:t xml:space="preserve"> but also</w:t>
      </w:r>
      <w:r w:rsidR="00287FCD" w:rsidRPr="00A32AA1">
        <w:rPr>
          <w:rStyle w:val="FontStyle17"/>
          <w:sz w:val="24"/>
          <w:szCs w:val="24"/>
          <w:lang w:val="sr-Latn-RS" w:eastAsia="sr-Cyrl-CS"/>
        </w:rPr>
        <w:t xml:space="preserve"> for promotion of R</w:t>
      </w:r>
      <w:r w:rsidR="008260F5" w:rsidRPr="00A32AA1">
        <w:rPr>
          <w:rStyle w:val="FontStyle17"/>
          <w:sz w:val="24"/>
          <w:szCs w:val="24"/>
          <w:lang w:val="sr-Latn-RS" w:eastAsia="sr-Cyrl-CS"/>
        </w:rPr>
        <w:t xml:space="preserve">omanian culture and tradition and cooperation with persons belonging of </w:t>
      </w:r>
      <w:r w:rsidR="00287FCD" w:rsidRPr="00A32AA1">
        <w:rPr>
          <w:rStyle w:val="FontStyle17"/>
          <w:sz w:val="24"/>
          <w:szCs w:val="24"/>
          <w:lang w:val="sr-Latn-RS" w:eastAsia="sr-Cyrl-CS"/>
        </w:rPr>
        <w:t>the R</w:t>
      </w:r>
      <w:r w:rsidR="008260F5" w:rsidRPr="00A32AA1">
        <w:rPr>
          <w:rStyle w:val="FontStyle17"/>
          <w:sz w:val="24"/>
          <w:szCs w:val="24"/>
          <w:lang w:val="sr-Latn-RS" w:eastAsia="sr-Cyrl-CS"/>
        </w:rPr>
        <w:t xml:space="preserve">omanian national minority in the Republic of Serbia. </w:t>
      </w:r>
    </w:p>
    <w:p w14:paraId="7F8928FD" w14:textId="66AB4AED" w:rsidR="00605A14" w:rsidRDefault="00605A14" w:rsidP="003650A7">
      <w:pPr>
        <w:spacing w:after="0"/>
        <w:ind w:firstLine="720"/>
        <w:jc w:val="both"/>
        <w:rPr>
          <w:sz w:val="24"/>
          <w:szCs w:val="24"/>
          <w:lang w:val="en-GB"/>
        </w:rPr>
      </w:pPr>
      <w:r w:rsidRPr="00605A14">
        <w:rPr>
          <w:sz w:val="24"/>
          <w:szCs w:val="24"/>
          <w:lang w:val="en-GB"/>
        </w:rPr>
        <w:t xml:space="preserve">The </w:t>
      </w:r>
      <w:r w:rsidR="00B9249E">
        <w:rPr>
          <w:sz w:val="24"/>
          <w:szCs w:val="24"/>
          <w:lang w:val="en-GB"/>
        </w:rPr>
        <w:t>Joint Intergovernmental Commission on national minorities</w:t>
      </w:r>
      <w:r w:rsidRPr="00605A14">
        <w:rPr>
          <w:sz w:val="24"/>
          <w:szCs w:val="24"/>
          <w:lang w:val="en-GB"/>
        </w:rPr>
        <w:t xml:space="preserve"> with the Republic of Croatia held two sessions, the seventh - in 2018 in Serbia and the eighth - in 2019 in Croatia. At the sessions, it was noted that the legislation regarding the rights of national minorities in both countries </w:t>
      </w:r>
      <w:r>
        <w:rPr>
          <w:sz w:val="24"/>
          <w:szCs w:val="24"/>
          <w:lang w:val="en-GB"/>
        </w:rPr>
        <w:t>was</w:t>
      </w:r>
      <w:r w:rsidRPr="00605A14">
        <w:rPr>
          <w:sz w:val="24"/>
          <w:szCs w:val="24"/>
          <w:lang w:val="en-GB"/>
        </w:rPr>
        <w:t xml:space="preserve"> constantly developing, it </w:t>
      </w:r>
      <w:r>
        <w:rPr>
          <w:sz w:val="24"/>
          <w:szCs w:val="24"/>
          <w:lang w:val="en-GB"/>
        </w:rPr>
        <w:t>was</w:t>
      </w:r>
      <w:r w:rsidRPr="00605A14">
        <w:rPr>
          <w:sz w:val="24"/>
          <w:szCs w:val="24"/>
          <w:lang w:val="en-GB"/>
        </w:rPr>
        <w:t xml:space="preserve"> generally satisfactory and in accordance with European standards, but the level of its implementation </w:t>
      </w:r>
      <w:r>
        <w:rPr>
          <w:sz w:val="24"/>
          <w:szCs w:val="24"/>
          <w:lang w:val="en-GB"/>
        </w:rPr>
        <w:t>was</w:t>
      </w:r>
      <w:r w:rsidRPr="00605A14">
        <w:rPr>
          <w:sz w:val="24"/>
          <w:szCs w:val="24"/>
          <w:lang w:val="en-GB"/>
        </w:rPr>
        <w:t xml:space="preserve"> often not satisfactory. The members of the </w:t>
      </w:r>
      <w:r w:rsidR="008A338C">
        <w:rPr>
          <w:sz w:val="24"/>
          <w:szCs w:val="24"/>
          <w:lang w:val="en-GB"/>
        </w:rPr>
        <w:t>Mixed</w:t>
      </w:r>
      <w:r w:rsidRPr="00605A14">
        <w:rPr>
          <w:sz w:val="24"/>
          <w:szCs w:val="24"/>
          <w:lang w:val="en-GB"/>
        </w:rPr>
        <w:t xml:space="preserve"> Commi</w:t>
      </w:r>
      <w:r w:rsidR="00044167">
        <w:rPr>
          <w:sz w:val="24"/>
          <w:szCs w:val="24"/>
          <w:lang w:val="en-GB"/>
        </w:rPr>
        <w:t>ttee</w:t>
      </w:r>
      <w:r w:rsidRPr="00605A14">
        <w:rPr>
          <w:sz w:val="24"/>
          <w:szCs w:val="24"/>
          <w:lang w:val="en-GB"/>
        </w:rPr>
        <w:t xml:space="preserve"> welcomed the successes achieved in the implementation of the recommendations accepted at earlier meetings, but also concluded that a part of the recommendations ha</w:t>
      </w:r>
      <w:r w:rsidR="008A338C">
        <w:rPr>
          <w:sz w:val="24"/>
          <w:szCs w:val="24"/>
          <w:lang w:val="en-GB"/>
        </w:rPr>
        <w:t>d</w:t>
      </w:r>
      <w:r w:rsidRPr="00605A14">
        <w:rPr>
          <w:sz w:val="24"/>
          <w:szCs w:val="24"/>
          <w:lang w:val="en-GB"/>
        </w:rPr>
        <w:t xml:space="preserve"> not yet been implemented, that is, their implementation </w:t>
      </w:r>
      <w:r w:rsidR="008A338C">
        <w:rPr>
          <w:sz w:val="24"/>
          <w:szCs w:val="24"/>
          <w:lang w:val="en-GB"/>
        </w:rPr>
        <w:t>was</w:t>
      </w:r>
      <w:r w:rsidRPr="00605A14">
        <w:rPr>
          <w:sz w:val="24"/>
          <w:szCs w:val="24"/>
          <w:lang w:val="en-GB"/>
        </w:rPr>
        <w:t xml:space="preserve"> in progress. </w:t>
      </w:r>
      <w:r w:rsidRPr="00605A14">
        <w:rPr>
          <w:sz w:val="24"/>
          <w:szCs w:val="24"/>
          <w:lang w:val="en-GB"/>
        </w:rPr>
        <w:lastRenderedPageBreak/>
        <w:t xml:space="preserve">At the eighth session, the members of the </w:t>
      </w:r>
      <w:r w:rsidR="008A338C">
        <w:rPr>
          <w:sz w:val="24"/>
          <w:szCs w:val="24"/>
          <w:lang w:val="en-GB"/>
        </w:rPr>
        <w:t>Mixed C</w:t>
      </w:r>
      <w:r w:rsidR="00044167">
        <w:rPr>
          <w:sz w:val="24"/>
          <w:szCs w:val="24"/>
          <w:lang w:val="en-GB"/>
        </w:rPr>
        <w:t>ommittee</w:t>
      </w:r>
      <w:r w:rsidRPr="00605A14">
        <w:rPr>
          <w:sz w:val="24"/>
          <w:szCs w:val="24"/>
          <w:lang w:val="en-GB"/>
        </w:rPr>
        <w:t xml:space="preserve"> welcomed, among other things, the strengthening of the staff of the Croatian-language editorial staff at Radio-</w:t>
      </w:r>
      <w:r w:rsidR="00044167">
        <w:rPr>
          <w:sz w:val="24"/>
          <w:szCs w:val="24"/>
          <w:lang w:val="en-GB"/>
        </w:rPr>
        <w:t>T</w:t>
      </w:r>
      <w:r w:rsidRPr="00605A14">
        <w:rPr>
          <w:sz w:val="24"/>
          <w:szCs w:val="24"/>
          <w:lang w:val="en-GB"/>
        </w:rPr>
        <w:t xml:space="preserve">elevision </w:t>
      </w:r>
      <w:r w:rsidR="00044167">
        <w:rPr>
          <w:sz w:val="24"/>
          <w:szCs w:val="24"/>
          <w:lang w:val="en-GB"/>
        </w:rPr>
        <w:t xml:space="preserve">Broadcasting Service of </w:t>
      </w:r>
      <w:proofErr w:type="spellStart"/>
      <w:r w:rsidRPr="00605A14">
        <w:rPr>
          <w:sz w:val="24"/>
          <w:szCs w:val="24"/>
          <w:lang w:val="en-GB"/>
        </w:rPr>
        <w:t>Vojvodina</w:t>
      </w:r>
      <w:proofErr w:type="spellEnd"/>
      <w:r w:rsidRPr="00605A14">
        <w:rPr>
          <w:sz w:val="24"/>
          <w:szCs w:val="24"/>
          <w:lang w:val="en-GB"/>
        </w:rPr>
        <w:t xml:space="preserve"> and the increase in the share of Croatian-language program</w:t>
      </w:r>
      <w:r w:rsidR="00044167">
        <w:rPr>
          <w:sz w:val="24"/>
          <w:szCs w:val="24"/>
          <w:lang w:val="en-GB"/>
        </w:rPr>
        <w:t>me</w:t>
      </w:r>
      <w:r w:rsidRPr="00605A14">
        <w:rPr>
          <w:sz w:val="24"/>
          <w:szCs w:val="24"/>
          <w:lang w:val="en-GB"/>
        </w:rPr>
        <w:t>s in the total program</w:t>
      </w:r>
      <w:r w:rsidR="00044167">
        <w:rPr>
          <w:sz w:val="24"/>
          <w:szCs w:val="24"/>
          <w:lang w:val="en-GB"/>
        </w:rPr>
        <w:t>me</w:t>
      </w:r>
      <w:r w:rsidRPr="00605A14">
        <w:rPr>
          <w:sz w:val="24"/>
          <w:szCs w:val="24"/>
          <w:lang w:val="en-GB"/>
        </w:rPr>
        <w:t xml:space="preserve"> of the Second Channel of this public media service, the launch of the Croatian language lectureship at the University of Novi Sad and the establishment of a system of checking knowledge of the Croatian language at that lectureship, the progress achieved by the Serbian side through financing and printing textbooks for teaching in the Croatian language for basic education and the efforts of the Serbian side in terms of financing the institutions that are the bearers of the cultural self-government of the Croatian minority in the Republic of Serbia.</w:t>
      </w:r>
    </w:p>
    <w:p w14:paraId="4BF65C9C" w14:textId="774A0B53" w:rsidR="00702745" w:rsidRDefault="00702745" w:rsidP="003650A7">
      <w:pPr>
        <w:spacing w:after="0"/>
        <w:ind w:firstLine="720"/>
        <w:jc w:val="both"/>
        <w:rPr>
          <w:sz w:val="24"/>
          <w:szCs w:val="24"/>
          <w:lang w:val="en-GB"/>
        </w:rPr>
      </w:pPr>
      <w:r w:rsidRPr="00702745">
        <w:rPr>
          <w:sz w:val="24"/>
          <w:szCs w:val="24"/>
          <w:lang w:val="en-GB"/>
        </w:rPr>
        <w:t xml:space="preserve">The </w:t>
      </w:r>
      <w:r w:rsidR="00B9249E">
        <w:rPr>
          <w:sz w:val="24"/>
          <w:szCs w:val="24"/>
          <w:lang w:val="en-GB"/>
        </w:rPr>
        <w:t>Joint Intergovernmental Commission on national minorities</w:t>
      </w:r>
      <w:r w:rsidRPr="00702745">
        <w:rPr>
          <w:sz w:val="24"/>
          <w:szCs w:val="24"/>
          <w:lang w:val="en-GB"/>
        </w:rPr>
        <w:t xml:space="preserve"> with the Republic of North Macedonia held its first session in February 2022. On the agenda of the First Session was the consideration of current open issues regarding the </w:t>
      </w:r>
      <w:r>
        <w:rPr>
          <w:sz w:val="24"/>
          <w:szCs w:val="24"/>
          <w:lang w:val="en-GB"/>
        </w:rPr>
        <w:t>exercise</w:t>
      </w:r>
      <w:r w:rsidRPr="00702745">
        <w:rPr>
          <w:sz w:val="24"/>
          <w:szCs w:val="24"/>
          <w:lang w:val="en-GB"/>
        </w:rPr>
        <w:t xml:space="preserve"> of minority rights in both countries and the consideration of the Rulebook on the </w:t>
      </w:r>
      <w:r>
        <w:rPr>
          <w:sz w:val="24"/>
          <w:szCs w:val="24"/>
          <w:lang w:val="en-GB"/>
        </w:rPr>
        <w:t>W</w:t>
      </w:r>
      <w:r w:rsidRPr="00702745">
        <w:rPr>
          <w:sz w:val="24"/>
          <w:szCs w:val="24"/>
          <w:lang w:val="en-GB"/>
        </w:rPr>
        <w:t>ork of the Intergovernmental Mixed Commission.</w:t>
      </w:r>
    </w:p>
    <w:p w14:paraId="454B9953" w14:textId="77777777" w:rsidR="00F7011E" w:rsidRDefault="00F7011E" w:rsidP="003650A7">
      <w:pPr>
        <w:spacing w:after="0"/>
        <w:ind w:firstLine="720"/>
        <w:jc w:val="both"/>
        <w:rPr>
          <w:sz w:val="24"/>
          <w:szCs w:val="24"/>
          <w:lang w:val="en-GB"/>
        </w:rPr>
      </w:pPr>
      <w:r w:rsidRPr="00F7011E">
        <w:rPr>
          <w:sz w:val="24"/>
          <w:szCs w:val="24"/>
          <w:lang w:val="en-GB"/>
        </w:rPr>
        <w:t>Bilateral cooperation, which, among other things, stimulates the economic development of areas where members of national minorities live, is achieved through cross-border cooperation agreements and program</w:t>
      </w:r>
      <w:r>
        <w:rPr>
          <w:sz w:val="24"/>
          <w:szCs w:val="24"/>
          <w:lang w:val="en-GB"/>
        </w:rPr>
        <w:t>me</w:t>
      </w:r>
      <w:r w:rsidRPr="00F7011E">
        <w:rPr>
          <w:sz w:val="24"/>
          <w:szCs w:val="24"/>
          <w:lang w:val="en-GB"/>
        </w:rPr>
        <w:t>s. The Ministry for European Integration, as part of the Operational Structure (for cross-border cooperation program</w:t>
      </w:r>
      <w:r>
        <w:rPr>
          <w:sz w:val="24"/>
          <w:szCs w:val="24"/>
          <w:lang w:val="en-GB"/>
        </w:rPr>
        <w:t>me</w:t>
      </w:r>
      <w:r w:rsidRPr="00F7011E">
        <w:rPr>
          <w:sz w:val="24"/>
          <w:szCs w:val="24"/>
          <w:lang w:val="en-GB"/>
        </w:rPr>
        <w:t>s with EU member states - with Bosnia and Herzegovina, North Macedonia and Montenegro) and as a National Body (for cross-border and transnational cooperation program</w:t>
      </w:r>
      <w:r>
        <w:rPr>
          <w:sz w:val="24"/>
          <w:szCs w:val="24"/>
          <w:lang w:val="en-GB"/>
        </w:rPr>
        <w:t>me</w:t>
      </w:r>
      <w:r w:rsidRPr="00F7011E">
        <w:rPr>
          <w:sz w:val="24"/>
          <w:szCs w:val="24"/>
          <w:lang w:val="en-GB"/>
        </w:rPr>
        <w:t>s with EU member states - with Bulgaria, Hungary, Croatia and Romania and within two transnational cooperation program</w:t>
      </w:r>
      <w:r>
        <w:rPr>
          <w:sz w:val="24"/>
          <w:szCs w:val="24"/>
          <w:lang w:val="en-GB"/>
        </w:rPr>
        <w:t>me</w:t>
      </w:r>
      <w:r w:rsidRPr="00F7011E">
        <w:rPr>
          <w:sz w:val="24"/>
          <w:szCs w:val="24"/>
          <w:lang w:val="en-GB"/>
        </w:rPr>
        <w:t xml:space="preserve">s Danube and </w:t>
      </w:r>
      <w:proofErr w:type="spellStart"/>
      <w:r w:rsidRPr="00F7011E">
        <w:rPr>
          <w:sz w:val="24"/>
          <w:szCs w:val="24"/>
          <w:lang w:val="en-GB"/>
        </w:rPr>
        <w:t>Adrion</w:t>
      </w:r>
      <w:proofErr w:type="spellEnd"/>
      <w:r w:rsidRPr="00F7011E">
        <w:rPr>
          <w:sz w:val="24"/>
          <w:szCs w:val="24"/>
          <w:lang w:val="en-GB"/>
        </w:rPr>
        <w:t>), participates in the implementation of nine cross-border and transnational cooperation program</w:t>
      </w:r>
      <w:r>
        <w:rPr>
          <w:sz w:val="24"/>
          <w:szCs w:val="24"/>
          <w:lang w:val="en-GB"/>
        </w:rPr>
        <w:t>me</w:t>
      </w:r>
      <w:r w:rsidRPr="00F7011E">
        <w:rPr>
          <w:sz w:val="24"/>
          <w:szCs w:val="24"/>
          <w:lang w:val="en-GB"/>
        </w:rPr>
        <w:t>s. The program</w:t>
      </w:r>
      <w:r>
        <w:rPr>
          <w:sz w:val="24"/>
          <w:szCs w:val="24"/>
          <w:lang w:val="en-GB"/>
        </w:rPr>
        <w:t>me</w:t>
      </w:r>
      <w:r w:rsidRPr="00F7011E">
        <w:rPr>
          <w:sz w:val="24"/>
          <w:szCs w:val="24"/>
          <w:lang w:val="en-GB"/>
        </w:rPr>
        <w:t>s are implemented through public tenders that approve projects with partners from participating countries. For the seven-year period 2014-2020</w:t>
      </w:r>
      <w:r w:rsidR="005711DB">
        <w:rPr>
          <w:sz w:val="24"/>
          <w:szCs w:val="24"/>
          <w:lang w:val="en-GB"/>
        </w:rPr>
        <w:t xml:space="preserve"> f</w:t>
      </w:r>
      <w:r w:rsidRPr="00F7011E">
        <w:rPr>
          <w:sz w:val="24"/>
          <w:szCs w:val="24"/>
          <w:lang w:val="en-GB"/>
        </w:rPr>
        <w:t>or the implementation of these program</w:t>
      </w:r>
      <w:r w:rsidR="005711DB">
        <w:rPr>
          <w:sz w:val="24"/>
          <w:szCs w:val="24"/>
          <w:lang w:val="en-GB"/>
        </w:rPr>
        <w:t>me</w:t>
      </w:r>
      <w:r w:rsidRPr="00F7011E">
        <w:rPr>
          <w:sz w:val="24"/>
          <w:szCs w:val="24"/>
          <w:lang w:val="en-GB"/>
        </w:rPr>
        <w:t>s, more than 200 million euros from IPA funds were allocated within the EU budget. More than 300 projects with participants from the border areas of the Republic of Serbia were approved. These are cooperation program</w:t>
      </w:r>
      <w:r w:rsidR="005711DB">
        <w:rPr>
          <w:sz w:val="24"/>
          <w:szCs w:val="24"/>
          <w:lang w:val="en-GB"/>
        </w:rPr>
        <w:t>me</w:t>
      </w:r>
      <w:r w:rsidRPr="00F7011E">
        <w:rPr>
          <w:sz w:val="24"/>
          <w:szCs w:val="24"/>
          <w:lang w:val="en-GB"/>
        </w:rPr>
        <w:t>s within the framework of environmental protection, response in case of emergency situations, support for young people, cooperation on the development of innovations and their application, as well as improvement of the cultural and touristic position of the program</w:t>
      </w:r>
      <w:r w:rsidR="005711DB">
        <w:rPr>
          <w:sz w:val="24"/>
          <w:szCs w:val="24"/>
          <w:lang w:val="en-GB"/>
        </w:rPr>
        <w:t>me</w:t>
      </w:r>
      <w:r w:rsidRPr="00F7011E">
        <w:rPr>
          <w:sz w:val="24"/>
          <w:szCs w:val="24"/>
          <w:lang w:val="en-GB"/>
        </w:rPr>
        <w:t xml:space="preserve"> territories. This bilateral and multilateral cooperation of neighbo</w:t>
      </w:r>
      <w:r w:rsidR="005711DB">
        <w:rPr>
          <w:sz w:val="24"/>
          <w:szCs w:val="24"/>
          <w:lang w:val="en-GB"/>
        </w:rPr>
        <w:t>u</w:t>
      </w:r>
      <w:r w:rsidRPr="00F7011E">
        <w:rPr>
          <w:sz w:val="24"/>
          <w:szCs w:val="24"/>
          <w:lang w:val="en-GB"/>
        </w:rPr>
        <w:t>ring countries or regions aims to improve the development of border areas.</w:t>
      </w:r>
    </w:p>
    <w:p w14:paraId="0045D807" w14:textId="77777777" w:rsidR="00792AAA" w:rsidRPr="00D62D04" w:rsidRDefault="00792AAA" w:rsidP="003650A7">
      <w:pPr>
        <w:spacing w:after="0"/>
        <w:ind w:firstLine="720"/>
        <w:jc w:val="both"/>
        <w:rPr>
          <w:i/>
          <w:sz w:val="24"/>
          <w:szCs w:val="24"/>
          <w:lang w:val="en-GB"/>
        </w:rPr>
      </w:pPr>
    </w:p>
    <w:sectPr w:rsidR="00792AAA" w:rsidRPr="00D62D04" w:rsidSect="00C85B24">
      <w:footerReference w:type="default" r:id="rId10"/>
      <w:type w:val="continuous"/>
      <w:pgSz w:w="11906" w:h="16838"/>
      <w:pgMar w:top="1440" w:right="1440" w:bottom="1440" w:left="1440" w:header="708" w:footer="708"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4F22A" w14:textId="77777777" w:rsidR="008227DC" w:rsidRDefault="008227DC" w:rsidP="00037E6B">
      <w:pPr>
        <w:spacing w:after="0" w:line="240" w:lineRule="auto"/>
      </w:pPr>
      <w:r>
        <w:separator/>
      </w:r>
    </w:p>
  </w:endnote>
  <w:endnote w:type="continuationSeparator" w:id="0">
    <w:p w14:paraId="19F58217" w14:textId="77777777" w:rsidR="008227DC" w:rsidRDefault="008227DC" w:rsidP="00037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9282472"/>
      <w:docPartObj>
        <w:docPartGallery w:val="Page Numbers (Bottom of Page)"/>
        <w:docPartUnique/>
      </w:docPartObj>
    </w:sdtPr>
    <w:sdtEndPr>
      <w:rPr>
        <w:noProof/>
      </w:rPr>
    </w:sdtEndPr>
    <w:sdtContent>
      <w:p w14:paraId="7F76F909" w14:textId="1BF5C5A1" w:rsidR="00547610" w:rsidRDefault="00547610">
        <w:pPr>
          <w:pStyle w:val="Footer"/>
          <w:jc w:val="right"/>
        </w:pPr>
        <w:r>
          <w:fldChar w:fldCharType="begin"/>
        </w:r>
        <w:r>
          <w:instrText xml:space="preserve"> PAGE   \* MERGEFORMAT </w:instrText>
        </w:r>
        <w:r>
          <w:fldChar w:fldCharType="separate"/>
        </w:r>
        <w:r w:rsidR="002503A9">
          <w:rPr>
            <w:noProof/>
          </w:rPr>
          <w:t>146</w:t>
        </w:r>
        <w:r>
          <w:rPr>
            <w:noProof/>
          </w:rPr>
          <w:fldChar w:fldCharType="end"/>
        </w:r>
      </w:p>
    </w:sdtContent>
  </w:sdt>
  <w:p w14:paraId="123CC0EA" w14:textId="77777777" w:rsidR="00547610" w:rsidRDefault="005476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514AD" w14:textId="77777777" w:rsidR="008227DC" w:rsidRDefault="008227DC" w:rsidP="00037E6B">
      <w:pPr>
        <w:spacing w:after="0" w:line="240" w:lineRule="auto"/>
      </w:pPr>
      <w:r>
        <w:separator/>
      </w:r>
    </w:p>
  </w:footnote>
  <w:footnote w:type="continuationSeparator" w:id="0">
    <w:p w14:paraId="289E775D" w14:textId="77777777" w:rsidR="008227DC" w:rsidRDefault="008227DC" w:rsidP="00037E6B">
      <w:pPr>
        <w:spacing w:after="0" w:line="240" w:lineRule="auto"/>
      </w:pPr>
      <w:r>
        <w:continuationSeparator/>
      </w:r>
    </w:p>
  </w:footnote>
  <w:footnote w:id="1">
    <w:p w14:paraId="7861F056" w14:textId="77777777" w:rsidR="00547610" w:rsidRPr="0016720E" w:rsidRDefault="00547610" w:rsidP="00DC2FFD">
      <w:pPr>
        <w:pStyle w:val="FootnoteText"/>
        <w:rPr>
          <w:rFonts w:ascii="Times New Roman" w:hAnsi="Times New Roman"/>
        </w:rPr>
      </w:pPr>
      <w:r>
        <w:rPr>
          <w:rStyle w:val="FootnoteReference"/>
          <w:rFonts w:ascii="Times New Roman" w:hAnsi="Times New Roman"/>
          <w:lang w:val="sr-Cyrl-RS"/>
        </w:rPr>
        <w:footnoteRef/>
      </w:r>
      <w:r>
        <w:rPr>
          <w:rFonts w:ascii="Times New Roman" w:hAnsi="Times New Roman"/>
        </w:rPr>
        <w:t xml:space="preserve"> </w:t>
      </w:r>
      <w:r>
        <w:rPr>
          <w:rFonts w:ascii="Times New Roman" w:hAnsi="Times New Roman"/>
          <w:i/>
          <w:iCs/>
        </w:rPr>
        <w:t>Official Gazette of the Republic of Serbia</w:t>
      </w:r>
      <w:r>
        <w:rPr>
          <w:rFonts w:ascii="Times New Roman" w:hAnsi="Times New Roman"/>
        </w:rPr>
        <w:t>, No. 6/2017.</w:t>
      </w:r>
    </w:p>
  </w:footnote>
  <w:footnote w:id="2">
    <w:p w14:paraId="604E1ADC" w14:textId="77777777" w:rsidR="00547610" w:rsidRPr="00B00AF7" w:rsidRDefault="00547610" w:rsidP="00DC2FFD">
      <w:pPr>
        <w:pStyle w:val="FootnoteText"/>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rPr>
        <w:t xml:space="preserve"> </w:t>
      </w:r>
      <w:r>
        <w:rPr>
          <w:rFonts w:ascii="Times New Roman" w:hAnsi="Times New Roman"/>
          <w:i/>
          <w:iCs/>
          <w:sz w:val="18"/>
        </w:rPr>
        <w:t>The Official Gazette of the Republic of Serbia</w:t>
      </w:r>
      <w:r>
        <w:rPr>
          <w:rFonts w:ascii="Times New Roman" w:hAnsi="Times New Roman"/>
          <w:sz w:val="18"/>
        </w:rPr>
        <w:t>, Nos. 135/2004, 90 /2007 and 24/2018</w:t>
      </w:r>
    </w:p>
  </w:footnote>
  <w:footnote w:id="3">
    <w:p w14:paraId="2F69616F" w14:textId="77777777" w:rsidR="00547610" w:rsidRPr="00B00AF7" w:rsidRDefault="00547610" w:rsidP="00DC2FFD">
      <w:pPr>
        <w:pStyle w:val="FootnoteText"/>
      </w:pPr>
      <w:r>
        <w:rPr>
          <w:rStyle w:val="FootnoteReference"/>
          <w:rFonts w:ascii="Times New Roman" w:hAnsi="Times New Roman"/>
          <w:sz w:val="18"/>
          <w:szCs w:val="18"/>
        </w:rPr>
        <w:footnoteRef/>
      </w:r>
      <w:r>
        <w:rPr>
          <w:rFonts w:ascii="Times New Roman" w:hAnsi="Times New Roman"/>
          <w:sz w:val="18"/>
        </w:rPr>
        <w:t xml:space="preserve"> </w:t>
      </w:r>
      <w:hyperlink r:id="rId1" w:history="1">
        <w:r>
          <w:rPr>
            <w:rStyle w:val="Hyperlink"/>
            <w:rFonts w:ascii="Times New Roman" w:hAnsi="Times New Roman"/>
            <w:sz w:val="18"/>
          </w:rPr>
          <w:t>www.unhcr.org/rs/wp-content/uploads/sites/40/2021/04/01-Lica-u-riziku-od-apatridije-u-Srbiji-CeSid-UNHCR-2020-SRB.pdf</w:t>
        </w:r>
      </w:hyperlink>
      <w:r>
        <w:rPr>
          <w:rFonts w:ascii="Times New Roman" w:hAnsi="Times New Roman"/>
          <w:sz w:val="18"/>
        </w:rPr>
        <w:t xml:space="preserve"> </w:t>
      </w:r>
    </w:p>
  </w:footnote>
  <w:footnote w:id="4">
    <w:p w14:paraId="78CBAE4C" w14:textId="77777777" w:rsidR="00547610" w:rsidRPr="00B00AF7" w:rsidRDefault="00547610" w:rsidP="00DC2FFD">
      <w:pPr>
        <w:pStyle w:val="FootnoteText"/>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rPr>
        <w:t xml:space="preserve"> </w:t>
      </w:r>
      <w:hyperlink r:id="rId2" w:history="1">
        <w:r>
          <w:rPr>
            <w:rStyle w:val="Hyperlink"/>
            <w:rFonts w:ascii="Times New Roman" w:hAnsi="Times New Roman"/>
            <w:sz w:val="18"/>
          </w:rPr>
          <w:t>https://www.unhcr.org/rs/iskorenjivanje-apatridije</w:t>
        </w:r>
      </w:hyperlink>
      <w:r>
        <w:rPr>
          <w:rFonts w:ascii="Times New Roman" w:hAnsi="Times New Roman"/>
          <w:sz w:val="18"/>
        </w:rPr>
        <w:t xml:space="preserve"> </w:t>
      </w:r>
    </w:p>
  </w:footnote>
  <w:footnote w:id="5">
    <w:p w14:paraId="38EA84AF" w14:textId="77777777" w:rsidR="00547610" w:rsidRPr="00FD6ED2" w:rsidRDefault="00547610" w:rsidP="00DC2FFD">
      <w:pPr>
        <w:pStyle w:val="FootnoteText"/>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rPr>
        <w:t xml:space="preserve"> </w:t>
      </w:r>
      <w:hyperlink r:id="rId3" w:history="1">
        <w:r>
          <w:rPr>
            <w:rStyle w:val="Hyperlink"/>
            <w:rFonts w:ascii="Times New Roman" w:hAnsi="Times New Roman"/>
            <w:sz w:val="18"/>
          </w:rPr>
          <w:t>https://www.yucom.org.rs/wp-content/uploads/2022/03/1645107722_Analiza-ozakonjenja-17022022-WEB.pdf</w:t>
        </w:r>
      </w:hyperlink>
      <w:r>
        <w:rPr>
          <w:rFonts w:ascii="Times New Roman" w:hAnsi="Times New Roman"/>
          <w:sz w:val="18"/>
        </w:rPr>
        <w:t xml:space="preserve"> </w:t>
      </w:r>
    </w:p>
  </w:footnote>
  <w:footnote w:id="6">
    <w:p w14:paraId="17F0F6C8" w14:textId="77777777" w:rsidR="00547610" w:rsidRPr="0051328E" w:rsidRDefault="00547610" w:rsidP="00DC2FFD">
      <w:pPr>
        <w:pStyle w:val="FootnoteText"/>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rPr>
        <w:t xml:space="preserve"> </w:t>
      </w:r>
      <w:hyperlink r:id="rId4" w:history="1">
        <w:r>
          <w:rPr>
            <w:rStyle w:val="Hyperlink"/>
            <w:rFonts w:ascii="Times New Roman" w:hAnsi="Times New Roman"/>
            <w:sz w:val="18"/>
          </w:rPr>
          <w:t>http://socijalnoukljucivanje.gov.rs/rs/objavljeno-mapiranje-podstandardnih-romskih-naselja-prema-rizicima-i-pristupu-pravima-u-republici-srbiji-sa-narocitim-osvrtom-na-covid-19-epidemiju/</w:t>
        </w:r>
      </w:hyperlink>
      <w:r>
        <w:rPr>
          <w:rFonts w:ascii="Times New Roman" w:hAnsi="Times New Roman"/>
          <w:sz w:val="18"/>
        </w:rPr>
        <w:t xml:space="preserve">  </w:t>
      </w:r>
    </w:p>
  </w:footnote>
  <w:footnote w:id="7">
    <w:p w14:paraId="12381BE5" w14:textId="77777777" w:rsidR="00547610" w:rsidRPr="00FF5192" w:rsidRDefault="00547610" w:rsidP="00DC2FFD">
      <w:pPr>
        <w:pStyle w:val="FootnoteText"/>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rPr>
        <w:t xml:space="preserve"> </w:t>
      </w:r>
      <w:hyperlink r:id="rId5" w:history="1">
        <w:r>
          <w:rPr>
            <w:rStyle w:val="Hyperlink"/>
            <w:rFonts w:ascii="Times New Roman" w:hAnsi="Times New Roman"/>
            <w:sz w:val="18"/>
          </w:rPr>
          <w:t>https://socijalnoukljucivanje.gov.rs/rs/objavljena-analiza-odrzivih-modela-za-obezbedjivanje-pristupa-cistoj-pijacoj-vodi-kanalizaciji-i-elektricnoj-energiji-stanovnicima-i-stanovnicama-podstandardnih-romskih-naselja-u-republici-srbiji/</w:t>
        </w:r>
      </w:hyperlink>
      <w:r>
        <w:rPr>
          <w:rFonts w:ascii="Times New Roman" w:hAnsi="Times New Roman"/>
          <w:sz w:val="18"/>
        </w:rPr>
        <w:t xml:space="preserve"> </w:t>
      </w:r>
    </w:p>
  </w:footnote>
  <w:footnote w:id="8">
    <w:p w14:paraId="0D92CD60" w14:textId="77777777" w:rsidR="00547610" w:rsidRPr="00747E7C" w:rsidRDefault="00547610" w:rsidP="00DC2FFD">
      <w:pPr>
        <w:pBdr>
          <w:top w:val="nil"/>
          <w:left w:val="nil"/>
          <w:bottom w:val="nil"/>
          <w:right w:val="nil"/>
          <w:between w:val="nil"/>
        </w:pBdr>
        <w:spacing w:after="0"/>
        <w:ind w:hanging="2"/>
        <w:jc w:val="both"/>
        <w:rPr>
          <w:sz w:val="12"/>
          <w:szCs w:val="14"/>
        </w:rPr>
      </w:pPr>
      <w:r>
        <w:rPr>
          <w:rStyle w:val="FootnoteReference"/>
          <w:sz w:val="18"/>
          <w:szCs w:val="18"/>
        </w:rPr>
        <w:footnoteRef/>
      </w:r>
      <w:r>
        <w:rPr>
          <w:sz w:val="18"/>
        </w:rPr>
        <w:t xml:space="preserve"> MICS is a global research programme developed by the UNIFEF in consultations with other United Nations agencies. MICS was conceived in such a manner to ensure statistically reliable and internationally comparable data for key social indicators, and to target the most vulnerable part of the population: women, children and vulnerable and marginalised population groups. </w:t>
      </w:r>
      <w:r>
        <w:rPr>
          <w:sz w:val="18"/>
        </w:rPr>
        <w:t xml:space="preserve">Multiple Indicator Survey on the status of women and children in the Republic of Serbia, Statistical Office of the Republic of Serbia and UNICEF  - MICS Multiple </w:t>
      </w:r>
      <w:r>
        <w:rPr>
          <w:sz w:val="18"/>
        </w:rPr>
        <w:t xml:space="preserve">Indicator Survey 2019: </w:t>
      </w:r>
      <w:r>
        <w:fldChar w:fldCharType="begin"/>
      </w:r>
      <w:r>
        <w:instrText xml:space="preserve"> HYPERLINK "https://www.stat.gov.rs/sr-latn/istrazivanja/mics/" </w:instrText>
      </w:r>
      <w:r>
        <w:fldChar w:fldCharType="separate"/>
      </w:r>
      <w:r>
        <w:rPr>
          <w:rStyle w:val="Hyperlink"/>
          <w:sz w:val="18"/>
        </w:rPr>
        <w:t>https://www.stat.gov.rs/sr-latn/istrazivanja/mics/</w:t>
      </w:r>
      <w:r>
        <w:rPr>
          <w:rStyle w:val="Hyperlink"/>
          <w:sz w:val="18"/>
        </w:rPr>
        <w:fldChar w:fldCharType="end"/>
      </w:r>
    </w:p>
  </w:footnote>
  <w:footnote w:id="9">
    <w:p w14:paraId="53DDA3A8" w14:textId="77777777" w:rsidR="00547610" w:rsidRPr="001C0645" w:rsidRDefault="00547610" w:rsidP="00DC2FFD">
      <w:pPr>
        <w:pStyle w:val="FootnoteText"/>
        <w:spacing w:line="276" w:lineRule="auto"/>
        <w:rPr>
          <w:rFonts w:ascii="Times New Roman" w:hAnsi="Times New Roman"/>
          <w:sz w:val="18"/>
          <w:szCs w:val="18"/>
        </w:rPr>
      </w:pPr>
      <w:r>
        <w:rPr>
          <w:rStyle w:val="FootnoteReference"/>
          <w:rFonts w:ascii="Times New Roman" w:hAnsi="Times New Roman"/>
          <w:sz w:val="18"/>
          <w:szCs w:val="18"/>
          <w:lang w:val="sr-Cyrl-RS"/>
        </w:rPr>
        <w:footnoteRef/>
      </w:r>
      <w:r>
        <w:rPr>
          <w:rFonts w:ascii="Times New Roman" w:hAnsi="Times New Roman"/>
          <w:sz w:val="18"/>
        </w:rPr>
        <w:t xml:space="preserve"> </w:t>
      </w:r>
      <w:r>
        <w:rPr>
          <w:rFonts w:ascii="Times New Roman" w:hAnsi="Times New Roman"/>
          <w:i/>
          <w:iCs/>
          <w:sz w:val="18"/>
        </w:rPr>
        <w:t>Official Gazette of the Republic of Serbia</w:t>
      </w:r>
      <w:r>
        <w:rPr>
          <w:rFonts w:ascii="Times New Roman" w:hAnsi="Times New Roman"/>
          <w:sz w:val="18"/>
        </w:rPr>
        <w:t>, No. 88/2010.</w:t>
      </w:r>
    </w:p>
  </w:footnote>
  <w:footnote w:id="10">
    <w:p w14:paraId="78DC3E51" w14:textId="77777777" w:rsidR="00547610" w:rsidRPr="00A25643" w:rsidRDefault="00547610" w:rsidP="00DC2FFD">
      <w:pPr>
        <w:pStyle w:val="FootnoteText"/>
        <w:rPr>
          <w:rFonts w:ascii="Times New Roman" w:hAnsi="Times New Roman"/>
          <w:sz w:val="18"/>
          <w:szCs w:val="18"/>
        </w:rPr>
      </w:pPr>
      <w:r>
        <w:rPr>
          <w:rStyle w:val="FootnoteReference"/>
          <w:rFonts w:ascii="Times New Roman" w:hAnsi="Times New Roman"/>
          <w:sz w:val="18"/>
          <w:szCs w:val="18"/>
          <w:lang w:val="sr-Cyrl-RS"/>
        </w:rPr>
        <w:footnoteRef/>
      </w:r>
      <w:r>
        <w:rPr>
          <w:rFonts w:ascii="Times New Roman" w:hAnsi="Times New Roman"/>
          <w:sz w:val="18"/>
        </w:rPr>
        <w:t xml:space="preserve"> Visits were organised in April and May 2020 in the following local self-government units: Belgrade, City Municipality of </w:t>
      </w:r>
      <w:proofErr w:type="spellStart"/>
      <w:r>
        <w:rPr>
          <w:rFonts w:ascii="Times New Roman" w:hAnsi="Times New Roman"/>
          <w:sz w:val="18"/>
        </w:rPr>
        <w:t>Čukarica</w:t>
      </w:r>
      <w:proofErr w:type="spellEnd"/>
      <w:r>
        <w:rPr>
          <w:rFonts w:ascii="Times New Roman" w:hAnsi="Times New Roman"/>
          <w:sz w:val="18"/>
        </w:rPr>
        <w:t xml:space="preserve">, </w:t>
      </w:r>
      <w:proofErr w:type="spellStart"/>
      <w:r>
        <w:rPr>
          <w:rFonts w:ascii="Times New Roman" w:hAnsi="Times New Roman"/>
          <w:sz w:val="18"/>
        </w:rPr>
        <w:t>Кovin</w:t>
      </w:r>
      <w:proofErr w:type="spellEnd"/>
      <w:r>
        <w:rPr>
          <w:rFonts w:ascii="Times New Roman" w:hAnsi="Times New Roman"/>
          <w:sz w:val="18"/>
        </w:rPr>
        <w:t xml:space="preserve">, </w:t>
      </w:r>
      <w:proofErr w:type="spellStart"/>
      <w:r>
        <w:rPr>
          <w:rFonts w:ascii="Times New Roman" w:hAnsi="Times New Roman"/>
          <w:sz w:val="18"/>
        </w:rPr>
        <w:t>Pančevo</w:t>
      </w:r>
      <w:proofErr w:type="spellEnd"/>
      <w:r>
        <w:rPr>
          <w:rFonts w:ascii="Times New Roman" w:hAnsi="Times New Roman"/>
          <w:sz w:val="18"/>
        </w:rPr>
        <w:t xml:space="preserve">, </w:t>
      </w:r>
      <w:proofErr w:type="spellStart"/>
      <w:r>
        <w:rPr>
          <w:rFonts w:ascii="Times New Roman" w:hAnsi="Times New Roman"/>
          <w:sz w:val="18"/>
        </w:rPr>
        <w:t>Požarevac</w:t>
      </w:r>
      <w:proofErr w:type="spellEnd"/>
      <w:r>
        <w:rPr>
          <w:rFonts w:ascii="Times New Roman" w:hAnsi="Times New Roman"/>
          <w:sz w:val="18"/>
        </w:rPr>
        <w:t xml:space="preserve"> and </w:t>
      </w:r>
      <w:proofErr w:type="spellStart"/>
      <w:r>
        <w:rPr>
          <w:rFonts w:ascii="Times New Roman" w:hAnsi="Times New Roman"/>
          <w:sz w:val="18"/>
        </w:rPr>
        <w:t>Кostolac</w:t>
      </w:r>
      <w:proofErr w:type="spellEnd"/>
      <w:r>
        <w:rPr>
          <w:rFonts w:ascii="Times New Roman" w:hAnsi="Times New Roman"/>
          <w:sz w:val="18"/>
        </w:rPr>
        <w:t>. In these five towns and municipalities, visits were organised in a total of ten Roma settlements (</w:t>
      </w:r>
      <w:proofErr w:type="spellStart"/>
      <w:r>
        <w:rPr>
          <w:rFonts w:ascii="Times New Roman" w:hAnsi="Times New Roman"/>
          <w:sz w:val="18"/>
        </w:rPr>
        <w:t>Čukarička</w:t>
      </w:r>
      <w:proofErr w:type="spellEnd"/>
      <w:r>
        <w:rPr>
          <w:rFonts w:ascii="Times New Roman" w:hAnsi="Times New Roman"/>
          <w:sz w:val="18"/>
        </w:rPr>
        <w:t xml:space="preserve"> </w:t>
      </w:r>
      <w:proofErr w:type="spellStart"/>
      <w:r>
        <w:rPr>
          <w:rFonts w:ascii="Times New Roman" w:hAnsi="Times New Roman"/>
          <w:sz w:val="18"/>
        </w:rPr>
        <w:t>šuma</w:t>
      </w:r>
      <w:proofErr w:type="spellEnd"/>
      <w:r>
        <w:rPr>
          <w:rFonts w:ascii="Times New Roman" w:hAnsi="Times New Roman"/>
          <w:sz w:val="18"/>
        </w:rPr>
        <w:t xml:space="preserve">, </w:t>
      </w:r>
      <w:proofErr w:type="spellStart"/>
      <w:r>
        <w:rPr>
          <w:rFonts w:ascii="Times New Roman" w:hAnsi="Times New Roman"/>
          <w:sz w:val="18"/>
        </w:rPr>
        <w:t>Cigan</w:t>
      </w:r>
      <w:proofErr w:type="spellEnd"/>
      <w:r>
        <w:rPr>
          <w:rFonts w:ascii="Times New Roman" w:hAnsi="Times New Roman"/>
          <w:sz w:val="18"/>
        </w:rPr>
        <w:t xml:space="preserve"> mala, Mali </w:t>
      </w:r>
      <w:proofErr w:type="spellStart"/>
      <w:r>
        <w:rPr>
          <w:rFonts w:ascii="Times New Roman" w:hAnsi="Times New Roman"/>
          <w:sz w:val="18"/>
        </w:rPr>
        <w:t>rit</w:t>
      </w:r>
      <w:proofErr w:type="spellEnd"/>
      <w:r>
        <w:rPr>
          <w:rFonts w:ascii="Times New Roman" w:hAnsi="Times New Roman"/>
          <w:sz w:val="18"/>
        </w:rPr>
        <w:t xml:space="preserve"> 1, Mali </w:t>
      </w:r>
      <w:proofErr w:type="spellStart"/>
      <w:r>
        <w:rPr>
          <w:rFonts w:ascii="Times New Roman" w:hAnsi="Times New Roman"/>
          <w:sz w:val="18"/>
        </w:rPr>
        <w:t>rit</w:t>
      </w:r>
      <w:proofErr w:type="spellEnd"/>
      <w:r>
        <w:rPr>
          <w:rFonts w:ascii="Times New Roman" w:hAnsi="Times New Roman"/>
          <w:sz w:val="18"/>
        </w:rPr>
        <w:t xml:space="preserve"> 2, </w:t>
      </w:r>
      <w:proofErr w:type="spellStart"/>
      <w:r>
        <w:rPr>
          <w:rFonts w:ascii="Times New Roman" w:hAnsi="Times New Roman"/>
          <w:sz w:val="18"/>
        </w:rPr>
        <w:t>Sutjeska</w:t>
      </w:r>
      <w:proofErr w:type="spellEnd"/>
      <w:r>
        <w:rPr>
          <w:rFonts w:ascii="Times New Roman" w:hAnsi="Times New Roman"/>
          <w:sz w:val="18"/>
        </w:rPr>
        <w:t xml:space="preserve">, </w:t>
      </w:r>
      <w:proofErr w:type="spellStart"/>
      <w:r>
        <w:rPr>
          <w:rFonts w:ascii="Times New Roman" w:hAnsi="Times New Roman"/>
          <w:sz w:val="18"/>
        </w:rPr>
        <w:t>Кanal</w:t>
      </w:r>
      <w:proofErr w:type="spellEnd"/>
      <w:r>
        <w:rPr>
          <w:rFonts w:ascii="Times New Roman" w:hAnsi="Times New Roman"/>
          <w:sz w:val="18"/>
        </w:rPr>
        <w:t xml:space="preserve">, </w:t>
      </w:r>
      <w:proofErr w:type="spellStart"/>
      <w:r>
        <w:rPr>
          <w:rFonts w:ascii="Times New Roman" w:hAnsi="Times New Roman"/>
          <w:sz w:val="18"/>
        </w:rPr>
        <w:t>Stari</w:t>
      </w:r>
      <w:proofErr w:type="spellEnd"/>
      <w:r>
        <w:rPr>
          <w:rFonts w:ascii="Times New Roman" w:hAnsi="Times New Roman"/>
          <w:sz w:val="18"/>
        </w:rPr>
        <w:t xml:space="preserve"> </w:t>
      </w:r>
      <w:proofErr w:type="spellStart"/>
      <w:r>
        <w:rPr>
          <w:rFonts w:ascii="Times New Roman" w:hAnsi="Times New Roman"/>
          <w:sz w:val="18"/>
        </w:rPr>
        <w:t>Кostolac</w:t>
      </w:r>
      <w:proofErr w:type="spellEnd"/>
      <w:r>
        <w:rPr>
          <w:rFonts w:ascii="Times New Roman" w:hAnsi="Times New Roman"/>
          <w:sz w:val="18"/>
        </w:rPr>
        <w:t xml:space="preserve">, Hotel </w:t>
      </w:r>
      <w:proofErr w:type="spellStart"/>
      <w:r>
        <w:rPr>
          <w:rFonts w:ascii="Times New Roman" w:hAnsi="Times New Roman"/>
          <w:sz w:val="18"/>
        </w:rPr>
        <w:t>Кostolac</w:t>
      </w:r>
      <w:proofErr w:type="spellEnd"/>
      <w:r>
        <w:rPr>
          <w:rFonts w:ascii="Times New Roman" w:hAnsi="Times New Roman"/>
          <w:sz w:val="18"/>
        </w:rPr>
        <w:t xml:space="preserve">, </w:t>
      </w:r>
      <w:proofErr w:type="spellStart"/>
      <w:r>
        <w:rPr>
          <w:rFonts w:ascii="Times New Roman" w:hAnsi="Times New Roman"/>
          <w:sz w:val="18"/>
        </w:rPr>
        <w:t>Uzun</w:t>
      </w:r>
      <w:proofErr w:type="spellEnd"/>
      <w:r>
        <w:rPr>
          <w:rFonts w:ascii="Times New Roman" w:hAnsi="Times New Roman"/>
          <w:sz w:val="18"/>
        </w:rPr>
        <w:t xml:space="preserve"> </w:t>
      </w:r>
      <w:proofErr w:type="spellStart"/>
      <w:r>
        <w:rPr>
          <w:rFonts w:ascii="Times New Roman" w:hAnsi="Times New Roman"/>
          <w:sz w:val="18"/>
        </w:rPr>
        <w:t>Mirkova</w:t>
      </w:r>
      <w:proofErr w:type="spellEnd"/>
      <w:r>
        <w:rPr>
          <w:rFonts w:ascii="Times New Roman" w:hAnsi="Times New Roman"/>
          <w:sz w:val="18"/>
        </w:rPr>
        <w:t xml:space="preserve"> and </w:t>
      </w:r>
      <w:proofErr w:type="spellStart"/>
      <w:r>
        <w:rPr>
          <w:rFonts w:ascii="Times New Roman" w:hAnsi="Times New Roman"/>
          <w:sz w:val="18"/>
        </w:rPr>
        <w:t>Đurđeve</w:t>
      </w:r>
      <w:proofErr w:type="spellEnd"/>
      <w:r>
        <w:rPr>
          <w:rFonts w:ascii="Times New Roman" w:hAnsi="Times New Roman"/>
          <w:sz w:val="18"/>
        </w:rPr>
        <w:t xml:space="preserve"> </w:t>
      </w:r>
      <w:proofErr w:type="spellStart"/>
      <w:r>
        <w:rPr>
          <w:rFonts w:ascii="Times New Roman" w:hAnsi="Times New Roman"/>
          <w:sz w:val="18"/>
        </w:rPr>
        <w:t>rupe</w:t>
      </w:r>
      <w:proofErr w:type="spellEnd"/>
      <w:r>
        <w:rPr>
          <w:rFonts w:ascii="Times New Roman" w:hAnsi="Times New Roman"/>
          <w:sz w:val="18"/>
        </w:rPr>
        <w:t>)</w:t>
      </w:r>
    </w:p>
  </w:footnote>
  <w:footnote w:id="11">
    <w:p w14:paraId="344FA4E9" w14:textId="77777777" w:rsidR="00547610" w:rsidRPr="008D507F" w:rsidRDefault="00547610" w:rsidP="00DC2FFD">
      <w:pPr>
        <w:pStyle w:val="FootnoteText"/>
      </w:pPr>
      <w:r>
        <w:rPr>
          <w:rStyle w:val="FootnoteReference"/>
          <w:rFonts w:ascii="Times New Roman" w:hAnsi="Times New Roman"/>
          <w:sz w:val="18"/>
          <w:szCs w:val="18"/>
        </w:rPr>
        <w:footnoteRef/>
      </w:r>
      <w:r>
        <w:rPr>
          <w:rFonts w:ascii="Times New Roman" w:hAnsi="Times New Roman"/>
          <w:sz w:val="18"/>
        </w:rPr>
        <w:t xml:space="preserve"> </w:t>
      </w:r>
      <w:hyperlink r:id="rId6" w:history="1">
        <w:r>
          <w:rPr>
            <w:rStyle w:val="Hyperlink"/>
            <w:rFonts w:ascii="Times New Roman" w:hAnsi="Times New Roman"/>
            <w:sz w:val="18"/>
          </w:rPr>
          <w:t>https://ombudsman.rs/index.php/2011-12-25-10-17-15/2011-12-26-10-05-05/6607-l-lni-s-upr-v-upuc-n-p-s-b-n-izv-sh-s-pr-p-ru-usl-vi-u-r-s-i-n-s-lji-u-si-u-ci-i-v-nr-dn-g-s-nj-i-pri-n-r-z-sh-i-usl-d-p-nd-i-r-n-virus</w:t>
        </w:r>
      </w:hyperlink>
      <w:r>
        <w:rPr>
          <w:rStyle w:val="Hyperlink"/>
          <w:rFonts w:ascii="Times New Roman" w:hAnsi="Times New Roman"/>
          <w:sz w:val="18"/>
        </w:rPr>
        <w:t>.</w:t>
      </w:r>
      <w:r>
        <w:rPr>
          <w:rStyle w:val="Hyperlink"/>
          <w:rFonts w:ascii="Book Antiqua" w:hAnsi="Book Antiqua"/>
          <w:sz w:val="18"/>
        </w:rPr>
        <w:t xml:space="preserve"> </w:t>
      </w:r>
      <w:r>
        <w:rPr>
          <w:rFonts w:ascii="Book Antiqua" w:hAnsi="Book Antiqua"/>
          <w:sz w:val="18"/>
        </w:rPr>
        <w:t xml:space="preserve"> </w:t>
      </w:r>
    </w:p>
  </w:footnote>
  <w:footnote w:id="12">
    <w:p w14:paraId="6E763F4E" w14:textId="77777777" w:rsidR="00547610" w:rsidRPr="001B6FC9" w:rsidRDefault="00547610" w:rsidP="00DC2FFD">
      <w:pPr>
        <w:pStyle w:val="FootnoteText"/>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rPr>
        <w:t xml:space="preserve"> </w:t>
      </w:r>
      <w:r>
        <w:rPr>
          <w:rFonts w:ascii="Times New Roman" w:hAnsi="Times New Roman"/>
          <w:i/>
          <w:iCs/>
          <w:sz w:val="18"/>
        </w:rPr>
        <w:t>Official Gazette of the Republic of Serbia</w:t>
      </w:r>
      <w:r>
        <w:rPr>
          <w:rFonts w:ascii="Times New Roman" w:hAnsi="Times New Roman"/>
          <w:sz w:val="18"/>
        </w:rPr>
        <w:t>, No. 22/2016.</w:t>
      </w:r>
    </w:p>
  </w:footnote>
  <w:footnote w:id="13">
    <w:p w14:paraId="49678A2C" w14:textId="77777777" w:rsidR="00547610" w:rsidRPr="001B6FC9" w:rsidRDefault="00547610" w:rsidP="00DC2FFD">
      <w:pPr>
        <w:pStyle w:val="FootnoteText"/>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rPr>
        <w:t xml:space="preserve"> </w:t>
      </w:r>
      <w:r>
        <w:rPr>
          <w:rFonts w:ascii="Times New Roman" w:hAnsi="Times New Roman"/>
          <w:i/>
          <w:iCs/>
          <w:sz w:val="18"/>
        </w:rPr>
        <w:t>Official Gazette of the Republic of Serbia</w:t>
      </w:r>
      <w:r>
        <w:rPr>
          <w:rFonts w:ascii="Times New Roman" w:hAnsi="Times New Roman"/>
          <w:sz w:val="18"/>
        </w:rPr>
        <w:t>, No. 65/2018.</w:t>
      </w:r>
    </w:p>
  </w:footnote>
  <w:footnote w:id="14">
    <w:p w14:paraId="242C971F" w14:textId="77777777" w:rsidR="00547610" w:rsidRPr="00AF78C3" w:rsidRDefault="00547610" w:rsidP="00DC2FFD">
      <w:pPr>
        <w:pStyle w:val="FootnoteText"/>
        <w:rPr>
          <w:rFonts w:ascii="Times New Roman" w:hAnsi="Times New Roman"/>
          <w:color w:val="0070C0"/>
          <w:sz w:val="18"/>
          <w:szCs w:val="18"/>
        </w:rPr>
      </w:pPr>
      <w:r>
        <w:rPr>
          <w:rStyle w:val="FootnoteReference"/>
          <w:rFonts w:ascii="Times New Roman" w:hAnsi="Times New Roman"/>
          <w:sz w:val="18"/>
          <w:szCs w:val="18"/>
        </w:rPr>
        <w:footnoteRef/>
      </w:r>
      <w:r>
        <w:rPr>
          <w:rFonts w:ascii="Times New Roman" w:hAnsi="Times New Roman"/>
          <w:sz w:val="18"/>
        </w:rPr>
        <w:t xml:space="preserve"> </w:t>
      </w:r>
      <w:hyperlink r:id="rId7" w:history="1">
        <w:r>
          <w:rPr>
            <w:rFonts w:ascii="Times New Roman" w:hAnsi="Times New Roman"/>
            <w:color w:val="0070C0"/>
            <w:sz w:val="18"/>
            <w:u w:val="single"/>
          </w:rPr>
          <w:t>http://www.mpn.gov.rs/wp-content/uploads/2021/02/Brosura_CIPv05-final-za-roditeljeB.pdf</w:t>
        </w:r>
      </w:hyperlink>
    </w:p>
  </w:footnote>
  <w:footnote w:id="15">
    <w:p w14:paraId="5DAE51A2" w14:textId="77777777" w:rsidR="00547610" w:rsidRDefault="00547610" w:rsidP="00DC2FFD">
      <w:pPr>
        <w:pStyle w:val="FootnoteText"/>
      </w:pPr>
      <w:r>
        <w:rPr>
          <w:rStyle w:val="FootnoteReference"/>
          <w:rFonts w:ascii="Times New Roman" w:hAnsi="Times New Roman"/>
          <w:sz w:val="18"/>
          <w:szCs w:val="18"/>
        </w:rPr>
        <w:footnoteRef/>
      </w:r>
      <w:r>
        <w:rPr>
          <w:rFonts w:ascii="Times New Roman" w:hAnsi="Times New Roman"/>
          <w:sz w:val="18"/>
        </w:rPr>
        <w:t xml:space="preserve"> </w:t>
      </w:r>
      <w:hyperlink r:id="rId8" w:history="1">
        <w:r>
          <w:rPr>
            <w:rStyle w:val="Hyperlink"/>
            <w:rFonts w:ascii="Times New Roman" w:hAnsi="Times New Roman"/>
            <w:color w:val="0070C0"/>
            <w:sz w:val="18"/>
          </w:rPr>
          <w:t>http://www.mpn.gov.rs/wp-content/uploads/2021/02/Brosura_CIP_-05-final-za-zaposleneB-1.pdf</w:t>
        </w:r>
      </w:hyperlink>
      <w:r>
        <w:rPr>
          <w:rFonts w:ascii="Times New Roman" w:hAnsi="Times New Roman"/>
          <w:color w:val="0070C0"/>
        </w:rPr>
        <w:t xml:space="preserve"> </w:t>
      </w:r>
    </w:p>
  </w:footnote>
  <w:footnote w:id="16">
    <w:p w14:paraId="037E97BC" w14:textId="77777777" w:rsidR="00547610" w:rsidRPr="004363CD" w:rsidRDefault="00547610" w:rsidP="00DC2FFD">
      <w:pPr>
        <w:pStyle w:val="FootnoteText"/>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rPr>
        <w:t xml:space="preserve"> </w:t>
      </w:r>
      <w:hyperlink r:id="rId9" w:history="1">
        <w:r>
          <w:rPr>
            <w:rStyle w:val="Hyperlink"/>
            <w:rFonts w:ascii="Times New Roman" w:hAnsi="Times New Roman"/>
            <w:sz w:val="18"/>
          </w:rPr>
          <w:t>http://ravnopravnost.gov.rs/prevencija-segregacije-razvoj-inkluzivnih-upisnih-politika/</w:t>
        </w:r>
      </w:hyperlink>
      <w:r>
        <w:rPr>
          <w:rFonts w:ascii="Times New Roman" w:hAnsi="Times New Roman"/>
          <w:sz w:val="18"/>
        </w:rPr>
        <w:t xml:space="preserve"> </w:t>
      </w:r>
    </w:p>
  </w:footnote>
  <w:footnote w:id="17">
    <w:p w14:paraId="2A8FBFA5" w14:textId="77777777" w:rsidR="00547610" w:rsidRPr="0083090D" w:rsidRDefault="00547610" w:rsidP="00DC2FFD">
      <w:pPr>
        <w:pStyle w:val="FootnoteText"/>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rPr>
        <w:t xml:space="preserve"> </w:t>
      </w:r>
      <w:r>
        <w:rPr>
          <w:rFonts w:ascii="Times New Roman" w:hAnsi="Times New Roman"/>
          <w:i/>
          <w:iCs/>
          <w:sz w:val="18"/>
        </w:rPr>
        <w:t>The Official Gazette of the Republic of Serbia</w:t>
      </w:r>
      <w:r>
        <w:rPr>
          <w:rFonts w:ascii="Times New Roman" w:hAnsi="Times New Roman"/>
          <w:sz w:val="18"/>
        </w:rPr>
        <w:t>, Nos. 22/2009 and 52/2021</w:t>
      </w:r>
    </w:p>
  </w:footnote>
  <w:footnote w:id="18">
    <w:p w14:paraId="67B7E731" w14:textId="77777777" w:rsidR="00547610" w:rsidRPr="00AF78C3" w:rsidRDefault="00547610" w:rsidP="00DC2FFD">
      <w:pPr>
        <w:pStyle w:val="FootnoteText"/>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rPr>
        <w:t xml:space="preserve"> </w:t>
      </w:r>
      <w:r>
        <w:rPr>
          <w:rFonts w:ascii="Times New Roman" w:hAnsi="Times New Roman"/>
          <w:i/>
          <w:iCs/>
          <w:sz w:val="18"/>
        </w:rPr>
        <w:t>Official Gazette of the Republic of Serbia</w:t>
      </w:r>
      <w:r>
        <w:rPr>
          <w:rFonts w:ascii="Times New Roman" w:hAnsi="Times New Roman"/>
          <w:sz w:val="18"/>
        </w:rPr>
        <w:t>, No. 87/2019.</w:t>
      </w:r>
    </w:p>
  </w:footnote>
  <w:footnote w:id="19">
    <w:p w14:paraId="152D433B" w14:textId="77777777" w:rsidR="00547610" w:rsidRPr="00430C16" w:rsidRDefault="00547610" w:rsidP="00DC2FFD">
      <w:pPr>
        <w:pStyle w:val="FootnoteText"/>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rPr>
        <w:t xml:space="preserve"> </w:t>
      </w:r>
      <w:hyperlink r:id="rId10" w:history="1">
        <w:r>
          <w:rPr>
            <w:rStyle w:val="Hyperlink"/>
            <w:rFonts w:ascii="Times New Roman" w:hAnsi="Times New Roman"/>
            <w:sz w:val="18"/>
          </w:rPr>
          <w:t>https://www.mpn.gov.rs/wp-content/uploads/2021/06/SROVRS-2030-1.pdf</w:t>
        </w:r>
      </w:hyperlink>
      <w:r>
        <w:rPr>
          <w:rFonts w:ascii="Times New Roman" w:hAnsi="Times New Roman"/>
          <w:sz w:val="18"/>
        </w:rPr>
        <w:t xml:space="preserve"> </w:t>
      </w:r>
    </w:p>
  </w:footnote>
  <w:footnote w:id="20">
    <w:p w14:paraId="0478EEA7" w14:textId="77777777" w:rsidR="00547610" w:rsidRPr="00C00395" w:rsidRDefault="00547610" w:rsidP="00DC2FFD">
      <w:pPr>
        <w:pStyle w:val="FootnoteText"/>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rPr>
        <w:t xml:space="preserve"> </w:t>
      </w:r>
      <w:hyperlink r:id="rId11" w:history="1">
        <w:r>
          <w:rPr>
            <w:rStyle w:val="Hyperlink"/>
            <w:rFonts w:ascii="Times New Roman" w:hAnsi="Times New Roman"/>
            <w:sz w:val="18"/>
          </w:rPr>
          <w:t>http://www.mpn.gov.rs/izvestaj-o-ukljucenosti-ucenika-iz-osetljivih-grupa-u-obrazovno-vaspitni-rad-tokom-nastave-na-daljinu/</w:t>
        </w:r>
      </w:hyperlink>
      <w:r>
        <w:rPr>
          <w:rFonts w:ascii="Times New Roman" w:hAnsi="Times New Roman"/>
          <w:sz w:val="18"/>
        </w:rPr>
        <w:t xml:space="preserve"> </w:t>
      </w:r>
    </w:p>
  </w:footnote>
  <w:footnote w:id="21">
    <w:p w14:paraId="2E682355" w14:textId="77777777" w:rsidR="00547610" w:rsidRPr="0058686F" w:rsidRDefault="00547610" w:rsidP="00DC2FFD">
      <w:pPr>
        <w:pStyle w:val="FootnoteText"/>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rPr>
        <w:t xml:space="preserve"> </w:t>
      </w:r>
      <w:r>
        <w:rPr>
          <w:rFonts w:ascii="Times New Roman" w:hAnsi="Times New Roman"/>
          <w:i/>
          <w:iCs/>
          <w:sz w:val="18"/>
        </w:rPr>
        <w:t>The Official Gazette of the Republic of Serbia</w:t>
      </w:r>
      <w:r>
        <w:rPr>
          <w:rFonts w:ascii="Times New Roman" w:hAnsi="Times New Roman"/>
          <w:sz w:val="18"/>
        </w:rPr>
        <w:t>, Nos. 24/2005, 61/2005, 54/2009, 32/2013, 75/2014, 13/2017 - CC decision, 113/2017 and 95/2018 - authentic interpretation</w:t>
      </w:r>
    </w:p>
  </w:footnote>
  <w:footnote w:id="22">
    <w:p w14:paraId="6C20433A" w14:textId="77777777" w:rsidR="00547610" w:rsidRPr="00125CC3" w:rsidRDefault="00547610" w:rsidP="00DC2FFD">
      <w:pPr>
        <w:pStyle w:val="FootnoteText"/>
        <w:rPr>
          <w:rFonts w:ascii="Times New Roman" w:hAnsi="Times New Roman"/>
          <w:sz w:val="18"/>
          <w:szCs w:val="18"/>
        </w:rPr>
      </w:pPr>
      <w:r>
        <w:rPr>
          <w:rStyle w:val="FootnoteReference"/>
          <w:rFonts w:ascii="Times New Roman" w:hAnsi="Times New Roman"/>
          <w:sz w:val="18"/>
          <w:szCs w:val="18"/>
          <w:lang w:val="sr-Cyrl-RS"/>
        </w:rPr>
        <w:footnoteRef/>
      </w:r>
      <w:r>
        <w:rPr>
          <w:rFonts w:ascii="Times New Roman" w:hAnsi="Times New Roman"/>
          <w:sz w:val="18"/>
        </w:rPr>
        <w:t xml:space="preserve"> </w:t>
      </w:r>
      <w:r>
        <w:rPr>
          <w:rFonts w:ascii="Times New Roman" w:hAnsi="Times New Roman"/>
          <w:i/>
          <w:iCs/>
          <w:sz w:val="18"/>
        </w:rPr>
        <w:t>The Official Gazette of the Republic of Serbia</w:t>
      </w:r>
      <w:r>
        <w:rPr>
          <w:rFonts w:ascii="Times New Roman" w:hAnsi="Times New Roman"/>
          <w:sz w:val="18"/>
        </w:rPr>
        <w:t>, Nos. 36/2009, 88/2010, 38/2015, 113/2017 and 113/2017 – as amended and 49/2021</w:t>
      </w:r>
    </w:p>
  </w:footnote>
  <w:footnote w:id="23">
    <w:p w14:paraId="2CBFEF9F" w14:textId="77777777" w:rsidR="00547610" w:rsidRPr="00125CC3" w:rsidRDefault="00547610" w:rsidP="00DC2FFD">
      <w:pPr>
        <w:pStyle w:val="FootnoteText"/>
      </w:pPr>
      <w:r>
        <w:rPr>
          <w:rStyle w:val="FootnoteReference"/>
          <w:rFonts w:ascii="Times New Roman" w:hAnsi="Times New Roman"/>
          <w:sz w:val="18"/>
          <w:szCs w:val="18"/>
          <w:lang w:val="sr-Cyrl-RS"/>
        </w:rPr>
        <w:footnoteRef/>
      </w:r>
      <w:r>
        <w:rPr>
          <w:rFonts w:ascii="Times New Roman" w:hAnsi="Times New Roman"/>
          <w:sz w:val="18"/>
        </w:rPr>
        <w:t xml:space="preserve"> </w:t>
      </w:r>
      <w:r>
        <w:rPr>
          <w:rFonts w:ascii="Times New Roman" w:hAnsi="Times New Roman"/>
          <w:i/>
          <w:iCs/>
          <w:sz w:val="18"/>
        </w:rPr>
        <w:t>The Official Gazette of the Republic of Serbia</w:t>
      </w:r>
      <w:r>
        <w:rPr>
          <w:rFonts w:ascii="Times New Roman" w:hAnsi="Times New Roman"/>
          <w:sz w:val="18"/>
        </w:rPr>
        <w:t>, Nos. 18/2021 and 36/2021 – corr.</w:t>
      </w:r>
    </w:p>
  </w:footnote>
  <w:footnote w:id="24">
    <w:p w14:paraId="5A5881CC" w14:textId="77777777" w:rsidR="00547610" w:rsidRPr="00FD2A09" w:rsidRDefault="00547610" w:rsidP="00DC2FFD">
      <w:pPr>
        <w:pStyle w:val="FootnoteText"/>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rPr>
        <w:t xml:space="preserve"> </w:t>
      </w:r>
      <w:r>
        <w:rPr>
          <w:rFonts w:ascii="Times New Roman" w:hAnsi="Times New Roman"/>
          <w:i/>
          <w:iCs/>
          <w:sz w:val="18"/>
        </w:rPr>
        <w:t>Official Gazette of the Republic of Serbia</w:t>
      </w:r>
      <w:r>
        <w:rPr>
          <w:rFonts w:ascii="Times New Roman" w:hAnsi="Times New Roman"/>
          <w:sz w:val="18"/>
        </w:rPr>
        <w:t>, No. 15/2010.</w:t>
      </w:r>
    </w:p>
  </w:footnote>
  <w:footnote w:id="25">
    <w:p w14:paraId="1078638D" w14:textId="77777777" w:rsidR="00547610" w:rsidRPr="0058686F" w:rsidRDefault="00547610" w:rsidP="00DC2FFD">
      <w:pPr>
        <w:pStyle w:val="FootnoteText"/>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rPr>
        <w:t xml:space="preserve"> </w:t>
      </w:r>
      <w:r>
        <w:rPr>
          <w:rFonts w:ascii="Times New Roman" w:hAnsi="Times New Roman"/>
          <w:i/>
          <w:iCs/>
          <w:sz w:val="18"/>
        </w:rPr>
        <w:t>Official Gazette of the Republic of Serbia</w:t>
      </w:r>
      <w:r>
        <w:rPr>
          <w:rFonts w:ascii="Times New Roman" w:hAnsi="Times New Roman"/>
          <w:sz w:val="18"/>
        </w:rPr>
        <w:t>, No. 24/2011.</w:t>
      </w:r>
    </w:p>
  </w:footnote>
  <w:footnote w:id="26">
    <w:p w14:paraId="758FD609" w14:textId="77777777" w:rsidR="00547610" w:rsidRPr="0058686F" w:rsidRDefault="00547610" w:rsidP="00DC2FFD">
      <w:pPr>
        <w:pStyle w:val="FootnoteText"/>
        <w:rPr>
          <w:rFonts w:ascii="Times New Roman" w:hAnsi="Times New Roman"/>
          <w:sz w:val="18"/>
          <w:szCs w:val="18"/>
        </w:rPr>
      </w:pPr>
      <w:r>
        <w:rPr>
          <w:rStyle w:val="FootnoteReference"/>
          <w:rFonts w:ascii="Times New Roman" w:hAnsi="Times New Roman"/>
          <w:sz w:val="18"/>
          <w:szCs w:val="18"/>
          <w:lang w:val="sr-Cyrl-RS"/>
        </w:rPr>
        <w:footnoteRef/>
      </w:r>
      <w:r>
        <w:rPr>
          <w:rFonts w:ascii="Times New Roman" w:hAnsi="Times New Roman"/>
          <w:sz w:val="18"/>
        </w:rPr>
        <w:t xml:space="preserve"> </w:t>
      </w:r>
      <w:r>
        <w:rPr>
          <w:rFonts w:ascii="Times New Roman" w:hAnsi="Times New Roman"/>
          <w:i/>
          <w:iCs/>
          <w:sz w:val="18"/>
        </w:rPr>
        <w:t>The Official Gazette of the Republic of Serbia</w:t>
      </w:r>
      <w:r>
        <w:rPr>
          <w:rFonts w:ascii="Times New Roman" w:hAnsi="Times New Roman"/>
          <w:sz w:val="18"/>
        </w:rPr>
        <w:t>, Nos. 59/2008, 37/2010, 39/2011 - as amended, 1/2012 - as amended, 51/2019 and 12/2020</w:t>
      </w:r>
    </w:p>
  </w:footnote>
  <w:footnote w:id="27">
    <w:p w14:paraId="2A1311DB" w14:textId="77777777" w:rsidR="00547610" w:rsidRPr="00F90A93" w:rsidRDefault="00547610" w:rsidP="00DC2FFD">
      <w:pPr>
        <w:pStyle w:val="FootnoteText"/>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rPr>
        <w:t xml:space="preserve"> </w:t>
      </w:r>
      <w:r>
        <w:rPr>
          <w:rFonts w:ascii="Times New Roman" w:hAnsi="Times New Roman"/>
          <w:i/>
          <w:iCs/>
          <w:sz w:val="18"/>
        </w:rPr>
        <w:t>Official Gazette of the Republic of Serbia</w:t>
      </w:r>
      <w:r>
        <w:rPr>
          <w:rFonts w:ascii="Times New Roman" w:hAnsi="Times New Roman"/>
          <w:sz w:val="18"/>
        </w:rPr>
        <w:t>, No. 126/2021.</w:t>
      </w:r>
    </w:p>
  </w:footnote>
  <w:footnote w:id="28">
    <w:p w14:paraId="38A0B854" w14:textId="77777777" w:rsidR="00547610" w:rsidRPr="00F90A93" w:rsidRDefault="00547610" w:rsidP="00DC2FFD">
      <w:pPr>
        <w:pStyle w:val="FootnoteText"/>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rPr>
        <w:t xml:space="preserve"> </w:t>
      </w:r>
      <w:r>
        <w:rPr>
          <w:rFonts w:ascii="Times New Roman" w:hAnsi="Times New Roman"/>
          <w:i/>
          <w:iCs/>
          <w:sz w:val="18"/>
        </w:rPr>
        <w:t>Official Gazette of the Republic of Serbia</w:t>
      </w:r>
      <w:r>
        <w:rPr>
          <w:rFonts w:ascii="Times New Roman" w:hAnsi="Times New Roman"/>
          <w:sz w:val="18"/>
        </w:rPr>
        <w:t>, No. 12/2022.</w:t>
      </w:r>
    </w:p>
  </w:footnote>
  <w:footnote w:id="29">
    <w:p w14:paraId="08CC4A15" w14:textId="77777777" w:rsidR="00547610" w:rsidRPr="006C287E" w:rsidRDefault="00547610" w:rsidP="00DC2FFD">
      <w:pPr>
        <w:pStyle w:val="FootnoteText"/>
      </w:pPr>
      <w:r>
        <w:rPr>
          <w:rStyle w:val="FootnoteReference"/>
          <w:rFonts w:ascii="Times New Roman" w:hAnsi="Times New Roman"/>
          <w:sz w:val="18"/>
          <w:szCs w:val="18"/>
        </w:rPr>
        <w:footnoteRef/>
      </w:r>
      <w:r>
        <w:rPr>
          <w:rFonts w:ascii="Times New Roman" w:hAnsi="Times New Roman"/>
          <w:sz w:val="18"/>
        </w:rPr>
        <w:t xml:space="preserve"> </w:t>
      </w:r>
      <w:r>
        <w:rPr>
          <w:rFonts w:ascii="Times New Roman" w:hAnsi="Times New Roman"/>
          <w:i/>
          <w:iCs/>
          <w:sz w:val="18"/>
        </w:rPr>
        <w:t>Official Gazette of the Republic of Serbia</w:t>
      </w:r>
      <w:r>
        <w:rPr>
          <w:rFonts w:ascii="Times New Roman" w:hAnsi="Times New Roman"/>
          <w:sz w:val="18"/>
        </w:rPr>
        <w:t>, No. 23/2022.</w:t>
      </w:r>
    </w:p>
  </w:footnote>
  <w:footnote w:id="30">
    <w:p w14:paraId="2042B9C2" w14:textId="77777777" w:rsidR="00547610" w:rsidRPr="0042418C" w:rsidRDefault="00547610" w:rsidP="00DC2FFD">
      <w:pPr>
        <w:pStyle w:val="FootnoteText"/>
        <w:rPr>
          <w:rFonts w:ascii="Times New Roman" w:hAnsi="Times New Roman"/>
          <w:sz w:val="18"/>
          <w:szCs w:val="18"/>
        </w:rPr>
      </w:pPr>
      <w:r>
        <w:rPr>
          <w:rStyle w:val="FootnoteReference"/>
          <w:rFonts w:ascii="Times New Roman" w:hAnsi="Times New Roman"/>
          <w:sz w:val="18"/>
          <w:szCs w:val="18"/>
        </w:rPr>
        <w:footnoteRef/>
      </w:r>
      <w:hyperlink r:id="rId12" w:history="1">
        <w:r>
          <w:rPr>
            <w:rStyle w:val="Hyperlink"/>
            <w:rFonts w:ascii="Times New Roman" w:hAnsi="Times New Roman"/>
            <w:sz w:val="18"/>
          </w:rPr>
          <w:t>https://socijalnoukljucivanje.gov.rs/wp-content/uploads/2020/04/Dostupnost_usluga_i_mera_podske_za_decu_romske_nacionalnosti_na_lokalnom_nivou.pdf</w:t>
        </w:r>
      </w:hyperlink>
      <w:r>
        <w:rPr>
          <w:rFonts w:ascii="Times New Roman" w:hAnsi="Times New Roman"/>
          <w:sz w:val="18"/>
        </w:rPr>
        <w:t xml:space="preserve"> </w:t>
      </w:r>
    </w:p>
  </w:footnote>
  <w:footnote w:id="31">
    <w:p w14:paraId="3ADD0ECF" w14:textId="77777777" w:rsidR="00547610" w:rsidRPr="001A5B76" w:rsidRDefault="00547610" w:rsidP="00DC2FFD">
      <w:pPr>
        <w:pStyle w:val="FootnoteText"/>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rPr>
        <w:t xml:space="preserve"> </w:t>
      </w:r>
      <w:hyperlink r:id="rId13" w:history="1">
        <w:r>
          <w:rPr>
            <w:rStyle w:val="Hyperlink"/>
            <w:rFonts w:ascii="Times New Roman" w:hAnsi="Times New Roman"/>
            <w:sz w:val="18"/>
          </w:rPr>
          <w:t>http://www.inkluzijaroma.stat.gov.rs</w:t>
        </w:r>
      </w:hyperlink>
      <w:r>
        <w:rPr>
          <w:rFonts w:ascii="Times New Roman" w:hAnsi="Times New Roman"/>
          <w:sz w:val="18"/>
        </w:rPr>
        <w:t xml:space="preserve"> and</w:t>
      </w:r>
      <w:hyperlink r:id="rId14" w:history="1">
        <w:r>
          <w:rPr>
            <w:rStyle w:val="Hyperlink"/>
            <w:rFonts w:ascii="Times New Roman" w:hAnsi="Times New Roman"/>
            <w:sz w:val="18"/>
          </w:rPr>
          <w:t>http://socijalnoukljucivanje.gov.rs</w:t>
        </w:r>
      </w:hyperlink>
      <w:r>
        <w:rPr>
          <w:rFonts w:ascii="Times New Roman" w:hAnsi="Times New Roman"/>
          <w:sz w:val="18"/>
        </w:rPr>
        <w:t xml:space="preserve"> </w:t>
      </w:r>
    </w:p>
  </w:footnote>
  <w:footnote w:id="32">
    <w:p w14:paraId="4D8DF20A" w14:textId="77777777" w:rsidR="00547610" w:rsidRPr="001A5B76" w:rsidRDefault="00547610" w:rsidP="00DC2FFD">
      <w:pPr>
        <w:pStyle w:val="FootnoteText"/>
      </w:pPr>
      <w:r>
        <w:rPr>
          <w:rStyle w:val="FootnoteReference"/>
          <w:rFonts w:ascii="Times New Roman" w:hAnsi="Times New Roman"/>
          <w:sz w:val="18"/>
          <w:szCs w:val="18"/>
        </w:rPr>
        <w:footnoteRef/>
      </w:r>
      <w:r>
        <w:rPr>
          <w:rFonts w:ascii="Times New Roman" w:hAnsi="Times New Roman"/>
          <w:sz w:val="18"/>
        </w:rPr>
        <w:t xml:space="preserve"> </w:t>
      </w:r>
      <w:hyperlink r:id="rId15" w:history="1">
        <w:r>
          <w:rPr>
            <w:rStyle w:val="Hyperlink"/>
            <w:rFonts w:ascii="Times New Roman" w:hAnsi="Times New Roman"/>
            <w:sz w:val="18"/>
          </w:rPr>
          <w:t>https://www.ukljucise.org/publikacije</w:t>
        </w:r>
      </w:hyperlink>
      <w:r>
        <w:t xml:space="preserve"> </w:t>
      </w:r>
    </w:p>
  </w:footnote>
  <w:footnote w:id="33">
    <w:p w14:paraId="598B577A" w14:textId="77777777" w:rsidR="00547610" w:rsidRPr="00936267" w:rsidRDefault="00547610" w:rsidP="00DC2FFD">
      <w:pPr>
        <w:pStyle w:val="FootnoteText"/>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rPr>
        <w:t xml:space="preserve"> </w:t>
      </w:r>
      <w:hyperlink r:id="rId16" w:history="1">
        <w:r>
          <w:rPr>
            <w:rStyle w:val="Hyperlink"/>
            <w:rFonts w:ascii="Times New Roman" w:hAnsi="Times New Roman"/>
            <w:sz w:val="18"/>
          </w:rPr>
          <w:t>https://romaworld.rs/</w:t>
        </w:r>
      </w:hyperlink>
      <w:r>
        <w:rPr>
          <w:rFonts w:ascii="Times New Roman" w:hAnsi="Times New Roman"/>
          <w:sz w:val="18"/>
        </w:rPr>
        <w:t xml:space="preserve"> </w:t>
      </w:r>
    </w:p>
  </w:footnote>
  <w:footnote w:id="34">
    <w:p w14:paraId="51A7C819" w14:textId="77777777" w:rsidR="00547610" w:rsidRPr="00F90A93" w:rsidRDefault="00547610" w:rsidP="00DC2FFD">
      <w:pPr>
        <w:pStyle w:val="FootnoteText"/>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rPr>
        <w:t xml:space="preserve"> </w:t>
      </w:r>
      <w:r>
        <w:rPr>
          <w:rFonts w:ascii="Times New Roman" w:hAnsi="Times New Roman"/>
          <w:i/>
          <w:iCs/>
          <w:sz w:val="18"/>
        </w:rPr>
        <w:t>Official Gazette of the Republic of Serbia</w:t>
      </w:r>
      <w:r>
        <w:rPr>
          <w:rFonts w:ascii="Times New Roman" w:hAnsi="Times New Roman"/>
          <w:sz w:val="18"/>
        </w:rPr>
        <w:t>, No. 25/2019.</w:t>
      </w:r>
    </w:p>
  </w:footnote>
  <w:footnote w:id="35">
    <w:p w14:paraId="2CB44CB0" w14:textId="77777777" w:rsidR="00547610" w:rsidRPr="00CB58CB" w:rsidRDefault="00547610" w:rsidP="00DC2FFD">
      <w:pPr>
        <w:pStyle w:val="FootnoteText"/>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rPr>
        <w:t xml:space="preserve"> The recommendation of the Committee of Ministers on the implementation of the European Charter of the Council of Europe for Regional or Minority Languages, adopted on 4 April 2019, the Fourth Opinion of the Advisory Committee of the Framework Convention for the Protection of National Minorities, adopted on 26 June 2019, and the Fourth Report of the Committee of Experts relating to Serbia, adopted om 28 November 2018.</w:t>
      </w:r>
    </w:p>
  </w:footnote>
  <w:footnote w:id="36">
    <w:p w14:paraId="1BEEBB1B" w14:textId="77777777" w:rsidR="00547610" w:rsidRPr="00375C0E" w:rsidRDefault="00547610" w:rsidP="00DC2FFD">
      <w:pPr>
        <w:pStyle w:val="FootnoteText"/>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rPr>
        <w:t xml:space="preserve"> </w:t>
      </w:r>
      <w:r>
        <w:rPr>
          <w:rFonts w:ascii="Times New Roman" w:hAnsi="Times New Roman"/>
          <w:i/>
          <w:iCs/>
          <w:sz w:val="18"/>
        </w:rPr>
        <w:t>The Official Gazette of the Republic of Serbia</w:t>
      </w:r>
      <w:r>
        <w:rPr>
          <w:rFonts w:ascii="Times New Roman" w:hAnsi="Times New Roman"/>
          <w:sz w:val="18"/>
        </w:rPr>
        <w:t>, Nos. 129/2007, 83/2014 - as amended, 101/2016 - as amended, 47/2018 и 111/2021 - as amended</w:t>
      </w:r>
    </w:p>
  </w:footnote>
  <w:footnote w:id="37">
    <w:p w14:paraId="308CB302" w14:textId="77777777" w:rsidR="00547610" w:rsidRPr="004C539D" w:rsidRDefault="00547610" w:rsidP="00DC2FFD">
      <w:pPr>
        <w:pStyle w:val="FootnoteText"/>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rPr>
        <w:t xml:space="preserve"> </w:t>
      </w:r>
      <w:hyperlink r:id="rId17" w:history="1">
        <w:r>
          <w:rPr>
            <w:rStyle w:val="Hyperlink"/>
            <w:rFonts w:ascii="Times New Roman" w:hAnsi="Times New Roman"/>
            <w:sz w:val="18"/>
          </w:rPr>
          <w:t>http://www.skgo.org/publications/download/506</w:t>
        </w:r>
      </w:hyperlink>
      <w:r>
        <w:rPr>
          <w:rFonts w:ascii="Times New Roman" w:hAnsi="Times New Roman"/>
          <w:sz w:val="18"/>
        </w:rPr>
        <w:t xml:space="preserve"> </w:t>
      </w:r>
    </w:p>
  </w:footnote>
  <w:footnote w:id="38">
    <w:p w14:paraId="20BC100C" w14:textId="77777777" w:rsidR="00547610" w:rsidRPr="006275DE" w:rsidRDefault="00547610" w:rsidP="00DC2FFD">
      <w:pPr>
        <w:pStyle w:val="FootnoteText"/>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rPr>
        <w:t xml:space="preserve"> All of the Commissioner’s surveys are available at the official website: </w:t>
      </w:r>
      <w:hyperlink r:id="rId18" w:history="1">
        <w:r>
          <w:rPr>
            <w:rStyle w:val="Hyperlink"/>
            <w:rFonts w:ascii="Times New Roman" w:hAnsi="Times New Roman"/>
            <w:sz w:val="18"/>
          </w:rPr>
          <w:t>www.ravnopravnost.gov.rs</w:t>
        </w:r>
      </w:hyperlink>
      <w:r>
        <w:rPr>
          <w:rFonts w:ascii="Times New Roman" w:hAnsi="Times New Roman"/>
          <w:sz w:val="18"/>
        </w:rPr>
        <w:t xml:space="preserve">. </w:t>
      </w:r>
    </w:p>
  </w:footnote>
  <w:footnote w:id="39">
    <w:p w14:paraId="69C0584D" w14:textId="77777777" w:rsidR="00547610" w:rsidRPr="00EC4EEF" w:rsidRDefault="00547610" w:rsidP="00DC2FFD">
      <w:pPr>
        <w:pStyle w:val="FootnoteText"/>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rPr>
        <w:t xml:space="preserve"> </w:t>
      </w:r>
      <w:hyperlink r:id="rId19" w:history="1">
        <w:r>
          <w:rPr>
            <w:rStyle w:val="Hyperlink"/>
            <w:rFonts w:ascii="Times New Roman" w:hAnsi="Times New Roman"/>
            <w:sz w:val="18"/>
          </w:rPr>
          <w:t>https://mpn.gov.rs/wp-content/uploads/2019/03/prirucnik-primera-dobre-prakseDemokratska-kultura-u-skolama.pdf</w:t>
        </w:r>
      </w:hyperlink>
      <w:r>
        <w:rPr>
          <w:rFonts w:ascii="Times New Roman" w:hAnsi="Times New Roman"/>
          <w:sz w:val="18"/>
        </w:rPr>
        <w:t xml:space="preserve"> </w:t>
      </w:r>
    </w:p>
  </w:footnote>
  <w:footnote w:id="40">
    <w:p w14:paraId="130867CE" w14:textId="77777777" w:rsidR="00547610" w:rsidRPr="00675357" w:rsidRDefault="00547610" w:rsidP="00DC2FFD">
      <w:pPr>
        <w:pStyle w:val="FootnoteText"/>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rPr>
        <w:t xml:space="preserve"> </w:t>
      </w:r>
      <w:r>
        <w:rPr>
          <w:rFonts w:ascii="Times New Roman" w:hAnsi="Times New Roman"/>
          <w:i/>
          <w:iCs/>
          <w:sz w:val="18"/>
        </w:rPr>
        <w:t>The Official Gazette of the Republic of Serbia</w:t>
      </w:r>
      <w:r>
        <w:rPr>
          <w:rFonts w:ascii="Times New Roman" w:hAnsi="Times New Roman"/>
          <w:sz w:val="18"/>
        </w:rPr>
        <w:t>, Nos. 88/2017, 27/2018 - as amended, 10/2019, 27/2018 - as amended, 6/2020 and 129/2021</w:t>
      </w:r>
    </w:p>
  </w:footnote>
  <w:footnote w:id="41">
    <w:p w14:paraId="4482F78B" w14:textId="77777777" w:rsidR="00547610" w:rsidRPr="00F76766" w:rsidRDefault="00547610" w:rsidP="00DC2FFD">
      <w:pPr>
        <w:pStyle w:val="FootnoteText"/>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rPr>
        <w:t xml:space="preserve"> </w:t>
      </w:r>
      <w:hyperlink r:id="rId20" w:history="1">
        <w:r>
          <w:rPr>
            <w:rStyle w:val="Hyperlink"/>
            <w:rFonts w:ascii="Times New Roman" w:hAnsi="Times New Roman"/>
            <w:sz w:val="18"/>
          </w:rPr>
          <w:t>https://www.mpn.gov.rs/wp-content/uploads/2019/04/HF-33-Smernice-SRB-FINAL.pdf</w:t>
        </w:r>
      </w:hyperlink>
      <w:r>
        <w:rPr>
          <w:rFonts w:ascii="Times New Roman" w:hAnsi="Times New Roman"/>
          <w:sz w:val="18"/>
        </w:rPr>
        <w:t xml:space="preserve"> </w:t>
      </w:r>
    </w:p>
  </w:footnote>
  <w:footnote w:id="42">
    <w:p w14:paraId="6F5F61B1" w14:textId="77777777" w:rsidR="00547610" w:rsidRPr="00AD5BFF" w:rsidRDefault="00547610" w:rsidP="00DC2FFD">
      <w:pPr>
        <w:pStyle w:val="FootnoteText"/>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rPr>
        <w:t xml:space="preserve"> </w:t>
      </w:r>
      <w:r>
        <w:rPr>
          <w:rFonts w:ascii="Times New Roman" w:hAnsi="Times New Roman"/>
          <w:i/>
          <w:iCs/>
          <w:sz w:val="18"/>
        </w:rPr>
        <w:t>The Official Gazette of the Republic of Serbia</w:t>
      </w:r>
      <w:r>
        <w:rPr>
          <w:rFonts w:ascii="Times New Roman" w:hAnsi="Times New Roman"/>
          <w:sz w:val="18"/>
        </w:rPr>
        <w:t>, Nos. 79/2005, 81/2005 - corr., 83/2005 - corr., 64/2007, 67/2007 - corr., 116/2008, 104/2009, 99/2014, 94/2017, 95/2018 and 157/2020</w:t>
      </w:r>
    </w:p>
  </w:footnote>
  <w:footnote w:id="43">
    <w:p w14:paraId="3933A71B" w14:textId="77777777" w:rsidR="00547610" w:rsidRPr="00AF6934" w:rsidRDefault="00547610" w:rsidP="00DC2FFD">
      <w:pPr>
        <w:pStyle w:val="FootnoteText"/>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rPr>
        <w:t xml:space="preserve"> </w:t>
      </w:r>
      <w:r>
        <w:rPr>
          <w:rFonts w:ascii="Times New Roman" w:hAnsi="Times New Roman"/>
          <w:i/>
          <w:iCs/>
          <w:sz w:val="18"/>
        </w:rPr>
        <w:t>The Official Gazette of the Republic of Serbia</w:t>
      </w:r>
      <w:r>
        <w:rPr>
          <w:rFonts w:ascii="Times New Roman" w:hAnsi="Times New Roman"/>
          <w:sz w:val="18"/>
        </w:rPr>
        <w:t>, Nos. 2/2019 and 67/2021</w:t>
      </w:r>
    </w:p>
  </w:footnote>
  <w:footnote w:id="44">
    <w:p w14:paraId="0D9E8E8E" w14:textId="77777777" w:rsidR="00547610" w:rsidRPr="00495DF3" w:rsidRDefault="00547610" w:rsidP="00DC2FFD">
      <w:pPr>
        <w:pStyle w:val="FootnoteText"/>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rPr>
        <w:t xml:space="preserve"> </w:t>
      </w:r>
      <w:r>
        <w:rPr>
          <w:rFonts w:ascii="Times New Roman" w:hAnsi="Times New Roman"/>
          <w:i/>
          <w:iCs/>
          <w:sz w:val="18"/>
        </w:rPr>
        <w:t>The Official Gazette of the Republic of Serbia</w:t>
      </w:r>
      <w:r>
        <w:rPr>
          <w:rFonts w:ascii="Times New Roman" w:hAnsi="Times New Roman"/>
          <w:sz w:val="18"/>
        </w:rPr>
        <w:t>, Nos. 18/2005, 81/2005 - corr. and 47/2018</w:t>
      </w:r>
    </w:p>
  </w:footnote>
  <w:footnote w:id="45">
    <w:p w14:paraId="16CF859A" w14:textId="77777777" w:rsidR="00547610" w:rsidRPr="00495DF3" w:rsidRDefault="00547610" w:rsidP="00DC2FFD">
      <w:pPr>
        <w:pStyle w:val="FootnoteText"/>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rPr>
        <w:t xml:space="preserve"> </w:t>
      </w:r>
      <w:r>
        <w:rPr>
          <w:rFonts w:ascii="Times New Roman" w:hAnsi="Times New Roman"/>
          <w:i/>
          <w:iCs/>
          <w:sz w:val="18"/>
        </w:rPr>
        <w:t>The Official Gazette of the Republic of Serbia</w:t>
      </w:r>
      <w:r>
        <w:rPr>
          <w:rFonts w:ascii="Times New Roman" w:hAnsi="Times New Roman"/>
          <w:sz w:val="18"/>
        </w:rPr>
        <w:t>, Nos. 113/2017, 95/2018, 86/2019, 157/2020 and 123/2021</w:t>
      </w:r>
    </w:p>
  </w:footnote>
  <w:footnote w:id="46">
    <w:p w14:paraId="32451846" w14:textId="77777777" w:rsidR="00547610" w:rsidRPr="00356178" w:rsidRDefault="00547610" w:rsidP="00DC2FFD">
      <w:pPr>
        <w:pStyle w:val="FootnoteText"/>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rPr>
        <w:t xml:space="preserve"> </w:t>
      </w:r>
      <w:r>
        <w:rPr>
          <w:rFonts w:ascii="Times New Roman" w:hAnsi="Times New Roman"/>
          <w:i/>
          <w:iCs/>
          <w:sz w:val="18"/>
        </w:rPr>
        <w:t>The Official Gazette of the Republic of Serbia</w:t>
      </w:r>
      <w:r>
        <w:rPr>
          <w:rFonts w:ascii="Times New Roman" w:hAnsi="Times New Roman"/>
          <w:sz w:val="18"/>
        </w:rPr>
        <w:t>, Nos. 95/2018 and 91/2019</w:t>
      </w:r>
    </w:p>
  </w:footnote>
  <w:footnote w:id="47">
    <w:p w14:paraId="1FC0F92B" w14:textId="77777777" w:rsidR="00547610" w:rsidRPr="001710B3" w:rsidRDefault="00547610" w:rsidP="00DC2FFD">
      <w:pPr>
        <w:pStyle w:val="FootnoteText"/>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rPr>
        <w:t xml:space="preserve"> </w:t>
      </w:r>
      <w:r>
        <w:rPr>
          <w:rFonts w:ascii="Times New Roman" w:hAnsi="Times New Roman"/>
          <w:i/>
          <w:iCs/>
          <w:sz w:val="18"/>
        </w:rPr>
        <w:t>The Official Gazette of the Republic of Serbia</w:t>
      </w:r>
      <w:r>
        <w:rPr>
          <w:rFonts w:ascii="Times New Roman" w:hAnsi="Times New Roman"/>
          <w:sz w:val="18"/>
        </w:rPr>
        <w:t>, Nos. 21/2016, 113/2017, 95/2018 and 113/2017 - as amended</w:t>
      </w:r>
    </w:p>
  </w:footnote>
  <w:footnote w:id="48">
    <w:p w14:paraId="4923A1E4" w14:textId="77777777" w:rsidR="00547610" w:rsidRPr="00E019A6" w:rsidRDefault="00547610" w:rsidP="00DC2FFD">
      <w:pPr>
        <w:pStyle w:val="FootnoteText"/>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rPr>
        <w:t xml:space="preserve"> </w:t>
      </w:r>
      <w:hyperlink r:id="rId21" w:history="1">
        <w:r>
          <w:rPr>
            <w:rStyle w:val="Hyperlink"/>
            <w:rFonts w:ascii="Times New Roman" w:hAnsi="Times New Roman"/>
            <w:sz w:val="18"/>
          </w:rPr>
          <w:t>https://unece.org/DAM/stats/publications/2015/ECECES41_EN.pdf</w:t>
        </w:r>
      </w:hyperlink>
      <w:r>
        <w:rPr>
          <w:rFonts w:ascii="Times New Roman" w:hAnsi="Times New Roman"/>
          <w:sz w:val="18"/>
        </w:rPr>
        <w:t xml:space="preserve"> </w:t>
      </w:r>
    </w:p>
  </w:footnote>
  <w:footnote w:id="49">
    <w:p w14:paraId="7706754D" w14:textId="77777777" w:rsidR="00547610" w:rsidRPr="00FC6147" w:rsidRDefault="00547610" w:rsidP="00DC2FFD">
      <w:pPr>
        <w:pStyle w:val="FootnoteText"/>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rPr>
        <w:t xml:space="preserve"> </w:t>
      </w:r>
      <w:r>
        <w:rPr>
          <w:rFonts w:ascii="Times New Roman" w:hAnsi="Times New Roman"/>
          <w:i/>
          <w:iCs/>
          <w:sz w:val="18"/>
        </w:rPr>
        <w:t>The Official Gazette of the Republic of Serbia</w:t>
      </w:r>
      <w:r>
        <w:rPr>
          <w:rFonts w:ascii="Times New Roman" w:hAnsi="Times New Roman"/>
          <w:sz w:val="18"/>
        </w:rPr>
        <w:t>, Nos. 9/2020 and 35/2021</w:t>
      </w:r>
    </w:p>
  </w:footnote>
  <w:footnote w:id="50">
    <w:p w14:paraId="4DCF0422" w14:textId="77777777" w:rsidR="00547610" w:rsidRPr="00372E6C" w:rsidRDefault="00547610" w:rsidP="00DC2FFD">
      <w:pPr>
        <w:pStyle w:val="FootnoteText"/>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rPr>
        <w:t xml:space="preserve"> </w:t>
      </w:r>
      <w:r>
        <w:rPr>
          <w:rFonts w:ascii="Times New Roman" w:hAnsi="Times New Roman"/>
          <w:i/>
          <w:iCs/>
          <w:sz w:val="18"/>
        </w:rPr>
        <w:t>The Official Gazette of the Republic of Serbia</w:t>
      </w:r>
      <w:r>
        <w:rPr>
          <w:rFonts w:ascii="Times New Roman" w:hAnsi="Times New Roman"/>
          <w:sz w:val="18"/>
        </w:rPr>
        <w:t>, Nos. 36/2006</w:t>
      </w:r>
    </w:p>
  </w:footnote>
  <w:footnote w:id="51">
    <w:p w14:paraId="19DE5B41" w14:textId="77777777" w:rsidR="00547610" w:rsidRPr="00D87FC8" w:rsidRDefault="00547610" w:rsidP="00DC2FFD">
      <w:pPr>
        <w:pStyle w:val="FootnoteText"/>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rPr>
        <w:t xml:space="preserve"> </w:t>
      </w:r>
      <w:r>
        <w:rPr>
          <w:rFonts w:ascii="Times New Roman" w:hAnsi="Times New Roman"/>
          <w:i/>
          <w:iCs/>
          <w:sz w:val="18"/>
        </w:rPr>
        <w:t>The Official Gazette of the Republic of Serbia</w:t>
      </w:r>
      <w:r>
        <w:rPr>
          <w:rFonts w:ascii="Times New Roman" w:hAnsi="Times New Roman"/>
          <w:sz w:val="18"/>
        </w:rPr>
        <w:t xml:space="preserve">, Nos. 85/2005, 88/2005 - corr., 107/2005 - corr., 72/2009, 111/2009, 121/2012, 104/2013, 108/2014, 94/2016 and 35/2019 </w:t>
      </w:r>
    </w:p>
  </w:footnote>
  <w:footnote w:id="52">
    <w:p w14:paraId="025F8A5C" w14:textId="77777777" w:rsidR="00547610" w:rsidRDefault="00547610" w:rsidP="00DC2FFD">
      <w:pPr>
        <w:pStyle w:val="FootnoteText"/>
      </w:pPr>
      <w:r>
        <w:rPr>
          <w:rStyle w:val="FootnoteReference"/>
          <w:rFonts w:ascii="Times New Roman" w:hAnsi="Times New Roman"/>
          <w:sz w:val="18"/>
          <w:szCs w:val="18"/>
        </w:rPr>
        <w:footnoteRef/>
      </w:r>
      <w:r>
        <w:rPr>
          <w:rFonts w:ascii="Times New Roman" w:hAnsi="Times New Roman"/>
          <w:sz w:val="18"/>
        </w:rPr>
        <w:t xml:space="preserve"> </w:t>
      </w:r>
      <w:r>
        <w:rPr>
          <w:rFonts w:ascii="Times New Roman" w:hAnsi="Times New Roman"/>
          <w:i/>
          <w:iCs/>
          <w:sz w:val="18"/>
        </w:rPr>
        <w:t>The Official Gazette of the Republic of Serbia</w:t>
      </w:r>
      <w:r>
        <w:rPr>
          <w:rFonts w:ascii="Times New Roman" w:hAnsi="Times New Roman"/>
          <w:sz w:val="18"/>
        </w:rPr>
        <w:t>, Nos. 84/2004, 86/2004 - as amended, 61/2005, 61/2007, 93/2012, 108/2013, 6/2014 – adjusted dinar amount, 68/2014 - as amended, 142/2014, 5/2015 - adjusted dinar amount, 83/2015, 5/2016 - adjusted dinar amount, 108/2016, 7/2017 - adjusted dinar amount, 113/2017, 13/2018 - adjusted dinar amount, 30/2018, 4/2019 - adjusted dinar amount., 72/2019, 8/2020 - adjusted dinar amount and 153/2020</w:t>
      </w:r>
    </w:p>
  </w:footnote>
  <w:footnote w:id="53">
    <w:p w14:paraId="264B9250" w14:textId="77777777" w:rsidR="00547610" w:rsidRPr="00FE5CA3" w:rsidRDefault="00547610" w:rsidP="00DC2FFD">
      <w:pPr>
        <w:pStyle w:val="FootnoteText"/>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rPr>
        <w:t xml:space="preserve"> Project of the .Journalists’ Association of Serbia, co-financed from the budget of the Republic of Serbia and the Provincial Secretariat for Culture, Public Information and Relations with Religious Communities.</w:t>
      </w:r>
    </w:p>
  </w:footnote>
  <w:footnote w:id="54">
    <w:p w14:paraId="3C38C4F5" w14:textId="77777777" w:rsidR="00547610" w:rsidRPr="009460C5" w:rsidRDefault="00547610" w:rsidP="00DC2FFD">
      <w:pPr>
        <w:pStyle w:val="FootnoteText"/>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rPr>
        <w:t xml:space="preserve"> The full survey, with the main conclusions of the survey presented in the languages of national minorities (Croatian, </w:t>
      </w:r>
      <w:proofErr w:type="spellStart"/>
      <w:r>
        <w:rPr>
          <w:rFonts w:ascii="Times New Roman" w:hAnsi="Times New Roman"/>
          <w:sz w:val="18"/>
        </w:rPr>
        <w:t>Ruthenian</w:t>
      </w:r>
      <w:proofErr w:type="spellEnd"/>
      <w:r>
        <w:rPr>
          <w:rFonts w:ascii="Times New Roman" w:hAnsi="Times New Roman"/>
          <w:sz w:val="18"/>
        </w:rPr>
        <w:t>, Czech, Slovak, Romanian, Bulgarian, Albanian, Hungarian and Roma) are published on the website of the Journalists’ Association of Serbia.</w:t>
      </w:r>
      <w:hyperlink r:id="rId22" w:history="1">
        <w:r>
          <w:rPr>
            <w:rStyle w:val="Hyperlink"/>
            <w:rFonts w:ascii="Times New Roman" w:hAnsi="Times New Roman"/>
            <w:sz w:val="18"/>
          </w:rPr>
          <w:t>https://www.uns.org.rs/sr/desk/Privatizacija/71991/polozaj-privatizovanih-manjinskih-medija-nije-se-znacajno-menjao-od-2016-godine-.html</w:t>
        </w:r>
      </w:hyperlink>
      <w:r>
        <w:rPr>
          <w:rFonts w:ascii="Times New Roman" w:hAnsi="Times New Roman"/>
          <w:sz w:val="18"/>
        </w:rPr>
        <w:t xml:space="preserve"> </w:t>
      </w:r>
    </w:p>
  </w:footnote>
  <w:footnote w:id="55">
    <w:p w14:paraId="68E8B6D4" w14:textId="77777777" w:rsidR="00547610" w:rsidRPr="009460C5" w:rsidRDefault="00547610" w:rsidP="00DC2FFD">
      <w:pPr>
        <w:pStyle w:val="FootnoteText"/>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rPr>
        <w:t xml:space="preserve"> </w:t>
      </w:r>
      <w:hyperlink r:id="rId23" w:history="1">
        <w:r>
          <w:rPr>
            <w:rStyle w:val="Hyperlink"/>
            <w:rFonts w:ascii="Times New Roman" w:hAnsi="Times New Roman"/>
            <w:sz w:val="18"/>
          </w:rPr>
          <w:t>https://www.osce.org/files/f/documents/5/a/473682.pdf</w:t>
        </w:r>
      </w:hyperlink>
      <w:r>
        <w:rPr>
          <w:rFonts w:ascii="Times New Roman" w:hAnsi="Times New Roman"/>
          <w:sz w:val="18"/>
        </w:rPr>
        <w:t xml:space="preserve"> </w:t>
      </w:r>
    </w:p>
  </w:footnote>
  <w:footnote w:id="56">
    <w:p w14:paraId="42BADC53" w14:textId="77777777" w:rsidR="00547610" w:rsidRPr="00EB7AF6" w:rsidRDefault="00547610" w:rsidP="00DC2FFD">
      <w:pPr>
        <w:pStyle w:val="FootnoteText"/>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rPr>
        <w:t xml:space="preserve"> A statistical and visual overview of the data (charts, maps etc.) obtained in surveys created by the media expert </w:t>
      </w:r>
      <w:proofErr w:type="spellStart"/>
      <w:r>
        <w:rPr>
          <w:rFonts w:ascii="Times New Roman" w:hAnsi="Times New Roman"/>
          <w:sz w:val="18"/>
        </w:rPr>
        <w:t>Nedim</w:t>
      </w:r>
      <w:proofErr w:type="spellEnd"/>
      <w:r>
        <w:rPr>
          <w:rFonts w:ascii="Times New Roman" w:hAnsi="Times New Roman"/>
          <w:sz w:val="18"/>
        </w:rPr>
        <w:t xml:space="preserve"> </w:t>
      </w:r>
      <w:proofErr w:type="spellStart"/>
      <w:r>
        <w:rPr>
          <w:rFonts w:ascii="Times New Roman" w:hAnsi="Times New Roman"/>
          <w:sz w:val="18"/>
        </w:rPr>
        <w:t>Sejdinović</w:t>
      </w:r>
      <w:proofErr w:type="spellEnd"/>
      <w:r>
        <w:rPr>
          <w:rFonts w:ascii="Times New Roman" w:hAnsi="Times New Roman"/>
          <w:sz w:val="18"/>
        </w:rPr>
        <w:t xml:space="preserve"> and the Institute for Sustainable Communities are available at: </w:t>
      </w:r>
      <w:hyperlink r:id="rId24" w:history="1">
        <w:r>
          <w:rPr>
            <w:rStyle w:val="Hyperlink"/>
            <w:rFonts w:ascii="Times New Roman" w:hAnsi="Times New Roman"/>
            <w:sz w:val="18"/>
          </w:rPr>
          <w:t>https://tixwitchy.shinyapps.io/minority_media/</w:t>
        </w:r>
      </w:hyperlink>
      <w:r>
        <w:rPr>
          <w:rFonts w:ascii="Times New Roman" w:hAnsi="Times New Roman"/>
          <w:sz w:val="18"/>
        </w:rPr>
        <w:t xml:space="preserve"> </w:t>
      </w:r>
    </w:p>
  </w:footnote>
  <w:footnote w:id="57">
    <w:p w14:paraId="15A338EB" w14:textId="77777777" w:rsidR="00547610" w:rsidRPr="00EB7AF6" w:rsidRDefault="00547610" w:rsidP="00DC2FFD">
      <w:pPr>
        <w:pStyle w:val="FootnoteText"/>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rPr>
        <w:t xml:space="preserve"> Available at </w:t>
      </w:r>
      <w:hyperlink r:id="rId25" w:history="1">
        <w:r>
          <w:rPr>
            <w:rStyle w:val="Hyperlink"/>
            <w:rFonts w:ascii="Times New Roman" w:hAnsi="Times New Roman"/>
            <w:sz w:val="18"/>
          </w:rPr>
          <w:t>https://projektnosufinansiranjehtmlpublikacija.netlify.app/</w:t>
        </w:r>
      </w:hyperlink>
      <w:r>
        <w:rPr>
          <w:rFonts w:ascii="Times New Roman" w:hAnsi="Times New Roman"/>
          <w:sz w:val="18"/>
        </w:rPr>
        <w:t xml:space="preserve"> and the Open Data Portal of the Republic of Serbia </w:t>
      </w:r>
      <w:hyperlink r:id="rId26" w:history="1">
        <w:r>
          <w:rPr>
            <w:rStyle w:val="Hyperlink"/>
            <w:rFonts w:ascii="Times New Roman" w:hAnsi="Times New Roman"/>
            <w:sz w:val="18"/>
          </w:rPr>
          <w:t>https://data.gov.rs/sr/datasets/rezultati-konkursa-za-projektno-sufinansiranja-medijskikh-sadrzhaja/</w:t>
        </w:r>
      </w:hyperlink>
      <w:r>
        <w:rPr>
          <w:rFonts w:ascii="Times New Roman" w:hAnsi="Times New Roman"/>
          <w:sz w:val="18"/>
        </w:rPr>
        <w:t xml:space="preserve"> </w:t>
      </w:r>
    </w:p>
  </w:footnote>
  <w:footnote w:id="58">
    <w:p w14:paraId="31CB3DE7" w14:textId="77777777" w:rsidR="00547610" w:rsidRPr="00EB7AF6" w:rsidRDefault="00547610" w:rsidP="00DC2FFD">
      <w:pPr>
        <w:pStyle w:val="FootnoteText"/>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rPr>
        <w:t xml:space="preserve"> </w:t>
      </w:r>
      <w:r>
        <w:rPr>
          <w:rFonts w:ascii="Times New Roman" w:hAnsi="Times New Roman"/>
          <w:i/>
          <w:iCs/>
          <w:sz w:val="18"/>
        </w:rPr>
        <w:t>Official Gazette of the Republic of Serbia</w:t>
      </w:r>
      <w:r>
        <w:rPr>
          <w:rFonts w:ascii="Times New Roman" w:hAnsi="Times New Roman"/>
          <w:sz w:val="18"/>
        </w:rPr>
        <w:t>, No. 148/2020.</w:t>
      </w:r>
    </w:p>
  </w:footnote>
  <w:footnote w:id="59">
    <w:p w14:paraId="5D12990A" w14:textId="77777777" w:rsidR="00547610" w:rsidRPr="00D61022" w:rsidRDefault="00547610" w:rsidP="00DC2FFD">
      <w:pPr>
        <w:pStyle w:val="FootnoteText"/>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rPr>
        <w:t xml:space="preserve"> </w:t>
      </w:r>
      <w:hyperlink r:id="rId27" w:history="1">
        <w:r>
          <w:rPr>
            <w:rStyle w:val="Hyperlink"/>
            <w:rFonts w:ascii="Times New Roman" w:hAnsi="Times New Roman"/>
            <w:sz w:val="18"/>
          </w:rPr>
          <w:t>http://www.puma.vojvodina.gov.rs/sluzbeno_jezik/glavnalist.php</w:t>
        </w:r>
      </w:hyperlink>
      <w:r>
        <w:rPr>
          <w:rFonts w:ascii="Times New Roman" w:hAnsi="Times New Roman"/>
          <w:sz w:val="18"/>
        </w:rPr>
        <w:t xml:space="preserve"> </w:t>
      </w:r>
    </w:p>
  </w:footnote>
  <w:footnote w:id="60">
    <w:p w14:paraId="3BCF4E13" w14:textId="77777777" w:rsidR="00547610" w:rsidRPr="00287C0A" w:rsidRDefault="00547610" w:rsidP="000D2712">
      <w:pPr>
        <w:pStyle w:val="FootnoteText"/>
        <w:rPr>
          <w:rFonts w:ascii="Times New Roman" w:hAnsi="Times New Roman"/>
          <w:lang w:val="sr-Cyrl-RS"/>
        </w:rPr>
      </w:pPr>
      <w:r w:rsidRPr="00287C0A">
        <w:rPr>
          <w:rStyle w:val="FootnoteReference"/>
          <w:rFonts w:ascii="Times New Roman" w:hAnsi="Times New Roman"/>
        </w:rPr>
        <w:footnoteRef/>
      </w:r>
      <w:r w:rsidRPr="00287C0A">
        <w:rPr>
          <w:rFonts w:ascii="Times New Roman" w:hAnsi="Times New Roman"/>
        </w:rPr>
        <w:t xml:space="preserve"> </w:t>
      </w:r>
      <w:r>
        <w:rPr>
          <w:rFonts w:ascii="Times New Roman" w:hAnsi="Times New Roman"/>
          <w:i/>
          <w:lang w:val="en-GB"/>
        </w:rPr>
        <w:t>The Official Gazette of the Republic of Serbia</w:t>
      </w:r>
      <w:r w:rsidRPr="00287C0A">
        <w:rPr>
          <w:rFonts w:ascii="Times New Roman" w:hAnsi="Times New Roman"/>
        </w:rPr>
        <w:t xml:space="preserve">, </w:t>
      </w:r>
      <w:r>
        <w:rPr>
          <w:rFonts w:ascii="Times New Roman" w:hAnsi="Times New Roman"/>
          <w:lang w:val="en-GB"/>
        </w:rPr>
        <w:t>No.</w:t>
      </w:r>
      <w:r w:rsidRPr="00287C0A">
        <w:rPr>
          <w:rFonts w:ascii="Times New Roman" w:hAnsi="Times New Roman"/>
        </w:rPr>
        <w:t xml:space="preserve"> 104</w:t>
      </w:r>
      <w:r>
        <w:rPr>
          <w:rFonts w:ascii="Times New Roman" w:hAnsi="Times New Roman"/>
          <w:lang w:val="sr-Cyrl-RS"/>
        </w:rPr>
        <w:t>/</w:t>
      </w:r>
      <w:r w:rsidRPr="00287C0A">
        <w:rPr>
          <w:rFonts w:ascii="Times New Roman" w:hAnsi="Times New Roman"/>
        </w:rPr>
        <w:t xml:space="preserve"> 2018</w:t>
      </w:r>
    </w:p>
  </w:footnote>
  <w:footnote w:id="61">
    <w:p w14:paraId="1AF2F6C3" w14:textId="77777777" w:rsidR="00547610" w:rsidRPr="00860EF0" w:rsidRDefault="00547610" w:rsidP="00B32265">
      <w:pPr>
        <w:pStyle w:val="FootnoteText"/>
        <w:rPr>
          <w:rFonts w:ascii="Times New Roman" w:hAnsi="Times New Roman"/>
          <w:lang w:val="en-GB"/>
        </w:rPr>
      </w:pPr>
      <w:r w:rsidRPr="00287C0A">
        <w:rPr>
          <w:rStyle w:val="FootnoteReference"/>
          <w:rFonts w:ascii="Times New Roman" w:hAnsi="Times New Roman"/>
        </w:rPr>
        <w:footnoteRef/>
      </w:r>
      <w:r w:rsidRPr="00287C0A">
        <w:rPr>
          <w:rFonts w:ascii="Times New Roman" w:hAnsi="Times New Roman"/>
        </w:rPr>
        <w:t xml:space="preserve"> </w:t>
      </w:r>
      <w:r>
        <w:rPr>
          <w:rFonts w:ascii="Times New Roman" w:hAnsi="Times New Roman"/>
          <w:i/>
          <w:lang w:val="en-GB"/>
        </w:rPr>
        <w:t>The Official Gazette of the Republic of Serbia</w:t>
      </w:r>
      <w:r w:rsidRPr="00287C0A">
        <w:rPr>
          <w:rFonts w:ascii="Times New Roman" w:hAnsi="Times New Roman"/>
        </w:rPr>
        <w:t xml:space="preserve">, </w:t>
      </w:r>
      <w:r>
        <w:rPr>
          <w:rFonts w:ascii="Times New Roman" w:hAnsi="Times New Roman"/>
          <w:lang w:val="en-GB"/>
        </w:rPr>
        <w:t>Nos</w:t>
      </w:r>
      <w:r w:rsidRPr="00287C0A">
        <w:rPr>
          <w:rFonts w:ascii="Times New Roman" w:hAnsi="Times New Roman"/>
        </w:rPr>
        <w:t xml:space="preserve">. 68/2010 </w:t>
      </w:r>
      <w:r>
        <w:rPr>
          <w:rFonts w:ascii="Times New Roman" w:hAnsi="Times New Roman"/>
          <w:lang w:val="en-GB"/>
        </w:rPr>
        <w:t>and</w:t>
      </w:r>
      <w:r w:rsidRPr="00287C0A">
        <w:rPr>
          <w:rFonts w:ascii="Times New Roman" w:hAnsi="Times New Roman"/>
        </w:rPr>
        <w:t xml:space="preserve"> 10/2022 </w:t>
      </w:r>
      <w:r>
        <w:rPr>
          <w:rFonts w:ascii="Times New Roman" w:hAnsi="Times New Roman"/>
        </w:rPr>
        <w:t>–</w:t>
      </w:r>
      <w:r w:rsidRPr="00287C0A">
        <w:rPr>
          <w:rFonts w:ascii="Times New Roman" w:hAnsi="Times New Roman"/>
        </w:rPr>
        <w:t xml:space="preserve"> </w:t>
      </w:r>
      <w:r>
        <w:rPr>
          <w:rFonts w:ascii="Times New Roman" w:hAnsi="Times New Roman"/>
          <w:lang w:val="en-GB"/>
        </w:rPr>
        <w:t>other instructions</w:t>
      </w:r>
    </w:p>
  </w:footnote>
  <w:footnote w:id="62">
    <w:p w14:paraId="75F151BB" w14:textId="77777777" w:rsidR="00547610" w:rsidRPr="001F38D8" w:rsidRDefault="00547610" w:rsidP="006A6C4F">
      <w:pPr>
        <w:pStyle w:val="FootnoteText"/>
        <w:rPr>
          <w:rFonts w:ascii="Times New Roman" w:hAnsi="Times New Roman"/>
          <w:sz w:val="18"/>
          <w:szCs w:val="18"/>
          <w:lang w:val="sr-Cyrl-RS"/>
        </w:rPr>
      </w:pPr>
      <w:r w:rsidRPr="001F38D8">
        <w:rPr>
          <w:rStyle w:val="FootnoteReference"/>
          <w:rFonts w:ascii="Times New Roman" w:hAnsi="Times New Roman"/>
          <w:sz w:val="18"/>
          <w:szCs w:val="18"/>
        </w:rPr>
        <w:footnoteRef/>
      </w:r>
      <w:r w:rsidRPr="001F38D8">
        <w:rPr>
          <w:rFonts w:ascii="Times New Roman" w:hAnsi="Times New Roman"/>
          <w:sz w:val="18"/>
          <w:szCs w:val="18"/>
        </w:rPr>
        <w:t xml:space="preserve"> </w:t>
      </w:r>
      <w:hyperlink r:id="rId28" w:history="1">
        <w:r w:rsidRPr="001F38D8">
          <w:rPr>
            <w:rStyle w:val="Hyperlink"/>
            <w:rFonts w:ascii="Times New Roman" w:hAnsi="Times New Roman"/>
            <w:sz w:val="18"/>
            <w:szCs w:val="18"/>
          </w:rPr>
          <w:t>https://www.pravamanjina.rs/images/Uvod_u_ostvarivanje_prava_na_slu%C5%BEbenu_upotrebu_jezika_i_pisama_nacionalnih_manjina_Mar_2019.pdf</w:t>
        </w:r>
      </w:hyperlink>
      <w:r w:rsidRPr="001F38D8">
        <w:rPr>
          <w:rFonts w:ascii="Times New Roman" w:hAnsi="Times New Roman"/>
          <w:sz w:val="18"/>
          <w:szCs w:val="18"/>
          <w:lang w:val="sr-Cyrl-RS"/>
        </w:rPr>
        <w:t xml:space="preserve"> </w:t>
      </w:r>
    </w:p>
  </w:footnote>
  <w:footnote w:id="63">
    <w:p w14:paraId="45D96A4B" w14:textId="77777777" w:rsidR="00547610" w:rsidRPr="00D836DD" w:rsidRDefault="00547610" w:rsidP="00112D92">
      <w:pPr>
        <w:pStyle w:val="FootnoteText"/>
        <w:rPr>
          <w:rFonts w:ascii="Times New Roman" w:hAnsi="Times New Roman"/>
          <w:sz w:val="18"/>
          <w:szCs w:val="18"/>
          <w:lang w:val="sr-Cyrl-RS"/>
        </w:rPr>
      </w:pPr>
      <w:r w:rsidRPr="00D836DD">
        <w:rPr>
          <w:rStyle w:val="FootnoteReference"/>
          <w:rFonts w:ascii="Times New Roman" w:hAnsi="Times New Roman"/>
          <w:sz w:val="18"/>
          <w:szCs w:val="18"/>
        </w:rPr>
        <w:footnoteRef/>
      </w:r>
      <w:r w:rsidRPr="00D836DD">
        <w:rPr>
          <w:rFonts w:ascii="Times New Roman" w:hAnsi="Times New Roman"/>
          <w:sz w:val="18"/>
          <w:szCs w:val="18"/>
        </w:rPr>
        <w:t xml:space="preserve"> </w:t>
      </w:r>
      <w:hyperlink r:id="rId29" w:history="1">
        <w:r w:rsidRPr="00D836DD">
          <w:rPr>
            <w:rStyle w:val="Hyperlink"/>
            <w:rFonts w:ascii="Times New Roman" w:hAnsi="Times New Roman"/>
            <w:sz w:val="18"/>
            <w:szCs w:val="18"/>
          </w:rPr>
          <w:t>https://www.ombudsman.rs/index.php/izvestaji/posebnii-izvestaji</w:t>
        </w:r>
      </w:hyperlink>
      <w:r w:rsidRPr="00D836DD">
        <w:rPr>
          <w:rFonts w:ascii="Times New Roman" w:hAnsi="Times New Roman"/>
          <w:sz w:val="18"/>
          <w:szCs w:val="18"/>
          <w:lang w:val="sr-Cyrl-RS"/>
        </w:rPr>
        <w:t xml:space="preserve"> </w:t>
      </w:r>
    </w:p>
  </w:footnote>
  <w:footnote w:id="64">
    <w:p w14:paraId="40CFA6B9" w14:textId="77777777" w:rsidR="00547610" w:rsidRPr="004A2642" w:rsidRDefault="00547610" w:rsidP="00D20031">
      <w:pPr>
        <w:pStyle w:val="FootnoteText"/>
        <w:rPr>
          <w:rFonts w:ascii="Times New Roman" w:hAnsi="Times New Roman"/>
          <w:sz w:val="18"/>
          <w:szCs w:val="18"/>
          <w:lang w:val="sr-Cyrl-RS"/>
        </w:rPr>
      </w:pPr>
      <w:r w:rsidRPr="004A2642">
        <w:rPr>
          <w:rStyle w:val="FootnoteReference"/>
          <w:rFonts w:ascii="Times New Roman" w:hAnsi="Times New Roman"/>
          <w:sz w:val="18"/>
          <w:szCs w:val="18"/>
        </w:rPr>
        <w:footnoteRef/>
      </w:r>
      <w:r w:rsidRPr="004A2642">
        <w:rPr>
          <w:rFonts w:ascii="Times New Roman" w:hAnsi="Times New Roman"/>
          <w:sz w:val="18"/>
          <w:szCs w:val="18"/>
        </w:rPr>
        <w:t xml:space="preserve"> </w:t>
      </w:r>
      <w:hyperlink r:id="rId30" w:history="1">
        <w:r w:rsidRPr="004A2642">
          <w:rPr>
            <w:rStyle w:val="Hyperlink"/>
            <w:rFonts w:ascii="Times New Roman" w:hAnsi="Times New Roman"/>
            <w:sz w:val="18"/>
            <w:szCs w:val="18"/>
          </w:rPr>
          <w:t>https://www.ombudsmanapv.org/riv/attachments/article/2131/Istrazivanje_sluz_upotreba_jezika_2018-finall.pdf</w:t>
        </w:r>
      </w:hyperlink>
      <w:r w:rsidRPr="004A2642">
        <w:rPr>
          <w:rFonts w:ascii="Times New Roman" w:hAnsi="Times New Roman"/>
          <w:sz w:val="18"/>
          <w:szCs w:val="18"/>
          <w:lang w:val="sr-Cyrl-RS"/>
        </w:rPr>
        <w:t xml:space="preserve"> </w:t>
      </w:r>
    </w:p>
  </w:footnote>
  <w:footnote w:id="65">
    <w:p w14:paraId="793BDB20" w14:textId="77777777" w:rsidR="00547610" w:rsidRPr="004A2642" w:rsidRDefault="00547610" w:rsidP="00D20031">
      <w:pPr>
        <w:pStyle w:val="FootnoteText"/>
        <w:rPr>
          <w:rFonts w:ascii="Times New Roman" w:hAnsi="Times New Roman"/>
          <w:sz w:val="18"/>
          <w:szCs w:val="18"/>
          <w:lang w:val="sr-Cyrl-RS"/>
        </w:rPr>
      </w:pPr>
      <w:r w:rsidRPr="004A2642">
        <w:rPr>
          <w:rStyle w:val="FootnoteReference"/>
          <w:rFonts w:ascii="Times New Roman" w:hAnsi="Times New Roman"/>
          <w:sz w:val="18"/>
          <w:szCs w:val="18"/>
        </w:rPr>
        <w:footnoteRef/>
      </w:r>
      <w:r w:rsidRPr="004A2642">
        <w:rPr>
          <w:rFonts w:ascii="Times New Roman" w:hAnsi="Times New Roman"/>
          <w:sz w:val="18"/>
          <w:szCs w:val="18"/>
        </w:rPr>
        <w:t xml:space="preserve"> </w:t>
      </w:r>
      <w:hyperlink r:id="rId31" w:history="1">
        <w:r w:rsidRPr="004A2642">
          <w:rPr>
            <w:rStyle w:val="Hyperlink"/>
            <w:rFonts w:ascii="Times New Roman" w:hAnsi="Times New Roman"/>
            <w:sz w:val="18"/>
            <w:szCs w:val="18"/>
          </w:rPr>
          <w:t>https://www.osce.org/files/f/documents/7/a/461806.pdf</w:t>
        </w:r>
      </w:hyperlink>
      <w:r w:rsidRPr="004A2642">
        <w:rPr>
          <w:rFonts w:ascii="Times New Roman" w:hAnsi="Times New Roman"/>
          <w:sz w:val="18"/>
          <w:szCs w:val="18"/>
          <w:lang w:val="sr-Cyrl-RS"/>
        </w:rPr>
        <w:t xml:space="preserve"> </w:t>
      </w:r>
    </w:p>
  </w:footnote>
  <w:footnote w:id="66">
    <w:p w14:paraId="08524540" w14:textId="77777777" w:rsidR="00547610" w:rsidRPr="006D4E3D" w:rsidRDefault="00547610" w:rsidP="00195F53">
      <w:pPr>
        <w:pStyle w:val="FootnoteText"/>
        <w:rPr>
          <w:rFonts w:ascii="Times New Roman" w:hAnsi="Times New Roman"/>
          <w:sz w:val="18"/>
          <w:szCs w:val="18"/>
          <w:lang w:val="sr-Cyrl-RS"/>
        </w:rPr>
      </w:pPr>
      <w:r w:rsidRPr="006D4E3D">
        <w:rPr>
          <w:rStyle w:val="FootnoteReference"/>
          <w:rFonts w:ascii="Times New Roman" w:hAnsi="Times New Roman"/>
          <w:sz w:val="18"/>
          <w:szCs w:val="18"/>
        </w:rPr>
        <w:footnoteRef/>
      </w:r>
      <w:r w:rsidRPr="006D4E3D">
        <w:rPr>
          <w:rFonts w:ascii="Times New Roman" w:hAnsi="Times New Roman"/>
          <w:sz w:val="18"/>
          <w:szCs w:val="18"/>
        </w:rPr>
        <w:t xml:space="preserve"> </w:t>
      </w:r>
      <w:r w:rsidRPr="006D4E3D">
        <w:rPr>
          <w:rFonts w:ascii="Times New Roman" w:hAnsi="Times New Roman"/>
          <w:i/>
          <w:sz w:val="18"/>
          <w:szCs w:val="18"/>
          <w:lang w:val="en-GB"/>
        </w:rPr>
        <w:t>The Official Gazette of the Republic of Serbia</w:t>
      </w:r>
      <w:r w:rsidRPr="006D4E3D">
        <w:rPr>
          <w:rFonts w:ascii="Times New Roman" w:hAnsi="Times New Roman"/>
          <w:sz w:val="18"/>
          <w:szCs w:val="18"/>
          <w:lang w:val="en-GB"/>
        </w:rPr>
        <w:t>, No</w:t>
      </w:r>
      <w:r w:rsidRPr="006D4E3D">
        <w:rPr>
          <w:rFonts w:ascii="Times New Roman" w:hAnsi="Times New Roman"/>
          <w:sz w:val="18"/>
          <w:szCs w:val="18"/>
        </w:rPr>
        <w:t xml:space="preserve">. 72/2009, 20/2014 – </w:t>
      </w:r>
      <w:r w:rsidRPr="006D4E3D">
        <w:rPr>
          <w:rFonts w:ascii="Times New Roman" w:hAnsi="Times New Roman"/>
          <w:sz w:val="18"/>
          <w:szCs w:val="18"/>
          <w:lang w:val="en-GB"/>
        </w:rPr>
        <w:t>decision of the Constitutional Court</w:t>
      </w:r>
      <w:r w:rsidRPr="006D4E3D">
        <w:rPr>
          <w:rFonts w:ascii="Times New Roman" w:hAnsi="Times New Roman"/>
          <w:sz w:val="18"/>
          <w:szCs w:val="18"/>
        </w:rPr>
        <w:t xml:space="preserve">, 55/2014 </w:t>
      </w:r>
      <w:r w:rsidRPr="006D4E3D">
        <w:rPr>
          <w:rFonts w:ascii="Times New Roman" w:hAnsi="Times New Roman"/>
          <w:sz w:val="18"/>
          <w:szCs w:val="18"/>
          <w:lang w:val="en-GB"/>
        </w:rPr>
        <w:t>and</w:t>
      </w:r>
      <w:r w:rsidRPr="006D4E3D">
        <w:rPr>
          <w:rFonts w:ascii="Times New Roman" w:hAnsi="Times New Roman"/>
          <w:sz w:val="18"/>
          <w:szCs w:val="18"/>
        </w:rPr>
        <w:t xml:space="preserve"> 47/2018</w:t>
      </w:r>
    </w:p>
  </w:footnote>
  <w:footnote w:id="67">
    <w:p w14:paraId="57376E02" w14:textId="77777777" w:rsidR="00547610" w:rsidRPr="006C6258" w:rsidRDefault="00547610" w:rsidP="00333925">
      <w:pPr>
        <w:pStyle w:val="FootnoteText"/>
        <w:rPr>
          <w:rFonts w:ascii="Times New Roman" w:hAnsi="Times New Roman"/>
          <w:sz w:val="18"/>
          <w:szCs w:val="18"/>
        </w:rPr>
      </w:pPr>
      <w:r w:rsidRPr="006C6258">
        <w:rPr>
          <w:rStyle w:val="FootnoteReference"/>
          <w:rFonts w:ascii="Times New Roman" w:hAnsi="Times New Roman"/>
          <w:sz w:val="18"/>
          <w:szCs w:val="18"/>
        </w:rPr>
        <w:footnoteRef/>
      </w:r>
      <w:r w:rsidRPr="006C6258">
        <w:rPr>
          <w:rFonts w:ascii="Times New Roman" w:hAnsi="Times New Roman"/>
          <w:sz w:val="18"/>
          <w:szCs w:val="18"/>
        </w:rPr>
        <w:t xml:space="preserve"> </w:t>
      </w:r>
      <w:hyperlink r:id="rId32" w:history="1">
        <w:r w:rsidRPr="00D51806">
          <w:rPr>
            <w:rStyle w:val="Hyperlink"/>
            <w:rFonts w:ascii="Times New Roman" w:hAnsi="Times New Roman"/>
            <w:sz w:val="18"/>
            <w:szCs w:val="18"/>
          </w:rPr>
          <w:t>https://zuov.gov.rs/izdanja-zavoda/</w:t>
        </w:r>
      </w:hyperlink>
      <w:r>
        <w:rPr>
          <w:rFonts w:ascii="Times New Roman" w:hAnsi="Times New Roman"/>
          <w:sz w:val="18"/>
          <w:szCs w:val="18"/>
        </w:rPr>
        <w:t xml:space="preserve"> </w:t>
      </w:r>
    </w:p>
  </w:footnote>
  <w:footnote w:id="68">
    <w:p w14:paraId="048420B1" w14:textId="77777777" w:rsidR="00547610" w:rsidRPr="00227E5D" w:rsidRDefault="00547610" w:rsidP="003D65C6">
      <w:pPr>
        <w:pStyle w:val="FootnoteText"/>
        <w:rPr>
          <w:rFonts w:ascii="Times New Roman" w:hAnsi="Times New Roman"/>
          <w:sz w:val="18"/>
          <w:szCs w:val="18"/>
        </w:rPr>
      </w:pPr>
      <w:r w:rsidRPr="00227E5D">
        <w:rPr>
          <w:rStyle w:val="FootnoteReference"/>
          <w:rFonts w:ascii="Times New Roman" w:hAnsi="Times New Roman"/>
          <w:sz w:val="18"/>
          <w:szCs w:val="18"/>
        </w:rPr>
        <w:footnoteRef/>
      </w:r>
      <w:r w:rsidRPr="00227E5D">
        <w:rPr>
          <w:rFonts w:ascii="Times New Roman" w:hAnsi="Times New Roman"/>
          <w:sz w:val="18"/>
          <w:szCs w:val="18"/>
        </w:rPr>
        <w:t xml:space="preserve"> </w:t>
      </w:r>
      <w:hyperlink r:id="rId33" w:history="1">
        <w:r w:rsidRPr="00D51806">
          <w:rPr>
            <w:rStyle w:val="Hyperlink"/>
            <w:rFonts w:ascii="Times New Roman" w:hAnsi="Times New Roman"/>
            <w:sz w:val="18"/>
            <w:szCs w:val="18"/>
          </w:rPr>
          <w:t>https://mojaskola.rtsplaneta.rs/list/772/srpski-kao-nematernji-jezik</w:t>
        </w:r>
      </w:hyperlink>
      <w:r>
        <w:rPr>
          <w:rFonts w:ascii="Times New Roman" w:hAnsi="Times New Roman"/>
          <w:sz w:val="18"/>
          <w:szCs w:val="18"/>
        </w:rPr>
        <w:t xml:space="preserve"> </w:t>
      </w:r>
    </w:p>
  </w:footnote>
  <w:footnote w:id="69">
    <w:p w14:paraId="5BE6D13C" w14:textId="77777777" w:rsidR="00547610" w:rsidRPr="00D56F6D" w:rsidRDefault="00547610" w:rsidP="005F1D79">
      <w:pPr>
        <w:pStyle w:val="FootnoteText"/>
        <w:rPr>
          <w:rFonts w:ascii="Times New Roman" w:hAnsi="Times New Roman"/>
          <w:sz w:val="18"/>
          <w:szCs w:val="18"/>
        </w:rPr>
      </w:pPr>
      <w:r w:rsidRPr="00D56F6D">
        <w:rPr>
          <w:rStyle w:val="FootnoteReference"/>
          <w:rFonts w:ascii="Times New Roman" w:hAnsi="Times New Roman"/>
          <w:sz w:val="18"/>
          <w:szCs w:val="18"/>
        </w:rPr>
        <w:footnoteRef/>
      </w:r>
      <w:r w:rsidRPr="00D56F6D">
        <w:rPr>
          <w:rFonts w:ascii="Times New Roman" w:hAnsi="Times New Roman"/>
          <w:sz w:val="18"/>
          <w:szCs w:val="18"/>
        </w:rPr>
        <w:t xml:space="preserve"> </w:t>
      </w:r>
      <w:hyperlink r:id="rId34" w:history="1">
        <w:r w:rsidRPr="00D51806">
          <w:rPr>
            <w:rStyle w:val="Hyperlink"/>
            <w:rFonts w:ascii="Times New Roman" w:hAnsi="Times New Roman"/>
            <w:sz w:val="18"/>
            <w:szCs w:val="18"/>
          </w:rPr>
          <w:t>http://www.pzv.edu.rs/</w:t>
        </w:r>
      </w:hyperlink>
      <w:r>
        <w:rPr>
          <w:rFonts w:ascii="Times New Roman" w:hAnsi="Times New Roman"/>
          <w:sz w:val="18"/>
          <w:szCs w:val="18"/>
        </w:rPr>
        <w:t xml:space="preserve"> </w:t>
      </w:r>
    </w:p>
  </w:footnote>
  <w:footnote w:id="70">
    <w:p w14:paraId="40F5C7B5" w14:textId="77777777" w:rsidR="00547610" w:rsidRPr="00D34941" w:rsidRDefault="00547610" w:rsidP="007C491F">
      <w:pPr>
        <w:pStyle w:val="FootnoteText"/>
        <w:rPr>
          <w:rFonts w:ascii="Times New Roman" w:hAnsi="Times New Roman"/>
          <w:sz w:val="18"/>
          <w:szCs w:val="18"/>
        </w:rPr>
      </w:pPr>
      <w:r w:rsidRPr="00D34941">
        <w:rPr>
          <w:rStyle w:val="FootnoteReference"/>
          <w:rFonts w:ascii="Times New Roman" w:hAnsi="Times New Roman"/>
          <w:sz w:val="18"/>
          <w:szCs w:val="18"/>
        </w:rPr>
        <w:footnoteRef/>
      </w:r>
      <w:r w:rsidRPr="00D34941">
        <w:rPr>
          <w:rFonts w:ascii="Times New Roman" w:hAnsi="Times New Roman"/>
          <w:sz w:val="18"/>
          <w:szCs w:val="18"/>
        </w:rPr>
        <w:t xml:space="preserve"> </w:t>
      </w:r>
      <w:hyperlink r:id="rId35" w:history="1">
        <w:r w:rsidRPr="00D34941">
          <w:rPr>
            <w:rStyle w:val="Hyperlink"/>
            <w:rFonts w:ascii="Times New Roman" w:hAnsi="Times New Roman"/>
            <w:sz w:val="18"/>
            <w:szCs w:val="18"/>
          </w:rPr>
          <w:t>https://www.ombudsman.rs/attachments/article/6484/POSEBAN%20IZVESTAJ%20ZG%20ANALIZA%20O%20STANJU%20U%20OBLASTI%20VRSENJA%20JAVNIH%20OVLASCENJA.pdf</w:t>
        </w:r>
      </w:hyperlink>
      <w:r w:rsidRPr="00D34941">
        <w:rPr>
          <w:rFonts w:ascii="Times New Roman" w:hAnsi="Times New Roman"/>
          <w:sz w:val="18"/>
          <w:szCs w:val="18"/>
        </w:rPr>
        <w:t xml:space="preserve"> </w:t>
      </w:r>
    </w:p>
  </w:footnote>
  <w:footnote w:id="71">
    <w:p w14:paraId="2FFB4D96" w14:textId="77777777" w:rsidR="00547610" w:rsidRPr="006D4E3D" w:rsidRDefault="00547610" w:rsidP="00BE56D6">
      <w:pPr>
        <w:pStyle w:val="FootnoteText"/>
        <w:rPr>
          <w:sz w:val="18"/>
          <w:szCs w:val="18"/>
          <w:lang w:val="sr-Cyrl-RS"/>
        </w:rPr>
      </w:pPr>
      <w:r w:rsidRPr="006D4E3D">
        <w:rPr>
          <w:rStyle w:val="FootnoteReference"/>
          <w:rFonts w:ascii="Times New Roman" w:hAnsi="Times New Roman"/>
          <w:sz w:val="18"/>
          <w:szCs w:val="18"/>
        </w:rPr>
        <w:footnoteRef/>
      </w:r>
      <w:r w:rsidRPr="006D4E3D">
        <w:rPr>
          <w:rFonts w:ascii="Times New Roman" w:hAnsi="Times New Roman"/>
          <w:sz w:val="18"/>
          <w:szCs w:val="18"/>
        </w:rPr>
        <w:t xml:space="preserve"> </w:t>
      </w:r>
      <w:r w:rsidRPr="006D4E3D">
        <w:rPr>
          <w:rFonts w:ascii="Times New Roman" w:hAnsi="Times New Roman"/>
          <w:i/>
          <w:sz w:val="18"/>
          <w:szCs w:val="18"/>
          <w:lang w:val="en-GB"/>
        </w:rPr>
        <w:t>The Official Gazette of the Republic of Serbia</w:t>
      </w:r>
      <w:r w:rsidRPr="006D4E3D">
        <w:rPr>
          <w:rFonts w:ascii="Times New Roman" w:hAnsi="Times New Roman"/>
          <w:sz w:val="18"/>
          <w:szCs w:val="18"/>
        </w:rPr>
        <w:t>, Nos. 22</w:t>
      </w:r>
      <w:r w:rsidRPr="006D4E3D">
        <w:rPr>
          <w:rFonts w:ascii="Times New Roman" w:hAnsi="Times New Roman"/>
          <w:sz w:val="18"/>
          <w:szCs w:val="18"/>
          <w:lang w:val="sr-Cyrl-RS"/>
        </w:rPr>
        <w:t>/</w:t>
      </w:r>
      <w:r w:rsidRPr="006D4E3D">
        <w:rPr>
          <w:rFonts w:ascii="Times New Roman" w:hAnsi="Times New Roman"/>
          <w:sz w:val="18"/>
          <w:szCs w:val="18"/>
        </w:rPr>
        <w:t>2016</w:t>
      </w:r>
      <w:r w:rsidRPr="006D4E3D">
        <w:rPr>
          <w:rFonts w:ascii="Times New Roman" w:hAnsi="Times New Roman"/>
          <w:sz w:val="18"/>
          <w:szCs w:val="18"/>
          <w:lang w:val="sr-Cyrl-RS"/>
        </w:rPr>
        <w:t xml:space="preserve"> </w:t>
      </w:r>
      <w:r w:rsidRPr="006D4E3D">
        <w:rPr>
          <w:rFonts w:ascii="Times New Roman" w:hAnsi="Times New Roman"/>
          <w:sz w:val="18"/>
          <w:szCs w:val="18"/>
          <w:lang w:val="en-GB"/>
        </w:rPr>
        <w:t>and</w:t>
      </w:r>
      <w:r w:rsidRPr="006D4E3D">
        <w:rPr>
          <w:rFonts w:ascii="Times New Roman" w:hAnsi="Times New Roman"/>
          <w:sz w:val="18"/>
          <w:szCs w:val="18"/>
        </w:rPr>
        <w:t xml:space="preserve"> 53</w:t>
      </w:r>
      <w:r w:rsidRPr="006D4E3D">
        <w:rPr>
          <w:rFonts w:ascii="Times New Roman" w:hAnsi="Times New Roman"/>
          <w:sz w:val="18"/>
          <w:szCs w:val="18"/>
          <w:lang w:val="sr-Cyrl-RS"/>
        </w:rPr>
        <w:t>/</w:t>
      </w:r>
      <w:r w:rsidRPr="006D4E3D">
        <w:rPr>
          <w:rFonts w:ascii="Times New Roman" w:hAnsi="Times New Roman"/>
          <w:sz w:val="18"/>
          <w:szCs w:val="18"/>
        </w:rPr>
        <w:t>2021</w:t>
      </w:r>
    </w:p>
  </w:footnote>
  <w:footnote w:id="72">
    <w:p w14:paraId="56DC3D5F" w14:textId="77777777" w:rsidR="00547610" w:rsidRPr="006D4E3D" w:rsidRDefault="00547610" w:rsidP="002E7B66">
      <w:pPr>
        <w:pStyle w:val="FootnoteText"/>
        <w:rPr>
          <w:rFonts w:ascii="Times New Roman" w:hAnsi="Times New Roman"/>
          <w:sz w:val="18"/>
          <w:szCs w:val="18"/>
          <w:lang w:val="sr-Cyrl-RS"/>
        </w:rPr>
      </w:pPr>
      <w:r w:rsidRPr="006D4E3D">
        <w:rPr>
          <w:rStyle w:val="FootnoteReference"/>
          <w:rFonts w:ascii="Times New Roman" w:hAnsi="Times New Roman"/>
          <w:sz w:val="18"/>
          <w:szCs w:val="18"/>
        </w:rPr>
        <w:footnoteRef/>
      </w:r>
      <w:r w:rsidRPr="006D4E3D">
        <w:rPr>
          <w:rFonts w:ascii="Times New Roman" w:hAnsi="Times New Roman"/>
          <w:sz w:val="18"/>
          <w:szCs w:val="18"/>
        </w:rPr>
        <w:t xml:space="preserve"> </w:t>
      </w:r>
      <w:r w:rsidRPr="006D4E3D">
        <w:rPr>
          <w:rFonts w:ascii="Times New Roman" w:hAnsi="Times New Roman"/>
          <w:i/>
          <w:sz w:val="18"/>
          <w:szCs w:val="18"/>
          <w:lang w:val="en-GB"/>
        </w:rPr>
        <w:t>The Official Gazette of the Republic of Serbia,</w:t>
      </w:r>
      <w:r w:rsidRPr="006D4E3D">
        <w:rPr>
          <w:rFonts w:ascii="Times New Roman" w:hAnsi="Times New Roman"/>
          <w:sz w:val="18"/>
          <w:szCs w:val="18"/>
          <w:lang w:val="sr-Cyrl-RS"/>
        </w:rPr>
        <w:t xml:space="preserve"> </w:t>
      </w:r>
      <w:r w:rsidRPr="006D4E3D">
        <w:rPr>
          <w:rFonts w:ascii="Times New Roman" w:hAnsi="Times New Roman"/>
          <w:sz w:val="18"/>
          <w:szCs w:val="18"/>
          <w:lang w:val="en-GB"/>
        </w:rPr>
        <w:t>No.</w:t>
      </w:r>
      <w:r w:rsidRPr="006D4E3D">
        <w:rPr>
          <w:rFonts w:ascii="Times New Roman" w:hAnsi="Times New Roman"/>
          <w:sz w:val="18"/>
          <w:szCs w:val="18"/>
          <w:lang w:val="sr-Cyrl-RS"/>
        </w:rPr>
        <w:t xml:space="preserve"> 1/2019</w:t>
      </w:r>
    </w:p>
  </w:footnote>
  <w:footnote w:id="73">
    <w:p w14:paraId="5A2B4319" w14:textId="77777777" w:rsidR="00547610" w:rsidRPr="006D4E3D" w:rsidRDefault="00547610" w:rsidP="002E7B66">
      <w:pPr>
        <w:pStyle w:val="FootnoteText"/>
        <w:rPr>
          <w:sz w:val="18"/>
          <w:szCs w:val="18"/>
          <w:lang w:val="sr-Cyrl-RS"/>
        </w:rPr>
      </w:pPr>
      <w:r w:rsidRPr="006D4E3D">
        <w:rPr>
          <w:rStyle w:val="FootnoteReference"/>
          <w:rFonts w:ascii="Times New Roman" w:hAnsi="Times New Roman"/>
          <w:sz w:val="18"/>
          <w:szCs w:val="18"/>
        </w:rPr>
        <w:footnoteRef/>
      </w:r>
      <w:r w:rsidRPr="006D4E3D">
        <w:rPr>
          <w:rFonts w:ascii="Times New Roman" w:hAnsi="Times New Roman"/>
          <w:sz w:val="18"/>
          <w:szCs w:val="18"/>
        </w:rPr>
        <w:t xml:space="preserve"> </w:t>
      </w:r>
      <w:r w:rsidRPr="006D4E3D">
        <w:rPr>
          <w:rFonts w:ascii="Times New Roman" w:hAnsi="Times New Roman"/>
          <w:i/>
          <w:sz w:val="18"/>
          <w:szCs w:val="18"/>
          <w:lang w:val="en-GB"/>
        </w:rPr>
        <w:t>The Official Gazette of the Republic of Serbia,</w:t>
      </w:r>
      <w:r w:rsidRPr="006D4E3D">
        <w:rPr>
          <w:rFonts w:ascii="Times New Roman" w:hAnsi="Times New Roman"/>
          <w:sz w:val="18"/>
          <w:szCs w:val="18"/>
          <w:lang w:val="sr-Cyrl-RS"/>
        </w:rPr>
        <w:t xml:space="preserve"> </w:t>
      </w:r>
      <w:r w:rsidRPr="006D4E3D">
        <w:rPr>
          <w:rFonts w:ascii="Times New Roman" w:hAnsi="Times New Roman"/>
          <w:sz w:val="18"/>
          <w:szCs w:val="18"/>
          <w:lang w:val="en-GB"/>
        </w:rPr>
        <w:t>No.</w:t>
      </w:r>
      <w:r w:rsidRPr="006D4E3D">
        <w:rPr>
          <w:rFonts w:ascii="Times New Roman" w:hAnsi="Times New Roman"/>
          <w:sz w:val="18"/>
          <w:szCs w:val="18"/>
          <w:lang w:val="sr-Cyrl-RS"/>
        </w:rPr>
        <w:t xml:space="preserve"> 1/2019</w:t>
      </w:r>
    </w:p>
  </w:footnote>
  <w:footnote w:id="74">
    <w:p w14:paraId="48B9EAE7" w14:textId="77777777" w:rsidR="00547610" w:rsidRPr="006D4E3D" w:rsidRDefault="00547610" w:rsidP="002E7B66">
      <w:pPr>
        <w:pStyle w:val="FootnoteText"/>
        <w:rPr>
          <w:rFonts w:ascii="Times New Roman" w:hAnsi="Times New Roman"/>
          <w:sz w:val="18"/>
          <w:szCs w:val="18"/>
          <w:lang w:val="sr-Cyrl-RS"/>
        </w:rPr>
      </w:pPr>
      <w:r w:rsidRPr="006D4E3D">
        <w:rPr>
          <w:rStyle w:val="FootnoteReference"/>
          <w:rFonts w:ascii="Times New Roman" w:hAnsi="Times New Roman"/>
          <w:sz w:val="18"/>
          <w:szCs w:val="18"/>
        </w:rPr>
        <w:footnoteRef/>
      </w:r>
      <w:r w:rsidRPr="006D4E3D">
        <w:rPr>
          <w:rFonts w:ascii="Times New Roman" w:hAnsi="Times New Roman"/>
          <w:sz w:val="18"/>
          <w:szCs w:val="18"/>
        </w:rPr>
        <w:t xml:space="preserve"> </w:t>
      </w:r>
      <w:r w:rsidRPr="006D4E3D">
        <w:rPr>
          <w:rFonts w:ascii="Times New Roman" w:hAnsi="Times New Roman"/>
          <w:i/>
          <w:sz w:val="18"/>
          <w:szCs w:val="18"/>
          <w:lang w:val="en-GB"/>
        </w:rPr>
        <w:t>The Official Gazette of the Republic of Serbia,</w:t>
      </w:r>
      <w:r w:rsidRPr="006D4E3D">
        <w:rPr>
          <w:rFonts w:ascii="Times New Roman" w:hAnsi="Times New Roman"/>
          <w:sz w:val="18"/>
          <w:szCs w:val="18"/>
          <w:lang w:val="sr-Cyrl-RS"/>
        </w:rPr>
        <w:t xml:space="preserve"> </w:t>
      </w:r>
      <w:r w:rsidRPr="006D4E3D">
        <w:rPr>
          <w:rFonts w:ascii="Times New Roman" w:hAnsi="Times New Roman"/>
          <w:sz w:val="18"/>
          <w:szCs w:val="18"/>
          <w:lang w:val="en-GB"/>
        </w:rPr>
        <w:t>Nos</w:t>
      </w:r>
      <w:r w:rsidRPr="006D4E3D">
        <w:rPr>
          <w:rFonts w:ascii="Times New Roman" w:hAnsi="Times New Roman"/>
          <w:sz w:val="18"/>
          <w:szCs w:val="18"/>
          <w:lang w:val="sr-Cyrl-RS"/>
        </w:rPr>
        <w:t xml:space="preserve">. 33/3019, 42/2019 </w:t>
      </w:r>
      <w:r w:rsidRPr="006D4E3D">
        <w:rPr>
          <w:rFonts w:ascii="Times New Roman" w:hAnsi="Times New Roman"/>
          <w:sz w:val="18"/>
          <w:szCs w:val="18"/>
          <w:lang w:val="en-GB"/>
        </w:rPr>
        <w:t>and</w:t>
      </w:r>
      <w:r w:rsidRPr="006D4E3D">
        <w:rPr>
          <w:rFonts w:ascii="Times New Roman" w:hAnsi="Times New Roman"/>
          <w:sz w:val="18"/>
          <w:szCs w:val="18"/>
          <w:lang w:val="sr-Cyrl-RS"/>
        </w:rPr>
        <w:t xml:space="preserve"> 18/2022</w:t>
      </w:r>
    </w:p>
  </w:footnote>
  <w:footnote w:id="75">
    <w:p w14:paraId="1F756B13" w14:textId="77777777" w:rsidR="00547610" w:rsidRPr="00E84A7A" w:rsidRDefault="00547610" w:rsidP="002E7B66">
      <w:pPr>
        <w:pStyle w:val="FootnoteText"/>
        <w:rPr>
          <w:rFonts w:ascii="Times New Roman" w:hAnsi="Times New Roman"/>
          <w:sz w:val="18"/>
          <w:szCs w:val="18"/>
          <w:lang w:val="sr-Cyrl-RS"/>
        </w:rPr>
      </w:pPr>
      <w:r w:rsidRPr="006D4E3D">
        <w:rPr>
          <w:rStyle w:val="FootnoteReference"/>
          <w:rFonts w:ascii="Times New Roman" w:hAnsi="Times New Roman"/>
          <w:sz w:val="18"/>
          <w:szCs w:val="18"/>
        </w:rPr>
        <w:footnoteRef/>
      </w:r>
      <w:r w:rsidRPr="006D4E3D">
        <w:rPr>
          <w:rFonts w:ascii="Times New Roman" w:hAnsi="Times New Roman"/>
          <w:sz w:val="18"/>
          <w:szCs w:val="18"/>
        </w:rPr>
        <w:t xml:space="preserve"> </w:t>
      </w:r>
      <w:r w:rsidRPr="006D4E3D">
        <w:rPr>
          <w:rFonts w:ascii="Times New Roman" w:hAnsi="Times New Roman"/>
          <w:i/>
          <w:sz w:val="18"/>
          <w:szCs w:val="18"/>
          <w:lang w:val="en-GB"/>
        </w:rPr>
        <w:t>The Official Gazette of the Republic of Serbia,</w:t>
      </w:r>
      <w:r w:rsidRPr="006D4E3D">
        <w:rPr>
          <w:rFonts w:ascii="Times New Roman" w:hAnsi="Times New Roman"/>
          <w:sz w:val="18"/>
          <w:szCs w:val="18"/>
          <w:lang w:val="sr-Cyrl-RS"/>
        </w:rPr>
        <w:t xml:space="preserve"> </w:t>
      </w:r>
      <w:r w:rsidRPr="006D4E3D">
        <w:rPr>
          <w:rFonts w:ascii="Times New Roman" w:hAnsi="Times New Roman"/>
          <w:sz w:val="18"/>
          <w:szCs w:val="18"/>
          <w:lang w:val="en-GB"/>
        </w:rPr>
        <w:t>No.</w:t>
      </w:r>
      <w:r w:rsidRPr="006D4E3D">
        <w:rPr>
          <w:rFonts w:ascii="Times New Roman" w:hAnsi="Times New Roman"/>
          <w:sz w:val="18"/>
          <w:szCs w:val="18"/>
          <w:lang w:val="sr-Cyrl-RS"/>
        </w:rPr>
        <w:t xml:space="preserve"> 46/2021</w:t>
      </w:r>
    </w:p>
  </w:footnote>
  <w:footnote w:id="76">
    <w:p w14:paraId="7699727E" w14:textId="77777777" w:rsidR="00547610" w:rsidRPr="00E01CC4" w:rsidRDefault="00547610" w:rsidP="00656BC4">
      <w:pPr>
        <w:pStyle w:val="FootnoteText"/>
        <w:rPr>
          <w:rFonts w:ascii="Times New Roman" w:hAnsi="Times New Roman"/>
          <w:sz w:val="18"/>
          <w:szCs w:val="18"/>
          <w:lang w:val="sr-Cyrl-RS"/>
        </w:rPr>
      </w:pPr>
      <w:r w:rsidRPr="00E01CC4">
        <w:rPr>
          <w:rStyle w:val="FootnoteReference"/>
          <w:rFonts w:ascii="Times New Roman" w:hAnsi="Times New Roman"/>
          <w:sz w:val="18"/>
          <w:szCs w:val="18"/>
        </w:rPr>
        <w:footnoteRef/>
      </w:r>
      <w:r w:rsidRPr="00E01CC4">
        <w:rPr>
          <w:rFonts w:ascii="Times New Roman" w:hAnsi="Times New Roman"/>
          <w:sz w:val="18"/>
          <w:szCs w:val="18"/>
        </w:rPr>
        <w:t xml:space="preserve"> ACFC/OP/III(2013)006</w:t>
      </w:r>
      <w:r w:rsidRPr="00E01CC4">
        <w:rPr>
          <w:rFonts w:ascii="Times New Roman" w:hAnsi="Times New Roman"/>
          <w:sz w:val="18"/>
          <w:szCs w:val="18"/>
          <w:lang w:val="sr-Cyrl-RS"/>
        </w:rPr>
        <w:t xml:space="preserve">, </w:t>
      </w:r>
      <w:r>
        <w:rPr>
          <w:rFonts w:ascii="Times New Roman" w:hAnsi="Times New Roman"/>
          <w:sz w:val="18"/>
          <w:szCs w:val="18"/>
          <w:lang w:val="en-GB"/>
        </w:rPr>
        <w:t>Paragraph</w:t>
      </w:r>
      <w:r w:rsidRPr="00E01CC4">
        <w:rPr>
          <w:rFonts w:ascii="Times New Roman" w:hAnsi="Times New Roman"/>
          <w:sz w:val="18"/>
          <w:szCs w:val="18"/>
          <w:lang w:val="sr-Cyrl-RS"/>
        </w:rPr>
        <w:t xml:space="preserve"> 36.</w:t>
      </w:r>
    </w:p>
  </w:footnote>
  <w:footnote w:id="77">
    <w:p w14:paraId="77CA4D9F" w14:textId="77777777" w:rsidR="00547610" w:rsidRPr="00C22D26" w:rsidRDefault="00547610" w:rsidP="007A65D6">
      <w:pPr>
        <w:pStyle w:val="FootnoteText"/>
        <w:rPr>
          <w:rFonts w:ascii="Times New Roman" w:hAnsi="Times New Roman"/>
          <w:lang w:val="en-GB"/>
        </w:rPr>
      </w:pPr>
      <w:r w:rsidRPr="00AA2824">
        <w:rPr>
          <w:rStyle w:val="FootnoteReference"/>
          <w:rFonts w:ascii="Times New Roman" w:hAnsi="Times New Roman"/>
        </w:rPr>
        <w:footnoteRef/>
      </w:r>
      <w:r w:rsidRPr="00AA2824">
        <w:rPr>
          <w:rFonts w:ascii="Times New Roman" w:hAnsi="Times New Roman"/>
        </w:rPr>
        <w:t xml:space="preserve"> </w:t>
      </w:r>
      <w:r w:rsidRPr="001A2301">
        <w:rPr>
          <w:rFonts w:ascii="Times New Roman" w:hAnsi="Times New Roman"/>
        </w:rPr>
        <w:t xml:space="preserve">In the reports on the progress of the Republic of Serbia in the European integration process and the implementation of action plans for Chapters 23 and 24, the European Commission assessed that additional changes to the Law on Prohibition of Discrimination </w:t>
      </w:r>
      <w:r>
        <w:rPr>
          <w:rFonts w:ascii="Times New Roman" w:hAnsi="Times New Roman"/>
          <w:lang w:val="en-GB"/>
        </w:rPr>
        <w:t>were</w:t>
      </w:r>
      <w:r w:rsidRPr="001A2301">
        <w:rPr>
          <w:rFonts w:ascii="Times New Roman" w:hAnsi="Times New Roman"/>
        </w:rPr>
        <w:t xml:space="preserve"> necessary in order to fully </w:t>
      </w:r>
      <w:proofErr w:type="spellStart"/>
      <w:r w:rsidRPr="001A2301">
        <w:rPr>
          <w:rFonts w:ascii="Times New Roman" w:hAnsi="Times New Roman"/>
        </w:rPr>
        <w:t>harmoni</w:t>
      </w:r>
      <w:r>
        <w:rPr>
          <w:rFonts w:ascii="Times New Roman" w:hAnsi="Times New Roman"/>
          <w:lang w:val="en-GB"/>
        </w:rPr>
        <w:t>s</w:t>
      </w:r>
      <w:proofErr w:type="spellEnd"/>
      <w:r w:rsidRPr="001A2301">
        <w:rPr>
          <w:rFonts w:ascii="Times New Roman" w:hAnsi="Times New Roman"/>
        </w:rPr>
        <w:t xml:space="preserve">e it with the EU acquis. In this regard, it was pointed out that the full capacity of the Commissioner to implement the competences in accordance with the Law on Prohibition of Discrimination has not yet been </w:t>
      </w:r>
      <w:r>
        <w:rPr>
          <w:rFonts w:ascii="Times New Roman" w:hAnsi="Times New Roman"/>
          <w:lang w:val="en-GB"/>
        </w:rPr>
        <w:t>achieved</w:t>
      </w:r>
      <w:r w:rsidRPr="001A2301">
        <w:rPr>
          <w:rFonts w:ascii="Times New Roman" w:hAnsi="Times New Roman"/>
        </w:rPr>
        <w:t xml:space="preserve">. </w:t>
      </w:r>
      <w:r>
        <w:rPr>
          <w:rFonts w:ascii="Times New Roman" w:hAnsi="Times New Roman"/>
          <w:lang w:val="en-GB"/>
        </w:rPr>
        <w:t>I</w:t>
      </w:r>
      <w:r w:rsidRPr="001A2301">
        <w:rPr>
          <w:rFonts w:ascii="Times New Roman" w:hAnsi="Times New Roman"/>
        </w:rPr>
        <w:t xml:space="preserve">n its reports and guidelines, </w:t>
      </w:r>
      <w:r>
        <w:rPr>
          <w:rFonts w:ascii="Times New Roman" w:hAnsi="Times New Roman"/>
          <w:lang w:val="en-GB"/>
        </w:rPr>
        <w:t>t</w:t>
      </w:r>
      <w:r w:rsidRPr="001A2301">
        <w:rPr>
          <w:rFonts w:ascii="Times New Roman" w:hAnsi="Times New Roman"/>
        </w:rPr>
        <w:t>he European Commission</w:t>
      </w:r>
      <w:r>
        <w:rPr>
          <w:rFonts w:ascii="Times New Roman" w:hAnsi="Times New Roman"/>
        </w:rPr>
        <w:t xml:space="preserve"> against Racism and Intolerance</w:t>
      </w:r>
      <w:r w:rsidRPr="001A2301">
        <w:rPr>
          <w:rFonts w:ascii="Times New Roman" w:hAnsi="Times New Roman"/>
        </w:rPr>
        <w:t xml:space="preserve"> also pointed out the importance of strengthening the capacity of the Commissioner by expanding the competence</w:t>
      </w:r>
      <w:r>
        <w:rPr>
          <w:rFonts w:ascii="Times New Roman" w:hAnsi="Times New Roman"/>
          <w:lang w:val="en-GB"/>
        </w:rPr>
        <w:t>s.</w:t>
      </w:r>
    </w:p>
  </w:footnote>
  <w:footnote w:id="78">
    <w:p w14:paraId="2710C4B9" w14:textId="77777777" w:rsidR="00547610" w:rsidRPr="00514320" w:rsidRDefault="00547610" w:rsidP="002A0334">
      <w:pPr>
        <w:pStyle w:val="FootnoteText"/>
        <w:rPr>
          <w:rFonts w:ascii="Times New Roman" w:hAnsi="Times New Roman"/>
          <w:sz w:val="18"/>
          <w:szCs w:val="18"/>
          <w:lang w:val="sr-Cyrl-RS"/>
        </w:rPr>
      </w:pPr>
      <w:r w:rsidRPr="00514320">
        <w:rPr>
          <w:rStyle w:val="FootnoteReference"/>
          <w:rFonts w:ascii="Times New Roman" w:hAnsi="Times New Roman"/>
          <w:sz w:val="18"/>
          <w:szCs w:val="18"/>
        </w:rPr>
        <w:footnoteRef/>
      </w:r>
      <w:r>
        <w:rPr>
          <w:rFonts w:ascii="Times New Roman" w:hAnsi="Times New Roman"/>
          <w:sz w:val="18"/>
          <w:szCs w:val="18"/>
        </w:rPr>
        <w:t xml:space="preserve"> </w:t>
      </w:r>
      <w:r>
        <w:rPr>
          <w:rFonts w:ascii="Times New Roman" w:hAnsi="Times New Roman"/>
          <w:i/>
          <w:sz w:val="18"/>
          <w:szCs w:val="18"/>
          <w:lang w:val="en-GB"/>
        </w:rPr>
        <w:t>The Official Gazette of the Republic of Serbia</w:t>
      </w:r>
      <w:r w:rsidRPr="00514320">
        <w:rPr>
          <w:rFonts w:ascii="Times New Roman" w:hAnsi="Times New Roman"/>
          <w:sz w:val="18"/>
          <w:szCs w:val="18"/>
        </w:rPr>
        <w:t xml:space="preserve">, </w:t>
      </w:r>
      <w:r>
        <w:rPr>
          <w:rFonts w:ascii="Times New Roman" w:hAnsi="Times New Roman"/>
          <w:sz w:val="18"/>
          <w:szCs w:val="18"/>
          <w:lang w:val="en-GB"/>
        </w:rPr>
        <w:t>No.</w:t>
      </w:r>
      <w:r w:rsidRPr="00514320">
        <w:rPr>
          <w:rFonts w:ascii="Times New Roman" w:hAnsi="Times New Roman"/>
          <w:sz w:val="18"/>
          <w:szCs w:val="18"/>
        </w:rPr>
        <w:t xml:space="preserve"> 12</w:t>
      </w:r>
      <w:r w:rsidRPr="00514320">
        <w:rPr>
          <w:rFonts w:ascii="Times New Roman" w:hAnsi="Times New Roman"/>
          <w:sz w:val="18"/>
          <w:szCs w:val="18"/>
          <w:lang w:val="sr-Cyrl-RS"/>
        </w:rPr>
        <w:t>/</w:t>
      </w:r>
      <w:r w:rsidRPr="00514320">
        <w:rPr>
          <w:rFonts w:ascii="Times New Roman" w:hAnsi="Times New Roman"/>
          <w:sz w:val="18"/>
          <w:szCs w:val="18"/>
        </w:rPr>
        <w:t>2022</w:t>
      </w:r>
    </w:p>
  </w:footnote>
  <w:footnote w:id="79">
    <w:p w14:paraId="4957BFB4" w14:textId="77777777" w:rsidR="00547610" w:rsidRPr="00CD32CE" w:rsidRDefault="00547610" w:rsidP="00304029">
      <w:pPr>
        <w:pStyle w:val="FootnoteText"/>
        <w:rPr>
          <w:rFonts w:ascii="Times New Roman" w:hAnsi="Times New Roman"/>
          <w:sz w:val="18"/>
          <w:szCs w:val="18"/>
          <w:lang w:val="sr-Cyrl-RS"/>
        </w:rPr>
      </w:pPr>
      <w:r w:rsidRPr="00CD32CE">
        <w:rPr>
          <w:rStyle w:val="FootnoteReference"/>
          <w:rFonts w:ascii="Times New Roman" w:hAnsi="Times New Roman"/>
          <w:sz w:val="18"/>
          <w:szCs w:val="18"/>
        </w:rPr>
        <w:footnoteRef/>
      </w:r>
      <w:r w:rsidRPr="00CD32CE">
        <w:rPr>
          <w:rFonts w:ascii="Times New Roman" w:hAnsi="Times New Roman"/>
          <w:sz w:val="18"/>
          <w:szCs w:val="18"/>
        </w:rPr>
        <w:t xml:space="preserve"> </w:t>
      </w:r>
      <w:r>
        <w:rPr>
          <w:rFonts w:ascii="Times New Roman" w:hAnsi="Times New Roman"/>
          <w:i/>
          <w:sz w:val="18"/>
          <w:szCs w:val="18"/>
          <w:lang w:val="en-GB"/>
        </w:rPr>
        <w:t>The Official Gazette of the Republic of Serbia</w:t>
      </w:r>
      <w:r w:rsidRPr="00514320">
        <w:rPr>
          <w:rFonts w:ascii="Times New Roman" w:hAnsi="Times New Roman"/>
          <w:sz w:val="18"/>
          <w:szCs w:val="18"/>
        </w:rPr>
        <w:t xml:space="preserve">, </w:t>
      </w:r>
      <w:r>
        <w:rPr>
          <w:rFonts w:ascii="Times New Roman" w:hAnsi="Times New Roman"/>
          <w:sz w:val="18"/>
          <w:szCs w:val="18"/>
          <w:lang w:val="en-GB"/>
        </w:rPr>
        <w:t>No.</w:t>
      </w:r>
      <w:r w:rsidRPr="00CD32CE">
        <w:rPr>
          <w:rFonts w:ascii="Times New Roman" w:hAnsi="Times New Roman"/>
          <w:sz w:val="18"/>
          <w:szCs w:val="18"/>
          <w:lang w:val="sr-Cyrl-RS"/>
        </w:rPr>
        <w:t xml:space="preserve"> 6/2008</w:t>
      </w:r>
    </w:p>
  </w:footnote>
  <w:footnote w:id="80">
    <w:p w14:paraId="466235B5" w14:textId="77777777" w:rsidR="00547610" w:rsidRPr="00761E91" w:rsidRDefault="00547610" w:rsidP="002775BC">
      <w:pPr>
        <w:pStyle w:val="FootnoteText"/>
        <w:rPr>
          <w:rFonts w:ascii="Times New Roman" w:hAnsi="Times New Roman"/>
          <w:sz w:val="18"/>
          <w:szCs w:val="18"/>
          <w:lang w:val="sr-Cyrl-RS"/>
        </w:rPr>
      </w:pPr>
      <w:r w:rsidRPr="00761E91">
        <w:rPr>
          <w:rStyle w:val="FootnoteReference"/>
          <w:rFonts w:ascii="Times New Roman" w:hAnsi="Times New Roman"/>
          <w:sz w:val="18"/>
          <w:szCs w:val="18"/>
        </w:rPr>
        <w:footnoteRef/>
      </w:r>
      <w:r w:rsidRPr="00761E91">
        <w:rPr>
          <w:rFonts w:ascii="Times New Roman" w:hAnsi="Times New Roman"/>
          <w:sz w:val="18"/>
          <w:szCs w:val="18"/>
        </w:rPr>
        <w:t xml:space="preserve"> </w:t>
      </w:r>
      <w:r>
        <w:rPr>
          <w:rFonts w:ascii="Times New Roman" w:hAnsi="Times New Roman"/>
          <w:i/>
          <w:sz w:val="18"/>
          <w:szCs w:val="18"/>
          <w:lang w:val="en-GB"/>
        </w:rPr>
        <w:t>The Official Gazette of the Republic of Serbia</w:t>
      </w:r>
      <w:r w:rsidRPr="00514320">
        <w:rPr>
          <w:rFonts w:ascii="Times New Roman" w:hAnsi="Times New Roman"/>
          <w:sz w:val="18"/>
          <w:szCs w:val="18"/>
        </w:rPr>
        <w:t xml:space="preserve">, </w:t>
      </w:r>
      <w:r>
        <w:rPr>
          <w:rFonts w:ascii="Times New Roman" w:hAnsi="Times New Roman"/>
          <w:sz w:val="18"/>
          <w:szCs w:val="18"/>
          <w:lang w:val="en-GB"/>
        </w:rPr>
        <w:t>Nos.</w:t>
      </w:r>
      <w:r w:rsidRPr="00761E91">
        <w:rPr>
          <w:rFonts w:ascii="Times New Roman" w:hAnsi="Times New Roman"/>
          <w:sz w:val="18"/>
          <w:szCs w:val="18"/>
          <w:lang w:val="sr-Cyrl-RS"/>
        </w:rPr>
        <w:t xml:space="preserve">18/2005, 72/2011 – </w:t>
      </w:r>
      <w:r>
        <w:rPr>
          <w:rFonts w:ascii="Times New Roman" w:hAnsi="Times New Roman"/>
          <w:sz w:val="18"/>
          <w:szCs w:val="18"/>
          <w:lang w:val="en-GB"/>
        </w:rPr>
        <w:t>other law and</w:t>
      </w:r>
      <w:r w:rsidRPr="00761E91">
        <w:rPr>
          <w:rFonts w:ascii="Times New Roman" w:hAnsi="Times New Roman"/>
          <w:sz w:val="18"/>
          <w:szCs w:val="18"/>
          <w:lang w:val="sr-Cyrl-RS"/>
        </w:rPr>
        <w:t xml:space="preserve"> 6/2015</w:t>
      </w:r>
    </w:p>
  </w:footnote>
  <w:footnote w:id="81">
    <w:p w14:paraId="40B32803" w14:textId="77777777" w:rsidR="00547610" w:rsidRPr="00761E91" w:rsidRDefault="00547610" w:rsidP="0088007B">
      <w:pPr>
        <w:pStyle w:val="FootnoteText"/>
        <w:rPr>
          <w:rFonts w:ascii="Times New Roman" w:hAnsi="Times New Roman"/>
          <w:sz w:val="18"/>
          <w:szCs w:val="18"/>
          <w:lang w:val="sr-Cyrl-RS"/>
        </w:rPr>
      </w:pPr>
      <w:r w:rsidRPr="00761E91">
        <w:rPr>
          <w:rStyle w:val="FootnoteReference"/>
          <w:rFonts w:ascii="Times New Roman" w:hAnsi="Times New Roman"/>
          <w:sz w:val="18"/>
          <w:szCs w:val="18"/>
        </w:rPr>
        <w:footnoteRef/>
      </w:r>
      <w:r w:rsidRPr="00761E91">
        <w:rPr>
          <w:rFonts w:ascii="Times New Roman" w:hAnsi="Times New Roman"/>
          <w:sz w:val="18"/>
          <w:szCs w:val="18"/>
        </w:rPr>
        <w:t xml:space="preserve"> </w:t>
      </w:r>
      <w:r>
        <w:rPr>
          <w:rFonts w:ascii="Times New Roman" w:hAnsi="Times New Roman"/>
          <w:i/>
          <w:sz w:val="18"/>
          <w:szCs w:val="18"/>
          <w:lang w:val="en-GB"/>
        </w:rPr>
        <w:t>The Official Gazette of the Republic of Serbia</w:t>
      </w:r>
      <w:r w:rsidRPr="00514320">
        <w:rPr>
          <w:rFonts w:ascii="Times New Roman" w:hAnsi="Times New Roman"/>
          <w:sz w:val="18"/>
          <w:szCs w:val="18"/>
        </w:rPr>
        <w:t xml:space="preserve">, </w:t>
      </w:r>
      <w:r>
        <w:rPr>
          <w:rFonts w:ascii="Times New Roman" w:hAnsi="Times New Roman"/>
          <w:sz w:val="18"/>
          <w:szCs w:val="18"/>
          <w:lang w:val="en-GB"/>
        </w:rPr>
        <w:t>Nos.</w:t>
      </w:r>
      <w:r w:rsidRPr="00761E91">
        <w:rPr>
          <w:rFonts w:ascii="Times New Roman" w:hAnsi="Times New Roman"/>
          <w:sz w:val="18"/>
          <w:szCs w:val="18"/>
          <w:lang w:val="sr-Cyrl-RS"/>
        </w:rPr>
        <w:t xml:space="preserve">93/2018 </w:t>
      </w:r>
      <w:r>
        <w:rPr>
          <w:rFonts w:ascii="Times New Roman" w:hAnsi="Times New Roman"/>
          <w:sz w:val="18"/>
          <w:szCs w:val="18"/>
          <w:lang w:val="en-GB"/>
        </w:rPr>
        <w:t>and</w:t>
      </w:r>
      <w:r w:rsidRPr="00761E91">
        <w:rPr>
          <w:rFonts w:ascii="Times New Roman" w:hAnsi="Times New Roman"/>
          <w:sz w:val="18"/>
          <w:szCs w:val="18"/>
          <w:lang w:val="sr-Cyrl-RS"/>
        </w:rPr>
        <w:t xml:space="preserve"> 24/2022</w:t>
      </w:r>
    </w:p>
  </w:footnote>
  <w:footnote w:id="82">
    <w:p w14:paraId="3412CAF7" w14:textId="77777777" w:rsidR="00547610" w:rsidRPr="007374F4" w:rsidRDefault="00547610" w:rsidP="0088007B">
      <w:pPr>
        <w:pStyle w:val="FootnoteText"/>
        <w:rPr>
          <w:lang w:val="sr-Cyrl-RS"/>
        </w:rPr>
      </w:pPr>
      <w:r w:rsidRPr="00761E91">
        <w:rPr>
          <w:rStyle w:val="FootnoteReference"/>
          <w:rFonts w:ascii="Times New Roman" w:hAnsi="Times New Roman"/>
          <w:sz w:val="18"/>
          <w:szCs w:val="18"/>
        </w:rPr>
        <w:footnoteRef/>
      </w:r>
      <w:r w:rsidRPr="00761E91">
        <w:rPr>
          <w:rFonts w:ascii="Times New Roman" w:hAnsi="Times New Roman"/>
          <w:sz w:val="18"/>
          <w:szCs w:val="18"/>
        </w:rPr>
        <w:t xml:space="preserve"> </w:t>
      </w:r>
      <w:r>
        <w:rPr>
          <w:rFonts w:ascii="Times New Roman" w:hAnsi="Times New Roman"/>
          <w:i/>
          <w:sz w:val="18"/>
          <w:szCs w:val="18"/>
          <w:lang w:val="en-GB"/>
        </w:rPr>
        <w:t>The Official Gazette of the Republic of Serbia</w:t>
      </w:r>
      <w:r w:rsidRPr="00514320">
        <w:rPr>
          <w:rFonts w:ascii="Times New Roman" w:hAnsi="Times New Roman"/>
          <w:sz w:val="18"/>
          <w:szCs w:val="18"/>
        </w:rPr>
        <w:t xml:space="preserve">, </w:t>
      </w:r>
      <w:r>
        <w:rPr>
          <w:rFonts w:ascii="Times New Roman" w:hAnsi="Times New Roman"/>
          <w:sz w:val="18"/>
          <w:szCs w:val="18"/>
          <w:lang w:val="en-GB"/>
        </w:rPr>
        <w:t>Nos.</w:t>
      </w:r>
      <w:r w:rsidRPr="00761E91">
        <w:rPr>
          <w:rFonts w:ascii="Times New Roman" w:hAnsi="Times New Roman"/>
          <w:sz w:val="18"/>
          <w:szCs w:val="18"/>
          <w:lang w:val="sr-Cyrl-RS"/>
        </w:rPr>
        <w:t xml:space="preserve">25/2011, 9/2016, 16/2016, 36/2016 </w:t>
      </w:r>
      <w:r>
        <w:rPr>
          <w:rFonts w:ascii="Times New Roman" w:hAnsi="Times New Roman"/>
          <w:sz w:val="18"/>
          <w:szCs w:val="18"/>
          <w:lang w:val="en-GB"/>
        </w:rPr>
        <w:t>and</w:t>
      </w:r>
      <w:r w:rsidRPr="00761E91">
        <w:rPr>
          <w:rFonts w:ascii="Times New Roman" w:hAnsi="Times New Roman"/>
          <w:sz w:val="18"/>
          <w:szCs w:val="18"/>
          <w:lang w:val="sr-Cyrl-RS"/>
        </w:rPr>
        <w:t xml:space="preserve"> 103/2018</w:t>
      </w:r>
    </w:p>
  </w:footnote>
  <w:footnote w:id="83">
    <w:p w14:paraId="50013155" w14:textId="77777777" w:rsidR="00547610" w:rsidRPr="007374F4" w:rsidRDefault="00547610" w:rsidP="00864B88">
      <w:pPr>
        <w:pStyle w:val="FootnoteText"/>
        <w:rPr>
          <w:rFonts w:ascii="Times New Roman" w:hAnsi="Times New Roman"/>
          <w:sz w:val="18"/>
          <w:szCs w:val="18"/>
          <w:lang w:val="sr-Cyrl-RS"/>
        </w:rPr>
      </w:pPr>
      <w:r w:rsidRPr="007374F4">
        <w:rPr>
          <w:rStyle w:val="FootnoteReference"/>
          <w:rFonts w:ascii="Times New Roman" w:hAnsi="Times New Roman"/>
          <w:sz w:val="18"/>
          <w:szCs w:val="18"/>
        </w:rPr>
        <w:footnoteRef/>
      </w:r>
      <w:r w:rsidRPr="007374F4">
        <w:rPr>
          <w:rFonts w:ascii="Times New Roman" w:hAnsi="Times New Roman"/>
          <w:sz w:val="18"/>
          <w:szCs w:val="18"/>
        </w:rPr>
        <w:t xml:space="preserve"> </w:t>
      </w:r>
      <w:hyperlink r:id="rId36" w:history="1">
        <w:r w:rsidRPr="007374F4">
          <w:rPr>
            <w:rStyle w:val="Hyperlink"/>
            <w:rFonts w:ascii="Times New Roman" w:hAnsi="Times New Roman"/>
            <w:sz w:val="18"/>
            <w:szCs w:val="18"/>
          </w:rPr>
          <w:t>http://mduls.gov.rs/wp-content/uploads/Instrukcija-za-postupanje-u-slucajevima-rodjenja-deteta-ciji-roditelji-nemaju-licna-dokumenta-radi-omogucavanja-upisa-u-MKR.pdf</w:t>
        </w:r>
      </w:hyperlink>
      <w:r w:rsidRPr="007374F4">
        <w:rPr>
          <w:rFonts w:ascii="Times New Roman" w:hAnsi="Times New Roman"/>
          <w:sz w:val="18"/>
          <w:szCs w:val="18"/>
          <w:lang w:val="sr-Cyrl-RS"/>
        </w:rPr>
        <w:t xml:space="preserve"> </w:t>
      </w:r>
    </w:p>
  </w:footnote>
  <w:footnote w:id="84">
    <w:p w14:paraId="58CE6E48" w14:textId="77777777" w:rsidR="00547610" w:rsidRPr="00351E4C" w:rsidRDefault="00547610" w:rsidP="00F66900">
      <w:pPr>
        <w:pStyle w:val="FootnoteText"/>
        <w:rPr>
          <w:rFonts w:ascii="Times New Roman" w:hAnsi="Times New Roman"/>
          <w:sz w:val="18"/>
          <w:szCs w:val="18"/>
          <w:lang w:val="en-GB"/>
        </w:rPr>
      </w:pPr>
      <w:r>
        <w:rPr>
          <w:rStyle w:val="FootnoteReference"/>
        </w:rPr>
        <w:footnoteRef/>
      </w:r>
      <w:r>
        <w:t xml:space="preserve"> </w:t>
      </w:r>
      <w:r>
        <w:rPr>
          <w:rFonts w:ascii="Times New Roman" w:hAnsi="Times New Roman"/>
          <w:i/>
          <w:sz w:val="18"/>
          <w:szCs w:val="18"/>
          <w:lang w:val="en-GB"/>
        </w:rPr>
        <w:t>The Official Gazette of the Republic of Serbia</w:t>
      </w:r>
      <w:r w:rsidRPr="00514320">
        <w:rPr>
          <w:rFonts w:ascii="Times New Roman" w:hAnsi="Times New Roman"/>
          <w:sz w:val="18"/>
          <w:szCs w:val="18"/>
        </w:rPr>
        <w:t xml:space="preserve">, </w:t>
      </w:r>
      <w:r>
        <w:rPr>
          <w:rFonts w:ascii="Times New Roman" w:hAnsi="Times New Roman"/>
          <w:sz w:val="18"/>
          <w:szCs w:val="18"/>
        </w:rPr>
        <w:t>N</w:t>
      </w:r>
      <w:r w:rsidRPr="00351E4C">
        <w:rPr>
          <w:rFonts w:ascii="Times New Roman" w:hAnsi="Times New Roman"/>
          <w:sz w:val="18"/>
          <w:szCs w:val="18"/>
        </w:rPr>
        <w:t>o</w:t>
      </w:r>
      <w:r>
        <w:rPr>
          <w:rFonts w:ascii="Times New Roman" w:hAnsi="Times New Roman"/>
          <w:sz w:val="18"/>
          <w:szCs w:val="18"/>
          <w:lang w:val="en-GB"/>
        </w:rPr>
        <w:t>s</w:t>
      </w:r>
      <w:r w:rsidRPr="00351E4C">
        <w:rPr>
          <w:rFonts w:ascii="Times New Roman" w:hAnsi="Times New Roman"/>
          <w:sz w:val="18"/>
          <w:szCs w:val="18"/>
        </w:rPr>
        <w:t xml:space="preserve">. 43/2003, 51/2003 - corrected, 61/2005, 101/2005 - </w:t>
      </w:r>
      <w:r>
        <w:rPr>
          <w:rFonts w:ascii="Times New Roman" w:hAnsi="Times New Roman"/>
          <w:sz w:val="18"/>
          <w:szCs w:val="18"/>
          <w:lang w:val="en-GB"/>
        </w:rPr>
        <w:t>other</w:t>
      </w:r>
      <w:r w:rsidRPr="00351E4C">
        <w:rPr>
          <w:rFonts w:ascii="Times New Roman" w:hAnsi="Times New Roman"/>
          <w:sz w:val="18"/>
          <w:szCs w:val="18"/>
        </w:rPr>
        <w:t xml:space="preserve"> law, 5/2009, 54/2009, 50/2011, 70/2011 - </w:t>
      </w:r>
      <w:proofErr w:type="spellStart"/>
      <w:r w:rsidRPr="00351E4C">
        <w:rPr>
          <w:rFonts w:ascii="Times New Roman" w:hAnsi="Times New Roman"/>
          <w:sz w:val="18"/>
          <w:szCs w:val="18"/>
        </w:rPr>
        <w:t>harmoni</w:t>
      </w:r>
      <w:r>
        <w:rPr>
          <w:rFonts w:ascii="Times New Roman" w:hAnsi="Times New Roman"/>
          <w:sz w:val="18"/>
          <w:szCs w:val="18"/>
          <w:lang w:val="en-GB"/>
        </w:rPr>
        <w:t>s</w:t>
      </w:r>
      <w:r>
        <w:rPr>
          <w:rFonts w:ascii="Times New Roman" w:hAnsi="Times New Roman"/>
          <w:sz w:val="18"/>
          <w:szCs w:val="18"/>
        </w:rPr>
        <w:t>ed</w:t>
      </w:r>
      <w:proofErr w:type="spellEnd"/>
      <w:r>
        <w:rPr>
          <w:rFonts w:ascii="Times New Roman" w:hAnsi="Times New Roman"/>
          <w:sz w:val="18"/>
          <w:szCs w:val="18"/>
        </w:rPr>
        <w:t xml:space="preserve"> dinar amounts</w:t>
      </w:r>
      <w:r w:rsidRPr="00351E4C">
        <w:rPr>
          <w:rFonts w:ascii="Times New Roman" w:hAnsi="Times New Roman"/>
          <w:sz w:val="18"/>
          <w:szCs w:val="18"/>
        </w:rPr>
        <w:t xml:space="preserve">, 55/2012 - </w:t>
      </w:r>
      <w:proofErr w:type="spellStart"/>
      <w:r w:rsidRPr="00351E4C">
        <w:rPr>
          <w:rFonts w:ascii="Times New Roman" w:hAnsi="Times New Roman"/>
          <w:sz w:val="18"/>
          <w:szCs w:val="18"/>
        </w:rPr>
        <w:t>harmoni</w:t>
      </w:r>
      <w:r>
        <w:rPr>
          <w:rFonts w:ascii="Times New Roman" w:hAnsi="Times New Roman"/>
          <w:sz w:val="18"/>
          <w:szCs w:val="18"/>
          <w:lang w:val="en-GB"/>
        </w:rPr>
        <w:t>s</w:t>
      </w:r>
      <w:r>
        <w:rPr>
          <w:rFonts w:ascii="Times New Roman" w:hAnsi="Times New Roman"/>
          <w:sz w:val="18"/>
          <w:szCs w:val="18"/>
        </w:rPr>
        <w:t>ed</w:t>
      </w:r>
      <w:proofErr w:type="spellEnd"/>
      <w:r>
        <w:rPr>
          <w:rFonts w:ascii="Times New Roman" w:hAnsi="Times New Roman"/>
          <w:sz w:val="18"/>
          <w:szCs w:val="18"/>
        </w:rPr>
        <w:t xml:space="preserve"> dinar amounts</w:t>
      </w:r>
      <w:r w:rsidRPr="00351E4C">
        <w:rPr>
          <w:rFonts w:ascii="Times New Roman" w:hAnsi="Times New Roman"/>
          <w:sz w:val="18"/>
          <w:szCs w:val="18"/>
        </w:rPr>
        <w:t xml:space="preserve">., 93/2012, 47/2013 - </w:t>
      </w:r>
      <w:proofErr w:type="spellStart"/>
      <w:r w:rsidRPr="00351E4C">
        <w:rPr>
          <w:rFonts w:ascii="Times New Roman" w:hAnsi="Times New Roman"/>
          <w:sz w:val="18"/>
          <w:szCs w:val="18"/>
        </w:rPr>
        <w:t>harmoni</w:t>
      </w:r>
      <w:r>
        <w:rPr>
          <w:rFonts w:ascii="Times New Roman" w:hAnsi="Times New Roman"/>
          <w:sz w:val="18"/>
          <w:szCs w:val="18"/>
          <w:lang w:val="en-GB"/>
        </w:rPr>
        <w:t>s</w:t>
      </w:r>
      <w:r>
        <w:rPr>
          <w:rFonts w:ascii="Times New Roman" w:hAnsi="Times New Roman"/>
          <w:sz w:val="18"/>
          <w:szCs w:val="18"/>
        </w:rPr>
        <w:t>ed</w:t>
      </w:r>
      <w:proofErr w:type="spellEnd"/>
      <w:r>
        <w:rPr>
          <w:rFonts w:ascii="Times New Roman" w:hAnsi="Times New Roman"/>
          <w:sz w:val="18"/>
          <w:szCs w:val="18"/>
        </w:rPr>
        <w:t xml:space="preserve"> dinar amounts</w:t>
      </w:r>
      <w:r w:rsidRPr="00351E4C">
        <w:rPr>
          <w:rFonts w:ascii="Times New Roman" w:hAnsi="Times New Roman"/>
          <w:sz w:val="18"/>
          <w:szCs w:val="18"/>
        </w:rPr>
        <w:t xml:space="preserve">, 65/2013 - </w:t>
      </w:r>
      <w:r>
        <w:rPr>
          <w:rFonts w:ascii="Times New Roman" w:hAnsi="Times New Roman"/>
          <w:sz w:val="18"/>
          <w:szCs w:val="18"/>
          <w:lang w:val="en-GB"/>
        </w:rPr>
        <w:t>other</w:t>
      </w:r>
      <w:r w:rsidRPr="00351E4C">
        <w:rPr>
          <w:rFonts w:ascii="Times New Roman" w:hAnsi="Times New Roman"/>
          <w:sz w:val="18"/>
          <w:szCs w:val="18"/>
        </w:rPr>
        <w:t xml:space="preserve"> law, 57/2014 - </w:t>
      </w:r>
      <w:proofErr w:type="spellStart"/>
      <w:r w:rsidRPr="00351E4C">
        <w:rPr>
          <w:rFonts w:ascii="Times New Roman" w:hAnsi="Times New Roman"/>
          <w:sz w:val="18"/>
          <w:szCs w:val="18"/>
        </w:rPr>
        <w:t>harmoni</w:t>
      </w:r>
      <w:r>
        <w:rPr>
          <w:rFonts w:ascii="Times New Roman" w:hAnsi="Times New Roman"/>
          <w:sz w:val="18"/>
          <w:szCs w:val="18"/>
          <w:lang w:val="en-GB"/>
        </w:rPr>
        <w:t>s</w:t>
      </w:r>
      <w:r>
        <w:rPr>
          <w:rFonts w:ascii="Times New Roman" w:hAnsi="Times New Roman"/>
          <w:sz w:val="18"/>
          <w:szCs w:val="18"/>
        </w:rPr>
        <w:t>ed</w:t>
      </w:r>
      <w:proofErr w:type="spellEnd"/>
      <w:r>
        <w:rPr>
          <w:rFonts w:ascii="Times New Roman" w:hAnsi="Times New Roman"/>
          <w:sz w:val="18"/>
          <w:szCs w:val="18"/>
        </w:rPr>
        <w:t xml:space="preserve"> dinar amounts</w:t>
      </w:r>
      <w:r>
        <w:rPr>
          <w:rFonts w:ascii="Times New Roman" w:hAnsi="Times New Roman"/>
          <w:sz w:val="18"/>
          <w:szCs w:val="18"/>
          <w:lang w:val="en-GB"/>
        </w:rPr>
        <w:t>,</w:t>
      </w:r>
      <w:r w:rsidRPr="00351E4C">
        <w:rPr>
          <w:rFonts w:ascii="Times New Roman" w:hAnsi="Times New Roman"/>
          <w:sz w:val="18"/>
          <w:szCs w:val="18"/>
        </w:rPr>
        <w:t xml:space="preserve"> 45/2015 - </w:t>
      </w:r>
      <w:proofErr w:type="spellStart"/>
      <w:r w:rsidRPr="00351E4C">
        <w:rPr>
          <w:rFonts w:ascii="Times New Roman" w:hAnsi="Times New Roman"/>
          <w:sz w:val="18"/>
          <w:szCs w:val="18"/>
        </w:rPr>
        <w:t>harmoni</w:t>
      </w:r>
      <w:r>
        <w:rPr>
          <w:rFonts w:ascii="Times New Roman" w:hAnsi="Times New Roman"/>
          <w:sz w:val="18"/>
          <w:szCs w:val="18"/>
          <w:lang w:val="en-GB"/>
        </w:rPr>
        <w:t>s</w:t>
      </w:r>
      <w:r>
        <w:rPr>
          <w:rFonts w:ascii="Times New Roman" w:hAnsi="Times New Roman"/>
          <w:sz w:val="18"/>
          <w:szCs w:val="18"/>
        </w:rPr>
        <w:t>ed</w:t>
      </w:r>
      <w:proofErr w:type="spellEnd"/>
      <w:r>
        <w:rPr>
          <w:rFonts w:ascii="Times New Roman" w:hAnsi="Times New Roman"/>
          <w:sz w:val="18"/>
          <w:szCs w:val="18"/>
        </w:rPr>
        <w:t xml:space="preserve"> dinar amounts</w:t>
      </w:r>
      <w:r w:rsidRPr="00351E4C">
        <w:rPr>
          <w:rFonts w:ascii="Times New Roman" w:hAnsi="Times New Roman"/>
          <w:sz w:val="18"/>
          <w:szCs w:val="18"/>
        </w:rPr>
        <w:t xml:space="preserve">, 83/2015, 112/2015, 50/2016 - </w:t>
      </w:r>
      <w:proofErr w:type="spellStart"/>
      <w:r w:rsidRPr="00351E4C">
        <w:rPr>
          <w:rFonts w:ascii="Times New Roman" w:hAnsi="Times New Roman"/>
          <w:sz w:val="18"/>
          <w:szCs w:val="18"/>
        </w:rPr>
        <w:t>harmoni</w:t>
      </w:r>
      <w:r>
        <w:rPr>
          <w:rFonts w:ascii="Times New Roman" w:hAnsi="Times New Roman"/>
          <w:sz w:val="18"/>
          <w:szCs w:val="18"/>
          <w:lang w:val="en-GB"/>
        </w:rPr>
        <w:t>s</w:t>
      </w:r>
      <w:r>
        <w:rPr>
          <w:rFonts w:ascii="Times New Roman" w:hAnsi="Times New Roman"/>
          <w:sz w:val="18"/>
          <w:szCs w:val="18"/>
        </w:rPr>
        <w:t>ed</w:t>
      </w:r>
      <w:proofErr w:type="spellEnd"/>
      <w:r>
        <w:rPr>
          <w:rFonts w:ascii="Times New Roman" w:hAnsi="Times New Roman"/>
          <w:sz w:val="18"/>
          <w:szCs w:val="18"/>
        </w:rPr>
        <w:t xml:space="preserve"> dinar amounts</w:t>
      </w:r>
      <w:r>
        <w:rPr>
          <w:rFonts w:ascii="Times New Roman" w:hAnsi="Times New Roman"/>
          <w:sz w:val="18"/>
          <w:szCs w:val="18"/>
          <w:lang w:val="en-GB"/>
        </w:rPr>
        <w:t>,</w:t>
      </w:r>
      <w:r w:rsidRPr="00351E4C">
        <w:rPr>
          <w:rFonts w:ascii="Times New Roman" w:hAnsi="Times New Roman"/>
          <w:sz w:val="18"/>
          <w:szCs w:val="18"/>
        </w:rPr>
        <w:t xml:space="preserve"> 61/2017 - </w:t>
      </w:r>
      <w:proofErr w:type="spellStart"/>
      <w:r w:rsidRPr="00351E4C">
        <w:rPr>
          <w:rFonts w:ascii="Times New Roman" w:hAnsi="Times New Roman"/>
          <w:sz w:val="18"/>
          <w:szCs w:val="18"/>
        </w:rPr>
        <w:t>harmoni</w:t>
      </w:r>
      <w:r>
        <w:rPr>
          <w:rFonts w:ascii="Times New Roman" w:hAnsi="Times New Roman"/>
          <w:sz w:val="18"/>
          <w:szCs w:val="18"/>
          <w:lang w:val="en-GB"/>
        </w:rPr>
        <w:t>s</w:t>
      </w:r>
      <w:r>
        <w:rPr>
          <w:rFonts w:ascii="Times New Roman" w:hAnsi="Times New Roman"/>
          <w:sz w:val="18"/>
          <w:szCs w:val="18"/>
        </w:rPr>
        <w:t>ed</w:t>
      </w:r>
      <w:proofErr w:type="spellEnd"/>
      <w:r>
        <w:rPr>
          <w:rFonts w:ascii="Times New Roman" w:hAnsi="Times New Roman"/>
          <w:sz w:val="18"/>
          <w:szCs w:val="18"/>
        </w:rPr>
        <w:t xml:space="preserve"> dinar amounts</w:t>
      </w:r>
      <w:r>
        <w:rPr>
          <w:rFonts w:ascii="Times New Roman" w:hAnsi="Times New Roman"/>
          <w:sz w:val="18"/>
          <w:szCs w:val="18"/>
          <w:lang w:val="en-GB"/>
        </w:rPr>
        <w:t>,</w:t>
      </w:r>
      <w:r w:rsidRPr="00351E4C">
        <w:rPr>
          <w:rFonts w:ascii="Times New Roman" w:hAnsi="Times New Roman"/>
          <w:sz w:val="18"/>
          <w:szCs w:val="18"/>
        </w:rPr>
        <w:t xml:space="preserve"> 113/2017, 3/2018 - corrected, 50/2018 - </w:t>
      </w:r>
      <w:proofErr w:type="spellStart"/>
      <w:r w:rsidRPr="00351E4C">
        <w:rPr>
          <w:rFonts w:ascii="Times New Roman" w:hAnsi="Times New Roman"/>
          <w:sz w:val="18"/>
          <w:szCs w:val="18"/>
        </w:rPr>
        <w:t>harmoni</w:t>
      </w:r>
      <w:r>
        <w:rPr>
          <w:rFonts w:ascii="Times New Roman" w:hAnsi="Times New Roman"/>
          <w:sz w:val="18"/>
          <w:szCs w:val="18"/>
          <w:lang w:val="en-GB"/>
        </w:rPr>
        <w:t>s</w:t>
      </w:r>
      <w:r>
        <w:rPr>
          <w:rFonts w:ascii="Times New Roman" w:hAnsi="Times New Roman"/>
          <w:sz w:val="18"/>
          <w:szCs w:val="18"/>
        </w:rPr>
        <w:t>ed</w:t>
      </w:r>
      <w:proofErr w:type="spellEnd"/>
      <w:r>
        <w:rPr>
          <w:rFonts w:ascii="Times New Roman" w:hAnsi="Times New Roman"/>
          <w:sz w:val="18"/>
          <w:szCs w:val="18"/>
        </w:rPr>
        <w:t xml:space="preserve"> dinar amounts</w:t>
      </w:r>
      <w:r>
        <w:rPr>
          <w:rFonts w:ascii="Times New Roman" w:hAnsi="Times New Roman"/>
          <w:sz w:val="18"/>
          <w:szCs w:val="18"/>
          <w:lang w:val="en-GB"/>
        </w:rPr>
        <w:t>,</w:t>
      </w:r>
      <w:r w:rsidRPr="00351E4C">
        <w:rPr>
          <w:rFonts w:ascii="Times New Roman" w:hAnsi="Times New Roman"/>
          <w:sz w:val="18"/>
          <w:szCs w:val="18"/>
        </w:rPr>
        <w:t xml:space="preserve"> 95/2018, 38/2019 - </w:t>
      </w:r>
      <w:proofErr w:type="spellStart"/>
      <w:r w:rsidRPr="00351E4C">
        <w:rPr>
          <w:rFonts w:ascii="Times New Roman" w:hAnsi="Times New Roman"/>
          <w:sz w:val="18"/>
          <w:szCs w:val="18"/>
        </w:rPr>
        <w:t>harmoni</w:t>
      </w:r>
      <w:r>
        <w:rPr>
          <w:rFonts w:ascii="Times New Roman" w:hAnsi="Times New Roman"/>
          <w:sz w:val="18"/>
          <w:szCs w:val="18"/>
          <w:lang w:val="en-GB"/>
        </w:rPr>
        <w:t>s</w:t>
      </w:r>
      <w:r>
        <w:rPr>
          <w:rFonts w:ascii="Times New Roman" w:hAnsi="Times New Roman"/>
          <w:sz w:val="18"/>
          <w:szCs w:val="18"/>
        </w:rPr>
        <w:t>ed</w:t>
      </w:r>
      <w:proofErr w:type="spellEnd"/>
      <w:r>
        <w:rPr>
          <w:rFonts w:ascii="Times New Roman" w:hAnsi="Times New Roman"/>
          <w:sz w:val="18"/>
          <w:szCs w:val="18"/>
        </w:rPr>
        <w:t xml:space="preserve"> dinar amounts</w:t>
      </w:r>
      <w:r>
        <w:rPr>
          <w:rFonts w:ascii="Times New Roman" w:hAnsi="Times New Roman"/>
          <w:sz w:val="18"/>
          <w:szCs w:val="18"/>
          <w:lang w:val="en-GB"/>
        </w:rPr>
        <w:t>,</w:t>
      </w:r>
      <w:r w:rsidRPr="00351E4C">
        <w:rPr>
          <w:rFonts w:ascii="Times New Roman" w:hAnsi="Times New Roman"/>
          <w:sz w:val="18"/>
          <w:szCs w:val="18"/>
        </w:rPr>
        <w:t xml:space="preserve"> 86/2019, 90/2019 - corrected, 98/2020 - </w:t>
      </w:r>
      <w:proofErr w:type="spellStart"/>
      <w:r w:rsidRPr="00351E4C">
        <w:rPr>
          <w:rFonts w:ascii="Times New Roman" w:hAnsi="Times New Roman"/>
          <w:sz w:val="18"/>
          <w:szCs w:val="18"/>
        </w:rPr>
        <w:t>harmoni</w:t>
      </w:r>
      <w:r>
        <w:rPr>
          <w:rFonts w:ascii="Times New Roman" w:hAnsi="Times New Roman"/>
          <w:sz w:val="18"/>
          <w:szCs w:val="18"/>
          <w:lang w:val="en-GB"/>
        </w:rPr>
        <w:t>s</w:t>
      </w:r>
      <w:r>
        <w:rPr>
          <w:rFonts w:ascii="Times New Roman" w:hAnsi="Times New Roman"/>
          <w:sz w:val="18"/>
          <w:szCs w:val="18"/>
        </w:rPr>
        <w:t>ed</w:t>
      </w:r>
      <w:proofErr w:type="spellEnd"/>
      <w:r>
        <w:rPr>
          <w:rFonts w:ascii="Times New Roman" w:hAnsi="Times New Roman"/>
          <w:sz w:val="18"/>
          <w:szCs w:val="18"/>
        </w:rPr>
        <w:t xml:space="preserve"> dinar amounts</w:t>
      </w:r>
      <w:r>
        <w:rPr>
          <w:rFonts w:ascii="Times New Roman" w:hAnsi="Times New Roman"/>
          <w:sz w:val="18"/>
          <w:szCs w:val="18"/>
          <w:lang w:val="en-GB"/>
        </w:rPr>
        <w:t>,</w:t>
      </w:r>
      <w:r w:rsidRPr="00351E4C">
        <w:rPr>
          <w:rFonts w:ascii="Times New Roman" w:hAnsi="Times New Roman"/>
          <w:sz w:val="18"/>
          <w:szCs w:val="18"/>
        </w:rPr>
        <w:t xml:space="preserve"> 144/2020 and 62/2021 - </w:t>
      </w:r>
      <w:proofErr w:type="spellStart"/>
      <w:r w:rsidRPr="00351E4C">
        <w:rPr>
          <w:rFonts w:ascii="Times New Roman" w:hAnsi="Times New Roman"/>
          <w:sz w:val="18"/>
          <w:szCs w:val="18"/>
        </w:rPr>
        <w:t>harmoni</w:t>
      </w:r>
      <w:r>
        <w:rPr>
          <w:rFonts w:ascii="Times New Roman" w:hAnsi="Times New Roman"/>
          <w:sz w:val="18"/>
          <w:szCs w:val="18"/>
          <w:lang w:val="en-GB"/>
        </w:rPr>
        <w:t>s</w:t>
      </w:r>
      <w:r>
        <w:rPr>
          <w:rFonts w:ascii="Times New Roman" w:hAnsi="Times New Roman"/>
          <w:sz w:val="18"/>
          <w:szCs w:val="18"/>
        </w:rPr>
        <w:t>ed</w:t>
      </w:r>
      <w:proofErr w:type="spellEnd"/>
      <w:r>
        <w:rPr>
          <w:rFonts w:ascii="Times New Roman" w:hAnsi="Times New Roman"/>
          <w:sz w:val="18"/>
          <w:szCs w:val="18"/>
        </w:rPr>
        <w:t xml:space="preserve"> dinar amounts</w:t>
      </w:r>
      <w:r>
        <w:rPr>
          <w:rFonts w:ascii="Times New Roman" w:hAnsi="Times New Roman"/>
          <w:sz w:val="18"/>
          <w:szCs w:val="18"/>
          <w:lang w:val="en-GB"/>
        </w:rPr>
        <w:t>.</w:t>
      </w:r>
    </w:p>
  </w:footnote>
  <w:footnote w:id="85">
    <w:p w14:paraId="0269A949" w14:textId="77777777" w:rsidR="00547610" w:rsidRPr="00761E91" w:rsidRDefault="00547610" w:rsidP="00B911E1">
      <w:pPr>
        <w:pStyle w:val="FootnoteText"/>
        <w:rPr>
          <w:rFonts w:ascii="Times New Roman" w:hAnsi="Times New Roman"/>
          <w:sz w:val="18"/>
          <w:szCs w:val="18"/>
          <w:lang w:val="sr-Cyrl-RS"/>
        </w:rPr>
      </w:pPr>
      <w:r w:rsidRPr="00761E91">
        <w:rPr>
          <w:rStyle w:val="FootnoteReference"/>
          <w:rFonts w:ascii="Times New Roman" w:hAnsi="Times New Roman"/>
          <w:sz w:val="18"/>
          <w:szCs w:val="18"/>
        </w:rPr>
        <w:footnoteRef/>
      </w:r>
      <w:r w:rsidRPr="00761E91">
        <w:rPr>
          <w:rFonts w:ascii="Times New Roman" w:hAnsi="Times New Roman"/>
          <w:sz w:val="18"/>
          <w:szCs w:val="18"/>
        </w:rPr>
        <w:t xml:space="preserve"> </w:t>
      </w:r>
      <w:r>
        <w:rPr>
          <w:rFonts w:ascii="Times New Roman" w:hAnsi="Times New Roman"/>
          <w:i/>
          <w:sz w:val="18"/>
          <w:szCs w:val="18"/>
          <w:lang w:val="en-GB"/>
        </w:rPr>
        <w:t>The Official Gazette of the Republic of Serbia</w:t>
      </w:r>
      <w:r w:rsidRPr="00514320">
        <w:rPr>
          <w:rFonts w:ascii="Times New Roman" w:hAnsi="Times New Roman"/>
          <w:sz w:val="18"/>
          <w:szCs w:val="18"/>
        </w:rPr>
        <w:t xml:space="preserve">, </w:t>
      </w:r>
      <w:r>
        <w:rPr>
          <w:rFonts w:ascii="Times New Roman" w:hAnsi="Times New Roman"/>
          <w:sz w:val="18"/>
          <w:szCs w:val="18"/>
          <w:lang w:val="en-GB"/>
        </w:rPr>
        <w:t>No.</w:t>
      </w:r>
      <w:r w:rsidRPr="00761E91">
        <w:rPr>
          <w:rFonts w:ascii="Times New Roman" w:hAnsi="Times New Roman"/>
          <w:sz w:val="18"/>
          <w:szCs w:val="18"/>
          <w:lang w:val="sr-Cyrl-RS"/>
        </w:rPr>
        <w:t xml:space="preserve"> 87/2011</w:t>
      </w:r>
    </w:p>
  </w:footnote>
  <w:footnote w:id="86">
    <w:p w14:paraId="2A9002ED" w14:textId="77777777" w:rsidR="00547610" w:rsidRPr="00761E91" w:rsidRDefault="00547610" w:rsidP="004465DF">
      <w:pPr>
        <w:pStyle w:val="FootnoteText"/>
        <w:rPr>
          <w:rFonts w:ascii="Times New Roman" w:hAnsi="Times New Roman"/>
          <w:sz w:val="18"/>
          <w:szCs w:val="18"/>
          <w:lang w:val="sr-Cyrl-RS"/>
        </w:rPr>
      </w:pPr>
      <w:r w:rsidRPr="00761E91">
        <w:rPr>
          <w:rStyle w:val="FootnoteReference"/>
          <w:rFonts w:ascii="Times New Roman" w:hAnsi="Times New Roman"/>
          <w:sz w:val="18"/>
          <w:szCs w:val="18"/>
        </w:rPr>
        <w:footnoteRef/>
      </w:r>
      <w:r w:rsidRPr="00761E91">
        <w:rPr>
          <w:rFonts w:ascii="Times New Roman" w:hAnsi="Times New Roman"/>
          <w:sz w:val="18"/>
          <w:szCs w:val="18"/>
        </w:rPr>
        <w:t xml:space="preserve"> </w:t>
      </w:r>
      <w:r>
        <w:rPr>
          <w:rFonts w:ascii="Times New Roman" w:hAnsi="Times New Roman"/>
          <w:i/>
          <w:sz w:val="18"/>
          <w:szCs w:val="18"/>
          <w:lang w:val="en-GB"/>
        </w:rPr>
        <w:t>The Official Gazette of the Republic of Serbia</w:t>
      </w:r>
      <w:r w:rsidRPr="00514320">
        <w:rPr>
          <w:rFonts w:ascii="Times New Roman" w:hAnsi="Times New Roman"/>
          <w:sz w:val="18"/>
          <w:szCs w:val="18"/>
        </w:rPr>
        <w:t xml:space="preserve">, </w:t>
      </w:r>
      <w:r>
        <w:rPr>
          <w:rFonts w:ascii="Times New Roman" w:hAnsi="Times New Roman"/>
          <w:sz w:val="18"/>
          <w:szCs w:val="18"/>
          <w:lang w:val="en-GB"/>
        </w:rPr>
        <w:t>No.</w:t>
      </w:r>
      <w:r w:rsidRPr="00761E91">
        <w:rPr>
          <w:rFonts w:ascii="Times New Roman" w:hAnsi="Times New Roman"/>
          <w:sz w:val="18"/>
          <w:szCs w:val="18"/>
          <w:lang w:val="sr-Cyrl-RS"/>
        </w:rPr>
        <w:t xml:space="preserve">  14/2021</w:t>
      </w:r>
    </w:p>
  </w:footnote>
  <w:footnote w:id="87">
    <w:p w14:paraId="71CD1AC9" w14:textId="77777777" w:rsidR="00547610" w:rsidRPr="00A934C9" w:rsidRDefault="00547610" w:rsidP="00571797">
      <w:pPr>
        <w:pStyle w:val="FootnoteText"/>
        <w:rPr>
          <w:rFonts w:ascii="Times New Roman" w:hAnsi="Times New Roman"/>
          <w:sz w:val="18"/>
          <w:szCs w:val="18"/>
        </w:rPr>
      </w:pPr>
      <w:r w:rsidRPr="003073A1">
        <w:rPr>
          <w:rStyle w:val="FootnoteReference"/>
          <w:rFonts w:ascii="Times New Roman" w:hAnsi="Times New Roman"/>
          <w:sz w:val="18"/>
          <w:szCs w:val="18"/>
        </w:rPr>
        <w:footnoteRef/>
      </w:r>
      <w:r w:rsidRPr="003073A1">
        <w:rPr>
          <w:rFonts w:ascii="Times New Roman" w:hAnsi="Times New Roman"/>
          <w:sz w:val="18"/>
          <w:szCs w:val="18"/>
        </w:rPr>
        <w:t xml:space="preserve"> </w:t>
      </w:r>
      <w:r w:rsidRPr="00A934C9">
        <w:rPr>
          <w:rFonts w:ascii="Times New Roman" w:hAnsi="Times New Roman"/>
          <w:sz w:val="18"/>
          <w:szCs w:val="18"/>
        </w:rPr>
        <w:t xml:space="preserve">In accordance with the regulations governing the field of strategic planning, consultations are carried out from the very beginning of drafting, as well as during the monitoring of the implementation of regulations and public policy documents. The primary goal of the consultation is to gather information about the current situation in the area and the problems that exist and the vision of change that needs to be achieved, as well as to determine opinions and attitudes towards the proposed options, measures and solutions, and to gather additional proposals </w:t>
      </w:r>
      <w:r>
        <w:rPr>
          <w:rFonts w:ascii="Times New Roman" w:hAnsi="Times New Roman"/>
          <w:sz w:val="18"/>
          <w:szCs w:val="18"/>
        </w:rPr>
        <w:t xml:space="preserve">on possible courses of action. </w:t>
      </w:r>
      <w:r w:rsidRPr="00A934C9">
        <w:rPr>
          <w:rFonts w:ascii="Times New Roman" w:hAnsi="Times New Roman"/>
          <w:sz w:val="18"/>
          <w:szCs w:val="18"/>
        </w:rPr>
        <w:t xml:space="preserve"> Consultations are conducted using methods such as: collecting written comments, round tables, focus groups, semi-structured interviews, panels and surveys.</w:t>
      </w:r>
    </w:p>
  </w:footnote>
  <w:footnote w:id="88">
    <w:p w14:paraId="648975F2" w14:textId="77777777" w:rsidR="00547610" w:rsidRPr="008A7FB0" w:rsidRDefault="00547610" w:rsidP="00A05217">
      <w:pPr>
        <w:pStyle w:val="FootnoteText"/>
        <w:rPr>
          <w:rFonts w:ascii="Times New Roman" w:hAnsi="Times New Roman"/>
          <w:sz w:val="18"/>
          <w:szCs w:val="18"/>
          <w:lang w:val="sr-Cyrl-RS"/>
        </w:rPr>
      </w:pPr>
      <w:r w:rsidRPr="008A7FB0">
        <w:rPr>
          <w:rStyle w:val="FootnoteReference"/>
          <w:rFonts w:ascii="Times New Roman" w:hAnsi="Times New Roman"/>
          <w:sz w:val="18"/>
          <w:szCs w:val="18"/>
        </w:rPr>
        <w:footnoteRef/>
      </w:r>
      <w:r w:rsidRPr="008A7FB0">
        <w:rPr>
          <w:rFonts w:ascii="Times New Roman" w:hAnsi="Times New Roman"/>
          <w:sz w:val="18"/>
          <w:szCs w:val="18"/>
        </w:rPr>
        <w:t xml:space="preserve"> </w:t>
      </w:r>
      <w:hyperlink r:id="rId37" w:history="1">
        <w:r w:rsidRPr="00DF4D71">
          <w:rPr>
            <w:rStyle w:val="Hyperlink"/>
            <w:rFonts w:ascii="Times New Roman" w:hAnsi="Times New Roman"/>
            <w:sz w:val="18"/>
            <w:szCs w:val="18"/>
          </w:rPr>
          <w:t>https://slobodnarec.rs/2022/04/16/etnicka-distanca-odnos-vojvodjanskih-madjara-prema-drugim-nacionalnostima/</w:t>
        </w:r>
      </w:hyperlink>
      <w:r>
        <w:rPr>
          <w:rFonts w:ascii="Times New Roman" w:hAnsi="Times New Roman"/>
          <w:sz w:val="18"/>
          <w:szCs w:val="18"/>
          <w:lang w:val="sr-Cyrl-RS"/>
        </w:rPr>
        <w:t xml:space="preserve"> </w:t>
      </w:r>
    </w:p>
  </w:footnote>
  <w:footnote w:id="89">
    <w:p w14:paraId="087EB888" w14:textId="77777777" w:rsidR="00547610" w:rsidRPr="00277799" w:rsidRDefault="00547610" w:rsidP="00A05217">
      <w:pPr>
        <w:pStyle w:val="FootnoteText"/>
        <w:rPr>
          <w:rFonts w:ascii="Times New Roman" w:hAnsi="Times New Roman"/>
          <w:sz w:val="18"/>
          <w:szCs w:val="18"/>
          <w:lang w:val="sr-Cyrl-RS"/>
        </w:rPr>
      </w:pPr>
      <w:r w:rsidRPr="00277799">
        <w:rPr>
          <w:rStyle w:val="FootnoteReference"/>
          <w:rFonts w:ascii="Times New Roman" w:hAnsi="Times New Roman"/>
          <w:sz w:val="18"/>
          <w:szCs w:val="18"/>
        </w:rPr>
        <w:footnoteRef/>
      </w:r>
      <w:r w:rsidRPr="00277799">
        <w:rPr>
          <w:rFonts w:ascii="Times New Roman" w:hAnsi="Times New Roman"/>
          <w:sz w:val="18"/>
          <w:szCs w:val="18"/>
        </w:rPr>
        <w:t xml:space="preserve"> </w:t>
      </w:r>
      <w:hyperlink r:id="rId38" w:history="1">
        <w:r w:rsidRPr="00DF4D71">
          <w:rPr>
            <w:rStyle w:val="Hyperlink"/>
            <w:rFonts w:ascii="Times New Roman" w:hAnsi="Times New Roman"/>
            <w:sz w:val="18"/>
            <w:szCs w:val="18"/>
          </w:rPr>
          <w:t>https://isi.f.bg.ac.rs/wp-content/uploads/2020/01/Mladen-Lazi%C4%87-Slobodan-Cveji%C4%87-prir-Stratifikacijske-promene-u-periodu-konsolidacije-kapitalizma-u-Srbiji.pdf</w:t>
        </w:r>
      </w:hyperlink>
      <w:r>
        <w:rPr>
          <w:rFonts w:ascii="Times New Roman" w:hAnsi="Times New Roman"/>
          <w:sz w:val="18"/>
          <w:szCs w:val="18"/>
          <w:lang w:val="sr-Cyrl-RS"/>
        </w:rPr>
        <w:t xml:space="preserve"> </w:t>
      </w:r>
    </w:p>
  </w:footnote>
  <w:footnote w:id="90">
    <w:p w14:paraId="0079F74D" w14:textId="77777777" w:rsidR="00547610" w:rsidRPr="006D7CF9" w:rsidRDefault="00547610" w:rsidP="00B60BAE">
      <w:pPr>
        <w:pStyle w:val="FootnoteText"/>
        <w:rPr>
          <w:lang w:val="en-GB"/>
        </w:rPr>
      </w:pPr>
      <w:r w:rsidRPr="009C3510">
        <w:rPr>
          <w:rStyle w:val="FootnoteReference"/>
          <w:rFonts w:ascii="Times New Roman" w:hAnsi="Times New Roman"/>
          <w:sz w:val="18"/>
          <w:szCs w:val="18"/>
        </w:rPr>
        <w:footnoteRef/>
      </w:r>
      <w:r w:rsidRPr="009C3510">
        <w:rPr>
          <w:rFonts w:ascii="Times New Roman" w:hAnsi="Times New Roman"/>
          <w:sz w:val="18"/>
          <w:szCs w:val="18"/>
        </w:rPr>
        <w:t xml:space="preserve"> </w:t>
      </w:r>
      <w:r>
        <w:rPr>
          <w:rFonts w:ascii="Times New Roman" w:hAnsi="Times New Roman"/>
          <w:i/>
          <w:sz w:val="18"/>
          <w:szCs w:val="18"/>
          <w:lang w:val="en-GB"/>
        </w:rPr>
        <w:t>The Official Gazette of the Republic of Serbia,</w:t>
      </w:r>
      <w:r w:rsidRPr="009C3510">
        <w:rPr>
          <w:rFonts w:ascii="Times New Roman" w:hAnsi="Times New Roman"/>
          <w:sz w:val="18"/>
          <w:szCs w:val="18"/>
        </w:rPr>
        <w:t xml:space="preserve"> </w:t>
      </w:r>
      <w:r>
        <w:rPr>
          <w:rFonts w:ascii="Times New Roman" w:hAnsi="Times New Roman"/>
          <w:sz w:val="18"/>
          <w:szCs w:val="18"/>
          <w:lang w:val="en-GB"/>
        </w:rPr>
        <w:t>Nos</w:t>
      </w:r>
      <w:r w:rsidRPr="009C3510">
        <w:rPr>
          <w:rFonts w:ascii="Times New Roman" w:hAnsi="Times New Roman"/>
          <w:sz w:val="18"/>
          <w:szCs w:val="18"/>
        </w:rPr>
        <w:t xml:space="preserve">. 83/2014, 58/2015 </w:t>
      </w:r>
      <w:r>
        <w:rPr>
          <w:rFonts w:ascii="Times New Roman" w:hAnsi="Times New Roman"/>
          <w:sz w:val="18"/>
          <w:szCs w:val="18"/>
          <w:lang w:val="en-GB"/>
        </w:rPr>
        <w:t>and</w:t>
      </w:r>
      <w:r w:rsidRPr="009C3510">
        <w:rPr>
          <w:rFonts w:ascii="Times New Roman" w:hAnsi="Times New Roman"/>
          <w:sz w:val="18"/>
          <w:szCs w:val="18"/>
        </w:rPr>
        <w:t xml:space="preserve"> 12/2016 </w:t>
      </w:r>
      <w:r>
        <w:rPr>
          <w:rFonts w:ascii="Times New Roman" w:hAnsi="Times New Roman"/>
          <w:sz w:val="18"/>
          <w:szCs w:val="18"/>
        </w:rPr>
        <w:t>–</w:t>
      </w:r>
      <w:r w:rsidRPr="009C3510">
        <w:rPr>
          <w:rFonts w:ascii="Times New Roman" w:hAnsi="Times New Roman"/>
          <w:sz w:val="18"/>
          <w:szCs w:val="18"/>
        </w:rPr>
        <w:t xml:space="preserve"> </w:t>
      </w:r>
      <w:r>
        <w:rPr>
          <w:rFonts w:ascii="Times New Roman" w:hAnsi="Times New Roman"/>
          <w:sz w:val="18"/>
          <w:szCs w:val="18"/>
          <w:lang w:val="en-GB"/>
        </w:rPr>
        <w:t>authentic interpretation</w:t>
      </w:r>
    </w:p>
  </w:footnote>
  <w:footnote w:id="91">
    <w:p w14:paraId="6210F9CC" w14:textId="77777777" w:rsidR="00547610" w:rsidRPr="00126AEB" w:rsidRDefault="00547610" w:rsidP="00B60BAE">
      <w:pPr>
        <w:pStyle w:val="FootnoteText"/>
        <w:rPr>
          <w:rFonts w:ascii="Times New Roman" w:hAnsi="Times New Roman"/>
          <w:sz w:val="18"/>
          <w:szCs w:val="18"/>
          <w:lang w:val="sr-Cyrl-RS"/>
        </w:rPr>
      </w:pPr>
      <w:r w:rsidRPr="00126AEB">
        <w:rPr>
          <w:rStyle w:val="FootnoteReference"/>
          <w:rFonts w:ascii="Times New Roman" w:hAnsi="Times New Roman"/>
          <w:sz w:val="18"/>
          <w:szCs w:val="18"/>
        </w:rPr>
        <w:footnoteRef/>
      </w:r>
      <w:r w:rsidRPr="00126AEB">
        <w:rPr>
          <w:rFonts w:ascii="Times New Roman" w:hAnsi="Times New Roman"/>
          <w:sz w:val="18"/>
          <w:szCs w:val="18"/>
        </w:rPr>
        <w:t xml:space="preserve"> </w:t>
      </w:r>
      <w:r>
        <w:rPr>
          <w:rFonts w:ascii="Times New Roman" w:hAnsi="Times New Roman"/>
          <w:i/>
          <w:sz w:val="18"/>
          <w:szCs w:val="18"/>
          <w:lang w:val="en-GB"/>
        </w:rPr>
        <w:t>The Official Gazette of the Republic of Serbia,</w:t>
      </w:r>
      <w:r w:rsidRPr="009C3510">
        <w:rPr>
          <w:rFonts w:ascii="Times New Roman" w:hAnsi="Times New Roman"/>
          <w:sz w:val="18"/>
          <w:szCs w:val="18"/>
        </w:rPr>
        <w:t xml:space="preserve"> </w:t>
      </w:r>
      <w:r>
        <w:rPr>
          <w:rFonts w:ascii="Times New Roman" w:hAnsi="Times New Roman"/>
          <w:sz w:val="18"/>
          <w:szCs w:val="18"/>
          <w:lang w:val="en-GB"/>
        </w:rPr>
        <w:t>No</w:t>
      </w:r>
      <w:r w:rsidRPr="00126AEB">
        <w:rPr>
          <w:rFonts w:ascii="Times New Roman" w:hAnsi="Times New Roman"/>
          <w:sz w:val="18"/>
          <w:szCs w:val="18"/>
          <w:lang w:val="sr-Cyrl-RS"/>
        </w:rPr>
        <w:t>.</w:t>
      </w:r>
      <w:r>
        <w:rPr>
          <w:rFonts w:ascii="Times New Roman" w:hAnsi="Times New Roman"/>
          <w:sz w:val="18"/>
          <w:szCs w:val="18"/>
          <w:lang w:val="sr-Cyrl-RS"/>
        </w:rPr>
        <w:t xml:space="preserve"> </w:t>
      </w:r>
      <w:r w:rsidRPr="00126AEB">
        <w:rPr>
          <w:rFonts w:ascii="Times New Roman" w:hAnsi="Times New Roman"/>
          <w:sz w:val="18"/>
          <w:szCs w:val="18"/>
          <w:lang w:val="sr-Cyrl-RS"/>
        </w:rPr>
        <w:t xml:space="preserve">83/2014, 6/2016 </w:t>
      </w:r>
      <w:r>
        <w:rPr>
          <w:rFonts w:ascii="Times New Roman" w:hAnsi="Times New Roman"/>
          <w:sz w:val="18"/>
          <w:szCs w:val="18"/>
          <w:lang w:val="sr-Cyrl-RS"/>
        </w:rPr>
        <w:t>–</w:t>
      </w:r>
      <w:r w:rsidRPr="00126AEB">
        <w:rPr>
          <w:rFonts w:ascii="Times New Roman" w:hAnsi="Times New Roman"/>
          <w:sz w:val="18"/>
          <w:szCs w:val="18"/>
          <w:lang w:val="sr-Cyrl-RS"/>
        </w:rPr>
        <w:t xml:space="preserve"> </w:t>
      </w:r>
      <w:r>
        <w:rPr>
          <w:rFonts w:ascii="Times New Roman" w:hAnsi="Times New Roman"/>
          <w:sz w:val="18"/>
          <w:szCs w:val="18"/>
          <w:lang w:val="en-GB"/>
        </w:rPr>
        <w:t>other law and</w:t>
      </w:r>
      <w:r w:rsidRPr="00126AEB">
        <w:rPr>
          <w:rFonts w:ascii="Times New Roman" w:hAnsi="Times New Roman"/>
          <w:sz w:val="18"/>
          <w:szCs w:val="18"/>
          <w:lang w:val="sr-Cyrl-RS"/>
        </w:rPr>
        <w:t xml:space="preserve"> 129/2021</w:t>
      </w:r>
    </w:p>
  </w:footnote>
  <w:footnote w:id="92">
    <w:p w14:paraId="404BE31F" w14:textId="77777777" w:rsidR="00547610" w:rsidRPr="000C0879" w:rsidRDefault="00547610" w:rsidP="00C82C65">
      <w:pPr>
        <w:pStyle w:val="FootnoteText"/>
        <w:rPr>
          <w:rFonts w:ascii="Times New Roman" w:hAnsi="Times New Roman"/>
          <w:sz w:val="18"/>
          <w:szCs w:val="18"/>
          <w:lang w:val="sr-Cyrl-RS"/>
        </w:rPr>
      </w:pPr>
      <w:r w:rsidRPr="000C0879">
        <w:rPr>
          <w:rStyle w:val="FootnoteReference"/>
          <w:rFonts w:ascii="Times New Roman" w:hAnsi="Times New Roman"/>
          <w:sz w:val="18"/>
          <w:szCs w:val="18"/>
        </w:rPr>
        <w:footnoteRef/>
      </w:r>
      <w:r w:rsidRPr="000C0879">
        <w:rPr>
          <w:rFonts w:ascii="Times New Roman" w:hAnsi="Times New Roman"/>
          <w:sz w:val="18"/>
          <w:szCs w:val="18"/>
        </w:rPr>
        <w:t xml:space="preserve"> </w:t>
      </w:r>
      <w:hyperlink r:id="rId39" w:history="1">
        <w:r w:rsidRPr="00DF4D71">
          <w:rPr>
            <w:rStyle w:val="Hyperlink"/>
            <w:rFonts w:ascii="Times New Roman" w:hAnsi="Times New Roman"/>
            <w:sz w:val="18"/>
            <w:szCs w:val="18"/>
          </w:rPr>
          <w:t>http://www.rem.rs/sr/odluke/izrecene-mere</w:t>
        </w:r>
      </w:hyperlink>
      <w:r>
        <w:rPr>
          <w:rFonts w:ascii="Times New Roman" w:hAnsi="Times New Roman"/>
          <w:sz w:val="18"/>
          <w:szCs w:val="18"/>
          <w:lang w:val="sr-Cyrl-RS"/>
        </w:rPr>
        <w:t xml:space="preserve"> </w:t>
      </w:r>
    </w:p>
  </w:footnote>
  <w:footnote w:id="93">
    <w:p w14:paraId="3A5503AA" w14:textId="77777777" w:rsidR="00547610" w:rsidRPr="00126AEB" w:rsidRDefault="00547610" w:rsidP="00A012EE">
      <w:pPr>
        <w:pStyle w:val="FootnoteText"/>
        <w:rPr>
          <w:rFonts w:ascii="Times New Roman" w:hAnsi="Times New Roman"/>
          <w:sz w:val="18"/>
          <w:szCs w:val="18"/>
          <w:lang w:val="sr-Cyrl-RS"/>
        </w:rPr>
      </w:pPr>
      <w:r w:rsidRPr="00126AEB">
        <w:rPr>
          <w:rStyle w:val="FootnoteReference"/>
          <w:rFonts w:ascii="Times New Roman" w:hAnsi="Times New Roman"/>
          <w:sz w:val="18"/>
          <w:szCs w:val="18"/>
        </w:rPr>
        <w:footnoteRef/>
      </w:r>
      <w:r w:rsidRPr="00126AEB">
        <w:rPr>
          <w:rFonts w:ascii="Times New Roman" w:hAnsi="Times New Roman"/>
          <w:sz w:val="18"/>
          <w:szCs w:val="18"/>
        </w:rPr>
        <w:t xml:space="preserve"> </w:t>
      </w:r>
      <w:r>
        <w:rPr>
          <w:rFonts w:ascii="Times New Roman" w:hAnsi="Times New Roman"/>
          <w:i/>
          <w:sz w:val="18"/>
          <w:szCs w:val="18"/>
          <w:lang w:val="en-GB"/>
        </w:rPr>
        <w:t>The Official Gazette of the Republic of Serbia,</w:t>
      </w:r>
      <w:r w:rsidRPr="009C3510">
        <w:rPr>
          <w:rFonts w:ascii="Times New Roman" w:hAnsi="Times New Roman"/>
          <w:sz w:val="18"/>
          <w:szCs w:val="18"/>
        </w:rPr>
        <w:t xml:space="preserve"> </w:t>
      </w:r>
      <w:r>
        <w:rPr>
          <w:rFonts w:ascii="Times New Roman" w:hAnsi="Times New Roman"/>
          <w:sz w:val="18"/>
          <w:szCs w:val="18"/>
          <w:lang w:val="en-GB"/>
        </w:rPr>
        <w:t>No.</w:t>
      </w:r>
      <w:r w:rsidRPr="00126AEB">
        <w:rPr>
          <w:rFonts w:ascii="Times New Roman" w:hAnsi="Times New Roman"/>
          <w:sz w:val="18"/>
          <w:szCs w:val="18"/>
          <w:lang w:val="sr-Cyrl-RS"/>
        </w:rPr>
        <w:t xml:space="preserve"> 10/2016</w:t>
      </w:r>
    </w:p>
  </w:footnote>
  <w:footnote w:id="94">
    <w:p w14:paraId="6A7A5DB5" w14:textId="77777777" w:rsidR="00547610" w:rsidRPr="002166C2" w:rsidRDefault="00547610" w:rsidP="00264238">
      <w:pPr>
        <w:pStyle w:val="FootnoteText"/>
        <w:rPr>
          <w:rFonts w:ascii="Times New Roman" w:hAnsi="Times New Roman"/>
          <w:sz w:val="18"/>
          <w:szCs w:val="18"/>
          <w:lang w:val="sr-Cyrl-RS"/>
        </w:rPr>
      </w:pPr>
      <w:r w:rsidRPr="002166C2">
        <w:rPr>
          <w:rStyle w:val="FootnoteReference"/>
          <w:rFonts w:ascii="Times New Roman" w:hAnsi="Times New Roman"/>
          <w:sz w:val="18"/>
          <w:szCs w:val="18"/>
        </w:rPr>
        <w:footnoteRef/>
      </w:r>
      <w:r w:rsidRPr="002166C2">
        <w:rPr>
          <w:rFonts w:ascii="Times New Roman" w:hAnsi="Times New Roman"/>
          <w:sz w:val="18"/>
          <w:szCs w:val="18"/>
        </w:rPr>
        <w:t xml:space="preserve"> </w:t>
      </w:r>
      <w:r>
        <w:rPr>
          <w:rFonts w:ascii="Times New Roman" w:hAnsi="Times New Roman"/>
          <w:i/>
          <w:sz w:val="18"/>
          <w:szCs w:val="18"/>
          <w:lang w:val="en-GB"/>
        </w:rPr>
        <w:t>The Official Gazette of the Republic of Serbia,</w:t>
      </w:r>
      <w:r w:rsidRPr="009C3510">
        <w:rPr>
          <w:rFonts w:ascii="Times New Roman" w:hAnsi="Times New Roman"/>
          <w:sz w:val="18"/>
          <w:szCs w:val="18"/>
        </w:rPr>
        <w:t xml:space="preserve"> </w:t>
      </w:r>
      <w:r>
        <w:rPr>
          <w:rFonts w:ascii="Times New Roman" w:hAnsi="Times New Roman"/>
          <w:sz w:val="18"/>
          <w:szCs w:val="18"/>
          <w:lang w:val="en-GB"/>
        </w:rPr>
        <w:t>No.</w:t>
      </w:r>
      <w:r w:rsidRPr="002166C2">
        <w:rPr>
          <w:rFonts w:ascii="Times New Roman" w:hAnsi="Times New Roman"/>
          <w:sz w:val="18"/>
          <w:szCs w:val="18"/>
          <w:lang w:val="sr-Cyrl-RS"/>
        </w:rPr>
        <w:t xml:space="preserve"> </w:t>
      </w:r>
      <w:r w:rsidRPr="002166C2">
        <w:rPr>
          <w:rFonts w:ascii="Times New Roman" w:hAnsi="Times New Roman"/>
          <w:sz w:val="18"/>
          <w:szCs w:val="18"/>
        </w:rPr>
        <w:t>63</w:t>
      </w:r>
      <w:r w:rsidRPr="002166C2">
        <w:rPr>
          <w:rFonts w:ascii="Times New Roman" w:hAnsi="Times New Roman"/>
          <w:sz w:val="18"/>
          <w:szCs w:val="18"/>
          <w:lang w:val="sr-Cyrl-RS"/>
        </w:rPr>
        <w:t>/</w:t>
      </w:r>
      <w:r w:rsidRPr="002166C2">
        <w:rPr>
          <w:rFonts w:ascii="Times New Roman" w:hAnsi="Times New Roman"/>
          <w:sz w:val="18"/>
          <w:szCs w:val="18"/>
        </w:rPr>
        <w:t>2013</w:t>
      </w:r>
    </w:p>
  </w:footnote>
  <w:footnote w:id="95">
    <w:p w14:paraId="7369D77F" w14:textId="77777777" w:rsidR="00547610" w:rsidRPr="002166C2" w:rsidRDefault="00547610" w:rsidP="00264238">
      <w:pPr>
        <w:pStyle w:val="FootnoteText"/>
        <w:rPr>
          <w:rFonts w:ascii="Times New Roman" w:hAnsi="Times New Roman"/>
          <w:sz w:val="18"/>
          <w:szCs w:val="18"/>
          <w:lang w:val="sr-Cyrl-RS"/>
        </w:rPr>
      </w:pPr>
      <w:r w:rsidRPr="002166C2">
        <w:rPr>
          <w:rStyle w:val="FootnoteReference"/>
          <w:rFonts w:ascii="Times New Roman" w:hAnsi="Times New Roman"/>
          <w:sz w:val="18"/>
          <w:szCs w:val="18"/>
        </w:rPr>
        <w:footnoteRef/>
      </w:r>
      <w:r w:rsidRPr="002166C2">
        <w:rPr>
          <w:rFonts w:ascii="Times New Roman" w:hAnsi="Times New Roman"/>
          <w:sz w:val="18"/>
          <w:szCs w:val="18"/>
          <w:lang w:val="sr-Cyrl-RS"/>
        </w:rPr>
        <w:t xml:space="preserve"> </w:t>
      </w:r>
      <w:r>
        <w:rPr>
          <w:rFonts w:ascii="Times New Roman" w:hAnsi="Times New Roman"/>
          <w:i/>
          <w:sz w:val="18"/>
          <w:szCs w:val="18"/>
          <w:lang w:val="en-GB"/>
        </w:rPr>
        <w:t>The Official Gazette of the Republic of Serbia,</w:t>
      </w:r>
      <w:r w:rsidRPr="009C3510">
        <w:rPr>
          <w:rFonts w:ascii="Times New Roman" w:hAnsi="Times New Roman"/>
          <w:sz w:val="18"/>
          <w:szCs w:val="18"/>
        </w:rPr>
        <w:t xml:space="preserve"> </w:t>
      </w:r>
      <w:r>
        <w:rPr>
          <w:rFonts w:ascii="Times New Roman" w:hAnsi="Times New Roman"/>
          <w:sz w:val="18"/>
          <w:szCs w:val="18"/>
          <w:lang w:val="en-GB"/>
        </w:rPr>
        <w:t>No.</w:t>
      </w:r>
      <w:r w:rsidRPr="002166C2">
        <w:rPr>
          <w:rFonts w:ascii="Times New Roman" w:hAnsi="Times New Roman"/>
          <w:sz w:val="18"/>
          <w:szCs w:val="18"/>
        </w:rPr>
        <w:t xml:space="preserve"> 22</w:t>
      </w:r>
      <w:r w:rsidRPr="002166C2">
        <w:rPr>
          <w:rFonts w:ascii="Times New Roman" w:hAnsi="Times New Roman"/>
          <w:sz w:val="18"/>
          <w:szCs w:val="18"/>
          <w:lang w:val="sr-Cyrl-RS"/>
        </w:rPr>
        <w:t>/</w:t>
      </w:r>
      <w:r w:rsidRPr="002166C2">
        <w:rPr>
          <w:rFonts w:ascii="Times New Roman" w:hAnsi="Times New Roman"/>
          <w:sz w:val="18"/>
          <w:szCs w:val="18"/>
        </w:rPr>
        <w:t>2015</w:t>
      </w:r>
    </w:p>
  </w:footnote>
  <w:footnote w:id="96">
    <w:p w14:paraId="3E7D0ECF" w14:textId="77777777" w:rsidR="00547610" w:rsidRPr="002166C2" w:rsidRDefault="00547610" w:rsidP="00501812">
      <w:pPr>
        <w:pStyle w:val="FootnoteText"/>
        <w:rPr>
          <w:rFonts w:ascii="Times New Roman" w:hAnsi="Times New Roman"/>
          <w:sz w:val="18"/>
          <w:szCs w:val="18"/>
          <w:lang w:val="sr-Cyrl-RS"/>
        </w:rPr>
      </w:pPr>
      <w:r w:rsidRPr="002166C2">
        <w:rPr>
          <w:rStyle w:val="FootnoteReference"/>
          <w:rFonts w:ascii="Times New Roman" w:hAnsi="Times New Roman"/>
          <w:sz w:val="18"/>
          <w:szCs w:val="18"/>
        </w:rPr>
        <w:footnoteRef/>
      </w:r>
      <w:r w:rsidRPr="002166C2">
        <w:rPr>
          <w:rFonts w:ascii="Times New Roman" w:hAnsi="Times New Roman"/>
          <w:sz w:val="18"/>
          <w:szCs w:val="18"/>
        </w:rPr>
        <w:t xml:space="preserve"> </w:t>
      </w:r>
      <w:r>
        <w:rPr>
          <w:rFonts w:ascii="Times New Roman" w:hAnsi="Times New Roman"/>
          <w:i/>
          <w:sz w:val="18"/>
          <w:szCs w:val="18"/>
          <w:lang w:val="en-GB"/>
        </w:rPr>
        <w:t>The Official Gazette of the Republic of Serbia,</w:t>
      </w:r>
      <w:r w:rsidRPr="009C3510">
        <w:rPr>
          <w:rFonts w:ascii="Times New Roman" w:hAnsi="Times New Roman"/>
          <w:sz w:val="18"/>
          <w:szCs w:val="18"/>
        </w:rPr>
        <w:t xml:space="preserve"> </w:t>
      </w:r>
      <w:r>
        <w:rPr>
          <w:rFonts w:ascii="Times New Roman" w:hAnsi="Times New Roman"/>
          <w:sz w:val="18"/>
          <w:szCs w:val="18"/>
          <w:lang w:val="en-GB"/>
        </w:rPr>
        <w:t>No.</w:t>
      </w:r>
      <w:r w:rsidRPr="002166C2">
        <w:rPr>
          <w:rFonts w:ascii="Times New Roman" w:hAnsi="Times New Roman"/>
          <w:sz w:val="18"/>
          <w:szCs w:val="18"/>
        </w:rPr>
        <w:t xml:space="preserve"> 13</w:t>
      </w:r>
      <w:r w:rsidRPr="002166C2">
        <w:rPr>
          <w:rFonts w:ascii="Times New Roman" w:hAnsi="Times New Roman"/>
          <w:sz w:val="18"/>
          <w:szCs w:val="18"/>
          <w:lang w:val="sr-Cyrl-RS"/>
        </w:rPr>
        <w:t>/</w:t>
      </w:r>
      <w:r w:rsidRPr="002166C2">
        <w:rPr>
          <w:rFonts w:ascii="Times New Roman" w:hAnsi="Times New Roman"/>
          <w:sz w:val="18"/>
          <w:szCs w:val="18"/>
        </w:rPr>
        <w:t>2020</w:t>
      </w:r>
    </w:p>
  </w:footnote>
  <w:footnote w:id="97">
    <w:p w14:paraId="5EADF5C9" w14:textId="77777777" w:rsidR="00547610" w:rsidRPr="00051036" w:rsidRDefault="00547610" w:rsidP="00ED3013">
      <w:pPr>
        <w:pStyle w:val="FootnoteText"/>
        <w:rPr>
          <w:lang w:val="sr-Cyrl-RS"/>
        </w:rPr>
      </w:pPr>
      <w:r>
        <w:rPr>
          <w:rStyle w:val="FootnoteReference"/>
        </w:rPr>
        <w:footnoteRef/>
      </w:r>
      <w:r>
        <w:t xml:space="preserve"> </w:t>
      </w:r>
      <w:r>
        <w:rPr>
          <w:rFonts w:ascii="Times New Roman" w:hAnsi="Times New Roman"/>
          <w:i/>
          <w:sz w:val="18"/>
          <w:szCs w:val="18"/>
          <w:lang w:val="en-GB"/>
        </w:rPr>
        <w:t>The Official Gazette of the Republic of Serbia,</w:t>
      </w:r>
      <w:r w:rsidRPr="009C3510">
        <w:rPr>
          <w:rFonts w:ascii="Times New Roman" w:hAnsi="Times New Roman"/>
          <w:sz w:val="18"/>
          <w:szCs w:val="18"/>
        </w:rPr>
        <w:t xml:space="preserve"> </w:t>
      </w:r>
      <w:r>
        <w:rPr>
          <w:rFonts w:ascii="Times New Roman" w:hAnsi="Times New Roman"/>
          <w:sz w:val="18"/>
          <w:szCs w:val="18"/>
          <w:lang w:val="en-GB"/>
        </w:rPr>
        <w:t>Nos</w:t>
      </w:r>
      <w:r>
        <w:rPr>
          <w:rFonts w:ascii="Times New Roman" w:hAnsi="Times New Roman"/>
          <w:sz w:val="18"/>
          <w:szCs w:val="18"/>
        </w:rPr>
        <w:t xml:space="preserve">. </w:t>
      </w:r>
      <w:r w:rsidRPr="00051036">
        <w:rPr>
          <w:rFonts w:ascii="Times New Roman" w:hAnsi="Times New Roman"/>
          <w:sz w:val="18"/>
          <w:szCs w:val="18"/>
        </w:rPr>
        <w:t xml:space="preserve">6/2016, 24/2018 </w:t>
      </w:r>
      <w:r>
        <w:rPr>
          <w:rFonts w:ascii="Times New Roman" w:hAnsi="Times New Roman"/>
          <w:sz w:val="18"/>
          <w:szCs w:val="18"/>
          <w:lang w:val="en-GB"/>
        </w:rPr>
        <w:t>and</w:t>
      </w:r>
      <w:r w:rsidRPr="00051036">
        <w:rPr>
          <w:rFonts w:ascii="Times New Roman" w:hAnsi="Times New Roman"/>
          <w:sz w:val="18"/>
          <w:szCs w:val="18"/>
        </w:rPr>
        <w:t xml:space="preserve"> 87/2018</w:t>
      </w:r>
    </w:p>
  </w:footnote>
  <w:footnote w:id="98">
    <w:p w14:paraId="52BB1103" w14:textId="77777777" w:rsidR="00547610" w:rsidRPr="00FD4991" w:rsidRDefault="00547610" w:rsidP="00E81012">
      <w:pPr>
        <w:pStyle w:val="FootnoteText"/>
        <w:rPr>
          <w:rFonts w:ascii="Times New Roman" w:hAnsi="Times New Roman"/>
          <w:sz w:val="18"/>
          <w:szCs w:val="18"/>
          <w:lang w:val="sr-Cyrl-RS"/>
        </w:rPr>
      </w:pPr>
      <w:r w:rsidRPr="00C73A86">
        <w:rPr>
          <w:rStyle w:val="FootnoteReference"/>
          <w:rFonts w:ascii="Times New Roman" w:hAnsi="Times New Roman"/>
          <w:sz w:val="18"/>
          <w:szCs w:val="18"/>
        </w:rPr>
        <w:footnoteRef/>
      </w:r>
      <w:r w:rsidRPr="00C73A86">
        <w:rPr>
          <w:rFonts w:ascii="Times New Roman" w:hAnsi="Times New Roman"/>
          <w:sz w:val="18"/>
          <w:szCs w:val="18"/>
        </w:rPr>
        <w:t xml:space="preserve"> </w:t>
      </w:r>
      <w:r w:rsidRPr="000A44B5">
        <w:rPr>
          <w:rFonts w:ascii="Times New Roman" w:hAnsi="Times New Roman"/>
          <w:sz w:val="18"/>
          <w:szCs w:val="18"/>
          <w:lang w:val="sr-Cyrl-RS"/>
        </w:rPr>
        <w:t>The questionnaires were sent in order to prepare a special study that was the result of the cooperation between the Office for Human and Minority Rights of the Government of the Republic of Serbia and the OSCE Mi</w:t>
      </w:r>
      <w:r>
        <w:rPr>
          <w:rFonts w:ascii="Times New Roman" w:hAnsi="Times New Roman"/>
          <w:sz w:val="18"/>
          <w:szCs w:val="18"/>
          <w:lang w:val="sr-Cyrl-RS"/>
        </w:rPr>
        <w:t>ssion to the Republic of Serbia.</w:t>
      </w:r>
    </w:p>
  </w:footnote>
  <w:footnote w:id="99">
    <w:p w14:paraId="6D8876A1" w14:textId="77777777" w:rsidR="00547610" w:rsidRPr="00C73A86" w:rsidRDefault="00547610" w:rsidP="006E53F2">
      <w:pPr>
        <w:pStyle w:val="FootnoteText"/>
        <w:rPr>
          <w:rFonts w:ascii="Times New Roman" w:hAnsi="Times New Roman"/>
          <w:sz w:val="18"/>
          <w:szCs w:val="18"/>
          <w:lang w:val="sr-Cyrl-RS"/>
        </w:rPr>
      </w:pPr>
      <w:r w:rsidRPr="00C73A86">
        <w:rPr>
          <w:rStyle w:val="FootnoteReference"/>
          <w:rFonts w:ascii="Times New Roman" w:hAnsi="Times New Roman"/>
          <w:sz w:val="18"/>
          <w:szCs w:val="18"/>
        </w:rPr>
        <w:footnoteRef/>
      </w:r>
      <w:r w:rsidRPr="00C73A86">
        <w:rPr>
          <w:rFonts w:ascii="Times New Roman" w:hAnsi="Times New Roman"/>
          <w:sz w:val="18"/>
          <w:szCs w:val="18"/>
        </w:rPr>
        <w:t xml:space="preserve"> </w:t>
      </w:r>
      <w:r w:rsidRPr="003B22F9">
        <w:rPr>
          <w:rFonts w:ascii="Times New Roman" w:hAnsi="Times New Roman"/>
          <w:sz w:val="18"/>
          <w:szCs w:val="18"/>
        </w:rPr>
        <w:t xml:space="preserve">The following local </w:t>
      </w:r>
      <w:r>
        <w:rPr>
          <w:rFonts w:ascii="Times New Roman" w:hAnsi="Times New Roman"/>
          <w:sz w:val="18"/>
          <w:szCs w:val="18"/>
          <w:lang w:val="en-GB"/>
        </w:rPr>
        <w:t>self-</w:t>
      </w:r>
      <w:r w:rsidRPr="003B22F9">
        <w:rPr>
          <w:rFonts w:ascii="Times New Roman" w:hAnsi="Times New Roman"/>
          <w:sz w:val="18"/>
          <w:szCs w:val="18"/>
        </w:rPr>
        <w:t xml:space="preserve">government units were selected: </w:t>
      </w:r>
      <w:proofErr w:type="spellStart"/>
      <w:r w:rsidRPr="003B22F9">
        <w:rPr>
          <w:rFonts w:ascii="Times New Roman" w:hAnsi="Times New Roman"/>
          <w:sz w:val="18"/>
          <w:szCs w:val="18"/>
        </w:rPr>
        <w:t>Apatin</w:t>
      </w:r>
      <w:proofErr w:type="spellEnd"/>
      <w:r w:rsidRPr="003B22F9">
        <w:rPr>
          <w:rFonts w:ascii="Times New Roman" w:hAnsi="Times New Roman"/>
          <w:sz w:val="18"/>
          <w:szCs w:val="18"/>
        </w:rPr>
        <w:t xml:space="preserve">, Bela </w:t>
      </w:r>
      <w:proofErr w:type="spellStart"/>
      <w:r w:rsidRPr="003B22F9">
        <w:rPr>
          <w:rFonts w:ascii="Times New Roman" w:hAnsi="Times New Roman"/>
          <w:sz w:val="18"/>
          <w:szCs w:val="18"/>
        </w:rPr>
        <w:t>Palanka</w:t>
      </w:r>
      <w:proofErr w:type="spellEnd"/>
      <w:r w:rsidRPr="003B22F9">
        <w:rPr>
          <w:rFonts w:ascii="Times New Roman" w:hAnsi="Times New Roman"/>
          <w:sz w:val="18"/>
          <w:szCs w:val="18"/>
        </w:rPr>
        <w:t xml:space="preserve">, </w:t>
      </w:r>
      <w:proofErr w:type="spellStart"/>
      <w:r w:rsidRPr="003B22F9">
        <w:rPr>
          <w:rFonts w:ascii="Times New Roman" w:hAnsi="Times New Roman"/>
          <w:sz w:val="18"/>
          <w:szCs w:val="18"/>
        </w:rPr>
        <w:t>Bujanovac</w:t>
      </w:r>
      <w:proofErr w:type="spellEnd"/>
      <w:r w:rsidRPr="003B22F9">
        <w:rPr>
          <w:rFonts w:ascii="Times New Roman" w:hAnsi="Times New Roman"/>
          <w:sz w:val="18"/>
          <w:szCs w:val="18"/>
        </w:rPr>
        <w:t xml:space="preserve">, </w:t>
      </w:r>
      <w:proofErr w:type="spellStart"/>
      <w:r w:rsidRPr="003B22F9">
        <w:rPr>
          <w:rFonts w:ascii="Times New Roman" w:hAnsi="Times New Roman"/>
          <w:sz w:val="18"/>
          <w:szCs w:val="18"/>
        </w:rPr>
        <w:t>Vranje</w:t>
      </w:r>
      <w:proofErr w:type="spellEnd"/>
      <w:r w:rsidRPr="003B22F9">
        <w:rPr>
          <w:rFonts w:ascii="Times New Roman" w:hAnsi="Times New Roman"/>
          <w:sz w:val="18"/>
          <w:szCs w:val="18"/>
        </w:rPr>
        <w:t xml:space="preserve">, </w:t>
      </w:r>
      <w:proofErr w:type="spellStart"/>
      <w:r w:rsidRPr="003B22F9">
        <w:rPr>
          <w:rFonts w:ascii="Times New Roman" w:hAnsi="Times New Roman"/>
          <w:sz w:val="18"/>
          <w:szCs w:val="18"/>
        </w:rPr>
        <w:t>Dimitrovgrad</w:t>
      </w:r>
      <w:proofErr w:type="spellEnd"/>
      <w:r w:rsidRPr="003B22F9">
        <w:rPr>
          <w:rFonts w:ascii="Times New Roman" w:hAnsi="Times New Roman"/>
          <w:sz w:val="18"/>
          <w:szCs w:val="18"/>
        </w:rPr>
        <w:t xml:space="preserve">, </w:t>
      </w:r>
      <w:proofErr w:type="spellStart"/>
      <w:r w:rsidRPr="003B22F9">
        <w:rPr>
          <w:rFonts w:ascii="Times New Roman" w:hAnsi="Times New Roman"/>
          <w:sz w:val="18"/>
          <w:szCs w:val="18"/>
        </w:rPr>
        <w:t>Zrenjanin</w:t>
      </w:r>
      <w:proofErr w:type="spellEnd"/>
      <w:r w:rsidRPr="003B22F9">
        <w:rPr>
          <w:rFonts w:ascii="Times New Roman" w:hAnsi="Times New Roman"/>
          <w:sz w:val="18"/>
          <w:szCs w:val="18"/>
        </w:rPr>
        <w:t xml:space="preserve">, </w:t>
      </w:r>
      <w:proofErr w:type="spellStart"/>
      <w:r w:rsidRPr="003B22F9">
        <w:rPr>
          <w:rFonts w:ascii="Times New Roman" w:hAnsi="Times New Roman"/>
          <w:sz w:val="18"/>
          <w:szCs w:val="18"/>
        </w:rPr>
        <w:t>Kučevo</w:t>
      </w:r>
      <w:proofErr w:type="spellEnd"/>
      <w:r w:rsidRPr="003B22F9">
        <w:rPr>
          <w:rFonts w:ascii="Times New Roman" w:hAnsi="Times New Roman"/>
          <w:sz w:val="18"/>
          <w:szCs w:val="18"/>
        </w:rPr>
        <w:t xml:space="preserve">, </w:t>
      </w:r>
      <w:proofErr w:type="spellStart"/>
      <w:r w:rsidRPr="003B22F9">
        <w:rPr>
          <w:rFonts w:ascii="Times New Roman" w:hAnsi="Times New Roman"/>
          <w:sz w:val="18"/>
          <w:szCs w:val="18"/>
        </w:rPr>
        <w:t>Lajkovac</w:t>
      </w:r>
      <w:proofErr w:type="spellEnd"/>
      <w:r w:rsidRPr="003B22F9">
        <w:rPr>
          <w:rFonts w:ascii="Times New Roman" w:hAnsi="Times New Roman"/>
          <w:sz w:val="18"/>
          <w:szCs w:val="18"/>
        </w:rPr>
        <w:t xml:space="preserve">, </w:t>
      </w:r>
      <w:proofErr w:type="spellStart"/>
      <w:r w:rsidRPr="003B22F9">
        <w:rPr>
          <w:rFonts w:ascii="Times New Roman" w:hAnsi="Times New Roman"/>
          <w:sz w:val="18"/>
          <w:szCs w:val="18"/>
        </w:rPr>
        <w:t>Negotin</w:t>
      </w:r>
      <w:proofErr w:type="spellEnd"/>
      <w:r w:rsidRPr="003B22F9">
        <w:rPr>
          <w:rFonts w:ascii="Times New Roman" w:hAnsi="Times New Roman"/>
          <w:sz w:val="18"/>
          <w:szCs w:val="18"/>
        </w:rPr>
        <w:t xml:space="preserve">, Novi </w:t>
      </w:r>
      <w:proofErr w:type="spellStart"/>
      <w:r w:rsidRPr="003B22F9">
        <w:rPr>
          <w:rFonts w:ascii="Times New Roman" w:hAnsi="Times New Roman"/>
          <w:sz w:val="18"/>
          <w:szCs w:val="18"/>
        </w:rPr>
        <w:t>Pazar</w:t>
      </w:r>
      <w:proofErr w:type="spellEnd"/>
      <w:r w:rsidRPr="003B22F9">
        <w:rPr>
          <w:rFonts w:ascii="Times New Roman" w:hAnsi="Times New Roman"/>
          <w:sz w:val="18"/>
          <w:szCs w:val="18"/>
        </w:rPr>
        <w:t xml:space="preserve">, Novi Sad, </w:t>
      </w:r>
      <w:proofErr w:type="spellStart"/>
      <w:r w:rsidRPr="003B22F9">
        <w:rPr>
          <w:rFonts w:ascii="Times New Roman" w:hAnsi="Times New Roman"/>
          <w:sz w:val="18"/>
          <w:szCs w:val="18"/>
        </w:rPr>
        <w:t>Pančevo</w:t>
      </w:r>
      <w:proofErr w:type="spellEnd"/>
      <w:r w:rsidRPr="003B22F9">
        <w:rPr>
          <w:rFonts w:ascii="Times New Roman" w:hAnsi="Times New Roman"/>
          <w:sz w:val="18"/>
          <w:szCs w:val="18"/>
        </w:rPr>
        <w:t xml:space="preserve">, </w:t>
      </w:r>
      <w:proofErr w:type="spellStart"/>
      <w:r w:rsidRPr="003B22F9">
        <w:rPr>
          <w:rFonts w:ascii="Times New Roman" w:hAnsi="Times New Roman"/>
          <w:sz w:val="18"/>
          <w:szCs w:val="18"/>
        </w:rPr>
        <w:t>Požarev</w:t>
      </w:r>
      <w:r>
        <w:rPr>
          <w:rFonts w:ascii="Times New Roman" w:hAnsi="Times New Roman"/>
          <w:sz w:val="18"/>
          <w:szCs w:val="18"/>
        </w:rPr>
        <w:t>ac</w:t>
      </w:r>
      <w:proofErr w:type="spellEnd"/>
      <w:r>
        <w:rPr>
          <w:rFonts w:ascii="Times New Roman" w:hAnsi="Times New Roman"/>
          <w:sz w:val="18"/>
          <w:szCs w:val="18"/>
        </w:rPr>
        <w:t xml:space="preserve">, </w:t>
      </w:r>
      <w:proofErr w:type="spellStart"/>
      <w:r>
        <w:rPr>
          <w:rFonts w:ascii="Times New Roman" w:hAnsi="Times New Roman"/>
          <w:sz w:val="18"/>
          <w:szCs w:val="18"/>
        </w:rPr>
        <w:t>Priboj</w:t>
      </w:r>
      <w:proofErr w:type="spellEnd"/>
      <w:r>
        <w:rPr>
          <w:rFonts w:ascii="Times New Roman" w:hAnsi="Times New Roman"/>
          <w:sz w:val="18"/>
          <w:szCs w:val="18"/>
        </w:rPr>
        <w:t xml:space="preserve">, </w:t>
      </w:r>
      <w:proofErr w:type="spellStart"/>
      <w:r>
        <w:rPr>
          <w:rFonts w:ascii="Times New Roman" w:hAnsi="Times New Roman"/>
          <w:sz w:val="18"/>
          <w:szCs w:val="18"/>
        </w:rPr>
        <w:t>Sombor</w:t>
      </w:r>
      <w:proofErr w:type="spellEnd"/>
      <w:r>
        <w:rPr>
          <w:rFonts w:ascii="Times New Roman" w:hAnsi="Times New Roman"/>
          <w:sz w:val="18"/>
          <w:szCs w:val="18"/>
        </w:rPr>
        <w:t xml:space="preserve"> and Subotica</w:t>
      </w:r>
      <w:r w:rsidRPr="00421C25">
        <w:rPr>
          <w:rFonts w:ascii="Times New Roman" w:hAnsi="Times New Roman"/>
          <w:sz w:val="18"/>
          <w:szCs w:val="18"/>
        </w:rPr>
        <w:t xml:space="preserve">. </w:t>
      </w:r>
    </w:p>
  </w:footnote>
  <w:footnote w:id="100">
    <w:p w14:paraId="273BF6D3" w14:textId="77777777" w:rsidR="00547610" w:rsidRPr="00514320" w:rsidRDefault="00547610" w:rsidP="000226B1">
      <w:pPr>
        <w:pStyle w:val="FootnoteText"/>
        <w:rPr>
          <w:rFonts w:ascii="Times New Roman" w:hAnsi="Times New Roman"/>
          <w:sz w:val="18"/>
          <w:szCs w:val="18"/>
          <w:lang w:val="sr-Cyrl-RS"/>
        </w:rPr>
      </w:pPr>
      <w:r w:rsidRPr="00514320">
        <w:rPr>
          <w:rStyle w:val="FootnoteReference"/>
          <w:rFonts w:ascii="Times New Roman" w:hAnsi="Times New Roman"/>
          <w:sz w:val="18"/>
          <w:szCs w:val="18"/>
        </w:rPr>
        <w:footnoteRef/>
      </w:r>
      <w:r w:rsidRPr="00514320">
        <w:rPr>
          <w:rFonts w:ascii="Times New Roman" w:hAnsi="Times New Roman"/>
          <w:sz w:val="18"/>
          <w:szCs w:val="18"/>
        </w:rPr>
        <w:t xml:space="preserve"> </w:t>
      </w:r>
      <w:r w:rsidRPr="00BB7493">
        <w:rPr>
          <w:rFonts w:ascii="Times New Roman" w:hAnsi="Times New Roman"/>
          <w:i/>
          <w:sz w:val="18"/>
          <w:szCs w:val="18"/>
          <w:lang w:val="en-GB"/>
        </w:rPr>
        <w:t>The Official Gazette of the Republic of Serbia</w:t>
      </w:r>
      <w:r>
        <w:rPr>
          <w:rFonts w:ascii="Times New Roman" w:hAnsi="Times New Roman"/>
          <w:sz w:val="18"/>
          <w:szCs w:val="18"/>
          <w:lang w:val="en-GB"/>
        </w:rPr>
        <w:t xml:space="preserve">, </w:t>
      </w:r>
      <w:r w:rsidRPr="00514320">
        <w:rPr>
          <w:rFonts w:ascii="Times New Roman" w:hAnsi="Times New Roman"/>
          <w:sz w:val="18"/>
          <w:szCs w:val="18"/>
        </w:rPr>
        <w:t xml:space="preserve"> </w:t>
      </w:r>
      <w:r>
        <w:rPr>
          <w:rFonts w:ascii="Times New Roman" w:hAnsi="Times New Roman"/>
          <w:sz w:val="18"/>
          <w:szCs w:val="18"/>
          <w:lang w:val="en-GB"/>
        </w:rPr>
        <w:t>No.</w:t>
      </w:r>
      <w:r w:rsidRPr="00514320">
        <w:rPr>
          <w:rFonts w:ascii="Times New Roman" w:hAnsi="Times New Roman"/>
          <w:sz w:val="18"/>
          <w:szCs w:val="18"/>
        </w:rPr>
        <w:t xml:space="preserve"> 69</w:t>
      </w:r>
      <w:r w:rsidRPr="00514320">
        <w:rPr>
          <w:rFonts w:ascii="Times New Roman" w:hAnsi="Times New Roman"/>
          <w:sz w:val="18"/>
          <w:szCs w:val="18"/>
          <w:lang w:val="sr-Cyrl-RS"/>
        </w:rPr>
        <w:t>/</w:t>
      </w:r>
      <w:r w:rsidRPr="00514320">
        <w:rPr>
          <w:rFonts w:ascii="Times New Roman" w:hAnsi="Times New Roman"/>
          <w:sz w:val="18"/>
          <w:szCs w:val="18"/>
        </w:rPr>
        <w:t>2018</w:t>
      </w:r>
    </w:p>
  </w:footnote>
  <w:footnote w:id="101">
    <w:p w14:paraId="4278CBB4" w14:textId="77777777" w:rsidR="00547610" w:rsidRPr="00514320" w:rsidRDefault="00547610" w:rsidP="004D086C">
      <w:pPr>
        <w:pStyle w:val="FootnoteText"/>
        <w:rPr>
          <w:rFonts w:ascii="Times New Roman" w:hAnsi="Times New Roman"/>
          <w:sz w:val="18"/>
          <w:szCs w:val="18"/>
          <w:lang w:val="sr-Cyrl-RS"/>
        </w:rPr>
      </w:pPr>
      <w:r w:rsidRPr="00514320">
        <w:rPr>
          <w:rStyle w:val="FootnoteReference"/>
          <w:rFonts w:ascii="Times New Roman" w:hAnsi="Times New Roman"/>
          <w:sz w:val="18"/>
          <w:szCs w:val="18"/>
        </w:rPr>
        <w:footnoteRef/>
      </w:r>
      <w:r w:rsidRPr="00514320">
        <w:rPr>
          <w:rFonts w:ascii="Times New Roman" w:hAnsi="Times New Roman"/>
          <w:sz w:val="18"/>
          <w:szCs w:val="18"/>
        </w:rPr>
        <w:t xml:space="preserve"> </w:t>
      </w:r>
      <w:hyperlink r:id="rId40" w:history="1">
        <w:r w:rsidRPr="00514320">
          <w:rPr>
            <w:rStyle w:val="Hyperlink"/>
            <w:rFonts w:ascii="Times New Roman" w:hAnsi="Times New Roman"/>
            <w:sz w:val="18"/>
            <w:szCs w:val="18"/>
          </w:rPr>
          <w:t>https://mpn.gov.rs/wp-content/uploads/2022/03/Katalog-udzbenika-na-jezicima-nacionalnih-manjina.pdf</w:t>
        </w:r>
      </w:hyperlink>
      <w:r w:rsidRPr="00514320">
        <w:rPr>
          <w:rFonts w:ascii="Times New Roman" w:hAnsi="Times New Roman"/>
          <w:sz w:val="18"/>
          <w:szCs w:val="18"/>
          <w:lang w:val="sr-Cyrl-RS"/>
        </w:rPr>
        <w:t xml:space="preserve"> </w:t>
      </w:r>
    </w:p>
  </w:footnote>
  <w:footnote w:id="102">
    <w:p w14:paraId="2F2B8412" w14:textId="77777777" w:rsidR="00547610" w:rsidRPr="00510398" w:rsidRDefault="00547610" w:rsidP="009F376E">
      <w:pPr>
        <w:pStyle w:val="FootnoteText"/>
        <w:rPr>
          <w:rFonts w:ascii="Times New Roman" w:hAnsi="Times New Roman"/>
          <w:lang w:val="sr-Cyrl-RS"/>
        </w:rPr>
      </w:pPr>
      <w:r w:rsidRPr="00514320">
        <w:rPr>
          <w:rStyle w:val="FootnoteReference"/>
          <w:rFonts w:ascii="Times New Roman" w:hAnsi="Times New Roman"/>
          <w:sz w:val="18"/>
          <w:szCs w:val="18"/>
        </w:rPr>
        <w:footnoteRef/>
      </w:r>
      <w:r w:rsidRPr="00514320">
        <w:rPr>
          <w:rFonts w:ascii="Times New Roman" w:hAnsi="Times New Roman"/>
          <w:sz w:val="18"/>
          <w:szCs w:val="18"/>
        </w:rPr>
        <w:t xml:space="preserve"> </w:t>
      </w:r>
      <w:hyperlink r:id="rId41" w:history="1">
        <w:r w:rsidRPr="00514320">
          <w:rPr>
            <w:rStyle w:val="Hyperlink"/>
            <w:rFonts w:ascii="Times New Roman" w:hAnsi="Times New Roman"/>
            <w:sz w:val="18"/>
            <w:szCs w:val="18"/>
          </w:rPr>
          <w:t>http://dictionary.hcnm.org/dict/</w:t>
        </w:r>
      </w:hyperlink>
      <w:r w:rsidRPr="00510398">
        <w:rPr>
          <w:rFonts w:ascii="Times New Roman" w:hAnsi="Times New Roman"/>
          <w:lang w:val="sr-Cyrl-RS"/>
        </w:rPr>
        <w:t xml:space="preserve"> </w:t>
      </w:r>
    </w:p>
  </w:footnote>
  <w:footnote w:id="103">
    <w:p w14:paraId="33766B8D" w14:textId="77777777" w:rsidR="00547610" w:rsidRPr="00051036" w:rsidRDefault="00547610" w:rsidP="00F33975">
      <w:pPr>
        <w:pStyle w:val="FootnoteText"/>
        <w:rPr>
          <w:rFonts w:ascii="Times New Roman" w:hAnsi="Times New Roman"/>
          <w:sz w:val="18"/>
          <w:szCs w:val="18"/>
          <w:lang w:val="sr-Cyrl-RS"/>
        </w:rPr>
      </w:pPr>
      <w:r w:rsidRPr="00051036">
        <w:rPr>
          <w:rStyle w:val="FootnoteReference"/>
          <w:rFonts w:ascii="Times New Roman" w:hAnsi="Times New Roman"/>
          <w:sz w:val="18"/>
          <w:szCs w:val="18"/>
        </w:rPr>
        <w:footnoteRef/>
      </w:r>
      <w:r w:rsidRPr="00051036">
        <w:rPr>
          <w:rFonts w:ascii="Times New Roman" w:hAnsi="Times New Roman"/>
          <w:sz w:val="18"/>
          <w:szCs w:val="18"/>
        </w:rPr>
        <w:t xml:space="preserve"> </w:t>
      </w:r>
      <w:r w:rsidRPr="00BB7493">
        <w:rPr>
          <w:rFonts w:ascii="Times New Roman" w:hAnsi="Times New Roman"/>
          <w:i/>
          <w:sz w:val="18"/>
          <w:szCs w:val="18"/>
          <w:lang w:val="en-GB"/>
        </w:rPr>
        <w:t>The Official Gazette of the Republic of Serbia</w:t>
      </w:r>
      <w:r>
        <w:rPr>
          <w:rFonts w:ascii="Times New Roman" w:hAnsi="Times New Roman"/>
          <w:sz w:val="18"/>
          <w:szCs w:val="18"/>
          <w:lang w:val="en-GB"/>
        </w:rPr>
        <w:t xml:space="preserve">, </w:t>
      </w:r>
      <w:r w:rsidRPr="00514320">
        <w:rPr>
          <w:rFonts w:ascii="Times New Roman" w:hAnsi="Times New Roman"/>
          <w:sz w:val="18"/>
          <w:szCs w:val="18"/>
        </w:rPr>
        <w:t xml:space="preserve"> </w:t>
      </w:r>
      <w:r>
        <w:rPr>
          <w:rFonts w:ascii="Times New Roman" w:hAnsi="Times New Roman"/>
          <w:sz w:val="18"/>
          <w:szCs w:val="18"/>
          <w:lang w:val="en-GB"/>
        </w:rPr>
        <w:t>No.</w:t>
      </w:r>
      <w:r w:rsidRPr="00051036">
        <w:rPr>
          <w:rFonts w:ascii="Times New Roman" w:hAnsi="Times New Roman"/>
          <w:sz w:val="18"/>
          <w:szCs w:val="18"/>
        </w:rPr>
        <w:t xml:space="preserve"> 23</w:t>
      </w:r>
      <w:r>
        <w:rPr>
          <w:rFonts w:ascii="Times New Roman" w:hAnsi="Times New Roman"/>
          <w:sz w:val="18"/>
          <w:szCs w:val="18"/>
          <w:lang w:val="sr-Cyrl-RS"/>
        </w:rPr>
        <w:t>/</w:t>
      </w:r>
      <w:r w:rsidRPr="00051036">
        <w:rPr>
          <w:rFonts w:ascii="Times New Roman" w:hAnsi="Times New Roman"/>
          <w:sz w:val="18"/>
          <w:szCs w:val="18"/>
        </w:rPr>
        <w:t>2022</w:t>
      </w:r>
    </w:p>
  </w:footnote>
  <w:footnote w:id="104">
    <w:p w14:paraId="6108BEDC" w14:textId="77777777" w:rsidR="00547610" w:rsidRPr="00E97877" w:rsidRDefault="00547610" w:rsidP="005B1B5C">
      <w:pPr>
        <w:pStyle w:val="FootnoteText"/>
        <w:rPr>
          <w:rFonts w:ascii="Times New Roman" w:hAnsi="Times New Roman"/>
          <w:sz w:val="18"/>
          <w:szCs w:val="18"/>
          <w:lang w:val="sr-Cyrl-RS"/>
        </w:rPr>
      </w:pPr>
      <w:r w:rsidRPr="00031E67">
        <w:rPr>
          <w:rStyle w:val="FootnoteReference"/>
          <w:rFonts w:ascii="Times New Roman" w:hAnsi="Times New Roman"/>
          <w:sz w:val="18"/>
          <w:szCs w:val="18"/>
        </w:rPr>
        <w:footnoteRef/>
      </w:r>
      <w:r w:rsidRPr="00031E67">
        <w:rPr>
          <w:rFonts w:ascii="Times New Roman" w:hAnsi="Times New Roman"/>
          <w:sz w:val="18"/>
          <w:szCs w:val="18"/>
        </w:rPr>
        <w:t xml:space="preserve"> </w:t>
      </w:r>
      <w:r w:rsidRPr="00BB7493">
        <w:rPr>
          <w:rFonts w:ascii="Times New Roman" w:hAnsi="Times New Roman"/>
          <w:i/>
          <w:sz w:val="18"/>
          <w:szCs w:val="18"/>
          <w:lang w:val="en-GB"/>
        </w:rPr>
        <w:t>The Official Gazette of the Republic of Serbia</w:t>
      </w:r>
      <w:r>
        <w:rPr>
          <w:rFonts w:ascii="Times New Roman" w:hAnsi="Times New Roman"/>
          <w:sz w:val="18"/>
          <w:szCs w:val="18"/>
          <w:lang w:val="en-GB"/>
        </w:rPr>
        <w:t xml:space="preserve">, </w:t>
      </w:r>
      <w:r w:rsidRPr="00514320">
        <w:rPr>
          <w:rFonts w:ascii="Times New Roman" w:hAnsi="Times New Roman"/>
          <w:sz w:val="18"/>
          <w:szCs w:val="18"/>
        </w:rPr>
        <w:t xml:space="preserve"> </w:t>
      </w:r>
      <w:r>
        <w:rPr>
          <w:rFonts w:ascii="Times New Roman" w:hAnsi="Times New Roman"/>
          <w:sz w:val="18"/>
          <w:szCs w:val="18"/>
          <w:lang w:val="en-GB"/>
        </w:rPr>
        <w:t>No.</w:t>
      </w:r>
      <w:r w:rsidRPr="00031E67">
        <w:rPr>
          <w:rFonts w:ascii="Times New Roman" w:hAnsi="Times New Roman"/>
          <w:sz w:val="18"/>
          <w:szCs w:val="18"/>
        </w:rPr>
        <w:t xml:space="preserve"> 30/2018</w:t>
      </w:r>
    </w:p>
  </w:footnote>
  <w:footnote w:id="105">
    <w:p w14:paraId="278EF86E" w14:textId="77777777" w:rsidR="00547610" w:rsidRPr="003116B5" w:rsidRDefault="00547610" w:rsidP="00085AC7">
      <w:pPr>
        <w:pStyle w:val="FootnoteText"/>
        <w:rPr>
          <w:rFonts w:ascii="Times New Roman" w:hAnsi="Times New Roman"/>
          <w:sz w:val="18"/>
          <w:szCs w:val="18"/>
          <w:lang w:val="en-GB"/>
        </w:rPr>
      </w:pPr>
      <w:r w:rsidRPr="00E60AFC">
        <w:rPr>
          <w:rStyle w:val="FootnoteReference"/>
          <w:rFonts w:ascii="Times New Roman" w:hAnsi="Times New Roman"/>
          <w:sz w:val="18"/>
          <w:szCs w:val="18"/>
        </w:rPr>
        <w:footnoteRef/>
      </w:r>
      <w:r w:rsidRPr="00E60AFC">
        <w:rPr>
          <w:rFonts w:ascii="Times New Roman" w:hAnsi="Times New Roman"/>
          <w:sz w:val="18"/>
          <w:szCs w:val="18"/>
        </w:rPr>
        <w:t xml:space="preserve"> </w:t>
      </w:r>
      <w:r w:rsidRPr="00BB7493">
        <w:rPr>
          <w:rFonts w:ascii="Times New Roman" w:hAnsi="Times New Roman"/>
          <w:i/>
          <w:sz w:val="18"/>
          <w:szCs w:val="18"/>
          <w:lang w:val="en-GB"/>
        </w:rPr>
        <w:t>The Official Gazette of the Republic of Serbia</w:t>
      </w:r>
      <w:r>
        <w:rPr>
          <w:rFonts w:ascii="Times New Roman" w:hAnsi="Times New Roman"/>
          <w:sz w:val="18"/>
          <w:szCs w:val="18"/>
          <w:lang w:val="en-GB"/>
        </w:rPr>
        <w:t xml:space="preserve">, </w:t>
      </w:r>
      <w:r w:rsidRPr="00514320">
        <w:rPr>
          <w:rFonts w:ascii="Times New Roman" w:hAnsi="Times New Roman"/>
          <w:sz w:val="18"/>
          <w:szCs w:val="18"/>
        </w:rPr>
        <w:t xml:space="preserve"> </w:t>
      </w:r>
      <w:r>
        <w:rPr>
          <w:rFonts w:ascii="Times New Roman" w:hAnsi="Times New Roman"/>
          <w:sz w:val="18"/>
          <w:szCs w:val="18"/>
          <w:lang w:val="en-GB"/>
        </w:rPr>
        <w:t>Nos</w:t>
      </w:r>
      <w:r w:rsidRPr="00E60AFC">
        <w:rPr>
          <w:rFonts w:ascii="Times New Roman" w:hAnsi="Times New Roman"/>
          <w:sz w:val="18"/>
          <w:szCs w:val="18"/>
        </w:rPr>
        <w:t xml:space="preserve">. 36/2009 </w:t>
      </w:r>
      <w:r>
        <w:rPr>
          <w:rFonts w:ascii="Times New Roman" w:hAnsi="Times New Roman"/>
          <w:sz w:val="18"/>
          <w:szCs w:val="18"/>
          <w:lang w:val="en-GB"/>
        </w:rPr>
        <w:t>and</w:t>
      </w:r>
      <w:r w:rsidRPr="00E60AFC">
        <w:rPr>
          <w:rFonts w:ascii="Times New Roman" w:hAnsi="Times New Roman"/>
          <w:sz w:val="18"/>
          <w:szCs w:val="18"/>
        </w:rPr>
        <w:t xml:space="preserve"> 61/2015 </w:t>
      </w:r>
      <w:r>
        <w:rPr>
          <w:rFonts w:ascii="Times New Roman" w:hAnsi="Times New Roman"/>
          <w:sz w:val="18"/>
          <w:szCs w:val="18"/>
        </w:rPr>
        <w:t>–</w:t>
      </w:r>
      <w:r w:rsidRPr="00E60AFC">
        <w:rPr>
          <w:rFonts w:ascii="Times New Roman" w:hAnsi="Times New Roman"/>
          <w:sz w:val="18"/>
          <w:szCs w:val="18"/>
        </w:rPr>
        <w:t xml:space="preserve"> </w:t>
      </w:r>
      <w:r>
        <w:rPr>
          <w:rFonts w:ascii="Times New Roman" w:hAnsi="Times New Roman"/>
          <w:sz w:val="18"/>
          <w:szCs w:val="18"/>
          <w:lang w:val="en-GB"/>
        </w:rPr>
        <w:t>decision of the Constitutional Court</w:t>
      </w:r>
    </w:p>
  </w:footnote>
  <w:footnote w:id="106">
    <w:p w14:paraId="32DD6D20" w14:textId="77777777" w:rsidR="00547610" w:rsidRPr="00981507" w:rsidRDefault="00547610" w:rsidP="00A20798">
      <w:pPr>
        <w:pStyle w:val="FootnoteText"/>
        <w:rPr>
          <w:rFonts w:ascii="Times New Roman" w:hAnsi="Times New Roman"/>
          <w:sz w:val="18"/>
          <w:szCs w:val="18"/>
        </w:rPr>
      </w:pPr>
      <w:r w:rsidRPr="00981507">
        <w:rPr>
          <w:rStyle w:val="FootnoteReference"/>
          <w:rFonts w:ascii="Times New Roman" w:hAnsi="Times New Roman"/>
          <w:sz w:val="18"/>
          <w:szCs w:val="18"/>
        </w:rPr>
        <w:footnoteRef/>
      </w:r>
      <w:r w:rsidRPr="00981507">
        <w:rPr>
          <w:rFonts w:ascii="Times New Roman" w:hAnsi="Times New Roman"/>
          <w:sz w:val="18"/>
          <w:szCs w:val="18"/>
        </w:rPr>
        <w:t xml:space="preserve"> </w:t>
      </w:r>
      <w:r w:rsidRPr="00BB7493">
        <w:rPr>
          <w:rFonts w:ascii="Times New Roman" w:hAnsi="Times New Roman"/>
          <w:i/>
          <w:sz w:val="18"/>
          <w:szCs w:val="18"/>
          <w:lang w:val="en-GB"/>
        </w:rPr>
        <w:t>The Official Gazette of the Republic of Serbia</w:t>
      </w:r>
      <w:r>
        <w:rPr>
          <w:rFonts w:ascii="Times New Roman" w:hAnsi="Times New Roman"/>
          <w:sz w:val="18"/>
          <w:szCs w:val="18"/>
          <w:lang w:val="en-GB"/>
        </w:rPr>
        <w:t xml:space="preserve">, </w:t>
      </w:r>
      <w:r w:rsidRPr="00514320">
        <w:rPr>
          <w:rFonts w:ascii="Times New Roman" w:hAnsi="Times New Roman"/>
          <w:sz w:val="18"/>
          <w:szCs w:val="18"/>
        </w:rPr>
        <w:t xml:space="preserve"> </w:t>
      </w:r>
      <w:r>
        <w:rPr>
          <w:rFonts w:ascii="Times New Roman" w:hAnsi="Times New Roman"/>
          <w:sz w:val="18"/>
          <w:szCs w:val="18"/>
          <w:lang w:val="en-GB"/>
        </w:rPr>
        <w:t>Nos</w:t>
      </w:r>
      <w:r w:rsidRPr="00981507">
        <w:rPr>
          <w:rFonts w:ascii="Times New Roman" w:hAnsi="Times New Roman"/>
          <w:sz w:val="18"/>
          <w:szCs w:val="18"/>
        </w:rPr>
        <w:t xml:space="preserve">. 35/2000, 57/2003 - </w:t>
      </w:r>
      <w:r>
        <w:rPr>
          <w:rFonts w:ascii="Times New Roman" w:hAnsi="Times New Roman"/>
          <w:sz w:val="18"/>
          <w:szCs w:val="18"/>
          <w:lang w:val="en-GB"/>
        </w:rPr>
        <w:t xml:space="preserve">decision of the Constitutional Court of the </w:t>
      </w:r>
      <w:proofErr w:type="spellStart"/>
      <w:r>
        <w:rPr>
          <w:rFonts w:ascii="Times New Roman" w:hAnsi="Times New Roman"/>
          <w:sz w:val="18"/>
          <w:szCs w:val="18"/>
          <w:lang w:val="en-GB"/>
        </w:rPr>
        <w:t>Repblic</w:t>
      </w:r>
      <w:proofErr w:type="spellEnd"/>
      <w:r>
        <w:rPr>
          <w:rFonts w:ascii="Times New Roman" w:hAnsi="Times New Roman"/>
          <w:sz w:val="18"/>
          <w:szCs w:val="18"/>
          <w:lang w:val="en-GB"/>
        </w:rPr>
        <w:t xml:space="preserve"> of Serbia</w:t>
      </w:r>
      <w:r w:rsidRPr="00981507">
        <w:rPr>
          <w:rFonts w:ascii="Times New Roman" w:hAnsi="Times New Roman"/>
          <w:sz w:val="18"/>
          <w:szCs w:val="18"/>
        </w:rPr>
        <w:t xml:space="preserve">, 72/2003 </w:t>
      </w:r>
      <w:r>
        <w:rPr>
          <w:rFonts w:ascii="Times New Roman" w:hAnsi="Times New Roman"/>
          <w:sz w:val="18"/>
          <w:szCs w:val="18"/>
        </w:rPr>
        <w:t>–</w:t>
      </w:r>
      <w:r w:rsidRPr="00981507">
        <w:rPr>
          <w:rFonts w:ascii="Times New Roman" w:hAnsi="Times New Roman"/>
          <w:sz w:val="18"/>
          <w:szCs w:val="18"/>
        </w:rPr>
        <w:t xml:space="preserve"> </w:t>
      </w:r>
      <w:r>
        <w:rPr>
          <w:rFonts w:ascii="Times New Roman" w:hAnsi="Times New Roman"/>
          <w:sz w:val="18"/>
          <w:szCs w:val="18"/>
          <w:lang w:val="en-GB"/>
        </w:rPr>
        <w:t>other law</w:t>
      </w:r>
      <w:r w:rsidRPr="00981507">
        <w:rPr>
          <w:rFonts w:ascii="Times New Roman" w:hAnsi="Times New Roman"/>
          <w:sz w:val="18"/>
          <w:szCs w:val="18"/>
        </w:rPr>
        <w:t xml:space="preserve">, 75/2003 </w:t>
      </w:r>
      <w:r>
        <w:rPr>
          <w:rFonts w:ascii="Times New Roman" w:hAnsi="Times New Roman"/>
          <w:sz w:val="18"/>
          <w:szCs w:val="18"/>
        </w:rPr>
        <w:t>–</w:t>
      </w:r>
      <w:r w:rsidRPr="00981507">
        <w:rPr>
          <w:rFonts w:ascii="Times New Roman" w:hAnsi="Times New Roman"/>
          <w:sz w:val="18"/>
          <w:szCs w:val="18"/>
        </w:rPr>
        <w:t xml:space="preserve"> </w:t>
      </w:r>
      <w:r>
        <w:rPr>
          <w:rFonts w:ascii="Times New Roman" w:hAnsi="Times New Roman"/>
          <w:sz w:val="18"/>
          <w:szCs w:val="18"/>
          <w:lang w:val="en-GB"/>
        </w:rPr>
        <w:t>corrected other law</w:t>
      </w:r>
      <w:r w:rsidRPr="00981507">
        <w:rPr>
          <w:rFonts w:ascii="Times New Roman" w:hAnsi="Times New Roman"/>
          <w:sz w:val="18"/>
          <w:szCs w:val="18"/>
        </w:rPr>
        <w:t xml:space="preserve">, 18/2004, 101/2005 - </w:t>
      </w:r>
      <w:r>
        <w:rPr>
          <w:rFonts w:ascii="Times New Roman" w:hAnsi="Times New Roman"/>
          <w:sz w:val="18"/>
          <w:szCs w:val="18"/>
          <w:lang w:val="en-GB"/>
        </w:rPr>
        <w:t>other law</w:t>
      </w:r>
      <w:r w:rsidRPr="00981507">
        <w:rPr>
          <w:rFonts w:ascii="Times New Roman" w:hAnsi="Times New Roman"/>
          <w:sz w:val="18"/>
          <w:szCs w:val="18"/>
        </w:rPr>
        <w:t xml:space="preserve">, 85/2005 - </w:t>
      </w:r>
      <w:r>
        <w:rPr>
          <w:rFonts w:ascii="Times New Roman" w:hAnsi="Times New Roman"/>
          <w:sz w:val="18"/>
          <w:szCs w:val="18"/>
          <w:lang w:val="en-GB"/>
        </w:rPr>
        <w:t>other law</w:t>
      </w:r>
      <w:r w:rsidRPr="00981507">
        <w:rPr>
          <w:rFonts w:ascii="Times New Roman" w:hAnsi="Times New Roman"/>
          <w:sz w:val="18"/>
          <w:szCs w:val="18"/>
        </w:rPr>
        <w:t xml:space="preserve">, 28/2011 - </w:t>
      </w:r>
      <w:r>
        <w:rPr>
          <w:rFonts w:ascii="Times New Roman" w:hAnsi="Times New Roman"/>
          <w:sz w:val="18"/>
          <w:szCs w:val="18"/>
          <w:lang w:val="en-GB"/>
        </w:rPr>
        <w:t>decision of the Constitutional Court</w:t>
      </w:r>
      <w:r w:rsidRPr="00981507">
        <w:rPr>
          <w:rFonts w:ascii="Times New Roman" w:hAnsi="Times New Roman"/>
          <w:sz w:val="18"/>
          <w:szCs w:val="18"/>
        </w:rPr>
        <w:t xml:space="preserve">, 36/2011, 104/2009 - </w:t>
      </w:r>
      <w:r>
        <w:rPr>
          <w:rFonts w:ascii="Times New Roman" w:hAnsi="Times New Roman"/>
          <w:sz w:val="18"/>
          <w:szCs w:val="18"/>
          <w:lang w:val="en-GB"/>
        </w:rPr>
        <w:t>other law</w:t>
      </w:r>
      <w:r w:rsidRPr="00981507">
        <w:rPr>
          <w:rFonts w:ascii="Times New Roman" w:hAnsi="Times New Roman"/>
          <w:sz w:val="18"/>
          <w:szCs w:val="18"/>
        </w:rPr>
        <w:t>, 12/2020 и 68/2020</w:t>
      </w:r>
    </w:p>
  </w:footnote>
  <w:footnote w:id="107">
    <w:p w14:paraId="73B0444E" w14:textId="77777777" w:rsidR="00547610" w:rsidRPr="00890979" w:rsidRDefault="00547610" w:rsidP="00600D2F">
      <w:pPr>
        <w:pStyle w:val="FootnoteText"/>
        <w:rPr>
          <w:lang w:val="sr-Cyrl-RS"/>
        </w:rPr>
      </w:pPr>
      <w:r>
        <w:rPr>
          <w:rStyle w:val="FootnoteReference"/>
        </w:rPr>
        <w:footnoteRef/>
      </w:r>
      <w:r>
        <w:t xml:space="preserve"> </w:t>
      </w:r>
      <w:r w:rsidRPr="00BB7493">
        <w:rPr>
          <w:rFonts w:ascii="Times New Roman" w:hAnsi="Times New Roman"/>
          <w:i/>
          <w:sz w:val="18"/>
          <w:szCs w:val="18"/>
          <w:lang w:val="en-GB"/>
        </w:rPr>
        <w:t>The Official Gazette of the Republic of Serbia</w:t>
      </w:r>
      <w:r>
        <w:rPr>
          <w:rFonts w:ascii="Times New Roman" w:hAnsi="Times New Roman"/>
          <w:sz w:val="18"/>
          <w:szCs w:val="18"/>
          <w:lang w:val="en-GB"/>
        </w:rPr>
        <w:t xml:space="preserve">, </w:t>
      </w:r>
      <w:r w:rsidRPr="00514320">
        <w:rPr>
          <w:rFonts w:ascii="Times New Roman" w:hAnsi="Times New Roman"/>
          <w:sz w:val="18"/>
          <w:szCs w:val="18"/>
        </w:rPr>
        <w:t xml:space="preserve"> </w:t>
      </w:r>
      <w:r>
        <w:rPr>
          <w:rFonts w:ascii="Times New Roman" w:hAnsi="Times New Roman"/>
          <w:sz w:val="18"/>
          <w:szCs w:val="18"/>
          <w:lang w:val="en-GB"/>
        </w:rPr>
        <w:t>No.</w:t>
      </w:r>
      <w:r>
        <w:rPr>
          <w:rFonts w:ascii="Times New Roman" w:hAnsi="Times New Roman"/>
          <w:sz w:val="18"/>
          <w:szCs w:val="18"/>
          <w:lang w:val="sr-Cyrl-RS"/>
        </w:rPr>
        <w:t xml:space="preserve"> 12/2020</w:t>
      </w:r>
    </w:p>
  </w:footnote>
  <w:footnote w:id="108">
    <w:p w14:paraId="4C3962D1" w14:textId="77777777" w:rsidR="00547610" w:rsidRPr="00600D2F" w:rsidRDefault="00547610" w:rsidP="00600D2F">
      <w:pPr>
        <w:pStyle w:val="FootnoteText"/>
        <w:rPr>
          <w:rFonts w:ascii="Times New Roman" w:hAnsi="Times New Roman"/>
          <w:sz w:val="18"/>
          <w:szCs w:val="18"/>
          <w:lang w:val="en-GB"/>
        </w:rPr>
      </w:pPr>
      <w:r w:rsidRPr="00890979">
        <w:rPr>
          <w:rStyle w:val="FootnoteReference"/>
          <w:rFonts w:ascii="Times New Roman" w:hAnsi="Times New Roman"/>
          <w:sz w:val="18"/>
          <w:szCs w:val="18"/>
        </w:rPr>
        <w:footnoteRef/>
      </w:r>
      <w:r w:rsidRPr="00890979">
        <w:rPr>
          <w:rFonts w:ascii="Times New Roman" w:hAnsi="Times New Roman"/>
          <w:sz w:val="18"/>
          <w:szCs w:val="18"/>
        </w:rPr>
        <w:t xml:space="preserve"> </w:t>
      </w:r>
      <w:r w:rsidRPr="00BB7493">
        <w:rPr>
          <w:rFonts w:ascii="Times New Roman" w:hAnsi="Times New Roman"/>
          <w:i/>
          <w:sz w:val="18"/>
          <w:szCs w:val="18"/>
          <w:lang w:val="en-GB"/>
        </w:rPr>
        <w:t xml:space="preserve">The Official </w:t>
      </w:r>
      <w:r>
        <w:rPr>
          <w:rFonts w:ascii="Times New Roman" w:hAnsi="Times New Roman"/>
          <w:i/>
          <w:sz w:val="18"/>
          <w:szCs w:val="18"/>
          <w:lang w:val="en-GB"/>
        </w:rPr>
        <w:t>Journal</w:t>
      </w:r>
      <w:r w:rsidRPr="00BB7493">
        <w:rPr>
          <w:rFonts w:ascii="Times New Roman" w:hAnsi="Times New Roman"/>
          <w:i/>
          <w:sz w:val="18"/>
          <w:szCs w:val="18"/>
          <w:lang w:val="en-GB"/>
        </w:rPr>
        <w:t xml:space="preserve"> of the </w:t>
      </w:r>
      <w:r>
        <w:rPr>
          <w:rFonts w:ascii="Times New Roman" w:hAnsi="Times New Roman"/>
          <w:i/>
          <w:sz w:val="18"/>
          <w:szCs w:val="18"/>
          <w:lang w:val="en-GB"/>
        </w:rPr>
        <w:t xml:space="preserve">Autonomous Province of </w:t>
      </w:r>
      <w:proofErr w:type="spellStart"/>
      <w:r>
        <w:rPr>
          <w:rFonts w:ascii="Times New Roman" w:hAnsi="Times New Roman"/>
          <w:i/>
          <w:sz w:val="18"/>
          <w:szCs w:val="18"/>
          <w:lang w:val="en-GB"/>
        </w:rPr>
        <w:t>Vojvodina</w:t>
      </w:r>
      <w:proofErr w:type="spellEnd"/>
      <w:r>
        <w:rPr>
          <w:rFonts w:ascii="Times New Roman" w:hAnsi="Times New Roman"/>
          <w:sz w:val="18"/>
          <w:szCs w:val="18"/>
          <w:lang w:val="en-GB"/>
        </w:rPr>
        <w:t xml:space="preserve">, </w:t>
      </w:r>
      <w:r w:rsidRPr="00514320">
        <w:rPr>
          <w:rFonts w:ascii="Times New Roman" w:hAnsi="Times New Roman"/>
          <w:sz w:val="18"/>
          <w:szCs w:val="18"/>
        </w:rPr>
        <w:t xml:space="preserve"> </w:t>
      </w:r>
      <w:r>
        <w:rPr>
          <w:rFonts w:ascii="Times New Roman" w:hAnsi="Times New Roman"/>
          <w:sz w:val="18"/>
          <w:szCs w:val="18"/>
          <w:lang w:val="en-GB"/>
        </w:rPr>
        <w:t>Nos</w:t>
      </w:r>
      <w:r w:rsidRPr="00890979">
        <w:rPr>
          <w:rFonts w:ascii="Times New Roman" w:hAnsi="Times New Roman"/>
          <w:sz w:val="18"/>
          <w:szCs w:val="18"/>
        </w:rPr>
        <w:t>. 23/</w:t>
      </w:r>
      <w:r w:rsidRPr="00890979">
        <w:rPr>
          <w:rFonts w:ascii="Times New Roman" w:hAnsi="Times New Roman"/>
          <w:sz w:val="18"/>
          <w:szCs w:val="18"/>
          <w:lang w:val="sr-Cyrl-RS"/>
        </w:rPr>
        <w:t>20</w:t>
      </w:r>
      <w:r w:rsidRPr="00890979">
        <w:rPr>
          <w:rFonts w:ascii="Times New Roman" w:hAnsi="Times New Roman"/>
          <w:sz w:val="18"/>
          <w:szCs w:val="18"/>
        </w:rPr>
        <w:t>14</w:t>
      </w:r>
      <w:r w:rsidRPr="00890979">
        <w:rPr>
          <w:rFonts w:ascii="Times New Roman" w:hAnsi="Times New Roman"/>
          <w:sz w:val="18"/>
          <w:szCs w:val="18"/>
          <w:lang w:val="sr-Cyrl-RS"/>
        </w:rPr>
        <w:t xml:space="preserve">, </w:t>
      </w:r>
      <w:r w:rsidRPr="00890979">
        <w:rPr>
          <w:rFonts w:ascii="Times New Roman" w:hAnsi="Times New Roman"/>
          <w:sz w:val="18"/>
          <w:szCs w:val="18"/>
        </w:rPr>
        <w:t>12/</w:t>
      </w:r>
      <w:r w:rsidRPr="00890979">
        <w:rPr>
          <w:rFonts w:ascii="Times New Roman" w:hAnsi="Times New Roman"/>
          <w:sz w:val="18"/>
          <w:szCs w:val="18"/>
          <w:lang w:val="sr-Cyrl-RS"/>
        </w:rPr>
        <w:t>20</w:t>
      </w:r>
      <w:r w:rsidRPr="00890979">
        <w:rPr>
          <w:rFonts w:ascii="Times New Roman" w:hAnsi="Times New Roman"/>
          <w:sz w:val="18"/>
          <w:szCs w:val="18"/>
        </w:rPr>
        <w:t>20</w:t>
      </w:r>
      <w:r w:rsidRPr="00890979">
        <w:rPr>
          <w:rFonts w:ascii="Times New Roman" w:hAnsi="Times New Roman"/>
          <w:sz w:val="18"/>
          <w:szCs w:val="18"/>
          <w:lang w:val="sr-Cyrl-RS"/>
        </w:rPr>
        <w:t xml:space="preserve"> </w:t>
      </w:r>
      <w:r>
        <w:rPr>
          <w:rFonts w:ascii="Times New Roman" w:hAnsi="Times New Roman"/>
          <w:sz w:val="18"/>
          <w:szCs w:val="18"/>
          <w:lang w:val="en-GB"/>
        </w:rPr>
        <w:t>and</w:t>
      </w:r>
      <w:r w:rsidRPr="00890979">
        <w:rPr>
          <w:rFonts w:ascii="Times New Roman" w:hAnsi="Times New Roman"/>
          <w:sz w:val="18"/>
          <w:szCs w:val="18"/>
          <w:lang w:val="sr-Cyrl-RS"/>
        </w:rPr>
        <w:t xml:space="preserve"> 14/2020 – </w:t>
      </w:r>
      <w:r>
        <w:rPr>
          <w:rFonts w:ascii="Times New Roman" w:hAnsi="Times New Roman"/>
          <w:sz w:val="18"/>
          <w:szCs w:val="18"/>
          <w:lang w:val="en-GB"/>
        </w:rPr>
        <w:t>authentic interpretation</w:t>
      </w:r>
    </w:p>
  </w:footnote>
  <w:footnote w:id="109">
    <w:p w14:paraId="5090B6C7" w14:textId="77777777" w:rsidR="00547610" w:rsidRPr="005451B3" w:rsidRDefault="00547610" w:rsidP="00600D6E">
      <w:pPr>
        <w:pStyle w:val="FootnoteText"/>
        <w:rPr>
          <w:rFonts w:ascii="Times New Roman" w:hAnsi="Times New Roman"/>
          <w:sz w:val="18"/>
          <w:szCs w:val="18"/>
          <w:lang w:val="sr-Cyrl-RS"/>
        </w:rPr>
      </w:pPr>
      <w:r w:rsidRPr="005451B3">
        <w:rPr>
          <w:rStyle w:val="FootnoteReference"/>
          <w:rFonts w:ascii="Times New Roman" w:hAnsi="Times New Roman"/>
          <w:sz w:val="18"/>
          <w:szCs w:val="18"/>
        </w:rPr>
        <w:footnoteRef/>
      </w:r>
      <w:r w:rsidRPr="005451B3">
        <w:rPr>
          <w:rFonts w:ascii="Times New Roman" w:hAnsi="Times New Roman"/>
          <w:sz w:val="18"/>
          <w:szCs w:val="18"/>
        </w:rPr>
        <w:t xml:space="preserve"> </w:t>
      </w:r>
      <w:r w:rsidRPr="00BB7493">
        <w:rPr>
          <w:rFonts w:ascii="Times New Roman" w:hAnsi="Times New Roman"/>
          <w:i/>
          <w:sz w:val="18"/>
          <w:szCs w:val="18"/>
          <w:lang w:val="en-GB"/>
        </w:rPr>
        <w:t>The Official Gazette of the Republic of Serbia</w:t>
      </w:r>
      <w:r>
        <w:rPr>
          <w:rFonts w:ascii="Times New Roman" w:hAnsi="Times New Roman"/>
          <w:sz w:val="18"/>
          <w:szCs w:val="18"/>
          <w:lang w:val="en-GB"/>
        </w:rPr>
        <w:t xml:space="preserve">, </w:t>
      </w:r>
      <w:r w:rsidRPr="00514320">
        <w:rPr>
          <w:rFonts w:ascii="Times New Roman" w:hAnsi="Times New Roman"/>
          <w:sz w:val="18"/>
          <w:szCs w:val="18"/>
        </w:rPr>
        <w:t xml:space="preserve"> </w:t>
      </w:r>
      <w:r>
        <w:rPr>
          <w:rFonts w:ascii="Times New Roman" w:hAnsi="Times New Roman"/>
          <w:sz w:val="18"/>
          <w:szCs w:val="18"/>
          <w:lang w:val="en-GB"/>
        </w:rPr>
        <w:t>No.</w:t>
      </w:r>
      <w:r w:rsidRPr="005451B3">
        <w:rPr>
          <w:rFonts w:ascii="Times New Roman" w:hAnsi="Times New Roman"/>
          <w:sz w:val="18"/>
          <w:szCs w:val="18"/>
        </w:rPr>
        <w:t xml:space="preserve"> </w:t>
      </w:r>
      <w:r w:rsidRPr="005451B3">
        <w:rPr>
          <w:rFonts w:ascii="Times New Roman" w:hAnsi="Times New Roman"/>
          <w:sz w:val="18"/>
          <w:szCs w:val="18"/>
          <w:lang w:val="sr-Cyrl-RS"/>
        </w:rPr>
        <w:t>14/2022</w:t>
      </w:r>
    </w:p>
  </w:footnote>
  <w:footnote w:id="110">
    <w:p w14:paraId="5AC0DBBD" w14:textId="77777777" w:rsidR="00547610" w:rsidRPr="005451B3" w:rsidRDefault="00547610" w:rsidP="00600D6E">
      <w:pPr>
        <w:pStyle w:val="FootnoteText"/>
        <w:rPr>
          <w:rFonts w:ascii="Times New Roman" w:hAnsi="Times New Roman"/>
          <w:sz w:val="18"/>
          <w:szCs w:val="18"/>
          <w:lang w:val="sr-Cyrl-RS"/>
        </w:rPr>
      </w:pPr>
      <w:r w:rsidRPr="005451B3">
        <w:rPr>
          <w:rStyle w:val="FootnoteReference"/>
          <w:rFonts w:ascii="Times New Roman" w:hAnsi="Times New Roman"/>
          <w:sz w:val="18"/>
          <w:szCs w:val="18"/>
        </w:rPr>
        <w:footnoteRef/>
      </w:r>
      <w:r w:rsidRPr="005451B3">
        <w:rPr>
          <w:rFonts w:ascii="Times New Roman" w:hAnsi="Times New Roman"/>
          <w:sz w:val="18"/>
          <w:szCs w:val="18"/>
        </w:rPr>
        <w:t xml:space="preserve"> </w:t>
      </w:r>
      <w:r w:rsidRPr="00BB7493">
        <w:rPr>
          <w:rFonts w:ascii="Times New Roman" w:hAnsi="Times New Roman"/>
          <w:i/>
          <w:sz w:val="18"/>
          <w:szCs w:val="18"/>
          <w:lang w:val="en-GB"/>
        </w:rPr>
        <w:t>The Official Gazette of the Republic of Serbia</w:t>
      </w:r>
      <w:r>
        <w:rPr>
          <w:rFonts w:ascii="Times New Roman" w:hAnsi="Times New Roman"/>
          <w:sz w:val="18"/>
          <w:szCs w:val="18"/>
          <w:lang w:val="en-GB"/>
        </w:rPr>
        <w:t xml:space="preserve">, </w:t>
      </w:r>
      <w:r w:rsidRPr="00514320">
        <w:rPr>
          <w:rFonts w:ascii="Times New Roman" w:hAnsi="Times New Roman"/>
          <w:sz w:val="18"/>
          <w:szCs w:val="18"/>
        </w:rPr>
        <w:t xml:space="preserve"> </w:t>
      </w:r>
      <w:r>
        <w:rPr>
          <w:rFonts w:ascii="Times New Roman" w:hAnsi="Times New Roman"/>
          <w:sz w:val="18"/>
          <w:szCs w:val="18"/>
          <w:lang w:val="en-GB"/>
        </w:rPr>
        <w:t>No.</w:t>
      </w:r>
      <w:r w:rsidRPr="005451B3">
        <w:rPr>
          <w:rFonts w:ascii="Times New Roman" w:hAnsi="Times New Roman"/>
          <w:sz w:val="18"/>
          <w:szCs w:val="18"/>
        </w:rPr>
        <w:t xml:space="preserve"> </w:t>
      </w:r>
      <w:r w:rsidRPr="005451B3">
        <w:rPr>
          <w:rFonts w:ascii="Times New Roman" w:hAnsi="Times New Roman"/>
          <w:sz w:val="18"/>
          <w:szCs w:val="18"/>
          <w:lang w:val="sr-Cyrl-RS"/>
        </w:rPr>
        <w:t>14/2022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1D57D4"/>
    <w:multiLevelType w:val="multilevel"/>
    <w:tmpl w:val="4856A0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F8D6FDC"/>
    <w:multiLevelType w:val="multilevel"/>
    <w:tmpl w:val="3FA05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start w:val="1"/>
      <w:numFmt w:val="upperRoman"/>
      <w:lvlText w:val="%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2F816C7"/>
    <w:multiLevelType w:val="multilevel"/>
    <w:tmpl w:val="055C0546"/>
    <w:lvl w:ilvl="0">
      <w:start w:val="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6AAF03C1"/>
    <w:multiLevelType w:val="hybridMultilevel"/>
    <w:tmpl w:val="0AEC4FC8"/>
    <w:lvl w:ilvl="0" w:tplc="7C4E62B4">
      <w:start w:val="80"/>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BA3384"/>
    <w:multiLevelType w:val="hybridMultilevel"/>
    <w:tmpl w:val="15640210"/>
    <w:lvl w:ilvl="0" w:tplc="943A0AB0">
      <w:start w:val="1"/>
      <w:numFmt w:val="bullet"/>
      <w:pStyle w:val="bullet"/>
      <w:lvlText w:val=""/>
      <w:lvlJc w:val="left"/>
      <w:pPr>
        <w:ind w:left="540" w:hanging="360"/>
      </w:pPr>
      <w:rPr>
        <w:rFonts w:ascii="Symbol" w:hAnsi="Symbol" w:hint="default"/>
        <w:color w:val="0057A1"/>
      </w:rPr>
    </w:lvl>
    <w:lvl w:ilvl="1" w:tplc="04090003">
      <w:start w:val="1"/>
      <w:numFmt w:val="bullet"/>
      <w:lvlText w:val="o"/>
      <w:lvlJc w:val="left"/>
      <w:pPr>
        <w:ind w:left="2860" w:hanging="360"/>
      </w:pPr>
      <w:rPr>
        <w:rFonts w:ascii="Courier New" w:hAnsi="Courier New" w:cs="Courier New" w:hint="default"/>
      </w:rPr>
    </w:lvl>
    <w:lvl w:ilvl="2" w:tplc="04090005">
      <w:start w:val="1"/>
      <w:numFmt w:val="bullet"/>
      <w:lvlText w:val=""/>
      <w:lvlJc w:val="left"/>
      <w:pPr>
        <w:ind w:left="3580" w:hanging="360"/>
      </w:pPr>
      <w:rPr>
        <w:rFonts w:ascii="Wingdings" w:hAnsi="Wingdings" w:hint="default"/>
      </w:rPr>
    </w:lvl>
    <w:lvl w:ilvl="3" w:tplc="04090001">
      <w:start w:val="1"/>
      <w:numFmt w:val="bullet"/>
      <w:lvlText w:val=""/>
      <w:lvlJc w:val="left"/>
      <w:pPr>
        <w:ind w:left="4300" w:hanging="360"/>
      </w:pPr>
      <w:rPr>
        <w:rFonts w:ascii="Symbol" w:hAnsi="Symbol" w:hint="default"/>
      </w:rPr>
    </w:lvl>
    <w:lvl w:ilvl="4" w:tplc="04090003">
      <w:start w:val="1"/>
      <w:numFmt w:val="bullet"/>
      <w:lvlText w:val="o"/>
      <w:lvlJc w:val="left"/>
      <w:pPr>
        <w:ind w:left="5020" w:hanging="360"/>
      </w:pPr>
      <w:rPr>
        <w:rFonts w:ascii="Courier New" w:hAnsi="Courier New" w:cs="Courier New" w:hint="default"/>
      </w:rPr>
    </w:lvl>
    <w:lvl w:ilvl="5" w:tplc="04090005">
      <w:start w:val="1"/>
      <w:numFmt w:val="bullet"/>
      <w:lvlText w:val=""/>
      <w:lvlJc w:val="left"/>
      <w:pPr>
        <w:ind w:left="5740" w:hanging="360"/>
      </w:pPr>
      <w:rPr>
        <w:rFonts w:ascii="Wingdings" w:hAnsi="Wingdings" w:hint="default"/>
      </w:rPr>
    </w:lvl>
    <w:lvl w:ilvl="6" w:tplc="04090001">
      <w:start w:val="1"/>
      <w:numFmt w:val="bullet"/>
      <w:lvlText w:val=""/>
      <w:lvlJc w:val="left"/>
      <w:pPr>
        <w:ind w:left="6460" w:hanging="360"/>
      </w:pPr>
      <w:rPr>
        <w:rFonts w:ascii="Symbol" w:hAnsi="Symbol" w:hint="default"/>
      </w:rPr>
    </w:lvl>
    <w:lvl w:ilvl="7" w:tplc="04090003">
      <w:start w:val="1"/>
      <w:numFmt w:val="bullet"/>
      <w:lvlText w:val="o"/>
      <w:lvlJc w:val="left"/>
      <w:pPr>
        <w:ind w:left="7180" w:hanging="360"/>
      </w:pPr>
      <w:rPr>
        <w:rFonts w:ascii="Courier New" w:hAnsi="Courier New" w:cs="Courier New" w:hint="default"/>
      </w:rPr>
    </w:lvl>
    <w:lvl w:ilvl="8" w:tplc="04090005">
      <w:start w:val="1"/>
      <w:numFmt w:val="bullet"/>
      <w:lvlText w:val=""/>
      <w:lvlJc w:val="left"/>
      <w:pPr>
        <w:ind w:left="790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E6B"/>
    <w:rsid w:val="00003A66"/>
    <w:rsid w:val="000050A7"/>
    <w:rsid w:val="00005C18"/>
    <w:rsid w:val="0000712A"/>
    <w:rsid w:val="000151BF"/>
    <w:rsid w:val="0001614F"/>
    <w:rsid w:val="00021B31"/>
    <w:rsid w:val="00021C03"/>
    <w:rsid w:val="000226B1"/>
    <w:rsid w:val="00022C0E"/>
    <w:rsid w:val="000237A6"/>
    <w:rsid w:val="000239F1"/>
    <w:rsid w:val="00025313"/>
    <w:rsid w:val="0002593E"/>
    <w:rsid w:val="000279AD"/>
    <w:rsid w:val="00030742"/>
    <w:rsid w:val="000307DB"/>
    <w:rsid w:val="00031E67"/>
    <w:rsid w:val="000325B1"/>
    <w:rsid w:val="000328A3"/>
    <w:rsid w:val="00033233"/>
    <w:rsid w:val="00034AD3"/>
    <w:rsid w:val="00035A7E"/>
    <w:rsid w:val="000365D9"/>
    <w:rsid w:val="00037E6B"/>
    <w:rsid w:val="00043106"/>
    <w:rsid w:val="00043713"/>
    <w:rsid w:val="00044167"/>
    <w:rsid w:val="000446AB"/>
    <w:rsid w:val="00044B58"/>
    <w:rsid w:val="00046561"/>
    <w:rsid w:val="00046B1F"/>
    <w:rsid w:val="00050BDD"/>
    <w:rsid w:val="00051036"/>
    <w:rsid w:val="00051D7C"/>
    <w:rsid w:val="0005337C"/>
    <w:rsid w:val="000547D6"/>
    <w:rsid w:val="00054F14"/>
    <w:rsid w:val="00057511"/>
    <w:rsid w:val="00060FA6"/>
    <w:rsid w:val="00062C64"/>
    <w:rsid w:val="00063249"/>
    <w:rsid w:val="00065699"/>
    <w:rsid w:val="000657B6"/>
    <w:rsid w:val="000659A5"/>
    <w:rsid w:val="0007170E"/>
    <w:rsid w:val="00073C35"/>
    <w:rsid w:val="0007657A"/>
    <w:rsid w:val="000768E5"/>
    <w:rsid w:val="00077AB7"/>
    <w:rsid w:val="00081712"/>
    <w:rsid w:val="00082130"/>
    <w:rsid w:val="000824BC"/>
    <w:rsid w:val="000833FC"/>
    <w:rsid w:val="00083EFA"/>
    <w:rsid w:val="0008472D"/>
    <w:rsid w:val="0008582B"/>
    <w:rsid w:val="00085AC7"/>
    <w:rsid w:val="00086EBE"/>
    <w:rsid w:val="00091898"/>
    <w:rsid w:val="00093647"/>
    <w:rsid w:val="0009596D"/>
    <w:rsid w:val="0009781E"/>
    <w:rsid w:val="000A1007"/>
    <w:rsid w:val="000A2A37"/>
    <w:rsid w:val="000A44B5"/>
    <w:rsid w:val="000A5892"/>
    <w:rsid w:val="000A71D7"/>
    <w:rsid w:val="000A76CB"/>
    <w:rsid w:val="000B1337"/>
    <w:rsid w:val="000B2FE6"/>
    <w:rsid w:val="000B30D0"/>
    <w:rsid w:val="000B387A"/>
    <w:rsid w:val="000B54D6"/>
    <w:rsid w:val="000B630F"/>
    <w:rsid w:val="000B6610"/>
    <w:rsid w:val="000B6903"/>
    <w:rsid w:val="000B6937"/>
    <w:rsid w:val="000B6F58"/>
    <w:rsid w:val="000C0879"/>
    <w:rsid w:val="000C2B5F"/>
    <w:rsid w:val="000C3DF3"/>
    <w:rsid w:val="000C5EAC"/>
    <w:rsid w:val="000D2712"/>
    <w:rsid w:val="000D4C4B"/>
    <w:rsid w:val="000D4F89"/>
    <w:rsid w:val="000D625E"/>
    <w:rsid w:val="000D76E0"/>
    <w:rsid w:val="000E1A89"/>
    <w:rsid w:val="000E38B0"/>
    <w:rsid w:val="000E7F0C"/>
    <w:rsid w:val="000F109A"/>
    <w:rsid w:val="000F3D8B"/>
    <w:rsid w:val="000F5C7B"/>
    <w:rsid w:val="000F6875"/>
    <w:rsid w:val="001006D6"/>
    <w:rsid w:val="0010111B"/>
    <w:rsid w:val="00101217"/>
    <w:rsid w:val="001050C9"/>
    <w:rsid w:val="00105EF2"/>
    <w:rsid w:val="00106917"/>
    <w:rsid w:val="00112102"/>
    <w:rsid w:val="00112D92"/>
    <w:rsid w:val="001136F1"/>
    <w:rsid w:val="00113DCC"/>
    <w:rsid w:val="00114B7A"/>
    <w:rsid w:val="00117B1E"/>
    <w:rsid w:val="00120551"/>
    <w:rsid w:val="00123B6E"/>
    <w:rsid w:val="00124286"/>
    <w:rsid w:val="00125CC3"/>
    <w:rsid w:val="00125EF7"/>
    <w:rsid w:val="0012645C"/>
    <w:rsid w:val="00126AEB"/>
    <w:rsid w:val="00127EDD"/>
    <w:rsid w:val="00130C7C"/>
    <w:rsid w:val="00132678"/>
    <w:rsid w:val="00134E44"/>
    <w:rsid w:val="00135BC1"/>
    <w:rsid w:val="00137956"/>
    <w:rsid w:val="00143A39"/>
    <w:rsid w:val="001447DC"/>
    <w:rsid w:val="00144A7C"/>
    <w:rsid w:val="00146118"/>
    <w:rsid w:val="00146E9A"/>
    <w:rsid w:val="00150393"/>
    <w:rsid w:val="00151769"/>
    <w:rsid w:val="001517D0"/>
    <w:rsid w:val="0015427C"/>
    <w:rsid w:val="00155A83"/>
    <w:rsid w:val="00156111"/>
    <w:rsid w:val="001570C3"/>
    <w:rsid w:val="00165AD6"/>
    <w:rsid w:val="0016720E"/>
    <w:rsid w:val="00167A62"/>
    <w:rsid w:val="00167E2C"/>
    <w:rsid w:val="001710B3"/>
    <w:rsid w:val="00171ADA"/>
    <w:rsid w:val="00172885"/>
    <w:rsid w:val="0017336C"/>
    <w:rsid w:val="00176E7D"/>
    <w:rsid w:val="00177943"/>
    <w:rsid w:val="00187048"/>
    <w:rsid w:val="001901A4"/>
    <w:rsid w:val="00190254"/>
    <w:rsid w:val="00193EEE"/>
    <w:rsid w:val="001955AE"/>
    <w:rsid w:val="0019599F"/>
    <w:rsid w:val="00195E76"/>
    <w:rsid w:val="00195F53"/>
    <w:rsid w:val="001A2301"/>
    <w:rsid w:val="001A2D57"/>
    <w:rsid w:val="001A5B76"/>
    <w:rsid w:val="001A732C"/>
    <w:rsid w:val="001B3858"/>
    <w:rsid w:val="001B5657"/>
    <w:rsid w:val="001B605C"/>
    <w:rsid w:val="001B63DC"/>
    <w:rsid w:val="001B67E7"/>
    <w:rsid w:val="001B7E8C"/>
    <w:rsid w:val="001C051D"/>
    <w:rsid w:val="001C0CAC"/>
    <w:rsid w:val="001C1864"/>
    <w:rsid w:val="001C2A4A"/>
    <w:rsid w:val="001C33A0"/>
    <w:rsid w:val="001C4762"/>
    <w:rsid w:val="001D058E"/>
    <w:rsid w:val="001D0BBB"/>
    <w:rsid w:val="001E18BB"/>
    <w:rsid w:val="001E5304"/>
    <w:rsid w:val="001E60DD"/>
    <w:rsid w:val="001F074C"/>
    <w:rsid w:val="001F0CEB"/>
    <w:rsid w:val="001F3034"/>
    <w:rsid w:val="001F38D8"/>
    <w:rsid w:val="001F6092"/>
    <w:rsid w:val="00201727"/>
    <w:rsid w:val="00202AE3"/>
    <w:rsid w:val="002047D7"/>
    <w:rsid w:val="00205A5A"/>
    <w:rsid w:val="00210282"/>
    <w:rsid w:val="00210BB0"/>
    <w:rsid w:val="00211824"/>
    <w:rsid w:val="0021202A"/>
    <w:rsid w:val="002137FD"/>
    <w:rsid w:val="002166C2"/>
    <w:rsid w:val="00220191"/>
    <w:rsid w:val="00220E18"/>
    <w:rsid w:val="00220F78"/>
    <w:rsid w:val="00222B21"/>
    <w:rsid w:val="0023343E"/>
    <w:rsid w:val="00234729"/>
    <w:rsid w:val="002360A1"/>
    <w:rsid w:val="002365C4"/>
    <w:rsid w:val="00237259"/>
    <w:rsid w:val="00237DA9"/>
    <w:rsid w:val="0024294F"/>
    <w:rsid w:val="002437BC"/>
    <w:rsid w:val="002503A9"/>
    <w:rsid w:val="002506B7"/>
    <w:rsid w:val="0025148C"/>
    <w:rsid w:val="0025169D"/>
    <w:rsid w:val="002520F0"/>
    <w:rsid w:val="00252116"/>
    <w:rsid w:val="002529CA"/>
    <w:rsid w:val="00253A4C"/>
    <w:rsid w:val="0025467F"/>
    <w:rsid w:val="0025489C"/>
    <w:rsid w:val="00256089"/>
    <w:rsid w:val="00256A01"/>
    <w:rsid w:val="00257F76"/>
    <w:rsid w:val="00260212"/>
    <w:rsid w:val="002618A2"/>
    <w:rsid w:val="00261DEE"/>
    <w:rsid w:val="0026263B"/>
    <w:rsid w:val="00262BD5"/>
    <w:rsid w:val="00263638"/>
    <w:rsid w:val="00264238"/>
    <w:rsid w:val="002644F9"/>
    <w:rsid w:val="002659F9"/>
    <w:rsid w:val="0026673C"/>
    <w:rsid w:val="00266F4B"/>
    <w:rsid w:val="00267565"/>
    <w:rsid w:val="00270BA5"/>
    <w:rsid w:val="00272ED8"/>
    <w:rsid w:val="00274251"/>
    <w:rsid w:val="002775BC"/>
    <w:rsid w:val="00277799"/>
    <w:rsid w:val="00281DCE"/>
    <w:rsid w:val="00282A18"/>
    <w:rsid w:val="002860D2"/>
    <w:rsid w:val="00287115"/>
    <w:rsid w:val="00287313"/>
    <w:rsid w:val="002873B6"/>
    <w:rsid w:val="00287C0A"/>
    <w:rsid w:val="00287FCD"/>
    <w:rsid w:val="0029295E"/>
    <w:rsid w:val="00294C37"/>
    <w:rsid w:val="002959E5"/>
    <w:rsid w:val="00295A11"/>
    <w:rsid w:val="00296435"/>
    <w:rsid w:val="002972DB"/>
    <w:rsid w:val="002A0116"/>
    <w:rsid w:val="002A0334"/>
    <w:rsid w:val="002A065E"/>
    <w:rsid w:val="002A1AA5"/>
    <w:rsid w:val="002A3E69"/>
    <w:rsid w:val="002A54A9"/>
    <w:rsid w:val="002A5E5E"/>
    <w:rsid w:val="002A6770"/>
    <w:rsid w:val="002A6B43"/>
    <w:rsid w:val="002B1E8D"/>
    <w:rsid w:val="002B3F92"/>
    <w:rsid w:val="002B5F30"/>
    <w:rsid w:val="002B7BC5"/>
    <w:rsid w:val="002C2618"/>
    <w:rsid w:val="002C531C"/>
    <w:rsid w:val="002C56AD"/>
    <w:rsid w:val="002D0D9E"/>
    <w:rsid w:val="002D21CB"/>
    <w:rsid w:val="002D2488"/>
    <w:rsid w:val="002D4042"/>
    <w:rsid w:val="002D5122"/>
    <w:rsid w:val="002D5591"/>
    <w:rsid w:val="002D71E8"/>
    <w:rsid w:val="002D75E5"/>
    <w:rsid w:val="002E129F"/>
    <w:rsid w:val="002E3EE5"/>
    <w:rsid w:val="002E5064"/>
    <w:rsid w:val="002E5843"/>
    <w:rsid w:val="002E7B66"/>
    <w:rsid w:val="002F0026"/>
    <w:rsid w:val="002F25BF"/>
    <w:rsid w:val="002F4A16"/>
    <w:rsid w:val="002F4C7F"/>
    <w:rsid w:val="0030107C"/>
    <w:rsid w:val="00301E60"/>
    <w:rsid w:val="00302509"/>
    <w:rsid w:val="00304029"/>
    <w:rsid w:val="00305398"/>
    <w:rsid w:val="00306AEF"/>
    <w:rsid w:val="003073A1"/>
    <w:rsid w:val="00310EA5"/>
    <w:rsid w:val="003116B5"/>
    <w:rsid w:val="00311C3D"/>
    <w:rsid w:val="00314A90"/>
    <w:rsid w:val="00315702"/>
    <w:rsid w:val="00315EB1"/>
    <w:rsid w:val="00320962"/>
    <w:rsid w:val="00320C21"/>
    <w:rsid w:val="00324837"/>
    <w:rsid w:val="00326EAA"/>
    <w:rsid w:val="0032712F"/>
    <w:rsid w:val="00332D53"/>
    <w:rsid w:val="00333925"/>
    <w:rsid w:val="00333BAB"/>
    <w:rsid w:val="003343B8"/>
    <w:rsid w:val="0033451E"/>
    <w:rsid w:val="00334F7A"/>
    <w:rsid w:val="0033530E"/>
    <w:rsid w:val="0033642F"/>
    <w:rsid w:val="003409DD"/>
    <w:rsid w:val="0034105D"/>
    <w:rsid w:val="00341D03"/>
    <w:rsid w:val="00342183"/>
    <w:rsid w:val="003442EA"/>
    <w:rsid w:val="00344623"/>
    <w:rsid w:val="00350580"/>
    <w:rsid w:val="00351E4C"/>
    <w:rsid w:val="00353D0B"/>
    <w:rsid w:val="00354C9C"/>
    <w:rsid w:val="003550EA"/>
    <w:rsid w:val="00355C97"/>
    <w:rsid w:val="00356178"/>
    <w:rsid w:val="00357933"/>
    <w:rsid w:val="00357CA0"/>
    <w:rsid w:val="00361E18"/>
    <w:rsid w:val="00362DBC"/>
    <w:rsid w:val="003632FB"/>
    <w:rsid w:val="00364594"/>
    <w:rsid w:val="003650A7"/>
    <w:rsid w:val="00366BD8"/>
    <w:rsid w:val="003700F7"/>
    <w:rsid w:val="00370D11"/>
    <w:rsid w:val="00371D4F"/>
    <w:rsid w:val="0037292D"/>
    <w:rsid w:val="00372E6C"/>
    <w:rsid w:val="00372F46"/>
    <w:rsid w:val="00373DD4"/>
    <w:rsid w:val="00375C0E"/>
    <w:rsid w:val="00380643"/>
    <w:rsid w:val="003819B3"/>
    <w:rsid w:val="00382085"/>
    <w:rsid w:val="00384F80"/>
    <w:rsid w:val="003865FB"/>
    <w:rsid w:val="00391C12"/>
    <w:rsid w:val="003924AA"/>
    <w:rsid w:val="00392AC9"/>
    <w:rsid w:val="00392F96"/>
    <w:rsid w:val="003A0777"/>
    <w:rsid w:val="003A1D8A"/>
    <w:rsid w:val="003A2095"/>
    <w:rsid w:val="003A283B"/>
    <w:rsid w:val="003A4057"/>
    <w:rsid w:val="003A4824"/>
    <w:rsid w:val="003A60E4"/>
    <w:rsid w:val="003A791B"/>
    <w:rsid w:val="003B2126"/>
    <w:rsid w:val="003B22F9"/>
    <w:rsid w:val="003B26B2"/>
    <w:rsid w:val="003B31D0"/>
    <w:rsid w:val="003B45E5"/>
    <w:rsid w:val="003B49FD"/>
    <w:rsid w:val="003B6A6E"/>
    <w:rsid w:val="003B7207"/>
    <w:rsid w:val="003B7A75"/>
    <w:rsid w:val="003B7F46"/>
    <w:rsid w:val="003C0952"/>
    <w:rsid w:val="003C0E81"/>
    <w:rsid w:val="003C1FA5"/>
    <w:rsid w:val="003C35D4"/>
    <w:rsid w:val="003C5FB8"/>
    <w:rsid w:val="003C6D26"/>
    <w:rsid w:val="003D18B6"/>
    <w:rsid w:val="003D236E"/>
    <w:rsid w:val="003D2BD6"/>
    <w:rsid w:val="003D2C9C"/>
    <w:rsid w:val="003D47EF"/>
    <w:rsid w:val="003D65C6"/>
    <w:rsid w:val="003D6EAF"/>
    <w:rsid w:val="003D795F"/>
    <w:rsid w:val="003E1615"/>
    <w:rsid w:val="003E17F7"/>
    <w:rsid w:val="003E20A5"/>
    <w:rsid w:val="003E3814"/>
    <w:rsid w:val="003E414B"/>
    <w:rsid w:val="003E5BD1"/>
    <w:rsid w:val="003E654C"/>
    <w:rsid w:val="003E7620"/>
    <w:rsid w:val="003E7EB0"/>
    <w:rsid w:val="003F293C"/>
    <w:rsid w:val="003F3002"/>
    <w:rsid w:val="003F31F2"/>
    <w:rsid w:val="003F3270"/>
    <w:rsid w:val="003F43D6"/>
    <w:rsid w:val="003F49E4"/>
    <w:rsid w:val="003F5C64"/>
    <w:rsid w:val="00400205"/>
    <w:rsid w:val="00401755"/>
    <w:rsid w:val="004051F5"/>
    <w:rsid w:val="00406AEF"/>
    <w:rsid w:val="0041197C"/>
    <w:rsid w:val="00411980"/>
    <w:rsid w:val="0041200D"/>
    <w:rsid w:val="00414485"/>
    <w:rsid w:val="00415394"/>
    <w:rsid w:val="00416D14"/>
    <w:rsid w:val="004218F5"/>
    <w:rsid w:val="00421968"/>
    <w:rsid w:val="00421C25"/>
    <w:rsid w:val="00423EAB"/>
    <w:rsid w:val="0042418C"/>
    <w:rsid w:val="004243DE"/>
    <w:rsid w:val="00424650"/>
    <w:rsid w:val="00424E77"/>
    <w:rsid w:val="00427AED"/>
    <w:rsid w:val="00430C16"/>
    <w:rsid w:val="004312FA"/>
    <w:rsid w:val="00432070"/>
    <w:rsid w:val="00434433"/>
    <w:rsid w:val="00435838"/>
    <w:rsid w:val="00435BA7"/>
    <w:rsid w:val="004363CD"/>
    <w:rsid w:val="004365F7"/>
    <w:rsid w:val="0043699C"/>
    <w:rsid w:val="004375A2"/>
    <w:rsid w:val="00440A2A"/>
    <w:rsid w:val="004422D4"/>
    <w:rsid w:val="00442865"/>
    <w:rsid w:val="004454DF"/>
    <w:rsid w:val="004465DF"/>
    <w:rsid w:val="004477C2"/>
    <w:rsid w:val="00453969"/>
    <w:rsid w:val="00453FB2"/>
    <w:rsid w:val="00456696"/>
    <w:rsid w:val="00461608"/>
    <w:rsid w:val="00464534"/>
    <w:rsid w:val="0046735E"/>
    <w:rsid w:val="00467A30"/>
    <w:rsid w:val="00467E77"/>
    <w:rsid w:val="00472156"/>
    <w:rsid w:val="00476BE7"/>
    <w:rsid w:val="00476E80"/>
    <w:rsid w:val="00486CD3"/>
    <w:rsid w:val="00490A76"/>
    <w:rsid w:val="00490DC0"/>
    <w:rsid w:val="00493269"/>
    <w:rsid w:val="00493B53"/>
    <w:rsid w:val="0049502D"/>
    <w:rsid w:val="00495DF3"/>
    <w:rsid w:val="004976AD"/>
    <w:rsid w:val="004A173F"/>
    <w:rsid w:val="004A1DD5"/>
    <w:rsid w:val="004A2642"/>
    <w:rsid w:val="004A29F3"/>
    <w:rsid w:val="004A34D0"/>
    <w:rsid w:val="004A7A86"/>
    <w:rsid w:val="004B1CEA"/>
    <w:rsid w:val="004B3A1C"/>
    <w:rsid w:val="004B610A"/>
    <w:rsid w:val="004B79F3"/>
    <w:rsid w:val="004C0FE5"/>
    <w:rsid w:val="004C2E0D"/>
    <w:rsid w:val="004C39BB"/>
    <w:rsid w:val="004C3FCB"/>
    <w:rsid w:val="004C539D"/>
    <w:rsid w:val="004D086C"/>
    <w:rsid w:val="004D774A"/>
    <w:rsid w:val="004E02AC"/>
    <w:rsid w:val="004E0952"/>
    <w:rsid w:val="004E0AF4"/>
    <w:rsid w:val="004E1B53"/>
    <w:rsid w:val="004E295A"/>
    <w:rsid w:val="004E4D6B"/>
    <w:rsid w:val="004E5EBB"/>
    <w:rsid w:val="004E78D7"/>
    <w:rsid w:val="004F0277"/>
    <w:rsid w:val="004F1D2A"/>
    <w:rsid w:val="004F2EF8"/>
    <w:rsid w:val="004F317D"/>
    <w:rsid w:val="004F3D51"/>
    <w:rsid w:val="004F660E"/>
    <w:rsid w:val="005010CF"/>
    <w:rsid w:val="00501812"/>
    <w:rsid w:val="00501E37"/>
    <w:rsid w:val="0050291A"/>
    <w:rsid w:val="00504E55"/>
    <w:rsid w:val="00507A54"/>
    <w:rsid w:val="00510181"/>
    <w:rsid w:val="00510398"/>
    <w:rsid w:val="00510FA0"/>
    <w:rsid w:val="00511318"/>
    <w:rsid w:val="00514320"/>
    <w:rsid w:val="0051635C"/>
    <w:rsid w:val="005172F9"/>
    <w:rsid w:val="005231F8"/>
    <w:rsid w:val="005249B1"/>
    <w:rsid w:val="00533E9A"/>
    <w:rsid w:val="00534B4C"/>
    <w:rsid w:val="00535A5D"/>
    <w:rsid w:val="00541E21"/>
    <w:rsid w:val="00543C3D"/>
    <w:rsid w:val="00543E1B"/>
    <w:rsid w:val="00544F32"/>
    <w:rsid w:val="005451B3"/>
    <w:rsid w:val="00546A01"/>
    <w:rsid w:val="00547610"/>
    <w:rsid w:val="00550737"/>
    <w:rsid w:val="00550D99"/>
    <w:rsid w:val="0055138C"/>
    <w:rsid w:val="00552342"/>
    <w:rsid w:val="00552679"/>
    <w:rsid w:val="005567B0"/>
    <w:rsid w:val="00561176"/>
    <w:rsid w:val="005623BA"/>
    <w:rsid w:val="00565E7E"/>
    <w:rsid w:val="0056662A"/>
    <w:rsid w:val="00570AD6"/>
    <w:rsid w:val="00570E35"/>
    <w:rsid w:val="005711DB"/>
    <w:rsid w:val="00571797"/>
    <w:rsid w:val="00576E43"/>
    <w:rsid w:val="0058038E"/>
    <w:rsid w:val="00580F85"/>
    <w:rsid w:val="005824DD"/>
    <w:rsid w:val="00582B0A"/>
    <w:rsid w:val="00585722"/>
    <w:rsid w:val="0058686F"/>
    <w:rsid w:val="005913DF"/>
    <w:rsid w:val="00593BBE"/>
    <w:rsid w:val="005949B7"/>
    <w:rsid w:val="005A2BE2"/>
    <w:rsid w:val="005A3242"/>
    <w:rsid w:val="005A3D62"/>
    <w:rsid w:val="005A4C72"/>
    <w:rsid w:val="005A54B8"/>
    <w:rsid w:val="005A6B45"/>
    <w:rsid w:val="005A6E59"/>
    <w:rsid w:val="005B01FE"/>
    <w:rsid w:val="005B1B5C"/>
    <w:rsid w:val="005B4512"/>
    <w:rsid w:val="005B4997"/>
    <w:rsid w:val="005C1913"/>
    <w:rsid w:val="005C26A8"/>
    <w:rsid w:val="005C2E72"/>
    <w:rsid w:val="005C462A"/>
    <w:rsid w:val="005C4D3B"/>
    <w:rsid w:val="005C5231"/>
    <w:rsid w:val="005C6B27"/>
    <w:rsid w:val="005D0D55"/>
    <w:rsid w:val="005D2C13"/>
    <w:rsid w:val="005D3251"/>
    <w:rsid w:val="005D359A"/>
    <w:rsid w:val="005D3647"/>
    <w:rsid w:val="005D7572"/>
    <w:rsid w:val="005D7DB6"/>
    <w:rsid w:val="005E2B1F"/>
    <w:rsid w:val="005E48D3"/>
    <w:rsid w:val="005E622D"/>
    <w:rsid w:val="005E7601"/>
    <w:rsid w:val="005E7D1A"/>
    <w:rsid w:val="005F1D79"/>
    <w:rsid w:val="005F382D"/>
    <w:rsid w:val="005F4D46"/>
    <w:rsid w:val="005F59AC"/>
    <w:rsid w:val="006005AF"/>
    <w:rsid w:val="00600D2F"/>
    <w:rsid w:val="00600D6E"/>
    <w:rsid w:val="00605A14"/>
    <w:rsid w:val="00607976"/>
    <w:rsid w:val="00610503"/>
    <w:rsid w:val="00611BA4"/>
    <w:rsid w:val="00611C37"/>
    <w:rsid w:val="0061296B"/>
    <w:rsid w:val="0061338C"/>
    <w:rsid w:val="00614EAD"/>
    <w:rsid w:val="0061561E"/>
    <w:rsid w:val="0061592B"/>
    <w:rsid w:val="00620F60"/>
    <w:rsid w:val="00623588"/>
    <w:rsid w:val="0062575A"/>
    <w:rsid w:val="00625971"/>
    <w:rsid w:val="006271E2"/>
    <w:rsid w:val="006275DE"/>
    <w:rsid w:val="0063115E"/>
    <w:rsid w:val="00632A81"/>
    <w:rsid w:val="00633745"/>
    <w:rsid w:val="00633EE9"/>
    <w:rsid w:val="00634B93"/>
    <w:rsid w:val="006370A2"/>
    <w:rsid w:val="00637F15"/>
    <w:rsid w:val="00637F48"/>
    <w:rsid w:val="0064271C"/>
    <w:rsid w:val="00645DDF"/>
    <w:rsid w:val="006501F6"/>
    <w:rsid w:val="006517E0"/>
    <w:rsid w:val="00656BC4"/>
    <w:rsid w:val="0066169C"/>
    <w:rsid w:val="00661D72"/>
    <w:rsid w:val="0066226F"/>
    <w:rsid w:val="00662FA7"/>
    <w:rsid w:val="0066354C"/>
    <w:rsid w:val="0066410B"/>
    <w:rsid w:val="00666C31"/>
    <w:rsid w:val="00671635"/>
    <w:rsid w:val="006718EC"/>
    <w:rsid w:val="00675357"/>
    <w:rsid w:val="00680F3D"/>
    <w:rsid w:val="006810F2"/>
    <w:rsid w:val="006814E1"/>
    <w:rsid w:val="00683806"/>
    <w:rsid w:val="00684D78"/>
    <w:rsid w:val="0068735D"/>
    <w:rsid w:val="006904C2"/>
    <w:rsid w:val="006A0491"/>
    <w:rsid w:val="006A28C6"/>
    <w:rsid w:val="006A4366"/>
    <w:rsid w:val="006A6C4F"/>
    <w:rsid w:val="006A750D"/>
    <w:rsid w:val="006B0018"/>
    <w:rsid w:val="006B06D2"/>
    <w:rsid w:val="006B0D37"/>
    <w:rsid w:val="006B0D7E"/>
    <w:rsid w:val="006B24C0"/>
    <w:rsid w:val="006B575F"/>
    <w:rsid w:val="006B666B"/>
    <w:rsid w:val="006B677A"/>
    <w:rsid w:val="006C11E8"/>
    <w:rsid w:val="006C1FBC"/>
    <w:rsid w:val="006C287E"/>
    <w:rsid w:val="006C3D1D"/>
    <w:rsid w:val="006C649E"/>
    <w:rsid w:val="006C69CE"/>
    <w:rsid w:val="006C73C7"/>
    <w:rsid w:val="006C779B"/>
    <w:rsid w:val="006D0E6A"/>
    <w:rsid w:val="006D169C"/>
    <w:rsid w:val="006D1FA1"/>
    <w:rsid w:val="006D36AF"/>
    <w:rsid w:val="006D3FF0"/>
    <w:rsid w:val="006D4C75"/>
    <w:rsid w:val="006D4E3D"/>
    <w:rsid w:val="006D7135"/>
    <w:rsid w:val="006D7CF9"/>
    <w:rsid w:val="006E53F2"/>
    <w:rsid w:val="006E5624"/>
    <w:rsid w:val="006F09F5"/>
    <w:rsid w:val="006F13D9"/>
    <w:rsid w:val="006F5253"/>
    <w:rsid w:val="006F72E8"/>
    <w:rsid w:val="00700100"/>
    <w:rsid w:val="00702745"/>
    <w:rsid w:val="00702D1E"/>
    <w:rsid w:val="00703994"/>
    <w:rsid w:val="0070404D"/>
    <w:rsid w:val="00705426"/>
    <w:rsid w:val="0070631C"/>
    <w:rsid w:val="007115E4"/>
    <w:rsid w:val="007124DF"/>
    <w:rsid w:val="00712961"/>
    <w:rsid w:val="00713235"/>
    <w:rsid w:val="00713D29"/>
    <w:rsid w:val="00715BA5"/>
    <w:rsid w:val="0071681F"/>
    <w:rsid w:val="00717398"/>
    <w:rsid w:val="00722724"/>
    <w:rsid w:val="0072368C"/>
    <w:rsid w:val="00723A62"/>
    <w:rsid w:val="00724323"/>
    <w:rsid w:val="007254BB"/>
    <w:rsid w:val="007266EB"/>
    <w:rsid w:val="007273B0"/>
    <w:rsid w:val="007310B0"/>
    <w:rsid w:val="007331C1"/>
    <w:rsid w:val="0073407D"/>
    <w:rsid w:val="00734F6D"/>
    <w:rsid w:val="00736E42"/>
    <w:rsid w:val="007374F4"/>
    <w:rsid w:val="00741176"/>
    <w:rsid w:val="00743357"/>
    <w:rsid w:val="007444B5"/>
    <w:rsid w:val="007463D7"/>
    <w:rsid w:val="00747E7C"/>
    <w:rsid w:val="00752780"/>
    <w:rsid w:val="00755E2B"/>
    <w:rsid w:val="00756183"/>
    <w:rsid w:val="00757D43"/>
    <w:rsid w:val="00760714"/>
    <w:rsid w:val="00760EFB"/>
    <w:rsid w:val="00761325"/>
    <w:rsid w:val="007616B5"/>
    <w:rsid w:val="00761D8E"/>
    <w:rsid w:val="00761E91"/>
    <w:rsid w:val="00766BF9"/>
    <w:rsid w:val="00767049"/>
    <w:rsid w:val="00767B0D"/>
    <w:rsid w:val="00770AB1"/>
    <w:rsid w:val="00773C35"/>
    <w:rsid w:val="00775DEF"/>
    <w:rsid w:val="0077600F"/>
    <w:rsid w:val="00777C59"/>
    <w:rsid w:val="00782004"/>
    <w:rsid w:val="00782729"/>
    <w:rsid w:val="00783F94"/>
    <w:rsid w:val="0078466F"/>
    <w:rsid w:val="00785071"/>
    <w:rsid w:val="0078546B"/>
    <w:rsid w:val="007870C7"/>
    <w:rsid w:val="00787968"/>
    <w:rsid w:val="00787CFC"/>
    <w:rsid w:val="00790BEF"/>
    <w:rsid w:val="007922B6"/>
    <w:rsid w:val="00792AAA"/>
    <w:rsid w:val="00794627"/>
    <w:rsid w:val="00794F2C"/>
    <w:rsid w:val="00795F83"/>
    <w:rsid w:val="007A00F0"/>
    <w:rsid w:val="007A0835"/>
    <w:rsid w:val="007A2919"/>
    <w:rsid w:val="007A3CBF"/>
    <w:rsid w:val="007A421C"/>
    <w:rsid w:val="007A65D6"/>
    <w:rsid w:val="007A7B3D"/>
    <w:rsid w:val="007B3DFC"/>
    <w:rsid w:val="007B3F49"/>
    <w:rsid w:val="007B3F8F"/>
    <w:rsid w:val="007B5F59"/>
    <w:rsid w:val="007C175A"/>
    <w:rsid w:val="007C29B4"/>
    <w:rsid w:val="007C2EEF"/>
    <w:rsid w:val="007C3D88"/>
    <w:rsid w:val="007C40DF"/>
    <w:rsid w:val="007C491F"/>
    <w:rsid w:val="007C4F7A"/>
    <w:rsid w:val="007C769B"/>
    <w:rsid w:val="007D3258"/>
    <w:rsid w:val="007D44F4"/>
    <w:rsid w:val="007D718E"/>
    <w:rsid w:val="007D7B56"/>
    <w:rsid w:val="007E167A"/>
    <w:rsid w:val="007E21DE"/>
    <w:rsid w:val="007E3643"/>
    <w:rsid w:val="007E5DAE"/>
    <w:rsid w:val="007E7A65"/>
    <w:rsid w:val="007E7AF7"/>
    <w:rsid w:val="007F0984"/>
    <w:rsid w:val="007F0C9A"/>
    <w:rsid w:val="007F1BC2"/>
    <w:rsid w:val="007F1D8A"/>
    <w:rsid w:val="007F77C4"/>
    <w:rsid w:val="0080194C"/>
    <w:rsid w:val="00801F4F"/>
    <w:rsid w:val="00802888"/>
    <w:rsid w:val="00802ABD"/>
    <w:rsid w:val="00804AA6"/>
    <w:rsid w:val="00804F4D"/>
    <w:rsid w:val="008065F1"/>
    <w:rsid w:val="00806B2C"/>
    <w:rsid w:val="0081189B"/>
    <w:rsid w:val="00811B58"/>
    <w:rsid w:val="00813A58"/>
    <w:rsid w:val="00814F52"/>
    <w:rsid w:val="008157C2"/>
    <w:rsid w:val="00820D20"/>
    <w:rsid w:val="00821441"/>
    <w:rsid w:val="008227DC"/>
    <w:rsid w:val="00823F1B"/>
    <w:rsid w:val="008260F5"/>
    <w:rsid w:val="00826B0C"/>
    <w:rsid w:val="0083090D"/>
    <w:rsid w:val="00831CE8"/>
    <w:rsid w:val="00835BA1"/>
    <w:rsid w:val="00835E1A"/>
    <w:rsid w:val="00841498"/>
    <w:rsid w:val="008414A8"/>
    <w:rsid w:val="0084250B"/>
    <w:rsid w:val="008427BA"/>
    <w:rsid w:val="008428AC"/>
    <w:rsid w:val="008437F3"/>
    <w:rsid w:val="00844024"/>
    <w:rsid w:val="008456F4"/>
    <w:rsid w:val="00846827"/>
    <w:rsid w:val="00850082"/>
    <w:rsid w:val="00850221"/>
    <w:rsid w:val="00850897"/>
    <w:rsid w:val="008514CF"/>
    <w:rsid w:val="00851992"/>
    <w:rsid w:val="00851FCA"/>
    <w:rsid w:val="008572C6"/>
    <w:rsid w:val="00857CF1"/>
    <w:rsid w:val="00860DEE"/>
    <w:rsid w:val="00860EF0"/>
    <w:rsid w:val="00862032"/>
    <w:rsid w:val="008637DF"/>
    <w:rsid w:val="00864274"/>
    <w:rsid w:val="00864B88"/>
    <w:rsid w:val="00864B9B"/>
    <w:rsid w:val="00866A7F"/>
    <w:rsid w:val="0087099C"/>
    <w:rsid w:val="00871064"/>
    <w:rsid w:val="00872C3C"/>
    <w:rsid w:val="00874C27"/>
    <w:rsid w:val="00874D88"/>
    <w:rsid w:val="00875941"/>
    <w:rsid w:val="00875DD2"/>
    <w:rsid w:val="008770DB"/>
    <w:rsid w:val="0087750A"/>
    <w:rsid w:val="00880030"/>
    <w:rsid w:val="0088007B"/>
    <w:rsid w:val="008827FD"/>
    <w:rsid w:val="00883C9E"/>
    <w:rsid w:val="008841AB"/>
    <w:rsid w:val="0088779A"/>
    <w:rsid w:val="008906E9"/>
    <w:rsid w:val="00890979"/>
    <w:rsid w:val="00890CE1"/>
    <w:rsid w:val="008940E1"/>
    <w:rsid w:val="008976D8"/>
    <w:rsid w:val="008A262A"/>
    <w:rsid w:val="008A338C"/>
    <w:rsid w:val="008A4008"/>
    <w:rsid w:val="008A6B3E"/>
    <w:rsid w:val="008A6C68"/>
    <w:rsid w:val="008A6C80"/>
    <w:rsid w:val="008A773A"/>
    <w:rsid w:val="008A7E1F"/>
    <w:rsid w:val="008A7FB0"/>
    <w:rsid w:val="008B05A4"/>
    <w:rsid w:val="008B14B2"/>
    <w:rsid w:val="008B1955"/>
    <w:rsid w:val="008B23D1"/>
    <w:rsid w:val="008B2591"/>
    <w:rsid w:val="008B40F2"/>
    <w:rsid w:val="008B5120"/>
    <w:rsid w:val="008B57D1"/>
    <w:rsid w:val="008B6080"/>
    <w:rsid w:val="008B7415"/>
    <w:rsid w:val="008C0353"/>
    <w:rsid w:val="008C1CDD"/>
    <w:rsid w:val="008C3226"/>
    <w:rsid w:val="008C4849"/>
    <w:rsid w:val="008D1178"/>
    <w:rsid w:val="008D1B3E"/>
    <w:rsid w:val="008D1F04"/>
    <w:rsid w:val="008D203C"/>
    <w:rsid w:val="008D2598"/>
    <w:rsid w:val="008D6D86"/>
    <w:rsid w:val="008D753F"/>
    <w:rsid w:val="008E4923"/>
    <w:rsid w:val="008E6E8F"/>
    <w:rsid w:val="008E7A93"/>
    <w:rsid w:val="008F0309"/>
    <w:rsid w:val="008F046F"/>
    <w:rsid w:val="008F0CFA"/>
    <w:rsid w:val="008F1860"/>
    <w:rsid w:val="008F2EE4"/>
    <w:rsid w:val="008F505F"/>
    <w:rsid w:val="008F512E"/>
    <w:rsid w:val="008F6530"/>
    <w:rsid w:val="009012E2"/>
    <w:rsid w:val="0090185E"/>
    <w:rsid w:val="009024B6"/>
    <w:rsid w:val="009028C6"/>
    <w:rsid w:val="009045F0"/>
    <w:rsid w:val="00907BCD"/>
    <w:rsid w:val="0091001F"/>
    <w:rsid w:val="009105D4"/>
    <w:rsid w:val="00910BCD"/>
    <w:rsid w:val="00910E91"/>
    <w:rsid w:val="00913987"/>
    <w:rsid w:val="00915E1B"/>
    <w:rsid w:val="009179EC"/>
    <w:rsid w:val="009213D9"/>
    <w:rsid w:val="009274EC"/>
    <w:rsid w:val="009307A4"/>
    <w:rsid w:val="009319A1"/>
    <w:rsid w:val="00933261"/>
    <w:rsid w:val="00933814"/>
    <w:rsid w:val="00935000"/>
    <w:rsid w:val="00935E8D"/>
    <w:rsid w:val="00936267"/>
    <w:rsid w:val="00936566"/>
    <w:rsid w:val="0093694C"/>
    <w:rsid w:val="009370A0"/>
    <w:rsid w:val="009375DB"/>
    <w:rsid w:val="00944FDC"/>
    <w:rsid w:val="00945A5A"/>
    <w:rsid w:val="009460C5"/>
    <w:rsid w:val="0094745D"/>
    <w:rsid w:val="00950EE9"/>
    <w:rsid w:val="009525D8"/>
    <w:rsid w:val="00953DFE"/>
    <w:rsid w:val="00956E60"/>
    <w:rsid w:val="009632CB"/>
    <w:rsid w:val="009643EC"/>
    <w:rsid w:val="00964B61"/>
    <w:rsid w:val="00967EB6"/>
    <w:rsid w:val="0097013D"/>
    <w:rsid w:val="00974192"/>
    <w:rsid w:val="009743D3"/>
    <w:rsid w:val="009746AB"/>
    <w:rsid w:val="00974BD9"/>
    <w:rsid w:val="009756CB"/>
    <w:rsid w:val="009758B3"/>
    <w:rsid w:val="00976A12"/>
    <w:rsid w:val="00977386"/>
    <w:rsid w:val="00977594"/>
    <w:rsid w:val="00982135"/>
    <w:rsid w:val="00982B8D"/>
    <w:rsid w:val="00983E50"/>
    <w:rsid w:val="00984282"/>
    <w:rsid w:val="00987015"/>
    <w:rsid w:val="0098713E"/>
    <w:rsid w:val="00987619"/>
    <w:rsid w:val="00987A81"/>
    <w:rsid w:val="009909AB"/>
    <w:rsid w:val="009945EB"/>
    <w:rsid w:val="009979F7"/>
    <w:rsid w:val="00997B87"/>
    <w:rsid w:val="00997C7B"/>
    <w:rsid w:val="009A1D57"/>
    <w:rsid w:val="009A2E4C"/>
    <w:rsid w:val="009A32E7"/>
    <w:rsid w:val="009A43DA"/>
    <w:rsid w:val="009A4A98"/>
    <w:rsid w:val="009A5C9B"/>
    <w:rsid w:val="009A6DC4"/>
    <w:rsid w:val="009B18E6"/>
    <w:rsid w:val="009B2623"/>
    <w:rsid w:val="009B5929"/>
    <w:rsid w:val="009C1F27"/>
    <w:rsid w:val="009C2091"/>
    <w:rsid w:val="009C2D89"/>
    <w:rsid w:val="009C2FF1"/>
    <w:rsid w:val="009C33CF"/>
    <w:rsid w:val="009C3510"/>
    <w:rsid w:val="009C3785"/>
    <w:rsid w:val="009C3B5D"/>
    <w:rsid w:val="009C5E17"/>
    <w:rsid w:val="009C7EBF"/>
    <w:rsid w:val="009D022F"/>
    <w:rsid w:val="009D03BD"/>
    <w:rsid w:val="009D3498"/>
    <w:rsid w:val="009D47E3"/>
    <w:rsid w:val="009D4EED"/>
    <w:rsid w:val="009D50DC"/>
    <w:rsid w:val="009D6E0F"/>
    <w:rsid w:val="009D7F97"/>
    <w:rsid w:val="009E341B"/>
    <w:rsid w:val="009E54F7"/>
    <w:rsid w:val="009E5A17"/>
    <w:rsid w:val="009F22FC"/>
    <w:rsid w:val="009F376E"/>
    <w:rsid w:val="009F4C14"/>
    <w:rsid w:val="009F7288"/>
    <w:rsid w:val="00A012EE"/>
    <w:rsid w:val="00A02117"/>
    <w:rsid w:val="00A05217"/>
    <w:rsid w:val="00A05301"/>
    <w:rsid w:val="00A0687A"/>
    <w:rsid w:val="00A0747B"/>
    <w:rsid w:val="00A13B59"/>
    <w:rsid w:val="00A150F6"/>
    <w:rsid w:val="00A20798"/>
    <w:rsid w:val="00A218A7"/>
    <w:rsid w:val="00A21BF5"/>
    <w:rsid w:val="00A22AB2"/>
    <w:rsid w:val="00A23612"/>
    <w:rsid w:val="00A25643"/>
    <w:rsid w:val="00A273A3"/>
    <w:rsid w:val="00A31E06"/>
    <w:rsid w:val="00A32AA1"/>
    <w:rsid w:val="00A34BF1"/>
    <w:rsid w:val="00A34F05"/>
    <w:rsid w:val="00A36088"/>
    <w:rsid w:val="00A3619D"/>
    <w:rsid w:val="00A435D1"/>
    <w:rsid w:val="00A43C36"/>
    <w:rsid w:val="00A4647E"/>
    <w:rsid w:val="00A475C5"/>
    <w:rsid w:val="00A509E5"/>
    <w:rsid w:val="00A5162C"/>
    <w:rsid w:val="00A51CE6"/>
    <w:rsid w:val="00A53AB8"/>
    <w:rsid w:val="00A54E11"/>
    <w:rsid w:val="00A54EC0"/>
    <w:rsid w:val="00A55255"/>
    <w:rsid w:val="00A562E8"/>
    <w:rsid w:val="00A601F6"/>
    <w:rsid w:val="00A62F9D"/>
    <w:rsid w:val="00A630D5"/>
    <w:rsid w:val="00A656C6"/>
    <w:rsid w:val="00A66C30"/>
    <w:rsid w:val="00A67214"/>
    <w:rsid w:val="00A70A00"/>
    <w:rsid w:val="00A70AED"/>
    <w:rsid w:val="00A711FC"/>
    <w:rsid w:val="00A72435"/>
    <w:rsid w:val="00A7251D"/>
    <w:rsid w:val="00A73706"/>
    <w:rsid w:val="00A74E3E"/>
    <w:rsid w:val="00A77093"/>
    <w:rsid w:val="00A772E1"/>
    <w:rsid w:val="00A80946"/>
    <w:rsid w:val="00A81D5E"/>
    <w:rsid w:val="00A8435D"/>
    <w:rsid w:val="00A859F0"/>
    <w:rsid w:val="00A867C2"/>
    <w:rsid w:val="00A91162"/>
    <w:rsid w:val="00A934C9"/>
    <w:rsid w:val="00A93B38"/>
    <w:rsid w:val="00A946A3"/>
    <w:rsid w:val="00A946E3"/>
    <w:rsid w:val="00A957AD"/>
    <w:rsid w:val="00A971A9"/>
    <w:rsid w:val="00AA0628"/>
    <w:rsid w:val="00AA2824"/>
    <w:rsid w:val="00AA2F4D"/>
    <w:rsid w:val="00AA3073"/>
    <w:rsid w:val="00AA33F0"/>
    <w:rsid w:val="00AA3916"/>
    <w:rsid w:val="00AA4E84"/>
    <w:rsid w:val="00AA526C"/>
    <w:rsid w:val="00AA636D"/>
    <w:rsid w:val="00AA6B1B"/>
    <w:rsid w:val="00AA7CD8"/>
    <w:rsid w:val="00AB0F66"/>
    <w:rsid w:val="00AB14CE"/>
    <w:rsid w:val="00AB5BA5"/>
    <w:rsid w:val="00AB5F44"/>
    <w:rsid w:val="00AC2F9A"/>
    <w:rsid w:val="00AC33C4"/>
    <w:rsid w:val="00AC3F14"/>
    <w:rsid w:val="00AC41FD"/>
    <w:rsid w:val="00AC453B"/>
    <w:rsid w:val="00AC65E9"/>
    <w:rsid w:val="00AC6F15"/>
    <w:rsid w:val="00AD09F0"/>
    <w:rsid w:val="00AD5BFF"/>
    <w:rsid w:val="00AD7E4A"/>
    <w:rsid w:val="00AD7EA3"/>
    <w:rsid w:val="00AE2D7A"/>
    <w:rsid w:val="00AE725D"/>
    <w:rsid w:val="00AE7342"/>
    <w:rsid w:val="00AE7A8C"/>
    <w:rsid w:val="00AF2303"/>
    <w:rsid w:val="00AF3622"/>
    <w:rsid w:val="00AF3BE3"/>
    <w:rsid w:val="00AF47F8"/>
    <w:rsid w:val="00AF6934"/>
    <w:rsid w:val="00AF76B4"/>
    <w:rsid w:val="00B000DC"/>
    <w:rsid w:val="00B00808"/>
    <w:rsid w:val="00B00AF7"/>
    <w:rsid w:val="00B055B8"/>
    <w:rsid w:val="00B1174C"/>
    <w:rsid w:val="00B11C83"/>
    <w:rsid w:val="00B12226"/>
    <w:rsid w:val="00B1441B"/>
    <w:rsid w:val="00B16929"/>
    <w:rsid w:val="00B23084"/>
    <w:rsid w:val="00B32265"/>
    <w:rsid w:val="00B33E89"/>
    <w:rsid w:val="00B33FB2"/>
    <w:rsid w:val="00B3412F"/>
    <w:rsid w:val="00B36013"/>
    <w:rsid w:val="00B36377"/>
    <w:rsid w:val="00B36A0F"/>
    <w:rsid w:val="00B453FD"/>
    <w:rsid w:val="00B46F8C"/>
    <w:rsid w:val="00B5055B"/>
    <w:rsid w:val="00B512BD"/>
    <w:rsid w:val="00B52373"/>
    <w:rsid w:val="00B53032"/>
    <w:rsid w:val="00B60BAE"/>
    <w:rsid w:val="00B61917"/>
    <w:rsid w:val="00B62317"/>
    <w:rsid w:val="00B634B9"/>
    <w:rsid w:val="00B73822"/>
    <w:rsid w:val="00B73F03"/>
    <w:rsid w:val="00B76AD3"/>
    <w:rsid w:val="00B807D9"/>
    <w:rsid w:val="00B820A7"/>
    <w:rsid w:val="00B848C2"/>
    <w:rsid w:val="00B85A49"/>
    <w:rsid w:val="00B860AE"/>
    <w:rsid w:val="00B87FAF"/>
    <w:rsid w:val="00B90620"/>
    <w:rsid w:val="00B9083E"/>
    <w:rsid w:val="00B911E1"/>
    <w:rsid w:val="00B922D4"/>
    <w:rsid w:val="00B9249E"/>
    <w:rsid w:val="00B93A5B"/>
    <w:rsid w:val="00BA4A3E"/>
    <w:rsid w:val="00BA4A5F"/>
    <w:rsid w:val="00BA55B8"/>
    <w:rsid w:val="00BA578A"/>
    <w:rsid w:val="00BA59A7"/>
    <w:rsid w:val="00BA6474"/>
    <w:rsid w:val="00BB04BC"/>
    <w:rsid w:val="00BB0FDA"/>
    <w:rsid w:val="00BB3887"/>
    <w:rsid w:val="00BB4CB7"/>
    <w:rsid w:val="00BB6251"/>
    <w:rsid w:val="00BB6D14"/>
    <w:rsid w:val="00BB7493"/>
    <w:rsid w:val="00BC1742"/>
    <w:rsid w:val="00BC2626"/>
    <w:rsid w:val="00BC3E9A"/>
    <w:rsid w:val="00BC4179"/>
    <w:rsid w:val="00BC4E3F"/>
    <w:rsid w:val="00BC586D"/>
    <w:rsid w:val="00BC5D53"/>
    <w:rsid w:val="00BD2AA9"/>
    <w:rsid w:val="00BD5924"/>
    <w:rsid w:val="00BE11F5"/>
    <w:rsid w:val="00BE2572"/>
    <w:rsid w:val="00BE2925"/>
    <w:rsid w:val="00BE56D6"/>
    <w:rsid w:val="00BE6F44"/>
    <w:rsid w:val="00BF00AB"/>
    <w:rsid w:val="00BF05CF"/>
    <w:rsid w:val="00BF089E"/>
    <w:rsid w:val="00BF1352"/>
    <w:rsid w:val="00BF13E8"/>
    <w:rsid w:val="00BF1740"/>
    <w:rsid w:val="00BF4081"/>
    <w:rsid w:val="00C00395"/>
    <w:rsid w:val="00C00869"/>
    <w:rsid w:val="00C00CC3"/>
    <w:rsid w:val="00C01AB6"/>
    <w:rsid w:val="00C0295F"/>
    <w:rsid w:val="00C03E24"/>
    <w:rsid w:val="00C05390"/>
    <w:rsid w:val="00C06709"/>
    <w:rsid w:val="00C0746E"/>
    <w:rsid w:val="00C140E0"/>
    <w:rsid w:val="00C14C92"/>
    <w:rsid w:val="00C150B0"/>
    <w:rsid w:val="00C15445"/>
    <w:rsid w:val="00C204B5"/>
    <w:rsid w:val="00C222C6"/>
    <w:rsid w:val="00C22D26"/>
    <w:rsid w:val="00C23F4C"/>
    <w:rsid w:val="00C2745D"/>
    <w:rsid w:val="00C32454"/>
    <w:rsid w:val="00C33CA7"/>
    <w:rsid w:val="00C362CD"/>
    <w:rsid w:val="00C365D9"/>
    <w:rsid w:val="00C40D04"/>
    <w:rsid w:val="00C40F47"/>
    <w:rsid w:val="00C41322"/>
    <w:rsid w:val="00C434E5"/>
    <w:rsid w:val="00C472DD"/>
    <w:rsid w:val="00C53C3D"/>
    <w:rsid w:val="00C53F4F"/>
    <w:rsid w:val="00C556FA"/>
    <w:rsid w:val="00C57B08"/>
    <w:rsid w:val="00C61962"/>
    <w:rsid w:val="00C61D51"/>
    <w:rsid w:val="00C623CC"/>
    <w:rsid w:val="00C63B9C"/>
    <w:rsid w:val="00C6620A"/>
    <w:rsid w:val="00C707DA"/>
    <w:rsid w:val="00C70AD7"/>
    <w:rsid w:val="00C7373E"/>
    <w:rsid w:val="00C73A86"/>
    <w:rsid w:val="00C75EF0"/>
    <w:rsid w:val="00C77214"/>
    <w:rsid w:val="00C806F6"/>
    <w:rsid w:val="00C82C65"/>
    <w:rsid w:val="00C82FD1"/>
    <w:rsid w:val="00C83DFA"/>
    <w:rsid w:val="00C84BA0"/>
    <w:rsid w:val="00C84D97"/>
    <w:rsid w:val="00C85331"/>
    <w:rsid w:val="00C8551A"/>
    <w:rsid w:val="00C85B24"/>
    <w:rsid w:val="00C87813"/>
    <w:rsid w:val="00C878A3"/>
    <w:rsid w:val="00C913B4"/>
    <w:rsid w:val="00C91C64"/>
    <w:rsid w:val="00C971E4"/>
    <w:rsid w:val="00CA0164"/>
    <w:rsid w:val="00CA1D81"/>
    <w:rsid w:val="00CA3A7E"/>
    <w:rsid w:val="00CA40E7"/>
    <w:rsid w:val="00CA6B98"/>
    <w:rsid w:val="00CB0182"/>
    <w:rsid w:val="00CB50B7"/>
    <w:rsid w:val="00CB58CB"/>
    <w:rsid w:val="00CC0E4E"/>
    <w:rsid w:val="00CC11E2"/>
    <w:rsid w:val="00CC24F0"/>
    <w:rsid w:val="00CC2DBB"/>
    <w:rsid w:val="00CC3048"/>
    <w:rsid w:val="00CC3268"/>
    <w:rsid w:val="00CC3382"/>
    <w:rsid w:val="00CC4744"/>
    <w:rsid w:val="00CC7D3C"/>
    <w:rsid w:val="00CD062A"/>
    <w:rsid w:val="00CD2EF2"/>
    <w:rsid w:val="00CD32CE"/>
    <w:rsid w:val="00CD61F7"/>
    <w:rsid w:val="00CD62B4"/>
    <w:rsid w:val="00CD78AC"/>
    <w:rsid w:val="00CE25FA"/>
    <w:rsid w:val="00CE3E81"/>
    <w:rsid w:val="00CE5B5C"/>
    <w:rsid w:val="00CE6C4F"/>
    <w:rsid w:val="00CF11DE"/>
    <w:rsid w:val="00CF1605"/>
    <w:rsid w:val="00CF4178"/>
    <w:rsid w:val="00CF4DEE"/>
    <w:rsid w:val="00CF5CC0"/>
    <w:rsid w:val="00CF71FB"/>
    <w:rsid w:val="00CF7A29"/>
    <w:rsid w:val="00D0196B"/>
    <w:rsid w:val="00D01D2E"/>
    <w:rsid w:val="00D0235A"/>
    <w:rsid w:val="00D02957"/>
    <w:rsid w:val="00D0396F"/>
    <w:rsid w:val="00D043AE"/>
    <w:rsid w:val="00D06862"/>
    <w:rsid w:val="00D0724F"/>
    <w:rsid w:val="00D1261D"/>
    <w:rsid w:val="00D135BF"/>
    <w:rsid w:val="00D13C6A"/>
    <w:rsid w:val="00D1548D"/>
    <w:rsid w:val="00D20031"/>
    <w:rsid w:val="00D206FF"/>
    <w:rsid w:val="00D20C62"/>
    <w:rsid w:val="00D215D0"/>
    <w:rsid w:val="00D233C8"/>
    <w:rsid w:val="00D26244"/>
    <w:rsid w:val="00D31776"/>
    <w:rsid w:val="00D34941"/>
    <w:rsid w:val="00D34DFB"/>
    <w:rsid w:val="00D37370"/>
    <w:rsid w:val="00D37F4E"/>
    <w:rsid w:val="00D4054C"/>
    <w:rsid w:val="00D41A11"/>
    <w:rsid w:val="00D42473"/>
    <w:rsid w:val="00D42966"/>
    <w:rsid w:val="00D42A4D"/>
    <w:rsid w:val="00D42CD6"/>
    <w:rsid w:val="00D42F68"/>
    <w:rsid w:val="00D449A9"/>
    <w:rsid w:val="00D47737"/>
    <w:rsid w:val="00D54777"/>
    <w:rsid w:val="00D54FE5"/>
    <w:rsid w:val="00D55B9A"/>
    <w:rsid w:val="00D57FCF"/>
    <w:rsid w:val="00D617CF"/>
    <w:rsid w:val="00D617E8"/>
    <w:rsid w:val="00D619ED"/>
    <w:rsid w:val="00D62D04"/>
    <w:rsid w:val="00D636EA"/>
    <w:rsid w:val="00D64384"/>
    <w:rsid w:val="00D654FF"/>
    <w:rsid w:val="00D66042"/>
    <w:rsid w:val="00D7283E"/>
    <w:rsid w:val="00D72E31"/>
    <w:rsid w:val="00D74DAF"/>
    <w:rsid w:val="00D7531A"/>
    <w:rsid w:val="00D7577D"/>
    <w:rsid w:val="00D7698B"/>
    <w:rsid w:val="00D77101"/>
    <w:rsid w:val="00D77B86"/>
    <w:rsid w:val="00D81596"/>
    <w:rsid w:val="00D81951"/>
    <w:rsid w:val="00D83436"/>
    <w:rsid w:val="00D836DD"/>
    <w:rsid w:val="00D83B1E"/>
    <w:rsid w:val="00D84FEB"/>
    <w:rsid w:val="00D87FC8"/>
    <w:rsid w:val="00D915D3"/>
    <w:rsid w:val="00D9350E"/>
    <w:rsid w:val="00D94553"/>
    <w:rsid w:val="00D95624"/>
    <w:rsid w:val="00D96D89"/>
    <w:rsid w:val="00D970D7"/>
    <w:rsid w:val="00DA0600"/>
    <w:rsid w:val="00DA0E4E"/>
    <w:rsid w:val="00DA1365"/>
    <w:rsid w:val="00DA1620"/>
    <w:rsid w:val="00DA3DD3"/>
    <w:rsid w:val="00DB226F"/>
    <w:rsid w:val="00DB2D91"/>
    <w:rsid w:val="00DB31DC"/>
    <w:rsid w:val="00DB4D85"/>
    <w:rsid w:val="00DC0A87"/>
    <w:rsid w:val="00DC23D1"/>
    <w:rsid w:val="00DC2FFD"/>
    <w:rsid w:val="00DC412B"/>
    <w:rsid w:val="00DC4EA1"/>
    <w:rsid w:val="00DC5E76"/>
    <w:rsid w:val="00DC6F68"/>
    <w:rsid w:val="00DC7471"/>
    <w:rsid w:val="00DD045B"/>
    <w:rsid w:val="00DD1078"/>
    <w:rsid w:val="00DD24A7"/>
    <w:rsid w:val="00DD321E"/>
    <w:rsid w:val="00DD68F4"/>
    <w:rsid w:val="00DD7966"/>
    <w:rsid w:val="00DE0E9C"/>
    <w:rsid w:val="00DE16BA"/>
    <w:rsid w:val="00DE18DA"/>
    <w:rsid w:val="00DE1C5F"/>
    <w:rsid w:val="00DE20F8"/>
    <w:rsid w:val="00DE257C"/>
    <w:rsid w:val="00DE31AC"/>
    <w:rsid w:val="00DF101C"/>
    <w:rsid w:val="00DF2330"/>
    <w:rsid w:val="00DF3153"/>
    <w:rsid w:val="00DF4FC5"/>
    <w:rsid w:val="00E00584"/>
    <w:rsid w:val="00E01B39"/>
    <w:rsid w:val="00E01CC4"/>
    <w:rsid w:val="00E03C8B"/>
    <w:rsid w:val="00E03D24"/>
    <w:rsid w:val="00E05291"/>
    <w:rsid w:val="00E05C59"/>
    <w:rsid w:val="00E064A4"/>
    <w:rsid w:val="00E11E52"/>
    <w:rsid w:val="00E12DBA"/>
    <w:rsid w:val="00E1316C"/>
    <w:rsid w:val="00E151C7"/>
    <w:rsid w:val="00E171E8"/>
    <w:rsid w:val="00E17833"/>
    <w:rsid w:val="00E200A9"/>
    <w:rsid w:val="00E20F3A"/>
    <w:rsid w:val="00E318C6"/>
    <w:rsid w:val="00E32624"/>
    <w:rsid w:val="00E3277A"/>
    <w:rsid w:val="00E33019"/>
    <w:rsid w:val="00E33A8C"/>
    <w:rsid w:val="00E35865"/>
    <w:rsid w:val="00E470B3"/>
    <w:rsid w:val="00E5431A"/>
    <w:rsid w:val="00E543C0"/>
    <w:rsid w:val="00E55474"/>
    <w:rsid w:val="00E56475"/>
    <w:rsid w:val="00E57007"/>
    <w:rsid w:val="00E57598"/>
    <w:rsid w:val="00E60DB6"/>
    <w:rsid w:val="00E64E35"/>
    <w:rsid w:val="00E656E0"/>
    <w:rsid w:val="00E66DAE"/>
    <w:rsid w:val="00E71F70"/>
    <w:rsid w:val="00E72ED5"/>
    <w:rsid w:val="00E73C1F"/>
    <w:rsid w:val="00E75319"/>
    <w:rsid w:val="00E75E90"/>
    <w:rsid w:val="00E77937"/>
    <w:rsid w:val="00E81012"/>
    <w:rsid w:val="00E827FD"/>
    <w:rsid w:val="00E82E95"/>
    <w:rsid w:val="00E834AE"/>
    <w:rsid w:val="00E83B0D"/>
    <w:rsid w:val="00E83BCB"/>
    <w:rsid w:val="00E84115"/>
    <w:rsid w:val="00E84A7A"/>
    <w:rsid w:val="00E85EBF"/>
    <w:rsid w:val="00E85EDA"/>
    <w:rsid w:val="00E87816"/>
    <w:rsid w:val="00E92A05"/>
    <w:rsid w:val="00E92A1A"/>
    <w:rsid w:val="00E94D5E"/>
    <w:rsid w:val="00E9510C"/>
    <w:rsid w:val="00E977F4"/>
    <w:rsid w:val="00E97877"/>
    <w:rsid w:val="00EA00C5"/>
    <w:rsid w:val="00EA2993"/>
    <w:rsid w:val="00EA41F1"/>
    <w:rsid w:val="00EA48A0"/>
    <w:rsid w:val="00EA535E"/>
    <w:rsid w:val="00EB0F3B"/>
    <w:rsid w:val="00EB133E"/>
    <w:rsid w:val="00EB25F5"/>
    <w:rsid w:val="00EB3024"/>
    <w:rsid w:val="00EB782B"/>
    <w:rsid w:val="00EB795D"/>
    <w:rsid w:val="00EB7AF6"/>
    <w:rsid w:val="00EC10C9"/>
    <w:rsid w:val="00EC2D4F"/>
    <w:rsid w:val="00EC3AE2"/>
    <w:rsid w:val="00EC4262"/>
    <w:rsid w:val="00EC4EEF"/>
    <w:rsid w:val="00EC568E"/>
    <w:rsid w:val="00ED00B4"/>
    <w:rsid w:val="00ED0461"/>
    <w:rsid w:val="00ED0F9C"/>
    <w:rsid w:val="00ED22F8"/>
    <w:rsid w:val="00ED3013"/>
    <w:rsid w:val="00ED3EAA"/>
    <w:rsid w:val="00ED45D2"/>
    <w:rsid w:val="00ED4D1C"/>
    <w:rsid w:val="00ED533B"/>
    <w:rsid w:val="00EE0687"/>
    <w:rsid w:val="00EE1341"/>
    <w:rsid w:val="00EE1ECC"/>
    <w:rsid w:val="00EE7561"/>
    <w:rsid w:val="00EF1E1D"/>
    <w:rsid w:val="00EF2A2D"/>
    <w:rsid w:val="00EF2CFF"/>
    <w:rsid w:val="00F02AF8"/>
    <w:rsid w:val="00F04EA0"/>
    <w:rsid w:val="00F05892"/>
    <w:rsid w:val="00F0661D"/>
    <w:rsid w:val="00F10E34"/>
    <w:rsid w:val="00F11EE4"/>
    <w:rsid w:val="00F12175"/>
    <w:rsid w:val="00F145B7"/>
    <w:rsid w:val="00F1483A"/>
    <w:rsid w:val="00F152D4"/>
    <w:rsid w:val="00F16BA9"/>
    <w:rsid w:val="00F23539"/>
    <w:rsid w:val="00F237B2"/>
    <w:rsid w:val="00F2381D"/>
    <w:rsid w:val="00F23B71"/>
    <w:rsid w:val="00F24D09"/>
    <w:rsid w:val="00F26AE1"/>
    <w:rsid w:val="00F311B9"/>
    <w:rsid w:val="00F31B10"/>
    <w:rsid w:val="00F320F2"/>
    <w:rsid w:val="00F333CD"/>
    <w:rsid w:val="00F33975"/>
    <w:rsid w:val="00F3557C"/>
    <w:rsid w:val="00F37481"/>
    <w:rsid w:val="00F37F7E"/>
    <w:rsid w:val="00F415A4"/>
    <w:rsid w:val="00F471CC"/>
    <w:rsid w:val="00F47272"/>
    <w:rsid w:val="00F47B58"/>
    <w:rsid w:val="00F60D27"/>
    <w:rsid w:val="00F61B72"/>
    <w:rsid w:val="00F62533"/>
    <w:rsid w:val="00F65E0C"/>
    <w:rsid w:val="00F6610B"/>
    <w:rsid w:val="00F66900"/>
    <w:rsid w:val="00F67B8E"/>
    <w:rsid w:val="00F7011E"/>
    <w:rsid w:val="00F70F7F"/>
    <w:rsid w:val="00F72252"/>
    <w:rsid w:val="00F743D5"/>
    <w:rsid w:val="00F7585D"/>
    <w:rsid w:val="00F764D7"/>
    <w:rsid w:val="00F76766"/>
    <w:rsid w:val="00F76E00"/>
    <w:rsid w:val="00F81095"/>
    <w:rsid w:val="00F81F4A"/>
    <w:rsid w:val="00F83081"/>
    <w:rsid w:val="00F833EC"/>
    <w:rsid w:val="00F83423"/>
    <w:rsid w:val="00F8764E"/>
    <w:rsid w:val="00F90A93"/>
    <w:rsid w:val="00F90D60"/>
    <w:rsid w:val="00F976F0"/>
    <w:rsid w:val="00FA0374"/>
    <w:rsid w:val="00FA16FA"/>
    <w:rsid w:val="00FA1B79"/>
    <w:rsid w:val="00FA2562"/>
    <w:rsid w:val="00FA25BB"/>
    <w:rsid w:val="00FA3770"/>
    <w:rsid w:val="00FA3FD7"/>
    <w:rsid w:val="00FA4638"/>
    <w:rsid w:val="00FA673E"/>
    <w:rsid w:val="00FA6A57"/>
    <w:rsid w:val="00FB0BBF"/>
    <w:rsid w:val="00FB12DE"/>
    <w:rsid w:val="00FB13B3"/>
    <w:rsid w:val="00FB40BC"/>
    <w:rsid w:val="00FB4104"/>
    <w:rsid w:val="00FB4577"/>
    <w:rsid w:val="00FC0BFF"/>
    <w:rsid w:val="00FC290F"/>
    <w:rsid w:val="00FC49CE"/>
    <w:rsid w:val="00FC7C44"/>
    <w:rsid w:val="00FD0E4D"/>
    <w:rsid w:val="00FD0EAF"/>
    <w:rsid w:val="00FD1488"/>
    <w:rsid w:val="00FD2A09"/>
    <w:rsid w:val="00FD4151"/>
    <w:rsid w:val="00FD4991"/>
    <w:rsid w:val="00FD591E"/>
    <w:rsid w:val="00FD6ED2"/>
    <w:rsid w:val="00FE08D5"/>
    <w:rsid w:val="00FE21CB"/>
    <w:rsid w:val="00FE5CA3"/>
    <w:rsid w:val="00FF1CD4"/>
    <w:rsid w:val="00FF2BF9"/>
    <w:rsid w:val="00FF3F88"/>
    <w:rsid w:val="00FF4A64"/>
    <w:rsid w:val="00FF4D93"/>
    <w:rsid w:val="00FF5192"/>
    <w:rsid w:val="00FF53A5"/>
    <w:rsid w:val="00FF6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F5DE9"/>
  <w15:chartTrackingRefBased/>
  <w15:docId w15:val="{33802214-18C9-41A6-9CC7-82F45AA5A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E6B"/>
    <w:pPr>
      <w:spacing w:after="200" w:line="276" w:lineRule="auto"/>
    </w:pPr>
    <w:rPr>
      <w:rFonts w:ascii="Times New Roman" w:eastAsia="Calibri" w:hAnsi="Times New Roman" w:cs="Times New Roman"/>
      <w:lang w:val="sr-Latn-RS"/>
    </w:rPr>
  </w:style>
  <w:style w:type="paragraph" w:styleId="Heading1">
    <w:name w:val="heading 1"/>
    <w:basedOn w:val="Normal"/>
    <w:next w:val="Normal"/>
    <w:link w:val="Heading1Char"/>
    <w:qFormat/>
    <w:rsid w:val="00037E6B"/>
    <w:pPr>
      <w:keepNext/>
      <w:spacing w:after="0" w:line="240" w:lineRule="auto"/>
      <w:outlineLvl w:val="0"/>
    </w:pPr>
    <w:rPr>
      <w:rFonts w:eastAsia="Times New Roman"/>
      <w:b/>
      <w:sz w:val="24"/>
      <w:szCs w:val="24"/>
      <w:lang w:val="sr-Cyrl-CS"/>
    </w:rPr>
  </w:style>
  <w:style w:type="paragraph" w:styleId="Heading2">
    <w:name w:val="heading 2"/>
    <w:basedOn w:val="Normal"/>
    <w:next w:val="Normal"/>
    <w:link w:val="Heading2Char"/>
    <w:uiPriority w:val="9"/>
    <w:unhideWhenUsed/>
    <w:qFormat/>
    <w:rsid w:val="00E92A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333C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7E6B"/>
    <w:rPr>
      <w:rFonts w:ascii="Times New Roman" w:eastAsia="Times New Roman" w:hAnsi="Times New Roman" w:cs="Times New Roman"/>
      <w:b/>
      <w:sz w:val="24"/>
      <w:szCs w:val="24"/>
      <w:lang w:val="sr-Cyrl-CS"/>
    </w:rPr>
  </w:style>
  <w:style w:type="paragraph" w:styleId="FootnoteText">
    <w:name w:val="footnote text"/>
    <w:aliases w:val="single space,ft,Footnote Text Char Char Char,Footnote Text Char Char,footnote text Char,ft Char Char Char,ft Char Char,footnote text,Footnote Text Char1,FOOTNOTES,fn,Fußnote,F1,Geneva 9,Boston 1,Footnote Text Char Char Char Char Char Char"/>
    <w:basedOn w:val="Normal"/>
    <w:link w:val="FootnoteTextChar"/>
    <w:uiPriority w:val="99"/>
    <w:unhideWhenUsed/>
    <w:qFormat/>
    <w:rsid w:val="00037E6B"/>
    <w:pPr>
      <w:spacing w:after="0" w:line="240" w:lineRule="auto"/>
      <w:jc w:val="both"/>
    </w:pPr>
    <w:rPr>
      <w:rFonts w:ascii="Arial" w:hAnsi="Arial"/>
      <w:sz w:val="20"/>
      <w:szCs w:val="20"/>
      <w:lang w:val="x-none" w:eastAsia="x-none"/>
    </w:rPr>
  </w:style>
  <w:style w:type="character" w:customStyle="1" w:styleId="FootnoteTextChar">
    <w:name w:val="Footnote Text Char"/>
    <w:aliases w:val="single space Char,ft Char,Footnote Text Char Char Char Char,Footnote Text Char Char Char1,footnote text Char Char,ft Char Char Char Char,ft Char Char Char1,footnote text Char1,Footnote Text Char1 Char,FOOTNOTES Char,fn Char,F1 Char"/>
    <w:basedOn w:val="DefaultParagraphFont"/>
    <w:link w:val="FootnoteText"/>
    <w:uiPriority w:val="99"/>
    <w:rsid w:val="00037E6B"/>
    <w:rPr>
      <w:rFonts w:ascii="Arial" w:eastAsia="Calibri" w:hAnsi="Arial" w:cs="Times New Roman"/>
      <w:sz w:val="20"/>
      <w:szCs w:val="20"/>
      <w:lang w:val="x-none" w:eastAsia="x-none"/>
    </w:rPr>
  </w:style>
  <w:style w:type="character" w:styleId="FootnoteReference">
    <w:name w:val="footnote reference"/>
    <w:aliases w:val="ftref,BVI fnr,16 Point,Superscript 6 Point,BVI fnr Char Char Char Char,Footnotes refss Char Char Char Char,ftref Char Char Char Char,16 Point Char Char Char Char,Superscript 6 Point Char Char Char Char,Footnotes refss,4_G"/>
    <w:link w:val="BVIfnrCharCharCharChar1CharChar"/>
    <w:uiPriority w:val="99"/>
    <w:unhideWhenUsed/>
    <w:qFormat/>
    <w:rsid w:val="00037E6B"/>
    <w:rPr>
      <w:vertAlign w:val="superscript"/>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uiPriority w:val="99"/>
    <w:rsid w:val="00037E6B"/>
    <w:pPr>
      <w:spacing w:after="160" w:line="240" w:lineRule="exact"/>
    </w:pPr>
    <w:rPr>
      <w:rFonts w:asciiTheme="minorHAnsi" w:eastAsiaTheme="minorHAnsi" w:hAnsiTheme="minorHAnsi" w:cstheme="minorBidi"/>
      <w:vertAlign w:val="superscript"/>
      <w:lang w:val="en-GB"/>
    </w:rPr>
  </w:style>
  <w:style w:type="paragraph" w:customStyle="1" w:styleId="BodyText3">
    <w:name w:val="Body Text3"/>
    <w:basedOn w:val="Normal"/>
    <w:rsid w:val="00037E6B"/>
    <w:pPr>
      <w:shd w:val="clear" w:color="auto" w:fill="FFFFFF"/>
      <w:spacing w:before="1200" w:after="2400" w:line="0" w:lineRule="atLeast"/>
      <w:ind w:hanging="720"/>
    </w:pPr>
    <w:rPr>
      <w:rFonts w:eastAsia="Times New Roman"/>
      <w:color w:val="000000"/>
      <w:lang w:val="en-US"/>
    </w:rPr>
  </w:style>
  <w:style w:type="character" w:styleId="Hyperlink">
    <w:name w:val="Hyperlink"/>
    <w:basedOn w:val="DefaultParagraphFont"/>
    <w:uiPriority w:val="99"/>
    <w:unhideWhenUsed/>
    <w:rsid w:val="00CF71FB"/>
    <w:rPr>
      <w:color w:val="0563C1" w:themeColor="hyperlink"/>
      <w:u w:val="single"/>
    </w:rPr>
  </w:style>
  <w:style w:type="character" w:customStyle="1" w:styleId="v2-clan-left-1">
    <w:name w:val="v2-clan-left-1"/>
    <w:basedOn w:val="DefaultParagraphFont"/>
    <w:rsid w:val="006904C2"/>
  </w:style>
  <w:style w:type="table" w:styleId="TableGrid">
    <w:name w:val="Table Grid"/>
    <w:basedOn w:val="TableNormal"/>
    <w:uiPriority w:val="39"/>
    <w:rsid w:val="00690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harCharChar">
    <w:name w:val="BVI fnr Char Char Char"/>
    <w:aliases w:val="Footnotes refss Char Char Char,ftref Char Char Char,16 Point Char Char Char,Superscript 6 Point Char Char Char,Footnote Reference Number Char Char Char,nota pié di pagina Char Char Char,ftref Char1,4_G Char,BVI fnr Char1"/>
    <w:basedOn w:val="Normal"/>
    <w:rsid w:val="006904C2"/>
    <w:pPr>
      <w:spacing w:after="160" w:line="240" w:lineRule="exact"/>
    </w:pPr>
    <w:rPr>
      <w:rFonts w:asciiTheme="minorHAnsi" w:eastAsiaTheme="minorHAnsi" w:hAnsiTheme="minorHAnsi" w:cstheme="minorBidi"/>
      <w:vertAlign w:val="superscript"/>
      <w:lang w:val="en-GB"/>
    </w:rPr>
  </w:style>
  <w:style w:type="paragraph" w:styleId="ListParagraph">
    <w:name w:val="List Paragraph"/>
    <w:basedOn w:val="Normal"/>
    <w:uiPriority w:val="34"/>
    <w:qFormat/>
    <w:rsid w:val="00775DEF"/>
    <w:pPr>
      <w:ind w:left="720"/>
      <w:contextualSpacing/>
    </w:pPr>
  </w:style>
  <w:style w:type="paragraph" w:styleId="Header">
    <w:name w:val="header"/>
    <w:basedOn w:val="Normal"/>
    <w:link w:val="HeaderChar"/>
    <w:uiPriority w:val="99"/>
    <w:unhideWhenUsed/>
    <w:rsid w:val="004369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699C"/>
    <w:rPr>
      <w:rFonts w:ascii="Times New Roman" w:eastAsia="Calibri" w:hAnsi="Times New Roman" w:cs="Times New Roman"/>
      <w:lang w:val="sr-Latn-RS"/>
    </w:rPr>
  </w:style>
  <w:style w:type="paragraph" w:styleId="Footer">
    <w:name w:val="footer"/>
    <w:basedOn w:val="Normal"/>
    <w:link w:val="FooterChar"/>
    <w:uiPriority w:val="99"/>
    <w:unhideWhenUsed/>
    <w:rsid w:val="004369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699C"/>
    <w:rPr>
      <w:rFonts w:ascii="Times New Roman" w:eastAsia="Calibri" w:hAnsi="Times New Roman" w:cs="Times New Roman"/>
      <w:lang w:val="sr-Latn-RS"/>
    </w:rPr>
  </w:style>
  <w:style w:type="paragraph" w:styleId="BodyTextIndent2">
    <w:name w:val="Body Text Indent 2"/>
    <w:basedOn w:val="Normal"/>
    <w:link w:val="BodyTextIndent2Char"/>
    <w:uiPriority w:val="99"/>
    <w:unhideWhenUsed/>
    <w:rsid w:val="009C33CF"/>
    <w:pPr>
      <w:spacing w:after="120" w:line="480" w:lineRule="auto"/>
      <w:ind w:left="283"/>
    </w:pPr>
    <w:rPr>
      <w:rFonts w:eastAsiaTheme="minorHAnsi"/>
      <w:lang w:val="en-US"/>
    </w:rPr>
  </w:style>
  <w:style w:type="character" w:customStyle="1" w:styleId="BodyTextIndent2Char">
    <w:name w:val="Body Text Indent 2 Char"/>
    <w:basedOn w:val="DefaultParagraphFont"/>
    <w:link w:val="BodyTextIndent2"/>
    <w:uiPriority w:val="99"/>
    <w:rsid w:val="009C33CF"/>
    <w:rPr>
      <w:rFonts w:ascii="Times New Roman" w:hAnsi="Times New Roman" w:cs="Times New Roman"/>
      <w:lang w:val="en-US"/>
    </w:rPr>
  </w:style>
  <w:style w:type="character" w:customStyle="1" w:styleId="Tablecaption">
    <w:name w:val="Table caption_"/>
    <w:basedOn w:val="DefaultParagraphFont"/>
    <w:link w:val="Tablecaption0"/>
    <w:rsid w:val="00E60DB6"/>
    <w:rPr>
      <w:rFonts w:ascii="Times New Roman" w:eastAsia="Times New Roman" w:hAnsi="Times New Roman" w:cs="Times New Roman"/>
      <w:b/>
      <w:bCs/>
      <w:u w:val="single"/>
    </w:rPr>
  </w:style>
  <w:style w:type="character" w:customStyle="1" w:styleId="Other">
    <w:name w:val="Other_"/>
    <w:basedOn w:val="DefaultParagraphFont"/>
    <w:link w:val="Other0"/>
    <w:rsid w:val="00E60DB6"/>
    <w:rPr>
      <w:rFonts w:ascii="Times New Roman" w:eastAsia="Times New Roman" w:hAnsi="Times New Roman" w:cs="Times New Roman"/>
    </w:rPr>
  </w:style>
  <w:style w:type="paragraph" w:customStyle="1" w:styleId="Tablecaption0">
    <w:name w:val="Table caption"/>
    <w:basedOn w:val="Normal"/>
    <w:link w:val="Tablecaption"/>
    <w:rsid w:val="00E60DB6"/>
    <w:pPr>
      <w:widowControl w:val="0"/>
      <w:spacing w:after="0" w:line="240" w:lineRule="auto"/>
    </w:pPr>
    <w:rPr>
      <w:rFonts w:eastAsia="Times New Roman"/>
      <w:b/>
      <w:bCs/>
      <w:u w:val="single"/>
      <w:lang w:val="en-GB"/>
    </w:rPr>
  </w:style>
  <w:style w:type="paragraph" w:customStyle="1" w:styleId="Other0">
    <w:name w:val="Other"/>
    <w:basedOn w:val="Normal"/>
    <w:link w:val="Other"/>
    <w:rsid w:val="00E60DB6"/>
    <w:pPr>
      <w:widowControl w:val="0"/>
      <w:spacing w:after="210" w:line="262" w:lineRule="auto"/>
      <w:ind w:firstLine="400"/>
    </w:pPr>
    <w:rPr>
      <w:rFonts w:eastAsia="Times New Roman"/>
      <w:lang w:val="en-GB"/>
    </w:rPr>
  </w:style>
  <w:style w:type="paragraph" w:styleId="BodyText">
    <w:name w:val="Body Text"/>
    <w:basedOn w:val="Normal"/>
    <w:link w:val="BodyTextChar"/>
    <w:uiPriority w:val="99"/>
    <w:semiHidden/>
    <w:unhideWhenUsed/>
    <w:rsid w:val="00E5431A"/>
    <w:pPr>
      <w:spacing w:after="120"/>
    </w:pPr>
  </w:style>
  <w:style w:type="character" w:customStyle="1" w:styleId="BodyTextChar">
    <w:name w:val="Body Text Char"/>
    <w:basedOn w:val="DefaultParagraphFont"/>
    <w:link w:val="BodyText"/>
    <w:rsid w:val="00E5431A"/>
    <w:rPr>
      <w:rFonts w:ascii="Times New Roman" w:eastAsia="Calibri" w:hAnsi="Times New Roman" w:cs="Times New Roman"/>
      <w:lang w:val="sr-Latn-RS"/>
    </w:rPr>
  </w:style>
  <w:style w:type="paragraph" w:customStyle="1" w:styleId="TableParagraph">
    <w:name w:val="Table Paragraph"/>
    <w:basedOn w:val="Normal"/>
    <w:uiPriority w:val="1"/>
    <w:qFormat/>
    <w:rsid w:val="00334F7A"/>
    <w:pPr>
      <w:widowControl w:val="0"/>
      <w:autoSpaceDE w:val="0"/>
      <w:autoSpaceDN w:val="0"/>
      <w:spacing w:after="0" w:line="240" w:lineRule="auto"/>
      <w:ind w:left="109"/>
    </w:pPr>
    <w:rPr>
      <w:rFonts w:eastAsia="Times New Roman"/>
      <w:lang w:val="en-US"/>
    </w:rPr>
  </w:style>
  <w:style w:type="character" w:styleId="Strong">
    <w:name w:val="Strong"/>
    <w:basedOn w:val="DefaultParagraphFont"/>
    <w:uiPriority w:val="22"/>
    <w:qFormat/>
    <w:rsid w:val="00025313"/>
    <w:rPr>
      <w:b/>
      <w:bCs/>
    </w:rPr>
  </w:style>
  <w:style w:type="character" w:customStyle="1" w:styleId="bulletChar">
    <w:name w:val="bullet Char"/>
    <w:link w:val="bullet"/>
    <w:locked/>
    <w:rsid w:val="00CF11DE"/>
    <w:rPr>
      <w:color w:val="404040"/>
      <w:lang w:eastAsia="ja-JP"/>
    </w:rPr>
  </w:style>
  <w:style w:type="paragraph" w:customStyle="1" w:styleId="bullet">
    <w:name w:val="bullet"/>
    <w:basedOn w:val="Normal"/>
    <w:link w:val="bulletChar"/>
    <w:rsid w:val="00CF11DE"/>
    <w:pPr>
      <w:numPr>
        <w:numId w:val="4"/>
      </w:numPr>
      <w:spacing w:after="120" w:line="240" w:lineRule="auto"/>
      <w:ind w:left="284" w:hanging="284"/>
    </w:pPr>
    <w:rPr>
      <w:rFonts w:asciiTheme="minorHAnsi" w:eastAsiaTheme="minorHAnsi" w:hAnsiTheme="minorHAnsi" w:cstheme="minorBidi"/>
      <w:color w:val="404040"/>
      <w:lang w:val="en-GB" w:eastAsia="ja-JP"/>
    </w:rPr>
  </w:style>
  <w:style w:type="character" w:customStyle="1" w:styleId="None">
    <w:name w:val="None"/>
    <w:basedOn w:val="DefaultParagraphFont"/>
    <w:rsid w:val="00AA3916"/>
  </w:style>
  <w:style w:type="paragraph" w:styleId="BalloonText">
    <w:name w:val="Balloon Text"/>
    <w:basedOn w:val="Normal"/>
    <w:link w:val="BalloonTextChar"/>
    <w:uiPriority w:val="99"/>
    <w:semiHidden/>
    <w:unhideWhenUsed/>
    <w:rsid w:val="00A772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2E1"/>
    <w:rPr>
      <w:rFonts w:ascii="Segoe UI" w:eastAsia="Calibri" w:hAnsi="Segoe UI" w:cs="Segoe UI"/>
      <w:sz w:val="18"/>
      <w:szCs w:val="18"/>
      <w:lang w:val="sr-Latn-RS"/>
    </w:rPr>
  </w:style>
  <w:style w:type="paragraph" w:styleId="NoSpacing">
    <w:name w:val="No Spacing"/>
    <w:uiPriority w:val="1"/>
    <w:qFormat/>
    <w:rsid w:val="009028C6"/>
    <w:pPr>
      <w:spacing w:after="0" w:line="240" w:lineRule="auto"/>
    </w:pPr>
    <w:rPr>
      <w:rFonts w:ascii="Calibri" w:eastAsia="Calibri" w:hAnsi="Calibri" w:cs="Calibri"/>
      <w:lang w:val="en-US" w:eastAsia="sr-Latn-RS"/>
    </w:rPr>
  </w:style>
  <w:style w:type="paragraph" w:styleId="NormalWeb">
    <w:name w:val="Normal (Web)"/>
    <w:basedOn w:val="Normal"/>
    <w:uiPriority w:val="99"/>
    <w:unhideWhenUsed/>
    <w:rsid w:val="009E54F7"/>
    <w:pPr>
      <w:spacing w:before="100" w:beforeAutospacing="1" w:after="100" w:afterAutospacing="1" w:line="240" w:lineRule="auto"/>
    </w:pPr>
    <w:rPr>
      <w:rFonts w:eastAsia="Times New Roman"/>
      <w:sz w:val="24"/>
      <w:szCs w:val="24"/>
      <w:lang w:val="en-US"/>
    </w:rPr>
  </w:style>
  <w:style w:type="character" w:customStyle="1" w:styleId="FontStyle17">
    <w:name w:val="Font Style17"/>
    <w:basedOn w:val="DefaultParagraphFont"/>
    <w:uiPriority w:val="99"/>
    <w:rsid w:val="009E54F7"/>
    <w:rPr>
      <w:rFonts w:ascii="Times New Roman" w:hAnsi="Times New Roman" w:cs="Times New Roman"/>
      <w:sz w:val="22"/>
      <w:szCs w:val="22"/>
    </w:rPr>
  </w:style>
  <w:style w:type="character" w:customStyle="1" w:styleId="Heading2Char">
    <w:name w:val="Heading 2 Char"/>
    <w:basedOn w:val="DefaultParagraphFont"/>
    <w:link w:val="Heading2"/>
    <w:uiPriority w:val="9"/>
    <w:rsid w:val="00E92A05"/>
    <w:rPr>
      <w:rFonts w:asciiTheme="majorHAnsi" w:eastAsiaTheme="majorEastAsia" w:hAnsiTheme="majorHAnsi" w:cstheme="majorBidi"/>
      <w:color w:val="2E74B5" w:themeColor="accent1" w:themeShade="BF"/>
      <w:sz w:val="26"/>
      <w:szCs w:val="26"/>
      <w:lang w:val="sr-Latn-RS"/>
    </w:rPr>
  </w:style>
  <w:style w:type="character" w:customStyle="1" w:styleId="Heading3Char">
    <w:name w:val="Heading 3 Char"/>
    <w:basedOn w:val="DefaultParagraphFont"/>
    <w:link w:val="Heading3"/>
    <w:uiPriority w:val="9"/>
    <w:rsid w:val="00F333CD"/>
    <w:rPr>
      <w:rFonts w:asciiTheme="majorHAnsi" w:eastAsiaTheme="majorEastAsia" w:hAnsiTheme="majorHAnsi" w:cstheme="majorBidi"/>
      <w:color w:val="1F4D78" w:themeColor="accent1" w:themeShade="7F"/>
      <w:sz w:val="24"/>
      <w:szCs w:val="24"/>
      <w:lang w:val="sr-Latn-RS"/>
    </w:rPr>
  </w:style>
  <w:style w:type="paragraph" w:styleId="TOCHeading">
    <w:name w:val="TOC Heading"/>
    <w:basedOn w:val="Heading1"/>
    <w:next w:val="Normal"/>
    <w:uiPriority w:val="39"/>
    <w:unhideWhenUsed/>
    <w:qFormat/>
    <w:rsid w:val="005249B1"/>
    <w:pPr>
      <w:keepLines/>
      <w:spacing w:before="240" w:line="259" w:lineRule="auto"/>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D26244"/>
    <w:pPr>
      <w:tabs>
        <w:tab w:val="right" w:leader="dot" w:pos="9016"/>
      </w:tabs>
      <w:spacing w:after="100"/>
    </w:pPr>
    <w:rPr>
      <w:b/>
      <w:noProof/>
    </w:rPr>
  </w:style>
  <w:style w:type="paragraph" w:styleId="TOC2">
    <w:name w:val="toc 2"/>
    <w:basedOn w:val="Normal"/>
    <w:next w:val="Normal"/>
    <w:autoRedefine/>
    <w:uiPriority w:val="39"/>
    <w:unhideWhenUsed/>
    <w:rsid w:val="005249B1"/>
    <w:pPr>
      <w:spacing w:after="100"/>
      <w:ind w:left="220"/>
    </w:pPr>
  </w:style>
  <w:style w:type="paragraph" w:styleId="TOC3">
    <w:name w:val="toc 3"/>
    <w:basedOn w:val="Normal"/>
    <w:next w:val="Normal"/>
    <w:autoRedefine/>
    <w:uiPriority w:val="39"/>
    <w:unhideWhenUsed/>
    <w:rsid w:val="005249B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69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ljmpdd.gov.rs/multilateralni-ugovori.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_rels/footnotes.xml.rels><?xml version="1.0" encoding="UTF-8" standalone="yes"?>
<Relationships xmlns="http://schemas.openxmlformats.org/package/2006/relationships"><Relationship Id="rId13" Type="http://schemas.openxmlformats.org/officeDocument/2006/relationships/hyperlink" Target="http://www.inkluzijaroma.stat.gov.rs" TargetMode="External"/><Relationship Id="rId18" Type="http://schemas.openxmlformats.org/officeDocument/2006/relationships/hyperlink" Target="http://www.ravnopravnost.gov.rs" TargetMode="External"/><Relationship Id="rId26" Type="http://schemas.openxmlformats.org/officeDocument/2006/relationships/hyperlink" Target="https://data.gov.rs/sr/datasets/rezultati-konkursa-za-projektno-sufinansiranja-medijskikh-sadrzhaja/" TargetMode="External"/><Relationship Id="rId39" Type="http://schemas.openxmlformats.org/officeDocument/2006/relationships/hyperlink" Target="http://www.rem.rs/sr/odluke/izrecene-mere" TargetMode="External"/><Relationship Id="rId21" Type="http://schemas.openxmlformats.org/officeDocument/2006/relationships/hyperlink" Target="https://unece.org/DAM/stats/publications/2015/ECECES41_EN.pdf" TargetMode="External"/><Relationship Id="rId34" Type="http://schemas.openxmlformats.org/officeDocument/2006/relationships/hyperlink" Target="http://www.pzv.edu.rs/" TargetMode="External"/><Relationship Id="rId7" Type="http://schemas.openxmlformats.org/officeDocument/2006/relationships/hyperlink" Target="http://www.mpn.gov.rs/wp-content/uploads/2021/02/Brosura_CIPv05-final-za-roditeljeB.pdf" TargetMode="External"/><Relationship Id="rId2" Type="http://schemas.openxmlformats.org/officeDocument/2006/relationships/hyperlink" Target="https://www.unhcr.org/rs/iskorenjivanje-apatridije" TargetMode="External"/><Relationship Id="rId16" Type="http://schemas.openxmlformats.org/officeDocument/2006/relationships/hyperlink" Target="https://romaworld.rs/" TargetMode="External"/><Relationship Id="rId20" Type="http://schemas.openxmlformats.org/officeDocument/2006/relationships/hyperlink" Target="https://www.mpn.gov.rs/wp-content/uploads/2019/04/HF-33-Smernice-SRB-FINAL.pdf" TargetMode="External"/><Relationship Id="rId29" Type="http://schemas.openxmlformats.org/officeDocument/2006/relationships/hyperlink" Target="https://www.ombudsman.rs/index.php/izvestaji/posebnii-izvestaji" TargetMode="External"/><Relationship Id="rId41" Type="http://schemas.openxmlformats.org/officeDocument/2006/relationships/hyperlink" Target="http://dictionary.hcnm.org/dict/" TargetMode="External"/><Relationship Id="rId1" Type="http://schemas.openxmlformats.org/officeDocument/2006/relationships/hyperlink" Target="http://www.unhcr.org/rs/wp-content/uploads/sites/40/2021/04/01-Lica-u-riziku-od-apatridije-u-Srbiji-CeSid-UNHCR-2020-SRB.pdf" TargetMode="External"/><Relationship Id="rId6" Type="http://schemas.openxmlformats.org/officeDocument/2006/relationships/hyperlink" Target="https://ombudsman.rs/index.php/2011-12-25-10-17-15/2011-12-26-10-05-05/6607-l-lni-s-upr-v-upuc-n-p-s-b-n-izv-sh-s-pr-p-ru-usl-vi-u-r-s-i-n-s-lji-u-si-u-ci-i-v-nr-dn-g-s-nj-i-pri-n-r-z-sh-i-usl-d-p-nd-i-r-n-virus" TargetMode="External"/><Relationship Id="rId11" Type="http://schemas.openxmlformats.org/officeDocument/2006/relationships/hyperlink" Target="http://www.mpn.gov.rs/izvestaj-o-ukljucenosti-ucenika-iz-osetljivih-grupa-u-obrazovno-vaspitni-rad-tokom-nastave-na-daljinu/" TargetMode="External"/><Relationship Id="rId24" Type="http://schemas.openxmlformats.org/officeDocument/2006/relationships/hyperlink" Target="https://tixwitchy.shinyapps.io/minority_media/" TargetMode="External"/><Relationship Id="rId32" Type="http://schemas.openxmlformats.org/officeDocument/2006/relationships/hyperlink" Target="https://zuov.gov.rs/izdanja-zavoda/" TargetMode="External"/><Relationship Id="rId37" Type="http://schemas.openxmlformats.org/officeDocument/2006/relationships/hyperlink" Target="https://slobodnarec.rs/2022/04/16/etnicka-distanca-odnos-vojvodjanskih-madjara-prema-drugim-nacionalnostima/" TargetMode="External"/><Relationship Id="rId40" Type="http://schemas.openxmlformats.org/officeDocument/2006/relationships/hyperlink" Target="https://mpn.gov.rs/wp-content/uploads/2022/03/Katalog-udzbenika-na-jezicima-nacionalnih-manjina.pdf" TargetMode="External"/><Relationship Id="rId5" Type="http://schemas.openxmlformats.org/officeDocument/2006/relationships/hyperlink" Target="https://socijalnoukljucivanje.gov.rs/rs/objavljena-analiza-odrzivih-modela-za-obezbedjivanje-pristupa-cistoj-pijacoj-vodi-kanalizaciji-i-elektricnoj-energiji-stanovnicima-i-stanovnicama-podstandardnih-romskih-naselja-u-republici-srbiji/" TargetMode="External"/><Relationship Id="rId15" Type="http://schemas.openxmlformats.org/officeDocument/2006/relationships/hyperlink" Target="https://www.ukljucise.org/publikacije" TargetMode="External"/><Relationship Id="rId23" Type="http://schemas.openxmlformats.org/officeDocument/2006/relationships/hyperlink" Target="https://www.osce.org/files/f/documents/5/a/473682.pdf" TargetMode="External"/><Relationship Id="rId28" Type="http://schemas.openxmlformats.org/officeDocument/2006/relationships/hyperlink" Target="https://www.pravamanjina.rs/images/Uvod_u_ostvarivanje_prava_na_slu%C5%BEbenu_upotrebu_jezika_i_pisama_nacionalnih_manjina_Mar_2019.pdf" TargetMode="External"/><Relationship Id="rId36" Type="http://schemas.openxmlformats.org/officeDocument/2006/relationships/hyperlink" Target="http://mduls.gov.rs/wp-content/uploads/Instrukcija-za-postupanje-u-slucajevima-rodjenja-deteta-ciji-roditelji-nemaju-licna-dokumenta-radi-omogucavanja-upisa-u-MKR.pdf" TargetMode="External"/><Relationship Id="rId10" Type="http://schemas.openxmlformats.org/officeDocument/2006/relationships/hyperlink" Target="https://www.mpn.gov.rs/wp-content/uploads/2021/06/SROVRS-2030-1.pdf" TargetMode="External"/><Relationship Id="rId19" Type="http://schemas.openxmlformats.org/officeDocument/2006/relationships/hyperlink" Target="https://mpn.gov.rs/wp-content/uploads/2019/03/prirucnik-primera-dobre-prakseDemokratska-kultura-u-skolama.pdf" TargetMode="External"/><Relationship Id="rId31" Type="http://schemas.openxmlformats.org/officeDocument/2006/relationships/hyperlink" Target="https://www.osce.org/files/f/documents/7/a/461806.pdf" TargetMode="External"/><Relationship Id="rId4" Type="http://schemas.openxmlformats.org/officeDocument/2006/relationships/hyperlink" Target="http://socijalnoukljucivanje.gov.rs/rs/objavljeno-mapiranje-podstandardnih-romskih-naselja-prema-rizicima-i-pristupu-pravima-u-republici-srbiji-sa-narocitim-osvrtom-na-covid-19-epidemiju/" TargetMode="External"/><Relationship Id="rId9" Type="http://schemas.openxmlformats.org/officeDocument/2006/relationships/hyperlink" Target="http://ravnopravnost.gov.rs/prevencija-segregacije-razvoj-inkluzivnih-upisnih-politika/" TargetMode="External"/><Relationship Id="rId14" Type="http://schemas.openxmlformats.org/officeDocument/2006/relationships/hyperlink" Target="http://socijalnoukljucivanje.gov.rs" TargetMode="External"/><Relationship Id="rId22" Type="http://schemas.openxmlformats.org/officeDocument/2006/relationships/hyperlink" Target="https://www.uns.org.rs/sr/desk/Privatizacija/71991/polozaj-privatizovanih-manjinskih-medija-nije-se-znacajno-menjao-od-2016-godine-.html" TargetMode="External"/><Relationship Id="rId27" Type="http://schemas.openxmlformats.org/officeDocument/2006/relationships/hyperlink" Target="http://www.puma.vojvodina.gov.rs/sluzbeno_jezik/glavnalist.php" TargetMode="External"/><Relationship Id="rId30" Type="http://schemas.openxmlformats.org/officeDocument/2006/relationships/hyperlink" Target="https://www.ombudsmanapv.org/riv/attachments/article/2131/Istrazivanje_sluz_upotreba_jezika_2018-finall.pdf" TargetMode="External"/><Relationship Id="rId35" Type="http://schemas.openxmlformats.org/officeDocument/2006/relationships/hyperlink" Target="https://www.ombudsman.rs/attachments/article/6484/POSEBAN%20IZVESTAJ%20ZG%20ANALIZA%20O%20STANJU%20U%20OBLASTI%20VRSENJA%20JAVNIH%20OVLASCENJA.pdf" TargetMode="External"/><Relationship Id="rId8" Type="http://schemas.openxmlformats.org/officeDocument/2006/relationships/hyperlink" Target="http://www.mpn.gov.rs/wp-content/uploads/2021/02/Brosura_CIP_-05-final-za-zaposleneB-1.pdf" TargetMode="External"/><Relationship Id="rId3" Type="http://schemas.openxmlformats.org/officeDocument/2006/relationships/hyperlink" Target="https://www.yucom.org.rs/wp-content/uploads/2022/03/1645107722_Analiza-ozakonjenja-17022022-WEB.pdf" TargetMode="External"/><Relationship Id="rId12" Type="http://schemas.openxmlformats.org/officeDocument/2006/relationships/hyperlink" Target="https://socijalnoukljucivanje.gov.rs/wp-content/uploads/2020/04/Dostupnost_usluga_i_mera_podske_za_decu_romske_nacionalnosti_na_lokalnom_nivou.pdf" TargetMode="External"/><Relationship Id="rId17" Type="http://schemas.openxmlformats.org/officeDocument/2006/relationships/hyperlink" Target="http://www.skgo.org/publications/download/506" TargetMode="External"/><Relationship Id="rId25" Type="http://schemas.openxmlformats.org/officeDocument/2006/relationships/hyperlink" Target="https://projektnosufinansiranjehtmlpublikacija.netlify.app/" TargetMode="External"/><Relationship Id="rId33" Type="http://schemas.openxmlformats.org/officeDocument/2006/relationships/hyperlink" Target="https://mojaskola.rtsplaneta.rs/list/772/srpski-kao-nematernji-jezik" TargetMode="External"/><Relationship Id="rId38" Type="http://schemas.openxmlformats.org/officeDocument/2006/relationships/hyperlink" Target="https://isi.f.bg.ac.rs/wp-content/uploads/2020/01/Mladen-Lazi%C4%87-Slobodan-Cveji%C4%87-prir-Stratifikacijske-promene-u-periodu-konsolidacije-kapitalizma-u-Srbiji.pdf"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Total</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Unqualified or with low qualifications</c:v>
                </c:pt>
                <c:pt idx="1">
                  <c:v>Secondary education</c:v>
                </c:pt>
                <c:pt idx="2">
                  <c:v>Tertiary education</c:v>
                </c:pt>
              </c:strCache>
            </c:strRef>
          </c:cat>
          <c:val>
            <c:numRef>
              <c:f>Sheet1!$B$2:$B$4</c:f>
              <c:numCache>
                <c:formatCode>0</c:formatCode>
                <c:ptCount val="3"/>
                <c:pt idx="0">
                  <c:v>25049</c:v>
                </c:pt>
                <c:pt idx="1">
                  <c:v>2800</c:v>
                </c:pt>
                <c:pt idx="2">
                  <c:v>192</c:v>
                </c:pt>
              </c:numCache>
            </c:numRef>
          </c:val>
          <c:extLst>
            <c:ext xmlns:c16="http://schemas.microsoft.com/office/drawing/2014/chart" uri="{C3380CC4-5D6E-409C-BE32-E72D297353CC}">
              <c16:uniqueId val="{00000000-6FE1-48D2-BE63-8D9EEF4574B2}"/>
            </c:ext>
          </c:extLst>
        </c:ser>
        <c:ser>
          <c:idx val="1"/>
          <c:order val="1"/>
          <c:tx>
            <c:strRef>
              <c:f>Sheet1!$C$1</c:f>
              <c:strCache>
                <c:ptCount val="1"/>
                <c:pt idx="0">
                  <c:v>Women</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Unqualified or with low qualifications</c:v>
                </c:pt>
                <c:pt idx="1">
                  <c:v>Secondary education</c:v>
                </c:pt>
                <c:pt idx="2">
                  <c:v>Tertiary education</c:v>
                </c:pt>
              </c:strCache>
            </c:strRef>
          </c:cat>
          <c:val>
            <c:numRef>
              <c:f>Sheet1!$C$2:$C$4</c:f>
              <c:numCache>
                <c:formatCode>0</c:formatCode>
                <c:ptCount val="3"/>
                <c:pt idx="0">
                  <c:v>13097</c:v>
                </c:pt>
                <c:pt idx="1">
                  <c:v>1062</c:v>
                </c:pt>
                <c:pt idx="2">
                  <c:v>99</c:v>
                </c:pt>
              </c:numCache>
            </c:numRef>
          </c:val>
          <c:extLst>
            <c:ext xmlns:c16="http://schemas.microsoft.com/office/drawing/2014/chart" uri="{C3380CC4-5D6E-409C-BE32-E72D297353CC}">
              <c16:uniqueId val="{00000001-6FE1-48D2-BE63-8D9EEF4574B2}"/>
            </c:ext>
          </c:extLst>
        </c:ser>
        <c:dLbls>
          <c:showLegendKey val="0"/>
          <c:showVal val="0"/>
          <c:showCatName val="0"/>
          <c:showSerName val="0"/>
          <c:showPercent val="0"/>
          <c:showBubbleSize val="0"/>
        </c:dLbls>
        <c:gapWidth val="100"/>
        <c:overlap val="-24"/>
        <c:axId val="424187744"/>
        <c:axId val="424189712"/>
      </c:barChart>
      <c:catAx>
        <c:axId val="42418774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24189712"/>
        <c:crosses val="autoZero"/>
        <c:auto val="1"/>
        <c:lblAlgn val="ctr"/>
        <c:lblOffset val="100"/>
        <c:noMultiLvlLbl val="0"/>
      </c:catAx>
      <c:valAx>
        <c:axId val="4241897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41877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6D499-2EC1-41F5-9ED4-7BB37D4C3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143</Pages>
  <Words>67128</Words>
  <Characters>382635</Characters>
  <Application>Microsoft Office Word</Application>
  <DocSecurity>0</DocSecurity>
  <Lines>3188</Lines>
  <Paragraphs>897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Gordana Govedarica</dc:creator>
  <cp:keywords/>
  <dc:description/>
  <cp:lastModifiedBy>Kristina Brković</cp:lastModifiedBy>
  <cp:revision>7</cp:revision>
  <cp:lastPrinted>2022-08-10T08:07:00Z</cp:lastPrinted>
  <dcterms:created xsi:type="dcterms:W3CDTF">2022-09-01T11:35:00Z</dcterms:created>
  <dcterms:modified xsi:type="dcterms:W3CDTF">2022-09-01T11:52:00Z</dcterms:modified>
</cp:coreProperties>
</file>