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341" w:rsidRDefault="00EE1341" w:rsidP="00EE1341">
      <w:pPr>
        <w:jc w:val="center"/>
        <w:rPr>
          <w:b/>
          <w:sz w:val="44"/>
          <w:szCs w:val="44"/>
        </w:rPr>
      </w:pPr>
      <w:bookmarkStart w:id="0" w:name="_Toc524610212"/>
      <w:r w:rsidRPr="006E75D2">
        <w:rPr>
          <w:b/>
          <w:sz w:val="44"/>
          <w:szCs w:val="44"/>
        </w:rPr>
        <w:t>Република Србија</w:t>
      </w:r>
    </w:p>
    <w:p w:rsidR="00EE1341" w:rsidRDefault="00EE1341" w:rsidP="00EE1341">
      <w:pPr>
        <w:jc w:val="center"/>
        <w:rPr>
          <w:b/>
          <w:sz w:val="24"/>
          <w:szCs w:val="24"/>
        </w:rPr>
      </w:pPr>
    </w:p>
    <w:p w:rsidR="00EE1341" w:rsidRDefault="00EE1341" w:rsidP="00EE1341">
      <w:pPr>
        <w:jc w:val="center"/>
        <w:rPr>
          <w:b/>
          <w:sz w:val="24"/>
          <w:szCs w:val="24"/>
        </w:rPr>
      </w:pPr>
    </w:p>
    <w:p w:rsidR="00EE1341" w:rsidRDefault="00EE1341" w:rsidP="00EE1341">
      <w:pPr>
        <w:jc w:val="center"/>
        <w:rPr>
          <w:b/>
          <w:sz w:val="24"/>
          <w:szCs w:val="24"/>
        </w:rPr>
      </w:pPr>
    </w:p>
    <w:p w:rsidR="00EE1341" w:rsidRDefault="00EE1341" w:rsidP="00EE1341">
      <w:pPr>
        <w:jc w:val="center"/>
        <w:rPr>
          <w:b/>
          <w:sz w:val="24"/>
          <w:szCs w:val="24"/>
        </w:rPr>
      </w:pPr>
    </w:p>
    <w:p w:rsidR="00EE1341" w:rsidRDefault="00EE1341" w:rsidP="00EE1341">
      <w:pPr>
        <w:jc w:val="center"/>
        <w:rPr>
          <w:b/>
          <w:sz w:val="24"/>
          <w:szCs w:val="24"/>
        </w:rPr>
      </w:pPr>
    </w:p>
    <w:p w:rsidR="00EE1341" w:rsidRDefault="00EE1341" w:rsidP="00EE1341">
      <w:pPr>
        <w:jc w:val="center"/>
        <w:rPr>
          <w:b/>
          <w:sz w:val="24"/>
          <w:szCs w:val="24"/>
        </w:rPr>
      </w:pPr>
    </w:p>
    <w:p w:rsidR="00EE1341" w:rsidRPr="00EE1341" w:rsidRDefault="00EE1341" w:rsidP="00EE1341">
      <w:pPr>
        <w:jc w:val="center"/>
        <w:rPr>
          <w:b/>
          <w:sz w:val="24"/>
          <w:szCs w:val="24"/>
        </w:rPr>
      </w:pPr>
    </w:p>
    <w:p w:rsidR="00EE1341" w:rsidRPr="00EE1341" w:rsidRDefault="00EE1341" w:rsidP="00EE1341">
      <w:pPr>
        <w:jc w:val="center"/>
        <w:rPr>
          <w:b/>
          <w:bCs/>
          <w:sz w:val="44"/>
          <w:szCs w:val="44"/>
        </w:rPr>
      </w:pPr>
      <w:r w:rsidRPr="00EE1341">
        <w:rPr>
          <w:b/>
          <w:bCs/>
          <w:sz w:val="44"/>
          <w:szCs w:val="44"/>
        </w:rPr>
        <w:t>ОКВИРНА КОНВЕНЦИЈА ЗА ЗАШТИТУ НАЦИОНАЛНИХ МАЊИНА</w:t>
      </w:r>
    </w:p>
    <w:p w:rsidR="00EE1341" w:rsidRDefault="00EE1341" w:rsidP="00EE1341">
      <w:pPr>
        <w:jc w:val="center"/>
        <w:rPr>
          <w:sz w:val="44"/>
          <w:lang w:val="sr-Cyrl-CS"/>
        </w:rPr>
      </w:pPr>
    </w:p>
    <w:p w:rsidR="00EE1341" w:rsidRPr="006E75D2" w:rsidRDefault="00EE1341" w:rsidP="00EE1341">
      <w:pPr>
        <w:jc w:val="center"/>
        <w:rPr>
          <w:sz w:val="44"/>
          <w:lang w:val="sr-Cyrl-CS"/>
        </w:rPr>
      </w:pPr>
    </w:p>
    <w:p w:rsidR="00EE1341" w:rsidRPr="006E75D2" w:rsidRDefault="00EE1341" w:rsidP="00EE1341">
      <w:pPr>
        <w:spacing w:after="0"/>
        <w:jc w:val="center"/>
        <w:rPr>
          <w:b/>
          <w:sz w:val="36"/>
          <w:szCs w:val="36"/>
        </w:rPr>
      </w:pPr>
      <w:r>
        <w:rPr>
          <w:b/>
          <w:sz w:val="36"/>
          <w:szCs w:val="36"/>
          <w:lang w:val="sr-Cyrl-RS"/>
        </w:rPr>
        <w:t>Пет</w:t>
      </w:r>
      <w:r w:rsidRPr="006E75D2">
        <w:rPr>
          <w:b/>
          <w:sz w:val="36"/>
          <w:szCs w:val="36"/>
          <w:lang w:val="sr-Cyrl-RS"/>
        </w:rPr>
        <w:t>и</w:t>
      </w:r>
      <w:r w:rsidRPr="006E75D2">
        <w:rPr>
          <w:b/>
          <w:sz w:val="36"/>
          <w:szCs w:val="36"/>
        </w:rPr>
        <w:t xml:space="preserve"> периодични извештај</w:t>
      </w:r>
    </w:p>
    <w:p w:rsidR="00EE1341" w:rsidRPr="006E75D2" w:rsidRDefault="00EE1341" w:rsidP="00EE1341">
      <w:pPr>
        <w:spacing w:after="0"/>
        <w:jc w:val="center"/>
        <w:rPr>
          <w:b/>
          <w:sz w:val="36"/>
          <w:szCs w:val="36"/>
          <w:lang w:val="sr-Cyrl-CS"/>
        </w:rPr>
      </w:pPr>
      <w:r w:rsidRPr="006E75D2">
        <w:rPr>
          <w:b/>
          <w:sz w:val="36"/>
          <w:szCs w:val="36"/>
          <w:lang w:val="sr-Cyrl-CS"/>
        </w:rPr>
        <w:t>достављен Генералном секретару Савета Европе</w:t>
      </w:r>
    </w:p>
    <w:p w:rsidR="00EE1341" w:rsidRPr="006E75D2" w:rsidRDefault="00EE1341" w:rsidP="00EE1341">
      <w:pPr>
        <w:spacing w:after="0"/>
        <w:jc w:val="center"/>
        <w:rPr>
          <w:b/>
          <w:sz w:val="36"/>
          <w:szCs w:val="36"/>
          <w:lang w:val="sr-Cyrl-CS"/>
        </w:rPr>
      </w:pPr>
      <w:r w:rsidRPr="006E75D2">
        <w:rPr>
          <w:b/>
          <w:sz w:val="36"/>
          <w:szCs w:val="36"/>
          <w:lang w:val="sr-Cyrl-CS"/>
        </w:rPr>
        <w:t>у складу са чланом 25. Оквирне конвенције</w:t>
      </w:r>
    </w:p>
    <w:p w:rsidR="00EE1341" w:rsidRPr="006E75D2" w:rsidRDefault="00EE1341" w:rsidP="00EE1341">
      <w:pPr>
        <w:spacing w:after="0"/>
        <w:rPr>
          <w:sz w:val="40"/>
          <w:lang w:val="sr-Cyrl-CS"/>
        </w:rPr>
      </w:pPr>
    </w:p>
    <w:p w:rsidR="00EE1341" w:rsidRPr="006E75D2" w:rsidRDefault="00EE1341" w:rsidP="00EE1341">
      <w:pPr>
        <w:rPr>
          <w:sz w:val="28"/>
          <w:lang w:val="sr-Cyrl-RS"/>
        </w:rPr>
      </w:pPr>
    </w:p>
    <w:p w:rsidR="00EE1341" w:rsidRPr="006E75D2" w:rsidRDefault="00EE1341" w:rsidP="00EE1341">
      <w:pPr>
        <w:rPr>
          <w:sz w:val="28"/>
          <w:lang w:val="sr-Cyrl-RS"/>
        </w:rPr>
      </w:pPr>
    </w:p>
    <w:p w:rsidR="00EE1341" w:rsidRPr="006E75D2" w:rsidRDefault="00EE1341" w:rsidP="00EE1341">
      <w:pPr>
        <w:rPr>
          <w:sz w:val="28"/>
          <w:lang w:val="sr-Cyrl-RS"/>
        </w:rPr>
      </w:pPr>
    </w:p>
    <w:p w:rsidR="00EE1341" w:rsidRPr="006E75D2" w:rsidRDefault="00EE1341" w:rsidP="00EE1341">
      <w:pPr>
        <w:rPr>
          <w:sz w:val="28"/>
          <w:lang w:val="sr-Cyrl-RS"/>
        </w:rPr>
      </w:pPr>
    </w:p>
    <w:p w:rsidR="00EE1341" w:rsidRPr="006E75D2" w:rsidRDefault="00EE1341" w:rsidP="00EE1341">
      <w:pPr>
        <w:rPr>
          <w:sz w:val="28"/>
          <w:lang w:val="sr-Cyrl-RS"/>
        </w:rPr>
      </w:pPr>
    </w:p>
    <w:p w:rsidR="00EE1341" w:rsidRPr="00D26244" w:rsidRDefault="00EE1341" w:rsidP="005249B1">
      <w:pPr>
        <w:jc w:val="center"/>
        <w:rPr>
          <w:b/>
          <w:sz w:val="28"/>
          <w:szCs w:val="28"/>
        </w:rPr>
      </w:pPr>
      <w:r w:rsidRPr="00D26244">
        <w:rPr>
          <w:b/>
          <w:sz w:val="28"/>
          <w:szCs w:val="28"/>
        </w:rPr>
        <w:t xml:space="preserve">Београд, </w:t>
      </w:r>
      <w:r w:rsidRPr="00D26244">
        <w:rPr>
          <w:b/>
          <w:sz w:val="28"/>
          <w:szCs w:val="28"/>
          <w:lang w:val="sr-Cyrl-RS"/>
        </w:rPr>
        <w:t>август</w:t>
      </w:r>
      <w:r w:rsidRPr="00D26244">
        <w:rPr>
          <w:b/>
          <w:sz w:val="28"/>
          <w:szCs w:val="28"/>
        </w:rPr>
        <w:t xml:space="preserve"> 20</w:t>
      </w:r>
      <w:r w:rsidRPr="00D26244">
        <w:rPr>
          <w:b/>
          <w:sz w:val="28"/>
          <w:szCs w:val="28"/>
          <w:lang w:val="sr-Cyrl-RS"/>
        </w:rPr>
        <w:t>22</w:t>
      </w:r>
      <w:r w:rsidRPr="00D26244">
        <w:rPr>
          <w:b/>
          <w:sz w:val="28"/>
          <w:szCs w:val="28"/>
        </w:rPr>
        <w:t>. године</w:t>
      </w:r>
    </w:p>
    <w:p w:rsidR="00EE1341" w:rsidRPr="00EE1341" w:rsidRDefault="00EE1341" w:rsidP="00EE1341">
      <w:pPr>
        <w:spacing w:after="160" w:line="259" w:lineRule="auto"/>
        <w:rPr>
          <w:rFonts w:eastAsia="Times New Roman"/>
          <w:b/>
          <w:sz w:val="24"/>
          <w:szCs w:val="24"/>
          <w:lang w:val="sr-Cyrl-CS"/>
        </w:rPr>
      </w:pPr>
      <w:r>
        <w:br w:type="page"/>
      </w:r>
    </w:p>
    <w:p w:rsidR="00EE1341" w:rsidRPr="005249B1" w:rsidRDefault="005249B1" w:rsidP="005249B1">
      <w:pPr>
        <w:spacing w:after="0"/>
        <w:jc w:val="center"/>
        <w:rPr>
          <w:b/>
          <w:sz w:val="24"/>
          <w:szCs w:val="24"/>
          <w:lang w:val="sr-Cyrl-CS"/>
        </w:rPr>
      </w:pPr>
      <w:r w:rsidRPr="005249B1">
        <w:rPr>
          <w:b/>
          <w:sz w:val="24"/>
          <w:szCs w:val="24"/>
          <w:lang w:val="sr-Cyrl-CS"/>
        </w:rPr>
        <w:lastRenderedPageBreak/>
        <w:t>САДРЖАЈ</w:t>
      </w:r>
    </w:p>
    <w:sdt>
      <w:sdtPr>
        <w:rPr>
          <w:rFonts w:ascii="Times New Roman" w:eastAsia="Calibri" w:hAnsi="Times New Roman" w:cs="Times New Roman"/>
          <w:color w:val="auto"/>
          <w:sz w:val="22"/>
          <w:szCs w:val="22"/>
          <w:lang w:val="sr-Latn-RS"/>
        </w:rPr>
        <w:id w:val="-1716422117"/>
        <w:docPartObj>
          <w:docPartGallery w:val="Table of Contents"/>
          <w:docPartUnique/>
        </w:docPartObj>
      </w:sdtPr>
      <w:sdtEndPr>
        <w:rPr>
          <w:b/>
          <w:bCs/>
          <w:noProof/>
        </w:rPr>
      </w:sdtEndPr>
      <w:sdtContent>
        <w:p w:rsidR="005249B1" w:rsidRDefault="005249B1">
          <w:pPr>
            <w:pStyle w:val="TOCHeading"/>
          </w:pPr>
        </w:p>
        <w:p w:rsidR="00CC67AC" w:rsidRDefault="005249B1">
          <w:pPr>
            <w:pStyle w:val="TOC1"/>
            <w:rPr>
              <w:rFonts w:asciiTheme="minorHAnsi" w:eastAsiaTheme="minorEastAsia" w:hAnsiTheme="minorHAnsi" w:cstheme="minorBidi"/>
              <w:b w:val="0"/>
              <w:lang w:val="en-GB" w:eastAsia="en-GB"/>
            </w:rPr>
          </w:pPr>
          <w:r>
            <w:fldChar w:fldCharType="begin"/>
          </w:r>
          <w:r>
            <w:instrText xml:space="preserve"> TOC \o "1-3" \h \z \u </w:instrText>
          </w:r>
          <w:r>
            <w:fldChar w:fldCharType="separate"/>
          </w:r>
          <w:hyperlink w:anchor="_Toc111191319" w:history="1">
            <w:r w:rsidR="00CC67AC" w:rsidRPr="002F6136">
              <w:rPr>
                <w:rStyle w:val="Hyperlink"/>
              </w:rPr>
              <w:t>I. Увод</w:t>
            </w:r>
            <w:r w:rsidR="00CC67AC">
              <w:rPr>
                <w:webHidden/>
              </w:rPr>
              <w:tab/>
            </w:r>
            <w:r w:rsidR="00CC67AC">
              <w:rPr>
                <w:webHidden/>
              </w:rPr>
              <w:fldChar w:fldCharType="begin"/>
            </w:r>
            <w:r w:rsidR="00CC67AC">
              <w:rPr>
                <w:webHidden/>
              </w:rPr>
              <w:instrText xml:space="preserve"> PAGEREF _Toc111191319 \h </w:instrText>
            </w:r>
            <w:r w:rsidR="00CC67AC">
              <w:rPr>
                <w:webHidden/>
              </w:rPr>
            </w:r>
            <w:r w:rsidR="00CC67AC">
              <w:rPr>
                <w:webHidden/>
              </w:rPr>
              <w:fldChar w:fldCharType="separate"/>
            </w:r>
            <w:r w:rsidR="00CC67AC">
              <w:rPr>
                <w:webHidden/>
              </w:rPr>
              <w:t>4</w:t>
            </w:r>
            <w:r w:rsidR="00CC67AC">
              <w:rPr>
                <w:webHidden/>
              </w:rPr>
              <w:fldChar w:fldCharType="end"/>
            </w:r>
          </w:hyperlink>
        </w:p>
        <w:p w:rsidR="00CC67AC" w:rsidRDefault="004F0DD1">
          <w:pPr>
            <w:pStyle w:val="TOC1"/>
            <w:rPr>
              <w:rFonts w:asciiTheme="minorHAnsi" w:eastAsiaTheme="minorEastAsia" w:hAnsiTheme="minorHAnsi" w:cstheme="minorBidi"/>
              <w:b w:val="0"/>
              <w:lang w:val="en-GB" w:eastAsia="en-GB"/>
            </w:rPr>
          </w:pPr>
          <w:hyperlink w:anchor="_Toc111191320" w:history="1">
            <w:r w:rsidR="00CC67AC" w:rsidRPr="002F6136">
              <w:rPr>
                <w:rStyle w:val="Hyperlink"/>
              </w:rPr>
              <w:t xml:space="preserve">II. Практични аранжмани направљени на националном нивоу за подизање свести о резултатима четвртог циклуса праћења и </w:t>
            </w:r>
            <w:r w:rsidR="00CC67AC" w:rsidRPr="002F6136">
              <w:rPr>
                <w:rStyle w:val="Hyperlink"/>
                <w:lang w:val="sr-Cyrl-RS"/>
              </w:rPr>
              <w:t xml:space="preserve">о </w:t>
            </w:r>
            <w:r w:rsidR="00CC67AC" w:rsidRPr="002F6136">
              <w:rPr>
                <w:rStyle w:val="Hyperlink"/>
              </w:rPr>
              <w:t>Оквирн</w:t>
            </w:r>
            <w:r w:rsidR="00CC67AC" w:rsidRPr="002F6136">
              <w:rPr>
                <w:rStyle w:val="Hyperlink"/>
                <w:lang w:val="sr-Cyrl-RS"/>
              </w:rPr>
              <w:t>ој</w:t>
            </w:r>
            <w:r w:rsidR="00CC67AC" w:rsidRPr="002F6136">
              <w:rPr>
                <w:rStyle w:val="Hyperlink"/>
              </w:rPr>
              <w:t xml:space="preserve"> конвенциј</w:t>
            </w:r>
            <w:r w:rsidR="00CC67AC" w:rsidRPr="002F6136">
              <w:rPr>
                <w:rStyle w:val="Hyperlink"/>
                <w:lang w:val="sr-Cyrl-RS"/>
              </w:rPr>
              <w:t>и</w:t>
            </w:r>
            <w:r w:rsidR="00CC67AC">
              <w:rPr>
                <w:webHidden/>
              </w:rPr>
              <w:tab/>
            </w:r>
            <w:r w:rsidR="00CC67AC">
              <w:rPr>
                <w:webHidden/>
              </w:rPr>
              <w:fldChar w:fldCharType="begin"/>
            </w:r>
            <w:r w:rsidR="00CC67AC">
              <w:rPr>
                <w:webHidden/>
              </w:rPr>
              <w:instrText xml:space="preserve"> PAGEREF _Toc111191320 \h </w:instrText>
            </w:r>
            <w:r w:rsidR="00CC67AC">
              <w:rPr>
                <w:webHidden/>
              </w:rPr>
            </w:r>
            <w:r w:rsidR="00CC67AC">
              <w:rPr>
                <w:webHidden/>
              </w:rPr>
              <w:fldChar w:fldCharType="separate"/>
            </w:r>
            <w:r w:rsidR="00CC67AC">
              <w:rPr>
                <w:webHidden/>
              </w:rPr>
              <w:t>5</w:t>
            </w:r>
            <w:r w:rsidR="00CC67AC">
              <w:rPr>
                <w:webHidden/>
              </w:rPr>
              <w:fldChar w:fldCharType="end"/>
            </w:r>
          </w:hyperlink>
        </w:p>
        <w:p w:rsidR="00CC67AC" w:rsidRDefault="004F0DD1">
          <w:pPr>
            <w:pStyle w:val="TOC1"/>
            <w:rPr>
              <w:rFonts w:asciiTheme="minorHAnsi" w:eastAsiaTheme="minorEastAsia" w:hAnsiTheme="minorHAnsi" w:cstheme="minorBidi"/>
              <w:b w:val="0"/>
              <w:lang w:val="en-GB" w:eastAsia="en-GB"/>
            </w:rPr>
          </w:pPr>
          <w:hyperlink w:anchor="_Toc111191321" w:history="1">
            <w:r w:rsidR="00CC67AC" w:rsidRPr="002F6136">
              <w:rPr>
                <w:rStyle w:val="Hyperlink"/>
              </w:rPr>
              <w:t>III. Мере предузете за решавање кључних питања</w:t>
            </w:r>
            <w:r w:rsidR="00CC67AC">
              <w:rPr>
                <w:webHidden/>
              </w:rPr>
              <w:tab/>
            </w:r>
            <w:r w:rsidR="00CC67AC">
              <w:rPr>
                <w:webHidden/>
              </w:rPr>
              <w:fldChar w:fldCharType="begin"/>
            </w:r>
            <w:r w:rsidR="00CC67AC">
              <w:rPr>
                <w:webHidden/>
              </w:rPr>
              <w:instrText xml:space="preserve"> PAGEREF _Toc111191321 \h </w:instrText>
            </w:r>
            <w:r w:rsidR="00CC67AC">
              <w:rPr>
                <w:webHidden/>
              </w:rPr>
            </w:r>
            <w:r w:rsidR="00CC67AC">
              <w:rPr>
                <w:webHidden/>
              </w:rPr>
              <w:fldChar w:fldCharType="separate"/>
            </w:r>
            <w:r w:rsidR="00CC67AC">
              <w:rPr>
                <w:webHidden/>
              </w:rPr>
              <w:t>10</w:t>
            </w:r>
            <w:r w:rsidR="00CC67AC">
              <w:rPr>
                <w:webHidden/>
              </w:rPr>
              <w:fldChar w:fldCharType="end"/>
            </w:r>
          </w:hyperlink>
        </w:p>
        <w:p w:rsidR="00CC67AC" w:rsidRDefault="004F0DD1">
          <w:pPr>
            <w:pStyle w:val="TOC1"/>
            <w:rPr>
              <w:rFonts w:asciiTheme="minorHAnsi" w:eastAsiaTheme="minorEastAsia" w:hAnsiTheme="minorHAnsi" w:cstheme="minorBidi"/>
              <w:b w:val="0"/>
              <w:lang w:val="en-GB" w:eastAsia="en-GB"/>
            </w:rPr>
          </w:pPr>
          <w:hyperlink w:anchor="_Toc111191322" w:history="1">
            <w:r w:rsidR="00CC67AC" w:rsidRPr="002F6136">
              <w:rPr>
                <w:rStyle w:val="Hyperlink"/>
              </w:rPr>
              <w:t>IV. Даље мере које су предузете за унапређење примене Оквирне конвенције</w:t>
            </w:r>
            <w:r w:rsidR="00CC67AC">
              <w:rPr>
                <w:webHidden/>
              </w:rPr>
              <w:tab/>
            </w:r>
            <w:r w:rsidR="00CC67AC">
              <w:rPr>
                <w:webHidden/>
              </w:rPr>
              <w:fldChar w:fldCharType="begin"/>
            </w:r>
            <w:r w:rsidR="00CC67AC">
              <w:rPr>
                <w:webHidden/>
              </w:rPr>
              <w:instrText xml:space="preserve"> PAGEREF _Toc111191322 \h </w:instrText>
            </w:r>
            <w:r w:rsidR="00CC67AC">
              <w:rPr>
                <w:webHidden/>
              </w:rPr>
            </w:r>
            <w:r w:rsidR="00CC67AC">
              <w:rPr>
                <w:webHidden/>
              </w:rPr>
              <w:fldChar w:fldCharType="separate"/>
            </w:r>
            <w:r w:rsidR="00CC67AC">
              <w:rPr>
                <w:webHidden/>
              </w:rPr>
              <w:t>57</w:t>
            </w:r>
            <w:r w:rsidR="00CC67AC">
              <w:rPr>
                <w:webHidden/>
              </w:rPr>
              <w:fldChar w:fldCharType="end"/>
            </w:r>
          </w:hyperlink>
        </w:p>
        <w:p w:rsidR="00CC67AC" w:rsidRDefault="004F0DD1">
          <w:pPr>
            <w:pStyle w:val="TOC2"/>
            <w:tabs>
              <w:tab w:val="right" w:leader="dot" w:pos="9016"/>
            </w:tabs>
            <w:rPr>
              <w:rFonts w:asciiTheme="minorHAnsi" w:eastAsiaTheme="minorEastAsia" w:hAnsiTheme="minorHAnsi" w:cstheme="minorBidi"/>
              <w:noProof/>
              <w:lang w:val="en-GB" w:eastAsia="en-GB"/>
            </w:rPr>
          </w:pPr>
          <w:hyperlink w:anchor="_Toc111191323" w:history="1">
            <w:r w:rsidR="00CC67AC" w:rsidRPr="002F6136">
              <w:rPr>
                <w:rStyle w:val="Hyperlink"/>
                <w:b/>
                <w:noProof/>
                <w:lang w:val="sr-Cyrl-RS"/>
              </w:rPr>
              <w:t>Члан 3. Оквирне конвенције</w:t>
            </w:r>
            <w:r w:rsidR="00CC67AC">
              <w:rPr>
                <w:noProof/>
                <w:webHidden/>
              </w:rPr>
              <w:tab/>
            </w:r>
            <w:r w:rsidR="00CC67AC">
              <w:rPr>
                <w:noProof/>
                <w:webHidden/>
              </w:rPr>
              <w:fldChar w:fldCharType="begin"/>
            </w:r>
            <w:r w:rsidR="00CC67AC">
              <w:rPr>
                <w:noProof/>
                <w:webHidden/>
              </w:rPr>
              <w:instrText xml:space="preserve"> PAGEREF _Toc111191323 \h </w:instrText>
            </w:r>
            <w:r w:rsidR="00CC67AC">
              <w:rPr>
                <w:noProof/>
                <w:webHidden/>
              </w:rPr>
            </w:r>
            <w:r w:rsidR="00CC67AC">
              <w:rPr>
                <w:noProof/>
                <w:webHidden/>
              </w:rPr>
              <w:fldChar w:fldCharType="separate"/>
            </w:r>
            <w:r w:rsidR="00CC67AC">
              <w:rPr>
                <w:noProof/>
                <w:webHidden/>
              </w:rPr>
              <w:t>83</w:t>
            </w:r>
            <w:r w:rsidR="00CC67AC">
              <w:rPr>
                <w:noProof/>
                <w:webHidden/>
              </w:rPr>
              <w:fldChar w:fldCharType="end"/>
            </w:r>
          </w:hyperlink>
        </w:p>
        <w:p w:rsidR="00CC67AC" w:rsidRDefault="004F0DD1">
          <w:pPr>
            <w:pStyle w:val="TOC3"/>
            <w:tabs>
              <w:tab w:val="right" w:leader="dot" w:pos="9016"/>
            </w:tabs>
            <w:rPr>
              <w:rFonts w:asciiTheme="minorHAnsi" w:eastAsiaTheme="minorEastAsia" w:hAnsiTheme="minorHAnsi" w:cstheme="minorBidi"/>
              <w:noProof/>
              <w:lang w:val="en-GB" w:eastAsia="en-GB"/>
            </w:rPr>
          </w:pPr>
          <w:hyperlink w:anchor="_Toc111191324" w:history="1">
            <w:r w:rsidR="00CC67AC" w:rsidRPr="002F6136">
              <w:rPr>
                <w:rStyle w:val="Hyperlink"/>
                <w:b/>
                <w:noProof/>
                <w:lang w:val="sr-Cyrl-RS"/>
              </w:rPr>
              <w:t>Лични обим применe</w:t>
            </w:r>
            <w:r w:rsidR="00CC67AC">
              <w:rPr>
                <w:noProof/>
                <w:webHidden/>
              </w:rPr>
              <w:tab/>
            </w:r>
            <w:r w:rsidR="00CC67AC">
              <w:rPr>
                <w:noProof/>
                <w:webHidden/>
              </w:rPr>
              <w:fldChar w:fldCharType="begin"/>
            </w:r>
            <w:r w:rsidR="00CC67AC">
              <w:rPr>
                <w:noProof/>
                <w:webHidden/>
              </w:rPr>
              <w:instrText xml:space="preserve"> PAGEREF _Toc111191324 \h </w:instrText>
            </w:r>
            <w:r w:rsidR="00CC67AC">
              <w:rPr>
                <w:noProof/>
                <w:webHidden/>
              </w:rPr>
            </w:r>
            <w:r w:rsidR="00CC67AC">
              <w:rPr>
                <w:noProof/>
                <w:webHidden/>
              </w:rPr>
              <w:fldChar w:fldCharType="separate"/>
            </w:r>
            <w:r w:rsidR="00CC67AC">
              <w:rPr>
                <w:noProof/>
                <w:webHidden/>
              </w:rPr>
              <w:t>83</w:t>
            </w:r>
            <w:r w:rsidR="00CC67AC">
              <w:rPr>
                <w:noProof/>
                <w:webHidden/>
              </w:rPr>
              <w:fldChar w:fldCharType="end"/>
            </w:r>
          </w:hyperlink>
        </w:p>
        <w:p w:rsidR="00CC67AC" w:rsidRDefault="004F0DD1">
          <w:pPr>
            <w:pStyle w:val="TOC3"/>
            <w:tabs>
              <w:tab w:val="right" w:leader="dot" w:pos="9016"/>
            </w:tabs>
            <w:rPr>
              <w:rFonts w:asciiTheme="minorHAnsi" w:eastAsiaTheme="minorEastAsia" w:hAnsiTheme="minorHAnsi" w:cstheme="minorBidi"/>
              <w:noProof/>
              <w:lang w:val="en-GB" w:eastAsia="en-GB"/>
            </w:rPr>
          </w:pPr>
          <w:hyperlink w:anchor="_Toc111191325" w:history="1">
            <w:r w:rsidR="00CC67AC" w:rsidRPr="002F6136">
              <w:rPr>
                <w:rStyle w:val="Hyperlink"/>
                <w:b/>
                <w:noProof/>
                <w:lang w:val="sr-Cyrl-RS"/>
              </w:rPr>
              <w:t>Прикупљање података и попис становништва</w:t>
            </w:r>
            <w:r w:rsidR="00CC67AC">
              <w:rPr>
                <w:noProof/>
                <w:webHidden/>
              </w:rPr>
              <w:tab/>
            </w:r>
            <w:r w:rsidR="00CC67AC">
              <w:rPr>
                <w:noProof/>
                <w:webHidden/>
              </w:rPr>
              <w:fldChar w:fldCharType="begin"/>
            </w:r>
            <w:r w:rsidR="00CC67AC">
              <w:rPr>
                <w:noProof/>
                <w:webHidden/>
              </w:rPr>
              <w:instrText xml:space="preserve"> PAGEREF _Toc111191325 \h </w:instrText>
            </w:r>
            <w:r w:rsidR="00CC67AC">
              <w:rPr>
                <w:noProof/>
                <w:webHidden/>
              </w:rPr>
            </w:r>
            <w:r w:rsidR="00CC67AC">
              <w:rPr>
                <w:noProof/>
                <w:webHidden/>
              </w:rPr>
              <w:fldChar w:fldCharType="separate"/>
            </w:r>
            <w:r w:rsidR="00CC67AC">
              <w:rPr>
                <w:noProof/>
                <w:webHidden/>
              </w:rPr>
              <w:t>84</w:t>
            </w:r>
            <w:r w:rsidR="00CC67AC">
              <w:rPr>
                <w:noProof/>
                <w:webHidden/>
              </w:rPr>
              <w:fldChar w:fldCharType="end"/>
            </w:r>
          </w:hyperlink>
        </w:p>
        <w:p w:rsidR="00CC67AC" w:rsidRDefault="004F0DD1">
          <w:pPr>
            <w:pStyle w:val="TOC2"/>
            <w:tabs>
              <w:tab w:val="right" w:leader="dot" w:pos="9016"/>
            </w:tabs>
            <w:rPr>
              <w:rFonts w:asciiTheme="minorHAnsi" w:eastAsiaTheme="minorEastAsia" w:hAnsiTheme="minorHAnsi" w:cstheme="minorBidi"/>
              <w:noProof/>
              <w:lang w:val="en-GB" w:eastAsia="en-GB"/>
            </w:rPr>
          </w:pPr>
          <w:hyperlink w:anchor="_Toc111191326" w:history="1">
            <w:r w:rsidR="00CC67AC" w:rsidRPr="002F6136">
              <w:rPr>
                <w:rStyle w:val="Hyperlink"/>
                <w:b/>
                <w:noProof/>
                <w:lang w:val="sr-Cyrl-RS"/>
              </w:rPr>
              <w:t>Члан 4. Оквирне конвенције</w:t>
            </w:r>
            <w:r w:rsidR="00CC67AC">
              <w:rPr>
                <w:noProof/>
                <w:webHidden/>
              </w:rPr>
              <w:tab/>
            </w:r>
            <w:r w:rsidR="00CC67AC">
              <w:rPr>
                <w:noProof/>
                <w:webHidden/>
              </w:rPr>
              <w:fldChar w:fldCharType="begin"/>
            </w:r>
            <w:r w:rsidR="00CC67AC">
              <w:rPr>
                <w:noProof/>
                <w:webHidden/>
              </w:rPr>
              <w:instrText xml:space="preserve"> PAGEREF _Toc111191326 \h </w:instrText>
            </w:r>
            <w:r w:rsidR="00CC67AC">
              <w:rPr>
                <w:noProof/>
                <w:webHidden/>
              </w:rPr>
            </w:r>
            <w:r w:rsidR="00CC67AC">
              <w:rPr>
                <w:noProof/>
                <w:webHidden/>
              </w:rPr>
              <w:fldChar w:fldCharType="separate"/>
            </w:r>
            <w:r w:rsidR="00CC67AC">
              <w:rPr>
                <w:noProof/>
                <w:webHidden/>
              </w:rPr>
              <w:t>85</w:t>
            </w:r>
            <w:r w:rsidR="00CC67AC">
              <w:rPr>
                <w:noProof/>
                <w:webHidden/>
              </w:rPr>
              <w:fldChar w:fldCharType="end"/>
            </w:r>
          </w:hyperlink>
        </w:p>
        <w:p w:rsidR="00CC67AC" w:rsidRDefault="004F0DD1">
          <w:pPr>
            <w:pStyle w:val="TOC3"/>
            <w:tabs>
              <w:tab w:val="right" w:leader="dot" w:pos="9016"/>
            </w:tabs>
            <w:rPr>
              <w:rFonts w:asciiTheme="minorHAnsi" w:eastAsiaTheme="minorEastAsia" w:hAnsiTheme="minorHAnsi" w:cstheme="minorBidi"/>
              <w:noProof/>
              <w:lang w:val="en-GB" w:eastAsia="en-GB"/>
            </w:rPr>
          </w:pPr>
          <w:hyperlink w:anchor="_Toc111191327" w:history="1">
            <w:r w:rsidR="00CC67AC" w:rsidRPr="002F6136">
              <w:rPr>
                <w:rStyle w:val="Hyperlink"/>
                <w:b/>
                <w:noProof/>
                <w:lang w:val="sr-Cyrl-RS"/>
              </w:rPr>
              <w:t>Законодавни оквир за борбу против дискриминације</w:t>
            </w:r>
            <w:r w:rsidR="00CC67AC">
              <w:rPr>
                <w:noProof/>
                <w:webHidden/>
              </w:rPr>
              <w:tab/>
            </w:r>
            <w:r w:rsidR="00CC67AC">
              <w:rPr>
                <w:noProof/>
                <w:webHidden/>
              </w:rPr>
              <w:fldChar w:fldCharType="begin"/>
            </w:r>
            <w:r w:rsidR="00CC67AC">
              <w:rPr>
                <w:noProof/>
                <w:webHidden/>
              </w:rPr>
              <w:instrText xml:space="preserve"> PAGEREF _Toc111191327 \h </w:instrText>
            </w:r>
            <w:r w:rsidR="00CC67AC">
              <w:rPr>
                <w:noProof/>
                <w:webHidden/>
              </w:rPr>
            </w:r>
            <w:r w:rsidR="00CC67AC">
              <w:rPr>
                <w:noProof/>
                <w:webHidden/>
              </w:rPr>
              <w:fldChar w:fldCharType="separate"/>
            </w:r>
            <w:r w:rsidR="00CC67AC">
              <w:rPr>
                <w:noProof/>
                <w:webHidden/>
              </w:rPr>
              <w:t>85</w:t>
            </w:r>
            <w:r w:rsidR="00CC67AC">
              <w:rPr>
                <w:noProof/>
                <w:webHidden/>
              </w:rPr>
              <w:fldChar w:fldCharType="end"/>
            </w:r>
          </w:hyperlink>
        </w:p>
        <w:p w:rsidR="00CC67AC" w:rsidRDefault="004F0DD1">
          <w:pPr>
            <w:pStyle w:val="TOC3"/>
            <w:tabs>
              <w:tab w:val="right" w:leader="dot" w:pos="9016"/>
            </w:tabs>
            <w:rPr>
              <w:rFonts w:asciiTheme="minorHAnsi" w:eastAsiaTheme="minorEastAsia" w:hAnsiTheme="minorHAnsi" w:cstheme="minorBidi"/>
              <w:noProof/>
              <w:lang w:val="en-GB" w:eastAsia="en-GB"/>
            </w:rPr>
          </w:pPr>
          <w:hyperlink w:anchor="_Toc111191328" w:history="1">
            <w:r w:rsidR="00CC67AC" w:rsidRPr="002F6136">
              <w:rPr>
                <w:rStyle w:val="Hyperlink"/>
                <w:b/>
                <w:noProof/>
                <w:lang w:val="sr-Cyrl-RS"/>
              </w:rPr>
              <w:t>Мониторинг забране дискриминације и расположиви правни лекови</w:t>
            </w:r>
            <w:r w:rsidR="00CC67AC">
              <w:rPr>
                <w:noProof/>
                <w:webHidden/>
              </w:rPr>
              <w:tab/>
            </w:r>
            <w:r w:rsidR="00CC67AC">
              <w:rPr>
                <w:noProof/>
                <w:webHidden/>
              </w:rPr>
              <w:fldChar w:fldCharType="begin"/>
            </w:r>
            <w:r w:rsidR="00CC67AC">
              <w:rPr>
                <w:noProof/>
                <w:webHidden/>
              </w:rPr>
              <w:instrText xml:space="preserve"> PAGEREF _Toc111191328 \h </w:instrText>
            </w:r>
            <w:r w:rsidR="00CC67AC">
              <w:rPr>
                <w:noProof/>
                <w:webHidden/>
              </w:rPr>
            </w:r>
            <w:r w:rsidR="00CC67AC">
              <w:rPr>
                <w:noProof/>
                <w:webHidden/>
              </w:rPr>
              <w:fldChar w:fldCharType="separate"/>
            </w:r>
            <w:r w:rsidR="00CC67AC">
              <w:rPr>
                <w:noProof/>
                <w:webHidden/>
              </w:rPr>
              <w:t>86</w:t>
            </w:r>
            <w:r w:rsidR="00CC67AC">
              <w:rPr>
                <w:noProof/>
                <w:webHidden/>
              </w:rPr>
              <w:fldChar w:fldCharType="end"/>
            </w:r>
          </w:hyperlink>
        </w:p>
        <w:p w:rsidR="00CC67AC" w:rsidRDefault="004F0DD1">
          <w:pPr>
            <w:pStyle w:val="TOC3"/>
            <w:tabs>
              <w:tab w:val="right" w:leader="dot" w:pos="9016"/>
            </w:tabs>
            <w:rPr>
              <w:rFonts w:asciiTheme="minorHAnsi" w:eastAsiaTheme="minorEastAsia" w:hAnsiTheme="minorHAnsi" w:cstheme="minorBidi"/>
              <w:noProof/>
              <w:lang w:val="en-GB" w:eastAsia="en-GB"/>
            </w:rPr>
          </w:pPr>
          <w:hyperlink w:anchor="_Toc111191329" w:history="1">
            <w:r w:rsidR="00CC67AC" w:rsidRPr="002F6136">
              <w:rPr>
                <w:rStyle w:val="Hyperlink"/>
                <w:b/>
                <w:noProof/>
                <w:lang w:val="sr-Cyrl-RS"/>
              </w:rPr>
              <w:t>Прикупљање података о равноправности и мере за промовисање ефикасне равноправности</w:t>
            </w:r>
            <w:r w:rsidR="00CC67AC">
              <w:rPr>
                <w:noProof/>
                <w:webHidden/>
              </w:rPr>
              <w:tab/>
            </w:r>
            <w:r w:rsidR="00CC67AC">
              <w:rPr>
                <w:noProof/>
                <w:webHidden/>
              </w:rPr>
              <w:fldChar w:fldCharType="begin"/>
            </w:r>
            <w:r w:rsidR="00CC67AC">
              <w:rPr>
                <w:noProof/>
                <w:webHidden/>
              </w:rPr>
              <w:instrText xml:space="preserve"> PAGEREF _Toc111191329 \h </w:instrText>
            </w:r>
            <w:r w:rsidR="00CC67AC">
              <w:rPr>
                <w:noProof/>
                <w:webHidden/>
              </w:rPr>
            </w:r>
            <w:r w:rsidR="00CC67AC">
              <w:rPr>
                <w:noProof/>
                <w:webHidden/>
              </w:rPr>
              <w:fldChar w:fldCharType="separate"/>
            </w:r>
            <w:r w:rsidR="00CC67AC">
              <w:rPr>
                <w:noProof/>
                <w:webHidden/>
              </w:rPr>
              <w:t>87</w:t>
            </w:r>
            <w:r w:rsidR="00CC67AC">
              <w:rPr>
                <w:noProof/>
                <w:webHidden/>
              </w:rPr>
              <w:fldChar w:fldCharType="end"/>
            </w:r>
          </w:hyperlink>
        </w:p>
        <w:p w:rsidR="00CC67AC" w:rsidRDefault="004F0DD1">
          <w:pPr>
            <w:pStyle w:val="TOC3"/>
            <w:tabs>
              <w:tab w:val="right" w:leader="dot" w:pos="9016"/>
            </w:tabs>
            <w:rPr>
              <w:rFonts w:asciiTheme="minorHAnsi" w:eastAsiaTheme="minorEastAsia" w:hAnsiTheme="minorHAnsi" w:cstheme="minorBidi"/>
              <w:noProof/>
              <w:lang w:val="en-GB" w:eastAsia="en-GB"/>
            </w:rPr>
          </w:pPr>
          <w:hyperlink w:anchor="_Toc111191330" w:history="1">
            <w:r w:rsidR="00CC67AC" w:rsidRPr="002F6136">
              <w:rPr>
                <w:rStyle w:val="Hyperlink"/>
                <w:b/>
                <w:noProof/>
                <w:lang w:val="sr-Cyrl-RS"/>
              </w:rPr>
              <w:t>Положај Рома</w:t>
            </w:r>
            <w:r w:rsidR="00CC67AC">
              <w:rPr>
                <w:noProof/>
                <w:webHidden/>
              </w:rPr>
              <w:tab/>
            </w:r>
            <w:r w:rsidR="00CC67AC">
              <w:rPr>
                <w:noProof/>
                <w:webHidden/>
              </w:rPr>
              <w:fldChar w:fldCharType="begin"/>
            </w:r>
            <w:r w:rsidR="00CC67AC">
              <w:rPr>
                <w:noProof/>
                <w:webHidden/>
              </w:rPr>
              <w:instrText xml:space="preserve"> PAGEREF _Toc111191330 \h </w:instrText>
            </w:r>
            <w:r w:rsidR="00CC67AC">
              <w:rPr>
                <w:noProof/>
                <w:webHidden/>
              </w:rPr>
            </w:r>
            <w:r w:rsidR="00CC67AC">
              <w:rPr>
                <w:noProof/>
                <w:webHidden/>
              </w:rPr>
              <w:fldChar w:fldCharType="separate"/>
            </w:r>
            <w:r w:rsidR="00CC67AC">
              <w:rPr>
                <w:noProof/>
                <w:webHidden/>
              </w:rPr>
              <w:t>87</w:t>
            </w:r>
            <w:r w:rsidR="00CC67AC">
              <w:rPr>
                <w:noProof/>
                <w:webHidden/>
              </w:rPr>
              <w:fldChar w:fldCharType="end"/>
            </w:r>
          </w:hyperlink>
        </w:p>
        <w:p w:rsidR="00CC67AC" w:rsidRDefault="004F0DD1">
          <w:pPr>
            <w:pStyle w:val="TOC2"/>
            <w:tabs>
              <w:tab w:val="right" w:leader="dot" w:pos="9016"/>
            </w:tabs>
            <w:rPr>
              <w:rFonts w:asciiTheme="minorHAnsi" w:eastAsiaTheme="minorEastAsia" w:hAnsiTheme="minorHAnsi" w:cstheme="minorBidi"/>
              <w:noProof/>
              <w:lang w:val="en-GB" w:eastAsia="en-GB"/>
            </w:rPr>
          </w:pPr>
          <w:hyperlink w:anchor="_Toc111191331" w:history="1">
            <w:r w:rsidR="00CC67AC" w:rsidRPr="002F6136">
              <w:rPr>
                <w:rStyle w:val="Hyperlink"/>
                <w:b/>
                <w:noProof/>
                <w:lang w:val="sr-Cyrl-RS"/>
              </w:rPr>
              <w:t>Члан 5. Оквирне конвенције</w:t>
            </w:r>
            <w:r w:rsidR="00CC67AC">
              <w:rPr>
                <w:noProof/>
                <w:webHidden/>
              </w:rPr>
              <w:tab/>
            </w:r>
            <w:r w:rsidR="00CC67AC">
              <w:rPr>
                <w:noProof/>
                <w:webHidden/>
              </w:rPr>
              <w:fldChar w:fldCharType="begin"/>
            </w:r>
            <w:r w:rsidR="00CC67AC">
              <w:rPr>
                <w:noProof/>
                <w:webHidden/>
              </w:rPr>
              <w:instrText xml:space="preserve"> PAGEREF _Toc111191331 \h </w:instrText>
            </w:r>
            <w:r w:rsidR="00CC67AC">
              <w:rPr>
                <w:noProof/>
                <w:webHidden/>
              </w:rPr>
            </w:r>
            <w:r w:rsidR="00CC67AC">
              <w:rPr>
                <w:noProof/>
                <w:webHidden/>
              </w:rPr>
              <w:fldChar w:fldCharType="separate"/>
            </w:r>
            <w:r w:rsidR="00CC67AC">
              <w:rPr>
                <w:noProof/>
                <w:webHidden/>
              </w:rPr>
              <w:t>94</w:t>
            </w:r>
            <w:r w:rsidR="00CC67AC">
              <w:rPr>
                <w:noProof/>
                <w:webHidden/>
              </w:rPr>
              <w:fldChar w:fldCharType="end"/>
            </w:r>
          </w:hyperlink>
        </w:p>
        <w:p w:rsidR="00CC67AC" w:rsidRDefault="004F0DD1">
          <w:pPr>
            <w:pStyle w:val="TOC3"/>
            <w:tabs>
              <w:tab w:val="right" w:leader="dot" w:pos="9016"/>
            </w:tabs>
            <w:rPr>
              <w:rFonts w:asciiTheme="minorHAnsi" w:eastAsiaTheme="minorEastAsia" w:hAnsiTheme="minorHAnsi" w:cstheme="minorBidi"/>
              <w:noProof/>
              <w:lang w:val="en-GB" w:eastAsia="en-GB"/>
            </w:rPr>
          </w:pPr>
          <w:hyperlink w:anchor="_Toc111191332" w:history="1">
            <w:r w:rsidR="00CC67AC" w:rsidRPr="002F6136">
              <w:rPr>
                <w:rStyle w:val="Hyperlink"/>
                <w:b/>
                <w:noProof/>
                <w:lang w:val="sr-Cyrl-RS"/>
              </w:rPr>
              <w:t>Очување и промоција свих идентитета и култура националних мањина</w:t>
            </w:r>
            <w:r w:rsidR="00CC67AC">
              <w:rPr>
                <w:noProof/>
                <w:webHidden/>
              </w:rPr>
              <w:tab/>
            </w:r>
            <w:r w:rsidR="00CC67AC">
              <w:rPr>
                <w:noProof/>
                <w:webHidden/>
              </w:rPr>
              <w:fldChar w:fldCharType="begin"/>
            </w:r>
            <w:r w:rsidR="00CC67AC">
              <w:rPr>
                <w:noProof/>
                <w:webHidden/>
              </w:rPr>
              <w:instrText xml:space="preserve"> PAGEREF _Toc111191332 \h </w:instrText>
            </w:r>
            <w:r w:rsidR="00CC67AC">
              <w:rPr>
                <w:noProof/>
                <w:webHidden/>
              </w:rPr>
            </w:r>
            <w:r w:rsidR="00CC67AC">
              <w:rPr>
                <w:noProof/>
                <w:webHidden/>
              </w:rPr>
              <w:fldChar w:fldCharType="separate"/>
            </w:r>
            <w:r w:rsidR="00CC67AC">
              <w:rPr>
                <w:noProof/>
                <w:webHidden/>
              </w:rPr>
              <w:t>94</w:t>
            </w:r>
            <w:r w:rsidR="00CC67AC">
              <w:rPr>
                <w:noProof/>
                <w:webHidden/>
              </w:rPr>
              <w:fldChar w:fldCharType="end"/>
            </w:r>
          </w:hyperlink>
        </w:p>
        <w:p w:rsidR="00CC67AC" w:rsidRDefault="004F0DD1">
          <w:pPr>
            <w:pStyle w:val="TOC2"/>
            <w:tabs>
              <w:tab w:val="right" w:leader="dot" w:pos="9016"/>
            </w:tabs>
            <w:rPr>
              <w:rFonts w:asciiTheme="minorHAnsi" w:eastAsiaTheme="minorEastAsia" w:hAnsiTheme="minorHAnsi" w:cstheme="minorBidi"/>
              <w:noProof/>
              <w:lang w:val="en-GB" w:eastAsia="en-GB"/>
            </w:rPr>
          </w:pPr>
          <w:hyperlink w:anchor="_Toc111191333" w:history="1">
            <w:r w:rsidR="00CC67AC" w:rsidRPr="002F6136">
              <w:rPr>
                <w:rStyle w:val="Hyperlink"/>
                <w:b/>
                <w:noProof/>
                <w:lang w:val="sr-Cyrl-RS"/>
              </w:rPr>
              <w:t>Члан 6. Оквирне конвенције</w:t>
            </w:r>
            <w:r w:rsidR="00CC67AC">
              <w:rPr>
                <w:noProof/>
                <w:webHidden/>
              </w:rPr>
              <w:tab/>
            </w:r>
            <w:r w:rsidR="00CC67AC">
              <w:rPr>
                <w:noProof/>
                <w:webHidden/>
              </w:rPr>
              <w:fldChar w:fldCharType="begin"/>
            </w:r>
            <w:r w:rsidR="00CC67AC">
              <w:rPr>
                <w:noProof/>
                <w:webHidden/>
              </w:rPr>
              <w:instrText xml:space="preserve"> PAGEREF _Toc111191333 \h </w:instrText>
            </w:r>
            <w:r w:rsidR="00CC67AC">
              <w:rPr>
                <w:noProof/>
                <w:webHidden/>
              </w:rPr>
            </w:r>
            <w:r w:rsidR="00CC67AC">
              <w:rPr>
                <w:noProof/>
                <w:webHidden/>
              </w:rPr>
              <w:fldChar w:fldCharType="separate"/>
            </w:r>
            <w:r w:rsidR="00CC67AC">
              <w:rPr>
                <w:noProof/>
                <w:webHidden/>
              </w:rPr>
              <w:t>105</w:t>
            </w:r>
            <w:r w:rsidR="00CC67AC">
              <w:rPr>
                <w:noProof/>
                <w:webHidden/>
              </w:rPr>
              <w:fldChar w:fldCharType="end"/>
            </w:r>
          </w:hyperlink>
        </w:p>
        <w:p w:rsidR="00CC67AC" w:rsidRDefault="004F0DD1">
          <w:pPr>
            <w:pStyle w:val="TOC3"/>
            <w:tabs>
              <w:tab w:val="right" w:leader="dot" w:pos="9016"/>
            </w:tabs>
            <w:rPr>
              <w:rFonts w:asciiTheme="minorHAnsi" w:eastAsiaTheme="minorEastAsia" w:hAnsiTheme="minorHAnsi" w:cstheme="minorBidi"/>
              <w:noProof/>
              <w:lang w:val="en-GB" w:eastAsia="en-GB"/>
            </w:rPr>
          </w:pPr>
          <w:hyperlink w:anchor="_Toc111191334" w:history="1">
            <w:r w:rsidR="00CC67AC" w:rsidRPr="002F6136">
              <w:rPr>
                <w:rStyle w:val="Hyperlink"/>
                <w:b/>
                <w:noProof/>
                <w:lang w:val="sr-Cyrl-RS"/>
              </w:rPr>
              <w:t>Толеранција и интеркултурални дијалог</w:t>
            </w:r>
            <w:r w:rsidR="00CC67AC">
              <w:rPr>
                <w:noProof/>
                <w:webHidden/>
              </w:rPr>
              <w:tab/>
            </w:r>
            <w:r w:rsidR="00CC67AC">
              <w:rPr>
                <w:noProof/>
                <w:webHidden/>
              </w:rPr>
              <w:fldChar w:fldCharType="begin"/>
            </w:r>
            <w:r w:rsidR="00CC67AC">
              <w:rPr>
                <w:noProof/>
                <w:webHidden/>
              </w:rPr>
              <w:instrText xml:space="preserve"> PAGEREF _Toc111191334 \h </w:instrText>
            </w:r>
            <w:r w:rsidR="00CC67AC">
              <w:rPr>
                <w:noProof/>
                <w:webHidden/>
              </w:rPr>
            </w:r>
            <w:r w:rsidR="00CC67AC">
              <w:rPr>
                <w:noProof/>
                <w:webHidden/>
              </w:rPr>
              <w:fldChar w:fldCharType="separate"/>
            </w:r>
            <w:r w:rsidR="00CC67AC">
              <w:rPr>
                <w:noProof/>
                <w:webHidden/>
              </w:rPr>
              <w:t>105</w:t>
            </w:r>
            <w:r w:rsidR="00CC67AC">
              <w:rPr>
                <w:noProof/>
                <w:webHidden/>
              </w:rPr>
              <w:fldChar w:fldCharType="end"/>
            </w:r>
          </w:hyperlink>
        </w:p>
        <w:p w:rsidR="00CC67AC" w:rsidRDefault="004F0DD1">
          <w:pPr>
            <w:pStyle w:val="TOC3"/>
            <w:tabs>
              <w:tab w:val="right" w:leader="dot" w:pos="9016"/>
            </w:tabs>
            <w:rPr>
              <w:rFonts w:asciiTheme="minorHAnsi" w:eastAsiaTheme="minorEastAsia" w:hAnsiTheme="minorHAnsi" w:cstheme="minorBidi"/>
              <w:noProof/>
              <w:lang w:val="en-GB" w:eastAsia="en-GB"/>
            </w:rPr>
          </w:pPr>
          <w:hyperlink w:anchor="_Toc111191335" w:history="1">
            <w:r w:rsidR="00CC67AC" w:rsidRPr="002F6136">
              <w:rPr>
                <w:rStyle w:val="Hyperlink"/>
                <w:b/>
                <w:noProof/>
                <w:lang w:val="sr-Cyrl-RS"/>
              </w:rPr>
              <w:t>Заштита од злочина мржње и говора мржње</w:t>
            </w:r>
            <w:r w:rsidR="00CC67AC">
              <w:rPr>
                <w:noProof/>
                <w:webHidden/>
              </w:rPr>
              <w:tab/>
            </w:r>
            <w:r w:rsidR="00CC67AC">
              <w:rPr>
                <w:noProof/>
                <w:webHidden/>
              </w:rPr>
              <w:fldChar w:fldCharType="begin"/>
            </w:r>
            <w:r w:rsidR="00CC67AC">
              <w:rPr>
                <w:noProof/>
                <w:webHidden/>
              </w:rPr>
              <w:instrText xml:space="preserve"> PAGEREF _Toc111191335 \h </w:instrText>
            </w:r>
            <w:r w:rsidR="00CC67AC">
              <w:rPr>
                <w:noProof/>
                <w:webHidden/>
              </w:rPr>
            </w:r>
            <w:r w:rsidR="00CC67AC">
              <w:rPr>
                <w:noProof/>
                <w:webHidden/>
              </w:rPr>
              <w:fldChar w:fldCharType="separate"/>
            </w:r>
            <w:r w:rsidR="00CC67AC">
              <w:rPr>
                <w:noProof/>
                <w:webHidden/>
              </w:rPr>
              <w:t>108</w:t>
            </w:r>
            <w:r w:rsidR="00CC67AC">
              <w:rPr>
                <w:noProof/>
                <w:webHidden/>
              </w:rPr>
              <w:fldChar w:fldCharType="end"/>
            </w:r>
          </w:hyperlink>
        </w:p>
        <w:p w:rsidR="00CC67AC" w:rsidRDefault="004F0DD1">
          <w:pPr>
            <w:pStyle w:val="TOC2"/>
            <w:tabs>
              <w:tab w:val="right" w:leader="dot" w:pos="9016"/>
            </w:tabs>
            <w:rPr>
              <w:rFonts w:asciiTheme="minorHAnsi" w:eastAsiaTheme="minorEastAsia" w:hAnsiTheme="minorHAnsi" w:cstheme="minorBidi"/>
              <w:noProof/>
              <w:lang w:val="en-GB" w:eastAsia="en-GB"/>
            </w:rPr>
          </w:pPr>
          <w:hyperlink w:anchor="_Toc111191336" w:history="1">
            <w:r w:rsidR="00CC67AC" w:rsidRPr="002F6136">
              <w:rPr>
                <w:rStyle w:val="Hyperlink"/>
                <w:b/>
                <w:noProof/>
                <w:lang w:val="sr-Cyrl-RS"/>
              </w:rPr>
              <w:t>Члан 8. Оквирне конвенције</w:t>
            </w:r>
            <w:r w:rsidR="00CC67AC">
              <w:rPr>
                <w:noProof/>
                <w:webHidden/>
              </w:rPr>
              <w:tab/>
            </w:r>
            <w:r w:rsidR="00CC67AC">
              <w:rPr>
                <w:noProof/>
                <w:webHidden/>
              </w:rPr>
              <w:fldChar w:fldCharType="begin"/>
            </w:r>
            <w:r w:rsidR="00CC67AC">
              <w:rPr>
                <w:noProof/>
                <w:webHidden/>
              </w:rPr>
              <w:instrText xml:space="preserve"> PAGEREF _Toc111191336 \h </w:instrText>
            </w:r>
            <w:r w:rsidR="00CC67AC">
              <w:rPr>
                <w:noProof/>
                <w:webHidden/>
              </w:rPr>
            </w:r>
            <w:r w:rsidR="00CC67AC">
              <w:rPr>
                <w:noProof/>
                <w:webHidden/>
              </w:rPr>
              <w:fldChar w:fldCharType="separate"/>
            </w:r>
            <w:r w:rsidR="00CC67AC">
              <w:rPr>
                <w:noProof/>
                <w:webHidden/>
              </w:rPr>
              <w:t>117</w:t>
            </w:r>
            <w:r w:rsidR="00CC67AC">
              <w:rPr>
                <w:noProof/>
                <w:webHidden/>
              </w:rPr>
              <w:fldChar w:fldCharType="end"/>
            </w:r>
          </w:hyperlink>
        </w:p>
        <w:p w:rsidR="00CC67AC" w:rsidRDefault="004F0DD1">
          <w:pPr>
            <w:pStyle w:val="TOC3"/>
            <w:tabs>
              <w:tab w:val="right" w:leader="dot" w:pos="9016"/>
            </w:tabs>
            <w:rPr>
              <w:rFonts w:asciiTheme="minorHAnsi" w:eastAsiaTheme="minorEastAsia" w:hAnsiTheme="minorHAnsi" w:cstheme="minorBidi"/>
              <w:noProof/>
              <w:lang w:val="en-GB" w:eastAsia="en-GB"/>
            </w:rPr>
          </w:pPr>
          <w:hyperlink w:anchor="_Toc111191337" w:history="1">
            <w:r w:rsidR="00CC67AC" w:rsidRPr="002F6136">
              <w:rPr>
                <w:rStyle w:val="Hyperlink"/>
                <w:b/>
                <w:noProof/>
                <w:lang w:val="sr-Cyrl-RS"/>
              </w:rPr>
              <w:t>Право личне вероисповести и оснивања институција, организација и удружења</w:t>
            </w:r>
            <w:r w:rsidR="00CC67AC">
              <w:rPr>
                <w:noProof/>
                <w:webHidden/>
              </w:rPr>
              <w:tab/>
            </w:r>
            <w:r w:rsidR="00CC67AC">
              <w:rPr>
                <w:noProof/>
                <w:webHidden/>
              </w:rPr>
              <w:fldChar w:fldCharType="begin"/>
            </w:r>
            <w:r w:rsidR="00CC67AC">
              <w:rPr>
                <w:noProof/>
                <w:webHidden/>
              </w:rPr>
              <w:instrText xml:space="preserve"> PAGEREF _Toc111191337 \h </w:instrText>
            </w:r>
            <w:r w:rsidR="00CC67AC">
              <w:rPr>
                <w:noProof/>
                <w:webHidden/>
              </w:rPr>
            </w:r>
            <w:r w:rsidR="00CC67AC">
              <w:rPr>
                <w:noProof/>
                <w:webHidden/>
              </w:rPr>
              <w:fldChar w:fldCharType="separate"/>
            </w:r>
            <w:r w:rsidR="00CC67AC">
              <w:rPr>
                <w:noProof/>
                <w:webHidden/>
              </w:rPr>
              <w:t>117</w:t>
            </w:r>
            <w:r w:rsidR="00CC67AC">
              <w:rPr>
                <w:noProof/>
                <w:webHidden/>
              </w:rPr>
              <w:fldChar w:fldCharType="end"/>
            </w:r>
          </w:hyperlink>
        </w:p>
        <w:p w:rsidR="00CC67AC" w:rsidRDefault="004F0DD1">
          <w:pPr>
            <w:pStyle w:val="TOC2"/>
            <w:tabs>
              <w:tab w:val="right" w:leader="dot" w:pos="9016"/>
            </w:tabs>
            <w:rPr>
              <w:rFonts w:asciiTheme="minorHAnsi" w:eastAsiaTheme="minorEastAsia" w:hAnsiTheme="minorHAnsi" w:cstheme="minorBidi"/>
              <w:noProof/>
              <w:lang w:val="en-GB" w:eastAsia="en-GB"/>
            </w:rPr>
          </w:pPr>
          <w:hyperlink w:anchor="_Toc111191338" w:history="1">
            <w:r w:rsidR="00CC67AC" w:rsidRPr="002F6136">
              <w:rPr>
                <w:rStyle w:val="Hyperlink"/>
                <w:b/>
                <w:noProof/>
                <w:lang w:val="sr-Cyrl-RS"/>
              </w:rPr>
              <w:t xml:space="preserve">Члан </w:t>
            </w:r>
            <w:r w:rsidR="00CC67AC" w:rsidRPr="002F6136">
              <w:rPr>
                <w:rStyle w:val="Hyperlink"/>
                <w:b/>
                <w:noProof/>
              </w:rPr>
              <w:t>9</w:t>
            </w:r>
            <w:r w:rsidR="00CC67AC" w:rsidRPr="002F6136">
              <w:rPr>
                <w:rStyle w:val="Hyperlink"/>
                <w:b/>
                <w:noProof/>
                <w:lang w:val="sr-Cyrl-RS"/>
              </w:rPr>
              <w:t>. Оквирне конвенције</w:t>
            </w:r>
            <w:r w:rsidR="00CC67AC">
              <w:rPr>
                <w:noProof/>
                <w:webHidden/>
              </w:rPr>
              <w:tab/>
            </w:r>
            <w:r w:rsidR="00CC67AC">
              <w:rPr>
                <w:noProof/>
                <w:webHidden/>
              </w:rPr>
              <w:fldChar w:fldCharType="begin"/>
            </w:r>
            <w:r w:rsidR="00CC67AC">
              <w:rPr>
                <w:noProof/>
                <w:webHidden/>
              </w:rPr>
              <w:instrText xml:space="preserve"> PAGEREF _Toc111191338 \h </w:instrText>
            </w:r>
            <w:r w:rsidR="00CC67AC">
              <w:rPr>
                <w:noProof/>
                <w:webHidden/>
              </w:rPr>
            </w:r>
            <w:r w:rsidR="00CC67AC">
              <w:rPr>
                <w:noProof/>
                <w:webHidden/>
              </w:rPr>
              <w:fldChar w:fldCharType="separate"/>
            </w:r>
            <w:r w:rsidR="00CC67AC">
              <w:rPr>
                <w:noProof/>
                <w:webHidden/>
              </w:rPr>
              <w:t>117</w:t>
            </w:r>
            <w:r w:rsidR="00CC67AC">
              <w:rPr>
                <w:noProof/>
                <w:webHidden/>
              </w:rPr>
              <w:fldChar w:fldCharType="end"/>
            </w:r>
          </w:hyperlink>
        </w:p>
        <w:p w:rsidR="00CC67AC" w:rsidRDefault="004F0DD1">
          <w:pPr>
            <w:pStyle w:val="TOC3"/>
            <w:tabs>
              <w:tab w:val="right" w:leader="dot" w:pos="9016"/>
            </w:tabs>
            <w:rPr>
              <w:rFonts w:asciiTheme="minorHAnsi" w:eastAsiaTheme="minorEastAsia" w:hAnsiTheme="minorHAnsi" w:cstheme="minorBidi"/>
              <w:noProof/>
              <w:lang w:val="en-GB" w:eastAsia="en-GB"/>
            </w:rPr>
          </w:pPr>
          <w:hyperlink w:anchor="_Toc111191339" w:history="1">
            <w:r w:rsidR="00CC67AC" w:rsidRPr="002F6136">
              <w:rPr>
                <w:rStyle w:val="Hyperlink"/>
                <w:b/>
                <w:noProof/>
                <w:lang w:val="sr-Cyrl-RS"/>
              </w:rPr>
              <w:t>Приступ штампаним и електронским медијима на језицима мањина</w:t>
            </w:r>
            <w:r w:rsidR="00CC67AC">
              <w:rPr>
                <w:noProof/>
                <w:webHidden/>
              </w:rPr>
              <w:tab/>
            </w:r>
            <w:r w:rsidR="00CC67AC">
              <w:rPr>
                <w:noProof/>
                <w:webHidden/>
              </w:rPr>
              <w:fldChar w:fldCharType="begin"/>
            </w:r>
            <w:r w:rsidR="00CC67AC">
              <w:rPr>
                <w:noProof/>
                <w:webHidden/>
              </w:rPr>
              <w:instrText xml:space="preserve"> PAGEREF _Toc111191339 \h </w:instrText>
            </w:r>
            <w:r w:rsidR="00CC67AC">
              <w:rPr>
                <w:noProof/>
                <w:webHidden/>
              </w:rPr>
            </w:r>
            <w:r w:rsidR="00CC67AC">
              <w:rPr>
                <w:noProof/>
                <w:webHidden/>
              </w:rPr>
              <w:fldChar w:fldCharType="separate"/>
            </w:r>
            <w:r w:rsidR="00CC67AC">
              <w:rPr>
                <w:noProof/>
                <w:webHidden/>
              </w:rPr>
              <w:t>117</w:t>
            </w:r>
            <w:r w:rsidR="00CC67AC">
              <w:rPr>
                <w:noProof/>
                <w:webHidden/>
              </w:rPr>
              <w:fldChar w:fldCharType="end"/>
            </w:r>
          </w:hyperlink>
        </w:p>
        <w:p w:rsidR="00CC67AC" w:rsidRDefault="004F0DD1">
          <w:pPr>
            <w:pStyle w:val="TOC2"/>
            <w:tabs>
              <w:tab w:val="right" w:leader="dot" w:pos="9016"/>
            </w:tabs>
            <w:rPr>
              <w:rFonts w:asciiTheme="minorHAnsi" w:eastAsiaTheme="minorEastAsia" w:hAnsiTheme="minorHAnsi" w:cstheme="minorBidi"/>
              <w:noProof/>
              <w:lang w:val="en-GB" w:eastAsia="en-GB"/>
            </w:rPr>
          </w:pPr>
          <w:hyperlink w:anchor="_Toc111191340" w:history="1">
            <w:r w:rsidR="00CC67AC" w:rsidRPr="002F6136">
              <w:rPr>
                <w:rStyle w:val="Hyperlink"/>
                <w:b/>
                <w:noProof/>
                <w:lang w:val="sr-Cyrl-RS"/>
              </w:rPr>
              <w:t>Члан 10. Оквирне конвенције</w:t>
            </w:r>
            <w:r w:rsidR="00CC67AC">
              <w:rPr>
                <w:noProof/>
                <w:webHidden/>
              </w:rPr>
              <w:tab/>
            </w:r>
            <w:r w:rsidR="00CC67AC">
              <w:rPr>
                <w:noProof/>
                <w:webHidden/>
              </w:rPr>
              <w:fldChar w:fldCharType="begin"/>
            </w:r>
            <w:r w:rsidR="00CC67AC">
              <w:rPr>
                <w:noProof/>
                <w:webHidden/>
              </w:rPr>
              <w:instrText xml:space="preserve"> PAGEREF _Toc111191340 \h </w:instrText>
            </w:r>
            <w:r w:rsidR="00CC67AC">
              <w:rPr>
                <w:noProof/>
                <w:webHidden/>
              </w:rPr>
            </w:r>
            <w:r w:rsidR="00CC67AC">
              <w:rPr>
                <w:noProof/>
                <w:webHidden/>
              </w:rPr>
              <w:fldChar w:fldCharType="separate"/>
            </w:r>
            <w:r w:rsidR="00CC67AC">
              <w:rPr>
                <w:noProof/>
                <w:webHidden/>
              </w:rPr>
              <w:t>118</w:t>
            </w:r>
            <w:r w:rsidR="00CC67AC">
              <w:rPr>
                <w:noProof/>
                <w:webHidden/>
              </w:rPr>
              <w:fldChar w:fldCharType="end"/>
            </w:r>
          </w:hyperlink>
        </w:p>
        <w:p w:rsidR="00CC67AC" w:rsidRDefault="004F0DD1">
          <w:pPr>
            <w:pStyle w:val="TOC3"/>
            <w:tabs>
              <w:tab w:val="right" w:leader="dot" w:pos="9016"/>
            </w:tabs>
            <w:rPr>
              <w:rFonts w:asciiTheme="minorHAnsi" w:eastAsiaTheme="minorEastAsia" w:hAnsiTheme="minorHAnsi" w:cstheme="minorBidi"/>
              <w:noProof/>
              <w:lang w:val="en-GB" w:eastAsia="en-GB"/>
            </w:rPr>
          </w:pPr>
          <w:hyperlink w:anchor="_Toc111191341" w:history="1">
            <w:r w:rsidR="00CC67AC" w:rsidRPr="002F6136">
              <w:rPr>
                <w:rStyle w:val="Hyperlink"/>
                <w:b/>
                <w:noProof/>
                <w:lang w:val="sr-Cyrl-RS"/>
              </w:rPr>
              <w:t>Употреба мањинских језика у односима са властима</w:t>
            </w:r>
            <w:r w:rsidR="00CC67AC">
              <w:rPr>
                <w:noProof/>
                <w:webHidden/>
              </w:rPr>
              <w:tab/>
            </w:r>
            <w:r w:rsidR="00CC67AC">
              <w:rPr>
                <w:noProof/>
                <w:webHidden/>
              </w:rPr>
              <w:fldChar w:fldCharType="begin"/>
            </w:r>
            <w:r w:rsidR="00CC67AC">
              <w:rPr>
                <w:noProof/>
                <w:webHidden/>
              </w:rPr>
              <w:instrText xml:space="preserve"> PAGEREF _Toc111191341 \h </w:instrText>
            </w:r>
            <w:r w:rsidR="00CC67AC">
              <w:rPr>
                <w:noProof/>
                <w:webHidden/>
              </w:rPr>
            </w:r>
            <w:r w:rsidR="00CC67AC">
              <w:rPr>
                <w:noProof/>
                <w:webHidden/>
              </w:rPr>
              <w:fldChar w:fldCharType="separate"/>
            </w:r>
            <w:r w:rsidR="00CC67AC">
              <w:rPr>
                <w:noProof/>
                <w:webHidden/>
              </w:rPr>
              <w:t>118</w:t>
            </w:r>
            <w:r w:rsidR="00CC67AC">
              <w:rPr>
                <w:noProof/>
                <w:webHidden/>
              </w:rPr>
              <w:fldChar w:fldCharType="end"/>
            </w:r>
          </w:hyperlink>
        </w:p>
        <w:p w:rsidR="00CC67AC" w:rsidRDefault="004F0DD1">
          <w:pPr>
            <w:pStyle w:val="TOC2"/>
            <w:tabs>
              <w:tab w:val="right" w:leader="dot" w:pos="9016"/>
            </w:tabs>
            <w:rPr>
              <w:rFonts w:asciiTheme="minorHAnsi" w:eastAsiaTheme="minorEastAsia" w:hAnsiTheme="minorHAnsi" w:cstheme="minorBidi"/>
              <w:noProof/>
              <w:lang w:val="en-GB" w:eastAsia="en-GB"/>
            </w:rPr>
          </w:pPr>
          <w:hyperlink w:anchor="_Toc111191342" w:history="1">
            <w:r w:rsidR="00CC67AC" w:rsidRPr="002F6136">
              <w:rPr>
                <w:rStyle w:val="Hyperlink"/>
                <w:b/>
                <w:noProof/>
                <w:lang w:val="sr-Cyrl-RS"/>
              </w:rPr>
              <w:t>Члан 11. Оквирне конвенције</w:t>
            </w:r>
            <w:r w:rsidR="00CC67AC">
              <w:rPr>
                <w:noProof/>
                <w:webHidden/>
              </w:rPr>
              <w:tab/>
            </w:r>
            <w:r w:rsidR="00CC67AC">
              <w:rPr>
                <w:noProof/>
                <w:webHidden/>
              </w:rPr>
              <w:fldChar w:fldCharType="begin"/>
            </w:r>
            <w:r w:rsidR="00CC67AC">
              <w:rPr>
                <w:noProof/>
                <w:webHidden/>
              </w:rPr>
              <w:instrText xml:space="preserve"> PAGEREF _Toc111191342 \h </w:instrText>
            </w:r>
            <w:r w:rsidR="00CC67AC">
              <w:rPr>
                <w:noProof/>
                <w:webHidden/>
              </w:rPr>
            </w:r>
            <w:r w:rsidR="00CC67AC">
              <w:rPr>
                <w:noProof/>
                <w:webHidden/>
              </w:rPr>
              <w:fldChar w:fldCharType="separate"/>
            </w:r>
            <w:r w:rsidR="00CC67AC">
              <w:rPr>
                <w:noProof/>
                <w:webHidden/>
              </w:rPr>
              <w:t>124</w:t>
            </w:r>
            <w:r w:rsidR="00CC67AC">
              <w:rPr>
                <w:noProof/>
                <w:webHidden/>
              </w:rPr>
              <w:fldChar w:fldCharType="end"/>
            </w:r>
          </w:hyperlink>
        </w:p>
        <w:p w:rsidR="00CC67AC" w:rsidRDefault="004F0DD1">
          <w:pPr>
            <w:pStyle w:val="TOC3"/>
            <w:tabs>
              <w:tab w:val="right" w:leader="dot" w:pos="9016"/>
            </w:tabs>
            <w:rPr>
              <w:rFonts w:asciiTheme="minorHAnsi" w:eastAsiaTheme="minorEastAsia" w:hAnsiTheme="minorHAnsi" w:cstheme="minorBidi"/>
              <w:noProof/>
              <w:lang w:val="en-GB" w:eastAsia="en-GB"/>
            </w:rPr>
          </w:pPr>
          <w:hyperlink w:anchor="_Toc111191343" w:history="1">
            <w:r w:rsidR="00CC67AC" w:rsidRPr="002F6136">
              <w:rPr>
                <w:rStyle w:val="Hyperlink"/>
                <w:b/>
                <w:noProof/>
                <w:lang w:val="sr-Cyrl-RS"/>
              </w:rPr>
              <w:t>Лична имена, топографске ознаке и други знакови и натписи</w:t>
            </w:r>
            <w:r w:rsidR="00CC67AC">
              <w:rPr>
                <w:noProof/>
                <w:webHidden/>
              </w:rPr>
              <w:tab/>
            </w:r>
            <w:r w:rsidR="00CC67AC">
              <w:rPr>
                <w:noProof/>
                <w:webHidden/>
              </w:rPr>
              <w:fldChar w:fldCharType="begin"/>
            </w:r>
            <w:r w:rsidR="00CC67AC">
              <w:rPr>
                <w:noProof/>
                <w:webHidden/>
              </w:rPr>
              <w:instrText xml:space="preserve"> PAGEREF _Toc111191343 \h </w:instrText>
            </w:r>
            <w:r w:rsidR="00CC67AC">
              <w:rPr>
                <w:noProof/>
                <w:webHidden/>
              </w:rPr>
            </w:r>
            <w:r w:rsidR="00CC67AC">
              <w:rPr>
                <w:noProof/>
                <w:webHidden/>
              </w:rPr>
              <w:fldChar w:fldCharType="separate"/>
            </w:r>
            <w:r w:rsidR="00CC67AC">
              <w:rPr>
                <w:noProof/>
                <w:webHidden/>
              </w:rPr>
              <w:t>124</w:t>
            </w:r>
            <w:r w:rsidR="00CC67AC">
              <w:rPr>
                <w:noProof/>
                <w:webHidden/>
              </w:rPr>
              <w:fldChar w:fldCharType="end"/>
            </w:r>
          </w:hyperlink>
        </w:p>
        <w:p w:rsidR="00CC67AC" w:rsidRDefault="004F0DD1">
          <w:pPr>
            <w:pStyle w:val="TOC2"/>
            <w:tabs>
              <w:tab w:val="right" w:leader="dot" w:pos="9016"/>
            </w:tabs>
            <w:rPr>
              <w:rFonts w:asciiTheme="minorHAnsi" w:eastAsiaTheme="minorEastAsia" w:hAnsiTheme="minorHAnsi" w:cstheme="minorBidi"/>
              <w:noProof/>
              <w:lang w:val="en-GB" w:eastAsia="en-GB"/>
            </w:rPr>
          </w:pPr>
          <w:hyperlink w:anchor="_Toc111191344" w:history="1">
            <w:r w:rsidR="00CC67AC" w:rsidRPr="002F6136">
              <w:rPr>
                <w:rStyle w:val="Hyperlink"/>
                <w:b/>
                <w:noProof/>
                <w:lang w:val="sr-Cyrl-RS"/>
              </w:rPr>
              <w:t>Члан 12. Оквирне конвенције</w:t>
            </w:r>
            <w:r w:rsidR="00CC67AC">
              <w:rPr>
                <w:noProof/>
                <w:webHidden/>
              </w:rPr>
              <w:tab/>
            </w:r>
            <w:r w:rsidR="00CC67AC">
              <w:rPr>
                <w:noProof/>
                <w:webHidden/>
              </w:rPr>
              <w:fldChar w:fldCharType="begin"/>
            </w:r>
            <w:r w:rsidR="00CC67AC">
              <w:rPr>
                <w:noProof/>
                <w:webHidden/>
              </w:rPr>
              <w:instrText xml:space="preserve"> PAGEREF _Toc111191344 \h </w:instrText>
            </w:r>
            <w:r w:rsidR="00CC67AC">
              <w:rPr>
                <w:noProof/>
                <w:webHidden/>
              </w:rPr>
            </w:r>
            <w:r w:rsidR="00CC67AC">
              <w:rPr>
                <w:noProof/>
                <w:webHidden/>
              </w:rPr>
              <w:fldChar w:fldCharType="separate"/>
            </w:r>
            <w:r w:rsidR="00CC67AC">
              <w:rPr>
                <w:noProof/>
                <w:webHidden/>
              </w:rPr>
              <w:t>128</w:t>
            </w:r>
            <w:r w:rsidR="00CC67AC">
              <w:rPr>
                <w:noProof/>
                <w:webHidden/>
              </w:rPr>
              <w:fldChar w:fldCharType="end"/>
            </w:r>
          </w:hyperlink>
        </w:p>
        <w:p w:rsidR="00CC67AC" w:rsidRDefault="004F0DD1">
          <w:pPr>
            <w:pStyle w:val="TOC3"/>
            <w:tabs>
              <w:tab w:val="right" w:leader="dot" w:pos="9016"/>
            </w:tabs>
            <w:rPr>
              <w:rFonts w:asciiTheme="minorHAnsi" w:eastAsiaTheme="minorEastAsia" w:hAnsiTheme="minorHAnsi" w:cstheme="minorBidi"/>
              <w:noProof/>
              <w:lang w:val="en-GB" w:eastAsia="en-GB"/>
            </w:rPr>
          </w:pPr>
          <w:hyperlink w:anchor="_Toc111191345" w:history="1">
            <w:r w:rsidR="00CC67AC" w:rsidRPr="002F6136">
              <w:rPr>
                <w:rStyle w:val="Hyperlink"/>
                <w:b/>
                <w:noProof/>
                <w:lang w:val="sr-Cyrl-RS"/>
              </w:rPr>
              <w:t>Промоција мултикултуралне и интеркултуралне перспективе у образовању</w:t>
            </w:r>
            <w:r w:rsidR="00CC67AC">
              <w:rPr>
                <w:noProof/>
                <w:webHidden/>
              </w:rPr>
              <w:tab/>
            </w:r>
            <w:r w:rsidR="00CC67AC">
              <w:rPr>
                <w:noProof/>
                <w:webHidden/>
              </w:rPr>
              <w:fldChar w:fldCharType="begin"/>
            </w:r>
            <w:r w:rsidR="00CC67AC">
              <w:rPr>
                <w:noProof/>
                <w:webHidden/>
              </w:rPr>
              <w:instrText xml:space="preserve"> PAGEREF _Toc111191345 \h </w:instrText>
            </w:r>
            <w:r w:rsidR="00CC67AC">
              <w:rPr>
                <w:noProof/>
                <w:webHidden/>
              </w:rPr>
            </w:r>
            <w:r w:rsidR="00CC67AC">
              <w:rPr>
                <w:noProof/>
                <w:webHidden/>
              </w:rPr>
              <w:fldChar w:fldCharType="separate"/>
            </w:r>
            <w:r w:rsidR="00CC67AC">
              <w:rPr>
                <w:noProof/>
                <w:webHidden/>
              </w:rPr>
              <w:t>128</w:t>
            </w:r>
            <w:r w:rsidR="00CC67AC">
              <w:rPr>
                <w:noProof/>
                <w:webHidden/>
              </w:rPr>
              <w:fldChar w:fldCharType="end"/>
            </w:r>
          </w:hyperlink>
        </w:p>
        <w:p w:rsidR="00CC67AC" w:rsidRDefault="004F0DD1">
          <w:pPr>
            <w:pStyle w:val="TOC3"/>
            <w:tabs>
              <w:tab w:val="right" w:leader="dot" w:pos="9016"/>
            </w:tabs>
            <w:rPr>
              <w:rFonts w:asciiTheme="minorHAnsi" w:eastAsiaTheme="minorEastAsia" w:hAnsiTheme="minorHAnsi" w:cstheme="minorBidi"/>
              <w:noProof/>
              <w:lang w:val="en-GB" w:eastAsia="en-GB"/>
            </w:rPr>
          </w:pPr>
          <w:hyperlink w:anchor="_Toc111191346" w:history="1">
            <w:r w:rsidR="00CC67AC" w:rsidRPr="002F6136">
              <w:rPr>
                <w:rStyle w:val="Hyperlink"/>
                <w:b/>
                <w:noProof/>
                <w:lang w:val="sr-Cyrl-RS"/>
              </w:rPr>
              <w:t>Приступ образовању за Роме</w:t>
            </w:r>
            <w:r w:rsidR="00CC67AC">
              <w:rPr>
                <w:noProof/>
                <w:webHidden/>
              </w:rPr>
              <w:tab/>
            </w:r>
            <w:r w:rsidR="00CC67AC">
              <w:rPr>
                <w:noProof/>
                <w:webHidden/>
              </w:rPr>
              <w:fldChar w:fldCharType="begin"/>
            </w:r>
            <w:r w:rsidR="00CC67AC">
              <w:rPr>
                <w:noProof/>
                <w:webHidden/>
              </w:rPr>
              <w:instrText xml:space="preserve"> PAGEREF _Toc111191346 \h </w:instrText>
            </w:r>
            <w:r w:rsidR="00CC67AC">
              <w:rPr>
                <w:noProof/>
                <w:webHidden/>
              </w:rPr>
            </w:r>
            <w:r w:rsidR="00CC67AC">
              <w:rPr>
                <w:noProof/>
                <w:webHidden/>
              </w:rPr>
              <w:fldChar w:fldCharType="separate"/>
            </w:r>
            <w:r w:rsidR="00CC67AC">
              <w:rPr>
                <w:noProof/>
                <w:webHidden/>
              </w:rPr>
              <w:t>129</w:t>
            </w:r>
            <w:r w:rsidR="00CC67AC">
              <w:rPr>
                <w:noProof/>
                <w:webHidden/>
              </w:rPr>
              <w:fldChar w:fldCharType="end"/>
            </w:r>
          </w:hyperlink>
        </w:p>
        <w:p w:rsidR="00CC67AC" w:rsidRDefault="004F0DD1">
          <w:pPr>
            <w:pStyle w:val="TOC2"/>
            <w:tabs>
              <w:tab w:val="right" w:leader="dot" w:pos="9016"/>
            </w:tabs>
            <w:rPr>
              <w:rFonts w:asciiTheme="minorHAnsi" w:eastAsiaTheme="minorEastAsia" w:hAnsiTheme="minorHAnsi" w:cstheme="minorBidi"/>
              <w:noProof/>
              <w:lang w:val="en-GB" w:eastAsia="en-GB"/>
            </w:rPr>
          </w:pPr>
          <w:hyperlink w:anchor="_Toc111191347" w:history="1">
            <w:r w:rsidR="00CC67AC" w:rsidRPr="002F6136">
              <w:rPr>
                <w:rStyle w:val="Hyperlink"/>
                <w:b/>
                <w:noProof/>
                <w:lang w:val="sr-Cyrl-RS"/>
              </w:rPr>
              <w:t>Члан 14. Оквирне конвенције</w:t>
            </w:r>
            <w:r w:rsidR="00CC67AC">
              <w:rPr>
                <w:noProof/>
                <w:webHidden/>
              </w:rPr>
              <w:tab/>
            </w:r>
            <w:r w:rsidR="00CC67AC">
              <w:rPr>
                <w:noProof/>
                <w:webHidden/>
              </w:rPr>
              <w:fldChar w:fldCharType="begin"/>
            </w:r>
            <w:r w:rsidR="00CC67AC">
              <w:rPr>
                <w:noProof/>
                <w:webHidden/>
              </w:rPr>
              <w:instrText xml:space="preserve"> PAGEREF _Toc111191347 \h </w:instrText>
            </w:r>
            <w:r w:rsidR="00CC67AC">
              <w:rPr>
                <w:noProof/>
                <w:webHidden/>
              </w:rPr>
            </w:r>
            <w:r w:rsidR="00CC67AC">
              <w:rPr>
                <w:noProof/>
                <w:webHidden/>
              </w:rPr>
              <w:fldChar w:fldCharType="separate"/>
            </w:r>
            <w:r w:rsidR="00CC67AC">
              <w:rPr>
                <w:noProof/>
                <w:webHidden/>
              </w:rPr>
              <w:t>131</w:t>
            </w:r>
            <w:r w:rsidR="00CC67AC">
              <w:rPr>
                <w:noProof/>
                <w:webHidden/>
              </w:rPr>
              <w:fldChar w:fldCharType="end"/>
            </w:r>
          </w:hyperlink>
        </w:p>
        <w:p w:rsidR="00CC67AC" w:rsidRDefault="004F0DD1">
          <w:pPr>
            <w:pStyle w:val="TOC3"/>
            <w:tabs>
              <w:tab w:val="right" w:leader="dot" w:pos="9016"/>
            </w:tabs>
            <w:rPr>
              <w:rFonts w:asciiTheme="minorHAnsi" w:eastAsiaTheme="minorEastAsia" w:hAnsiTheme="minorHAnsi" w:cstheme="minorBidi"/>
              <w:noProof/>
              <w:lang w:val="en-GB" w:eastAsia="en-GB"/>
            </w:rPr>
          </w:pPr>
          <w:hyperlink w:anchor="_Toc111191348" w:history="1">
            <w:r w:rsidR="00CC67AC" w:rsidRPr="002F6136">
              <w:rPr>
                <w:rStyle w:val="Hyperlink"/>
                <w:b/>
                <w:noProof/>
                <w:lang w:val="sr-Cyrl-RS"/>
              </w:rPr>
              <w:t>Настава на језицима мањине и настава језика мањине, укључујући наставне материјале</w:t>
            </w:r>
            <w:r w:rsidR="00CC67AC">
              <w:rPr>
                <w:noProof/>
                <w:webHidden/>
              </w:rPr>
              <w:tab/>
            </w:r>
            <w:r w:rsidR="00CC67AC">
              <w:rPr>
                <w:noProof/>
                <w:webHidden/>
              </w:rPr>
              <w:fldChar w:fldCharType="begin"/>
            </w:r>
            <w:r w:rsidR="00CC67AC">
              <w:rPr>
                <w:noProof/>
                <w:webHidden/>
              </w:rPr>
              <w:instrText xml:space="preserve"> PAGEREF _Toc111191348 \h </w:instrText>
            </w:r>
            <w:r w:rsidR="00CC67AC">
              <w:rPr>
                <w:noProof/>
                <w:webHidden/>
              </w:rPr>
            </w:r>
            <w:r w:rsidR="00CC67AC">
              <w:rPr>
                <w:noProof/>
                <w:webHidden/>
              </w:rPr>
              <w:fldChar w:fldCharType="separate"/>
            </w:r>
            <w:r w:rsidR="00CC67AC">
              <w:rPr>
                <w:noProof/>
                <w:webHidden/>
              </w:rPr>
              <w:t>131</w:t>
            </w:r>
            <w:r w:rsidR="00CC67AC">
              <w:rPr>
                <w:noProof/>
                <w:webHidden/>
              </w:rPr>
              <w:fldChar w:fldCharType="end"/>
            </w:r>
          </w:hyperlink>
        </w:p>
        <w:p w:rsidR="00CC67AC" w:rsidRDefault="004F0DD1">
          <w:pPr>
            <w:pStyle w:val="TOC2"/>
            <w:tabs>
              <w:tab w:val="right" w:leader="dot" w:pos="9016"/>
            </w:tabs>
            <w:rPr>
              <w:rFonts w:asciiTheme="minorHAnsi" w:eastAsiaTheme="minorEastAsia" w:hAnsiTheme="minorHAnsi" w:cstheme="minorBidi"/>
              <w:noProof/>
              <w:lang w:val="en-GB" w:eastAsia="en-GB"/>
            </w:rPr>
          </w:pPr>
          <w:hyperlink w:anchor="_Toc111191349" w:history="1">
            <w:r w:rsidR="00CC67AC" w:rsidRPr="002F6136">
              <w:rPr>
                <w:rStyle w:val="Hyperlink"/>
                <w:b/>
                <w:noProof/>
                <w:lang w:val="sr-Cyrl-RS"/>
              </w:rPr>
              <w:t>Члан 15. Оквирне конвенције</w:t>
            </w:r>
            <w:r w:rsidR="00CC67AC">
              <w:rPr>
                <w:noProof/>
                <w:webHidden/>
              </w:rPr>
              <w:tab/>
            </w:r>
            <w:r w:rsidR="00CC67AC">
              <w:rPr>
                <w:noProof/>
                <w:webHidden/>
              </w:rPr>
              <w:fldChar w:fldCharType="begin"/>
            </w:r>
            <w:r w:rsidR="00CC67AC">
              <w:rPr>
                <w:noProof/>
                <w:webHidden/>
              </w:rPr>
              <w:instrText xml:space="preserve"> PAGEREF _Toc111191349 \h </w:instrText>
            </w:r>
            <w:r w:rsidR="00CC67AC">
              <w:rPr>
                <w:noProof/>
                <w:webHidden/>
              </w:rPr>
            </w:r>
            <w:r w:rsidR="00CC67AC">
              <w:rPr>
                <w:noProof/>
                <w:webHidden/>
              </w:rPr>
              <w:fldChar w:fldCharType="separate"/>
            </w:r>
            <w:r w:rsidR="00CC67AC">
              <w:rPr>
                <w:noProof/>
                <w:webHidden/>
              </w:rPr>
              <w:t>133</w:t>
            </w:r>
            <w:r w:rsidR="00CC67AC">
              <w:rPr>
                <w:noProof/>
                <w:webHidden/>
              </w:rPr>
              <w:fldChar w:fldCharType="end"/>
            </w:r>
          </w:hyperlink>
        </w:p>
        <w:p w:rsidR="00CC67AC" w:rsidRDefault="004F0DD1">
          <w:pPr>
            <w:pStyle w:val="TOC3"/>
            <w:tabs>
              <w:tab w:val="right" w:leader="dot" w:pos="9016"/>
            </w:tabs>
            <w:rPr>
              <w:rFonts w:asciiTheme="minorHAnsi" w:eastAsiaTheme="minorEastAsia" w:hAnsiTheme="minorHAnsi" w:cstheme="minorBidi"/>
              <w:noProof/>
              <w:lang w:val="en-GB" w:eastAsia="en-GB"/>
            </w:rPr>
          </w:pPr>
          <w:hyperlink w:anchor="_Toc111191350" w:history="1">
            <w:r w:rsidR="00CC67AC" w:rsidRPr="002F6136">
              <w:rPr>
                <w:rStyle w:val="Hyperlink"/>
                <w:b/>
                <w:noProof/>
                <w:lang w:val="sr-Cyrl-RS"/>
              </w:rPr>
              <w:t>Институционални оквир за учешће националних мањина у процесу одлучивања</w:t>
            </w:r>
            <w:r w:rsidR="00CC67AC">
              <w:rPr>
                <w:noProof/>
                <w:webHidden/>
              </w:rPr>
              <w:tab/>
            </w:r>
            <w:r w:rsidR="00CC67AC">
              <w:rPr>
                <w:noProof/>
                <w:webHidden/>
              </w:rPr>
              <w:fldChar w:fldCharType="begin"/>
            </w:r>
            <w:r w:rsidR="00CC67AC">
              <w:rPr>
                <w:noProof/>
                <w:webHidden/>
              </w:rPr>
              <w:instrText xml:space="preserve"> PAGEREF _Toc111191350 \h </w:instrText>
            </w:r>
            <w:r w:rsidR="00CC67AC">
              <w:rPr>
                <w:noProof/>
                <w:webHidden/>
              </w:rPr>
            </w:r>
            <w:r w:rsidR="00CC67AC">
              <w:rPr>
                <w:noProof/>
                <w:webHidden/>
              </w:rPr>
              <w:fldChar w:fldCharType="separate"/>
            </w:r>
            <w:r w:rsidR="00CC67AC">
              <w:rPr>
                <w:noProof/>
                <w:webHidden/>
              </w:rPr>
              <w:t>133</w:t>
            </w:r>
            <w:r w:rsidR="00CC67AC">
              <w:rPr>
                <w:noProof/>
                <w:webHidden/>
              </w:rPr>
              <w:fldChar w:fldCharType="end"/>
            </w:r>
          </w:hyperlink>
        </w:p>
        <w:p w:rsidR="00CC67AC" w:rsidRDefault="004F0DD1">
          <w:pPr>
            <w:pStyle w:val="TOC3"/>
            <w:tabs>
              <w:tab w:val="right" w:leader="dot" w:pos="9016"/>
            </w:tabs>
            <w:rPr>
              <w:rFonts w:asciiTheme="minorHAnsi" w:eastAsiaTheme="minorEastAsia" w:hAnsiTheme="minorHAnsi" w:cstheme="minorBidi"/>
              <w:noProof/>
              <w:lang w:val="en-GB" w:eastAsia="en-GB"/>
            </w:rPr>
          </w:pPr>
          <w:hyperlink w:anchor="_Toc111191351" w:history="1">
            <w:r w:rsidR="00CC67AC" w:rsidRPr="002F6136">
              <w:rPr>
                <w:rStyle w:val="Hyperlink"/>
                <w:b/>
                <w:noProof/>
                <w:lang w:val="sr-Cyrl-RS"/>
              </w:rPr>
              <w:t>Заступљеност националних мањина у изабраним телима и учешће у јавним пословима</w:t>
            </w:r>
            <w:r w:rsidR="00CC67AC">
              <w:rPr>
                <w:noProof/>
                <w:webHidden/>
              </w:rPr>
              <w:tab/>
            </w:r>
            <w:r w:rsidR="00CC67AC">
              <w:rPr>
                <w:noProof/>
                <w:webHidden/>
              </w:rPr>
              <w:fldChar w:fldCharType="begin"/>
            </w:r>
            <w:r w:rsidR="00CC67AC">
              <w:rPr>
                <w:noProof/>
                <w:webHidden/>
              </w:rPr>
              <w:instrText xml:space="preserve"> PAGEREF _Toc111191351 \h </w:instrText>
            </w:r>
            <w:r w:rsidR="00CC67AC">
              <w:rPr>
                <w:noProof/>
                <w:webHidden/>
              </w:rPr>
            </w:r>
            <w:r w:rsidR="00CC67AC">
              <w:rPr>
                <w:noProof/>
                <w:webHidden/>
              </w:rPr>
              <w:fldChar w:fldCharType="separate"/>
            </w:r>
            <w:r w:rsidR="00CC67AC">
              <w:rPr>
                <w:noProof/>
                <w:webHidden/>
              </w:rPr>
              <w:t>135</w:t>
            </w:r>
            <w:r w:rsidR="00CC67AC">
              <w:rPr>
                <w:noProof/>
                <w:webHidden/>
              </w:rPr>
              <w:fldChar w:fldCharType="end"/>
            </w:r>
          </w:hyperlink>
        </w:p>
        <w:p w:rsidR="00CC67AC" w:rsidRDefault="004F0DD1">
          <w:pPr>
            <w:pStyle w:val="TOC3"/>
            <w:tabs>
              <w:tab w:val="right" w:leader="dot" w:pos="9016"/>
            </w:tabs>
            <w:rPr>
              <w:rFonts w:asciiTheme="minorHAnsi" w:eastAsiaTheme="minorEastAsia" w:hAnsiTheme="minorHAnsi" w:cstheme="minorBidi"/>
              <w:noProof/>
              <w:lang w:val="en-GB" w:eastAsia="en-GB"/>
            </w:rPr>
          </w:pPr>
          <w:hyperlink w:anchor="_Toc111191352" w:history="1">
            <w:r w:rsidR="00CC67AC" w:rsidRPr="002F6136">
              <w:rPr>
                <w:rStyle w:val="Hyperlink"/>
                <w:b/>
                <w:noProof/>
                <w:lang w:val="sr-Cyrl-RS"/>
              </w:rPr>
              <w:t>Заступљеност националних мањина у јавној управи</w:t>
            </w:r>
            <w:r w:rsidR="00CC67AC">
              <w:rPr>
                <w:noProof/>
                <w:webHidden/>
              </w:rPr>
              <w:tab/>
            </w:r>
            <w:r w:rsidR="00CC67AC">
              <w:rPr>
                <w:noProof/>
                <w:webHidden/>
              </w:rPr>
              <w:fldChar w:fldCharType="begin"/>
            </w:r>
            <w:r w:rsidR="00CC67AC">
              <w:rPr>
                <w:noProof/>
                <w:webHidden/>
              </w:rPr>
              <w:instrText xml:space="preserve"> PAGEREF _Toc111191352 \h </w:instrText>
            </w:r>
            <w:r w:rsidR="00CC67AC">
              <w:rPr>
                <w:noProof/>
                <w:webHidden/>
              </w:rPr>
            </w:r>
            <w:r w:rsidR="00CC67AC">
              <w:rPr>
                <w:noProof/>
                <w:webHidden/>
              </w:rPr>
              <w:fldChar w:fldCharType="separate"/>
            </w:r>
            <w:r w:rsidR="00CC67AC">
              <w:rPr>
                <w:noProof/>
                <w:webHidden/>
              </w:rPr>
              <w:t>141</w:t>
            </w:r>
            <w:r w:rsidR="00CC67AC">
              <w:rPr>
                <w:noProof/>
                <w:webHidden/>
              </w:rPr>
              <w:fldChar w:fldCharType="end"/>
            </w:r>
          </w:hyperlink>
        </w:p>
        <w:p w:rsidR="00CC67AC" w:rsidRDefault="004F0DD1">
          <w:pPr>
            <w:pStyle w:val="TOC3"/>
            <w:tabs>
              <w:tab w:val="right" w:leader="dot" w:pos="9016"/>
            </w:tabs>
            <w:rPr>
              <w:rFonts w:asciiTheme="minorHAnsi" w:eastAsiaTheme="minorEastAsia" w:hAnsiTheme="minorHAnsi" w:cstheme="minorBidi"/>
              <w:noProof/>
              <w:lang w:val="en-GB" w:eastAsia="en-GB"/>
            </w:rPr>
          </w:pPr>
          <w:hyperlink w:anchor="_Toc111191353" w:history="1">
            <w:r w:rsidR="00CC67AC" w:rsidRPr="002F6136">
              <w:rPr>
                <w:rStyle w:val="Hyperlink"/>
                <w:b/>
                <w:noProof/>
                <w:lang w:val="sr-Cyrl-RS"/>
              </w:rPr>
              <w:t>Учешће у друштвеном и економском животу</w:t>
            </w:r>
            <w:r w:rsidR="00CC67AC">
              <w:rPr>
                <w:noProof/>
                <w:webHidden/>
              </w:rPr>
              <w:tab/>
            </w:r>
            <w:r w:rsidR="00CC67AC">
              <w:rPr>
                <w:noProof/>
                <w:webHidden/>
              </w:rPr>
              <w:fldChar w:fldCharType="begin"/>
            </w:r>
            <w:r w:rsidR="00CC67AC">
              <w:rPr>
                <w:noProof/>
                <w:webHidden/>
              </w:rPr>
              <w:instrText xml:space="preserve"> PAGEREF _Toc111191353 \h </w:instrText>
            </w:r>
            <w:r w:rsidR="00CC67AC">
              <w:rPr>
                <w:noProof/>
                <w:webHidden/>
              </w:rPr>
            </w:r>
            <w:r w:rsidR="00CC67AC">
              <w:rPr>
                <w:noProof/>
                <w:webHidden/>
              </w:rPr>
              <w:fldChar w:fldCharType="separate"/>
            </w:r>
            <w:r w:rsidR="00CC67AC">
              <w:rPr>
                <w:noProof/>
                <w:webHidden/>
              </w:rPr>
              <w:t>141</w:t>
            </w:r>
            <w:r w:rsidR="00CC67AC">
              <w:rPr>
                <w:noProof/>
                <w:webHidden/>
              </w:rPr>
              <w:fldChar w:fldCharType="end"/>
            </w:r>
          </w:hyperlink>
        </w:p>
        <w:p w:rsidR="00CC67AC" w:rsidRDefault="004F0DD1">
          <w:pPr>
            <w:pStyle w:val="TOC2"/>
            <w:tabs>
              <w:tab w:val="right" w:leader="dot" w:pos="9016"/>
            </w:tabs>
            <w:rPr>
              <w:rFonts w:asciiTheme="minorHAnsi" w:eastAsiaTheme="minorEastAsia" w:hAnsiTheme="minorHAnsi" w:cstheme="minorBidi"/>
              <w:noProof/>
              <w:lang w:val="en-GB" w:eastAsia="en-GB"/>
            </w:rPr>
          </w:pPr>
          <w:hyperlink w:anchor="_Toc111191354" w:history="1">
            <w:r w:rsidR="00CC67AC" w:rsidRPr="002F6136">
              <w:rPr>
                <w:rStyle w:val="Hyperlink"/>
                <w:b/>
                <w:noProof/>
                <w:lang w:val="sr-Cyrl-RS"/>
              </w:rPr>
              <w:t>Чланови 17. и 18. Оквирне конвенције</w:t>
            </w:r>
            <w:r w:rsidR="00CC67AC">
              <w:rPr>
                <w:noProof/>
                <w:webHidden/>
              </w:rPr>
              <w:tab/>
            </w:r>
            <w:r w:rsidR="00CC67AC">
              <w:rPr>
                <w:noProof/>
                <w:webHidden/>
              </w:rPr>
              <w:fldChar w:fldCharType="begin"/>
            </w:r>
            <w:r w:rsidR="00CC67AC">
              <w:rPr>
                <w:noProof/>
                <w:webHidden/>
              </w:rPr>
              <w:instrText xml:space="preserve"> PAGEREF _Toc111191354 \h </w:instrText>
            </w:r>
            <w:r w:rsidR="00CC67AC">
              <w:rPr>
                <w:noProof/>
                <w:webHidden/>
              </w:rPr>
            </w:r>
            <w:r w:rsidR="00CC67AC">
              <w:rPr>
                <w:noProof/>
                <w:webHidden/>
              </w:rPr>
              <w:fldChar w:fldCharType="separate"/>
            </w:r>
            <w:r w:rsidR="00CC67AC">
              <w:rPr>
                <w:noProof/>
                <w:webHidden/>
              </w:rPr>
              <w:t>142</w:t>
            </w:r>
            <w:r w:rsidR="00CC67AC">
              <w:rPr>
                <w:noProof/>
                <w:webHidden/>
              </w:rPr>
              <w:fldChar w:fldCharType="end"/>
            </w:r>
          </w:hyperlink>
        </w:p>
        <w:p w:rsidR="00CC67AC" w:rsidRDefault="004F0DD1">
          <w:pPr>
            <w:pStyle w:val="TOC3"/>
            <w:tabs>
              <w:tab w:val="right" w:leader="dot" w:pos="9016"/>
            </w:tabs>
            <w:rPr>
              <w:rFonts w:asciiTheme="minorHAnsi" w:eastAsiaTheme="minorEastAsia" w:hAnsiTheme="minorHAnsi" w:cstheme="minorBidi"/>
              <w:noProof/>
              <w:lang w:val="en-GB" w:eastAsia="en-GB"/>
            </w:rPr>
          </w:pPr>
          <w:hyperlink w:anchor="_Toc111191355" w:history="1">
            <w:r w:rsidR="00CC67AC" w:rsidRPr="002F6136">
              <w:rPr>
                <w:rStyle w:val="Hyperlink"/>
                <w:b/>
                <w:noProof/>
                <w:lang w:val="sr-Cyrl-RS"/>
              </w:rPr>
              <w:t>Билатерални споразуми и регионална сарадња</w:t>
            </w:r>
            <w:r w:rsidR="00CC67AC">
              <w:rPr>
                <w:noProof/>
                <w:webHidden/>
              </w:rPr>
              <w:tab/>
            </w:r>
            <w:r w:rsidR="00CC67AC">
              <w:rPr>
                <w:noProof/>
                <w:webHidden/>
              </w:rPr>
              <w:fldChar w:fldCharType="begin"/>
            </w:r>
            <w:r w:rsidR="00CC67AC">
              <w:rPr>
                <w:noProof/>
                <w:webHidden/>
              </w:rPr>
              <w:instrText xml:space="preserve"> PAGEREF _Toc111191355 \h </w:instrText>
            </w:r>
            <w:r w:rsidR="00CC67AC">
              <w:rPr>
                <w:noProof/>
                <w:webHidden/>
              </w:rPr>
            </w:r>
            <w:r w:rsidR="00CC67AC">
              <w:rPr>
                <w:noProof/>
                <w:webHidden/>
              </w:rPr>
              <w:fldChar w:fldCharType="separate"/>
            </w:r>
            <w:r w:rsidR="00CC67AC">
              <w:rPr>
                <w:noProof/>
                <w:webHidden/>
              </w:rPr>
              <w:t>142</w:t>
            </w:r>
            <w:r w:rsidR="00CC67AC">
              <w:rPr>
                <w:noProof/>
                <w:webHidden/>
              </w:rPr>
              <w:fldChar w:fldCharType="end"/>
            </w:r>
          </w:hyperlink>
        </w:p>
        <w:p w:rsidR="005249B1" w:rsidRDefault="005249B1">
          <w:r>
            <w:rPr>
              <w:b/>
              <w:bCs/>
              <w:noProof/>
            </w:rPr>
            <w:fldChar w:fldCharType="end"/>
          </w:r>
        </w:p>
      </w:sdtContent>
    </w:sdt>
    <w:p w:rsidR="005249B1" w:rsidRDefault="005249B1">
      <w:pPr>
        <w:spacing w:after="160" w:line="259" w:lineRule="auto"/>
        <w:rPr>
          <w:rFonts w:eastAsia="Times New Roman"/>
          <w:b/>
          <w:sz w:val="24"/>
          <w:szCs w:val="24"/>
          <w:lang w:val="sr-Cyrl-CS"/>
        </w:rPr>
      </w:pPr>
      <w:r>
        <w:br w:type="page"/>
      </w:r>
    </w:p>
    <w:p w:rsidR="00C85B24" w:rsidRDefault="00C85B24" w:rsidP="00037E6B">
      <w:pPr>
        <w:pStyle w:val="Heading1"/>
        <w:sectPr w:rsidR="00C85B24" w:rsidSect="008B6080">
          <w:footerReference w:type="default" r:id="rId8"/>
          <w:pgSz w:w="11906" w:h="16838"/>
          <w:pgMar w:top="1440" w:right="1440" w:bottom="1440" w:left="1440" w:header="708" w:footer="708" w:gutter="0"/>
          <w:pgNumType w:start="1"/>
          <w:cols w:space="708"/>
          <w:docGrid w:linePitch="360"/>
        </w:sectPr>
      </w:pPr>
    </w:p>
    <w:p w:rsidR="00037E6B" w:rsidRPr="006E75D2" w:rsidRDefault="00037E6B" w:rsidP="00037E6B">
      <w:pPr>
        <w:pStyle w:val="Heading1"/>
      </w:pPr>
      <w:bookmarkStart w:id="1" w:name="_Toc111191319"/>
      <w:r w:rsidRPr="006E75D2">
        <w:lastRenderedPageBreak/>
        <w:t>I. Увод</w:t>
      </w:r>
      <w:bookmarkEnd w:id="0"/>
      <w:bookmarkEnd w:id="1"/>
    </w:p>
    <w:p w:rsidR="00037E6B" w:rsidRPr="006E75D2" w:rsidRDefault="00037E6B" w:rsidP="00037E6B">
      <w:pPr>
        <w:spacing w:after="0"/>
        <w:ind w:firstLine="720"/>
        <w:rPr>
          <w:sz w:val="24"/>
          <w:szCs w:val="24"/>
          <w:lang w:val="sr-Cyrl-RS"/>
        </w:rPr>
      </w:pPr>
    </w:p>
    <w:p w:rsidR="00037E6B" w:rsidRPr="006E75D2" w:rsidRDefault="00037E6B" w:rsidP="00037E6B">
      <w:pPr>
        <w:spacing w:after="0"/>
        <w:ind w:firstLine="720"/>
        <w:jc w:val="both"/>
        <w:rPr>
          <w:sz w:val="24"/>
          <w:szCs w:val="24"/>
          <w:lang w:val="sr-Cyrl-RS"/>
        </w:rPr>
      </w:pPr>
      <w:r w:rsidRPr="006E75D2">
        <w:rPr>
          <w:sz w:val="24"/>
          <w:szCs w:val="24"/>
          <w:lang w:val="sr-Cyrl-RS"/>
        </w:rPr>
        <w:t xml:space="preserve">У складу са чланом 25. Оквирне конвенције, Република Србија подноси свој </w:t>
      </w:r>
      <w:r>
        <w:rPr>
          <w:sz w:val="24"/>
          <w:szCs w:val="24"/>
          <w:lang w:val="sr-Cyrl-RS"/>
        </w:rPr>
        <w:t>Пет</w:t>
      </w:r>
      <w:r w:rsidRPr="006E75D2">
        <w:rPr>
          <w:sz w:val="24"/>
          <w:szCs w:val="24"/>
          <w:lang w:val="sr-Cyrl-RS"/>
        </w:rPr>
        <w:t>и периодични извештај о спровођењу Оквирне конвенције за заштиту националних мањина, за период од 201</w:t>
      </w:r>
      <w:r>
        <w:rPr>
          <w:sz w:val="24"/>
          <w:szCs w:val="24"/>
          <w:lang w:val="sr-Cyrl-RS"/>
        </w:rPr>
        <w:t>7</w:t>
      </w:r>
      <w:r w:rsidRPr="006E75D2">
        <w:rPr>
          <w:sz w:val="24"/>
          <w:szCs w:val="24"/>
          <w:lang w:val="sr-Cyrl-RS"/>
        </w:rPr>
        <w:t>. до 20</w:t>
      </w:r>
      <w:r>
        <w:rPr>
          <w:sz w:val="24"/>
          <w:szCs w:val="24"/>
          <w:lang w:val="sr-Cyrl-RS"/>
        </w:rPr>
        <w:t>21</w:t>
      </w:r>
      <w:r w:rsidRPr="006E75D2">
        <w:rPr>
          <w:sz w:val="24"/>
          <w:szCs w:val="24"/>
          <w:lang w:val="sr-Cyrl-RS"/>
        </w:rPr>
        <w:t xml:space="preserve">. године, урађен на основу Оквира за државне извештаје који треба да се доставе у </w:t>
      </w:r>
      <w:r w:rsidR="00D449A9">
        <w:rPr>
          <w:sz w:val="24"/>
          <w:szCs w:val="24"/>
          <w:lang w:val="sr-Cyrl-RS"/>
        </w:rPr>
        <w:t>петом</w:t>
      </w:r>
      <w:r w:rsidRPr="006E75D2">
        <w:rPr>
          <w:sz w:val="24"/>
          <w:szCs w:val="24"/>
          <w:lang w:val="sr-Cyrl-RS"/>
        </w:rPr>
        <w:t xml:space="preserve"> циклусу мониторинга, </w:t>
      </w:r>
      <w:r w:rsidR="004E1B53">
        <w:rPr>
          <w:sz w:val="24"/>
          <w:szCs w:val="24"/>
          <w:lang w:val="sr-Cyrl-RS"/>
        </w:rPr>
        <w:t>који је у</w:t>
      </w:r>
      <w:r w:rsidR="004E1B53" w:rsidRPr="004E1B53">
        <w:rPr>
          <w:sz w:val="24"/>
          <w:szCs w:val="24"/>
          <w:lang w:val="sr-Cyrl-RS"/>
        </w:rPr>
        <w:t xml:space="preserve">својио Саветодавни комитет на свом 64. пленарном састанку </w:t>
      </w:r>
      <w:r w:rsidR="004E1B53">
        <w:rPr>
          <w:sz w:val="24"/>
          <w:szCs w:val="24"/>
          <w:lang w:val="sr-Cyrl-RS"/>
        </w:rPr>
        <w:t>у марту</w:t>
      </w:r>
      <w:r w:rsidR="004E1B53" w:rsidRPr="004E1B53">
        <w:rPr>
          <w:sz w:val="24"/>
          <w:szCs w:val="24"/>
          <w:lang w:val="sr-Cyrl-RS"/>
        </w:rPr>
        <w:t xml:space="preserve"> 2019</w:t>
      </w:r>
      <w:r w:rsidRPr="006E75D2">
        <w:rPr>
          <w:sz w:val="24"/>
          <w:szCs w:val="24"/>
          <w:lang w:val="sr-Cyrl-RS"/>
        </w:rPr>
        <w:t xml:space="preserve">. </w:t>
      </w:r>
      <w:r w:rsidR="004E1B53">
        <w:rPr>
          <w:sz w:val="24"/>
          <w:szCs w:val="24"/>
          <w:lang w:val="sr-Cyrl-RS"/>
        </w:rPr>
        <w:t>године.</w:t>
      </w:r>
    </w:p>
    <w:p w:rsidR="00037E6B" w:rsidRPr="006E75D2" w:rsidRDefault="004E1B53" w:rsidP="00037E6B">
      <w:pPr>
        <w:spacing w:after="0"/>
        <w:ind w:firstLine="720"/>
        <w:jc w:val="both"/>
        <w:rPr>
          <w:sz w:val="24"/>
          <w:szCs w:val="24"/>
          <w:lang w:val="sr-Cyrl-CS"/>
        </w:rPr>
      </w:pPr>
      <w:r>
        <w:rPr>
          <w:sz w:val="24"/>
          <w:szCs w:val="24"/>
          <w:lang w:val="sr-Cyrl-RS"/>
        </w:rPr>
        <w:t>Пети</w:t>
      </w:r>
      <w:r w:rsidR="00037E6B" w:rsidRPr="006E75D2">
        <w:rPr>
          <w:sz w:val="24"/>
          <w:szCs w:val="24"/>
          <w:lang w:val="sr-Cyrl-RS"/>
        </w:rPr>
        <w:t xml:space="preserve"> извештај о спровођењу Оквирне конвенције </w:t>
      </w:r>
      <w:r>
        <w:rPr>
          <w:sz w:val="24"/>
          <w:szCs w:val="24"/>
          <w:lang w:val="sr-Cyrl-RS"/>
        </w:rPr>
        <w:t>припремило</w:t>
      </w:r>
      <w:r w:rsidR="00037E6B" w:rsidRPr="006E75D2">
        <w:rPr>
          <w:sz w:val="24"/>
          <w:szCs w:val="24"/>
          <w:lang w:val="sr-Cyrl-RS"/>
        </w:rPr>
        <w:t xml:space="preserve"> је </w:t>
      </w:r>
      <w:r>
        <w:rPr>
          <w:sz w:val="24"/>
          <w:szCs w:val="24"/>
          <w:lang w:val="sr-Cyrl-RS"/>
        </w:rPr>
        <w:t>Министарство</w:t>
      </w:r>
      <w:r w:rsidR="00037E6B" w:rsidRPr="006E75D2">
        <w:rPr>
          <w:sz w:val="24"/>
          <w:szCs w:val="24"/>
          <w:lang w:val="sr-Cyrl-RS"/>
        </w:rPr>
        <w:t xml:space="preserve"> за људска и мањинска права</w:t>
      </w:r>
      <w:r>
        <w:rPr>
          <w:sz w:val="24"/>
          <w:szCs w:val="24"/>
          <w:lang w:val="sr-Cyrl-RS"/>
        </w:rPr>
        <w:t xml:space="preserve"> и друштвени дијалог</w:t>
      </w:r>
      <w:r w:rsidR="00037E6B" w:rsidRPr="006E75D2">
        <w:rPr>
          <w:sz w:val="24"/>
          <w:szCs w:val="24"/>
          <w:lang w:val="sr-Cyrl-RS"/>
        </w:rPr>
        <w:t>, а у</w:t>
      </w:r>
      <w:r w:rsidR="00037E6B" w:rsidRPr="006E75D2">
        <w:rPr>
          <w:sz w:val="24"/>
          <w:szCs w:val="24"/>
          <w:lang w:val="sr-Cyrl-CS"/>
        </w:rPr>
        <w:t xml:space="preserve"> његовој изради учест</w:t>
      </w:r>
      <w:r w:rsidR="00037E6B" w:rsidRPr="006E75D2">
        <w:rPr>
          <w:sz w:val="24"/>
          <w:szCs w:val="24"/>
          <w:lang w:val="sr-Cyrl-ME"/>
        </w:rPr>
        <w:t>в</w:t>
      </w:r>
      <w:r w:rsidR="00037E6B" w:rsidRPr="006E75D2">
        <w:rPr>
          <w:sz w:val="24"/>
          <w:szCs w:val="24"/>
          <w:lang w:val="sr-Cyrl-CS"/>
        </w:rPr>
        <w:t xml:space="preserve">овали су следећи државни органи: Министарство просвете, науке и технолошког развоја, Министарство унутрашњих послова, </w:t>
      </w:r>
      <w:r w:rsidR="00037E6B" w:rsidRPr="00C913B4">
        <w:rPr>
          <w:sz w:val="24"/>
          <w:szCs w:val="24"/>
          <w:lang w:val="sr-Cyrl-CS"/>
        </w:rPr>
        <w:t>Министарство привреде,</w:t>
      </w:r>
      <w:r w:rsidR="00037E6B" w:rsidRPr="006E75D2">
        <w:rPr>
          <w:sz w:val="24"/>
          <w:szCs w:val="24"/>
          <w:lang w:val="sr-Cyrl-CS"/>
        </w:rPr>
        <w:t xml:space="preserve"> </w:t>
      </w:r>
      <w:r w:rsidR="00037E6B" w:rsidRPr="00C913B4">
        <w:rPr>
          <w:sz w:val="24"/>
          <w:szCs w:val="24"/>
          <w:lang w:val="sr-Cyrl-CS"/>
        </w:rPr>
        <w:t xml:space="preserve">Министарство државне управе и локалне самоуправе, </w:t>
      </w:r>
      <w:r w:rsidR="00037E6B" w:rsidRPr="00D84FEB">
        <w:rPr>
          <w:sz w:val="24"/>
          <w:szCs w:val="24"/>
          <w:lang w:val="sr-Cyrl-CS"/>
        </w:rPr>
        <w:t>Министарство културе и информисања, Министарство за рад, запошљавање, борачка и социјална питања,</w:t>
      </w:r>
      <w:r w:rsidR="00037E6B" w:rsidRPr="006E75D2">
        <w:rPr>
          <w:sz w:val="24"/>
          <w:szCs w:val="24"/>
          <w:lang w:val="sr-Cyrl-CS"/>
        </w:rPr>
        <w:t xml:space="preserve"> </w:t>
      </w:r>
      <w:r w:rsidR="00037E6B" w:rsidRPr="00287313">
        <w:rPr>
          <w:sz w:val="24"/>
          <w:szCs w:val="24"/>
          <w:lang w:val="sr-Cyrl-CS"/>
        </w:rPr>
        <w:t xml:space="preserve">Министарство грађевинарства, саобраћаја и инфраструктуре, </w:t>
      </w:r>
      <w:r w:rsidR="00037E6B" w:rsidRPr="00E84A7A">
        <w:rPr>
          <w:sz w:val="24"/>
          <w:szCs w:val="24"/>
          <w:lang w:val="sr-Cyrl-CS"/>
        </w:rPr>
        <w:t xml:space="preserve">Министарство правде, </w:t>
      </w:r>
      <w:r w:rsidR="00037E6B" w:rsidRPr="004E78D7">
        <w:rPr>
          <w:sz w:val="24"/>
          <w:szCs w:val="24"/>
          <w:lang w:val="sr-Cyrl-CS"/>
        </w:rPr>
        <w:t>Министарство здравља,</w:t>
      </w:r>
      <w:r w:rsidR="00037E6B" w:rsidRPr="006E75D2">
        <w:rPr>
          <w:sz w:val="24"/>
          <w:szCs w:val="24"/>
          <w:lang w:val="sr-Cyrl-CS"/>
        </w:rPr>
        <w:t xml:space="preserve"> </w:t>
      </w:r>
      <w:r w:rsidR="00ED45D2">
        <w:rPr>
          <w:sz w:val="24"/>
          <w:szCs w:val="24"/>
        </w:rPr>
        <w:t>M</w:t>
      </w:r>
      <w:r w:rsidR="00ED45D2" w:rsidRPr="00ED45D2">
        <w:rPr>
          <w:sz w:val="24"/>
          <w:szCs w:val="24"/>
          <w:lang w:val="sr-Cyrl-CS"/>
        </w:rPr>
        <w:t>инистарство за европске интеграције</w:t>
      </w:r>
      <w:r w:rsidR="00ED45D2">
        <w:rPr>
          <w:sz w:val="24"/>
          <w:szCs w:val="24"/>
        </w:rPr>
        <w:t xml:space="preserve">, </w:t>
      </w:r>
      <w:r w:rsidR="00037E6B" w:rsidRPr="006E75D2">
        <w:rPr>
          <w:sz w:val="24"/>
          <w:szCs w:val="24"/>
          <w:lang w:val="sr-Cyrl-CS"/>
        </w:rPr>
        <w:t xml:space="preserve">Управа за сарадњу с црквама и верским заједницама у саставу Министарства правде, </w:t>
      </w:r>
      <w:r>
        <w:rPr>
          <w:sz w:val="24"/>
          <w:szCs w:val="24"/>
          <w:lang w:val="sr-Cyrl-CS"/>
        </w:rPr>
        <w:t xml:space="preserve">Служба </w:t>
      </w:r>
      <w:r w:rsidR="00037E6B" w:rsidRPr="006E75D2">
        <w:rPr>
          <w:sz w:val="24"/>
          <w:szCs w:val="24"/>
          <w:lang w:val="sr-Cyrl-CS"/>
        </w:rPr>
        <w:t>Координационо</w:t>
      </w:r>
      <w:r>
        <w:rPr>
          <w:sz w:val="24"/>
          <w:szCs w:val="24"/>
          <w:lang w:val="sr-Cyrl-CS"/>
        </w:rPr>
        <w:t>г</w:t>
      </w:r>
      <w:r w:rsidR="00037E6B" w:rsidRPr="006E75D2">
        <w:rPr>
          <w:sz w:val="24"/>
          <w:szCs w:val="24"/>
          <w:lang w:val="sr-Cyrl-CS"/>
        </w:rPr>
        <w:t xml:space="preserve"> тел</w:t>
      </w:r>
      <w:r>
        <w:rPr>
          <w:sz w:val="24"/>
          <w:szCs w:val="24"/>
          <w:lang w:val="sr-Cyrl-CS"/>
        </w:rPr>
        <w:t>а</w:t>
      </w:r>
      <w:r w:rsidR="00037E6B" w:rsidRPr="006E75D2">
        <w:rPr>
          <w:sz w:val="24"/>
          <w:szCs w:val="24"/>
          <w:lang w:val="sr-Cyrl-CS"/>
        </w:rPr>
        <w:t xml:space="preserve"> Владе Републике Србије за општине Прешево, Бујановац и Медвеђ</w:t>
      </w:r>
      <w:r>
        <w:rPr>
          <w:sz w:val="24"/>
          <w:szCs w:val="24"/>
          <w:lang w:val="sr-Cyrl-CS"/>
        </w:rPr>
        <w:t>а</w:t>
      </w:r>
      <w:r w:rsidR="00037E6B" w:rsidRPr="006E75D2">
        <w:rPr>
          <w:sz w:val="24"/>
          <w:szCs w:val="24"/>
          <w:lang w:val="sr-Cyrl-CS"/>
        </w:rPr>
        <w:t xml:space="preserve">, </w:t>
      </w:r>
      <w:r w:rsidR="00037E6B" w:rsidRPr="006E75D2">
        <w:rPr>
          <w:sz w:val="24"/>
          <w:szCs w:val="24"/>
          <w:lang w:val="sr-Cyrl-RS"/>
        </w:rPr>
        <w:t xml:space="preserve">Републички завод за статистику, </w:t>
      </w:r>
      <w:r w:rsidR="00037E6B" w:rsidRPr="00CF71FB">
        <w:rPr>
          <w:sz w:val="24"/>
          <w:szCs w:val="24"/>
          <w:lang w:val="sr-Cyrl-CS"/>
        </w:rPr>
        <w:t>Генерални секретаријат</w:t>
      </w:r>
      <w:r w:rsidR="00037E6B" w:rsidRPr="006E75D2">
        <w:rPr>
          <w:sz w:val="24"/>
          <w:szCs w:val="24"/>
          <w:lang w:val="sr-Cyrl-CS"/>
        </w:rPr>
        <w:t xml:space="preserve"> Народне скупштине, </w:t>
      </w:r>
      <w:r w:rsidR="00043106" w:rsidRPr="00043106">
        <w:rPr>
          <w:sz w:val="24"/>
          <w:szCs w:val="24"/>
          <w:lang w:val="sr-Cyrl-CS"/>
        </w:rPr>
        <w:t>Служба за управљање кадровима</w:t>
      </w:r>
      <w:r w:rsidR="00043106">
        <w:rPr>
          <w:sz w:val="24"/>
          <w:szCs w:val="24"/>
          <w:lang w:val="sr-Cyrl-CS"/>
        </w:rPr>
        <w:t xml:space="preserve"> Владе Републике Србије</w:t>
      </w:r>
      <w:r w:rsidR="00043106" w:rsidRPr="00043106">
        <w:rPr>
          <w:sz w:val="24"/>
          <w:szCs w:val="24"/>
          <w:lang w:val="sr-Cyrl-CS"/>
        </w:rPr>
        <w:t>,</w:t>
      </w:r>
      <w:r w:rsidR="00043106">
        <w:rPr>
          <w:sz w:val="24"/>
          <w:szCs w:val="24"/>
          <w:lang w:val="sr-Cyrl-CS"/>
        </w:rPr>
        <w:t xml:space="preserve"> </w:t>
      </w:r>
      <w:r w:rsidR="00043106" w:rsidRPr="00043106">
        <w:rPr>
          <w:sz w:val="24"/>
          <w:szCs w:val="24"/>
          <w:lang w:val="sr-Cyrl-CS"/>
        </w:rPr>
        <w:t>Централни регистар обавезног социјалног осигурања</w:t>
      </w:r>
      <w:r w:rsidR="00043106">
        <w:rPr>
          <w:sz w:val="24"/>
          <w:szCs w:val="24"/>
          <w:lang w:val="sr-Cyrl-CS"/>
        </w:rPr>
        <w:t>,</w:t>
      </w:r>
      <w:r w:rsidR="00043106" w:rsidRPr="00043106">
        <w:rPr>
          <w:sz w:val="24"/>
          <w:szCs w:val="24"/>
          <w:lang w:val="sr-Cyrl-CS"/>
        </w:rPr>
        <w:t xml:space="preserve"> </w:t>
      </w:r>
      <w:r w:rsidR="00287313" w:rsidRPr="00287313">
        <w:rPr>
          <w:sz w:val="24"/>
          <w:szCs w:val="24"/>
          <w:lang w:val="sr-Cyrl-CS"/>
        </w:rPr>
        <w:t xml:space="preserve">Национална служба за запошљавање, </w:t>
      </w:r>
      <w:r w:rsidR="00043106">
        <w:rPr>
          <w:sz w:val="24"/>
          <w:szCs w:val="24"/>
          <w:lang w:val="sr-Cyrl-CS"/>
        </w:rPr>
        <w:t xml:space="preserve">као и органи и организације АП Војводине: </w:t>
      </w:r>
      <w:r w:rsidR="00037E6B" w:rsidRPr="006E75D2">
        <w:rPr>
          <w:sz w:val="24"/>
          <w:szCs w:val="24"/>
          <w:lang w:val="sr-Cyrl-CS"/>
        </w:rPr>
        <w:t>Служба Скупштине АП Војводине, Покрајински секретаријат за културу, јавно информисање и односе с верским заједницама</w:t>
      </w:r>
      <w:r>
        <w:rPr>
          <w:sz w:val="24"/>
          <w:szCs w:val="24"/>
          <w:lang w:val="sr-Cyrl-CS"/>
        </w:rPr>
        <w:t>,</w:t>
      </w:r>
      <w:r w:rsidR="00037E6B" w:rsidRPr="006E75D2">
        <w:rPr>
          <w:sz w:val="24"/>
          <w:szCs w:val="24"/>
          <w:lang w:val="sr-Cyrl-CS"/>
        </w:rPr>
        <w:t xml:space="preserve"> Покрајински секретаријат за образовање, прописе, управу и националне мањине – националне заједнице</w:t>
      </w:r>
      <w:r w:rsidR="00CF71FB">
        <w:rPr>
          <w:sz w:val="24"/>
          <w:szCs w:val="24"/>
          <w:lang w:val="sr-Cyrl-CS"/>
        </w:rPr>
        <w:t xml:space="preserve"> и</w:t>
      </w:r>
      <w:r w:rsidR="00CF71FB" w:rsidRPr="00CF71FB">
        <w:t xml:space="preserve"> </w:t>
      </w:r>
      <w:r w:rsidR="00CF71FB" w:rsidRPr="00CF71FB">
        <w:rPr>
          <w:sz w:val="24"/>
          <w:szCs w:val="24"/>
          <w:lang w:val="sr-Cyrl-CS"/>
        </w:rPr>
        <w:t>Покрајински секретаријат за социјалну политику, демографију и равноправност полова</w:t>
      </w:r>
      <w:r w:rsidR="00037E6B" w:rsidRPr="006E75D2">
        <w:rPr>
          <w:sz w:val="24"/>
          <w:szCs w:val="24"/>
          <w:lang w:val="sr-Cyrl-CS"/>
        </w:rPr>
        <w:t>.</w:t>
      </w:r>
    </w:p>
    <w:p w:rsidR="00CF71FB" w:rsidRDefault="00037E6B" w:rsidP="00037E6B">
      <w:pPr>
        <w:spacing w:after="0"/>
        <w:ind w:firstLine="720"/>
        <w:jc w:val="both"/>
        <w:rPr>
          <w:sz w:val="24"/>
          <w:szCs w:val="24"/>
          <w:lang w:val="sr-Cyrl-RS"/>
        </w:rPr>
      </w:pPr>
      <w:r w:rsidRPr="006E75D2">
        <w:rPr>
          <w:sz w:val="24"/>
          <w:szCs w:val="24"/>
          <w:lang w:val="sr-Cyrl-RS"/>
        </w:rPr>
        <w:t xml:space="preserve">Свој допринос изради </w:t>
      </w:r>
      <w:r w:rsidR="00CF71FB">
        <w:rPr>
          <w:sz w:val="24"/>
          <w:szCs w:val="24"/>
          <w:lang w:val="sr-Cyrl-RS"/>
        </w:rPr>
        <w:t>Пет</w:t>
      </w:r>
      <w:r w:rsidRPr="006E75D2">
        <w:rPr>
          <w:sz w:val="24"/>
          <w:szCs w:val="24"/>
          <w:lang w:val="sr-Cyrl-RS"/>
        </w:rPr>
        <w:t xml:space="preserve">ог извештаја о спровођењу Оквирне конвенције дали су и </w:t>
      </w:r>
      <w:r w:rsidR="00043106">
        <w:rPr>
          <w:sz w:val="24"/>
          <w:szCs w:val="24"/>
          <w:lang w:val="sr-Cyrl-RS"/>
        </w:rPr>
        <w:t xml:space="preserve">независни државни органи и организације: </w:t>
      </w:r>
      <w:r w:rsidRPr="006E75D2">
        <w:rPr>
          <w:sz w:val="24"/>
          <w:szCs w:val="24"/>
          <w:lang w:val="sr-Cyrl-RS"/>
        </w:rPr>
        <w:t xml:space="preserve">Заштитник грађана, Повереник за заштиту равноправности, Регулаторно тело за електронске медије, </w:t>
      </w:r>
      <w:r w:rsidR="00CF71FB" w:rsidRPr="00287313">
        <w:rPr>
          <w:sz w:val="24"/>
          <w:szCs w:val="24"/>
          <w:lang w:val="sr-Cyrl-RS"/>
        </w:rPr>
        <w:t>Привредна комора Србије</w:t>
      </w:r>
      <w:r w:rsidR="00AD5BFF">
        <w:rPr>
          <w:sz w:val="24"/>
          <w:szCs w:val="24"/>
          <w:lang w:val="sr-Cyrl-RS"/>
        </w:rPr>
        <w:t xml:space="preserve"> и</w:t>
      </w:r>
      <w:r w:rsidR="00CF71FB" w:rsidRPr="00E84A7A">
        <w:rPr>
          <w:sz w:val="24"/>
          <w:szCs w:val="24"/>
          <w:lang w:val="sr-Cyrl-RS"/>
        </w:rPr>
        <w:t xml:space="preserve"> Развојна агенција Србије.</w:t>
      </w:r>
    </w:p>
    <w:p w:rsidR="00037E6B" w:rsidRPr="006E75D2" w:rsidRDefault="00037E6B" w:rsidP="00037E6B">
      <w:pPr>
        <w:spacing w:after="0"/>
        <w:ind w:firstLine="720"/>
        <w:jc w:val="both"/>
        <w:rPr>
          <w:sz w:val="24"/>
          <w:szCs w:val="24"/>
          <w:lang w:val="sr-Cyrl-RS"/>
        </w:rPr>
      </w:pPr>
      <w:r w:rsidRPr="006E75D2">
        <w:rPr>
          <w:sz w:val="24"/>
          <w:szCs w:val="24"/>
          <w:lang w:val="sr-Cyrl-RS"/>
        </w:rPr>
        <w:t xml:space="preserve">Подаци о износима финансијске подршке јавне власти на свим нивоима који су коришћени у табелама овог извештаја изражени су у динарима, осим ако другачије није назначено. </w:t>
      </w:r>
    </w:p>
    <w:p w:rsidR="00037E6B" w:rsidRPr="006E75D2" w:rsidRDefault="00037E6B" w:rsidP="00037E6B">
      <w:pPr>
        <w:spacing w:after="0"/>
        <w:ind w:firstLine="720"/>
        <w:jc w:val="both"/>
        <w:rPr>
          <w:sz w:val="24"/>
          <w:szCs w:val="24"/>
          <w:lang w:val="sr-Cyrl-RS"/>
        </w:rPr>
      </w:pPr>
      <w:r w:rsidRPr="006E75D2">
        <w:rPr>
          <w:sz w:val="24"/>
          <w:szCs w:val="24"/>
          <w:lang w:val="sr-Cyrl-RS"/>
        </w:rPr>
        <w:t>Сви појмови у овом извештају употребљени у граматичком мушком роду, обухватају мушки и женски род лица на која се односе.</w:t>
      </w:r>
    </w:p>
    <w:p w:rsidR="00037E6B" w:rsidRPr="006E75D2" w:rsidRDefault="00037E6B" w:rsidP="00037E6B">
      <w:pPr>
        <w:spacing w:after="0"/>
        <w:rPr>
          <w:b/>
          <w:sz w:val="24"/>
          <w:szCs w:val="24"/>
          <w:lang w:val="sr-Cyrl-RS"/>
        </w:rPr>
      </w:pPr>
    </w:p>
    <w:p w:rsidR="00037E6B" w:rsidRPr="005D5321" w:rsidRDefault="00037E6B" w:rsidP="006904C2">
      <w:pPr>
        <w:pStyle w:val="Heading1"/>
        <w:rPr>
          <w:lang w:val="sr-Cyrl-RS"/>
        </w:rPr>
      </w:pPr>
      <w:r w:rsidRPr="006E75D2">
        <w:br w:type="page"/>
      </w:r>
      <w:bookmarkStart w:id="2" w:name="_Toc524610213"/>
      <w:bookmarkStart w:id="3" w:name="_Toc111191320"/>
      <w:r w:rsidRPr="006E75D2">
        <w:lastRenderedPageBreak/>
        <w:t xml:space="preserve">II. </w:t>
      </w:r>
      <w:bookmarkEnd w:id="2"/>
      <w:r w:rsidR="006904C2" w:rsidRPr="006904C2">
        <w:t xml:space="preserve">Практични аранжмани направљени на националном нивоу за подизање свести о резултатима четвртог циклуса праћења и </w:t>
      </w:r>
      <w:r w:rsidR="005D5321">
        <w:rPr>
          <w:lang w:val="sr-Cyrl-RS"/>
        </w:rPr>
        <w:t xml:space="preserve">о </w:t>
      </w:r>
      <w:r w:rsidR="006904C2" w:rsidRPr="006904C2">
        <w:t>Оквирн</w:t>
      </w:r>
      <w:r w:rsidR="005D5321">
        <w:rPr>
          <w:lang w:val="sr-Cyrl-RS"/>
        </w:rPr>
        <w:t>ој</w:t>
      </w:r>
      <w:r w:rsidR="006904C2" w:rsidRPr="006904C2">
        <w:t xml:space="preserve"> конвенциј</w:t>
      </w:r>
      <w:r w:rsidR="005D5321">
        <w:rPr>
          <w:lang w:val="sr-Cyrl-RS"/>
        </w:rPr>
        <w:t>и</w:t>
      </w:r>
      <w:bookmarkEnd w:id="3"/>
    </w:p>
    <w:p w:rsidR="006904C2" w:rsidRPr="006904C2" w:rsidRDefault="006904C2" w:rsidP="00775DEF">
      <w:pPr>
        <w:spacing w:after="0"/>
        <w:rPr>
          <w:lang w:val="sr-Cyrl-CS"/>
        </w:rPr>
      </w:pPr>
    </w:p>
    <w:p w:rsidR="00037E6B" w:rsidRPr="006E75D2" w:rsidRDefault="00CF71FB" w:rsidP="00775DEF">
      <w:pPr>
        <w:pStyle w:val="BodyText3"/>
        <w:numPr>
          <w:ilvl w:val="2"/>
          <w:numId w:val="1"/>
        </w:numPr>
        <w:shd w:val="clear" w:color="auto" w:fill="auto"/>
        <w:tabs>
          <w:tab w:val="left" w:pos="750"/>
        </w:tabs>
        <w:spacing w:before="0" w:after="0" w:line="276" w:lineRule="auto"/>
        <w:ind w:left="740" w:right="20"/>
        <w:jc w:val="both"/>
        <w:rPr>
          <w:sz w:val="24"/>
          <w:szCs w:val="24"/>
          <w:lang w:val="sr-Cyrl-RS"/>
        </w:rPr>
      </w:pPr>
      <w:r w:rsidRPr="00CF71FB">
        <w:rPr>
          <w:i/>
          <w:sz w:val="24"/>
          <w:szCs w:val="24"/>
          <w:lang w:val="sr-Cyrl-RS"/>
        </w:rPr>
        <w:t>Кораци предузети за објављивање резултата четвртог циклуса праћења (Мишљење, коментари државе, Резолуција): објављивање, дистрибуција и превод на службени(е) језик(е) и језик(е) мањина где је то потребно</w:t>
      </w:r>
      <w:r>
        <w:rPr>
          <w:i/>
          <w:sz w:val="24"/>
          <w:szCs w:val="24"/>
          <w:lang w:val="sr-Cyrl-RS"/>
        </w:rPr>
        <w:t>.</w:t>
      </w:r>
    </w:p>
    <w:p w:rsidR="00037E6B" w:rsidRPr="006E75D2" w:rsidRDefault="00037E6B" w:rsidP="00037E6B">
      <w:pPr>
        <w:spacing w:after="0"/>
        <w:rPr>
          <w:sz w:val="24"/>
          <w:szCs w:val="24"/>
          <w:lang w:val="sr-Cyrl-RS"/>
        </w:rPr>
      </w:pPr>
    </w:p>
    <w:p w:rsidR="00037E6B" w:rsidRPr="006E75D2" w:rsidRDefault="00037E6B" w:rsidP="00037E6B">
      <w:pPr>
        <w:spacing w:after="0"/>
        <w:ind w:firstLine="720"/>
        <w:jc w:val="both"/>
        <w:rPr>
          <w:sz w:val="24"/>
          <w:szCs w:val="24"/>
          <w:lang w:val="sr-Cyrl-RS"/>
        </w:rPr>
      </w:pPr>
      <w:r w:rsidRPr="006E75D2">
        <w:rPr>
          <w:sz w:val="24"/>
          <w:szCs w:val="24"/>
          <w:lang w:val="sr-Cyrl-RS"/>
        </w:rPr>
        <w:t>Израда државних извештаја о спровођењу Оквирне конвенције, који су основа мониторинга, као и одговора на додатна питања Саветодавног комитета и коментара на мишљења Саветодавног комитета у потпуности су засновани на начелу транспарентности. Такво опредељење изражено је кроз објављивање свих документа у вези са спровођењем Оквирне конвенције.</w:t>
      </w:r>
    </w:p>
    <w:p w:rsidR="00037E6B" w:rsidRPr="006E75D2" w:rsidRDefault="00CF71FB" w:rsidP="00037E6B">
      <w:pPr>
        <w:spacing w:after="0"/>
        <w:ind w:firstLine="720"/>
        <w:jc w:val="both"/>
        <w:rPr>
          <w:sz w:val="24"/>
          <w:szCs w:val="24"/>
          <w:lang w:val="sr-Cyrl-RS"/>
        </w:rPr>
      </w:pPr>
      <w:r>
        <w:rPr>
          <w:sz w:val="24"/>
          <w:szCs w:val="24"/>
          <w:lang w:val="sr-Cyrl-RS"/>
        </w:rPr>
        <w:t>Четврти</w:t>
      </w:r>
      <w:r w:rsidR="00037E6B" w:rsidRPr="006E75D2">
        <w:rPr>
          <w:sz w:val="24"/>
          <w:szCs w:val="24"/>
          <w:lang w:val="sr-Cyrl-RS"/>
        </w:rPr>
        <w:t xml:space="preserve"> извештај о спровођењу Оквирне конвенције објављен је на сајту </w:t>
      </w:r>
      <w:r>
        <w:rPr>
          <w:sz w:val="24"/>
          <w:szCs w:val="24"/>
          <w:lang w:val="sr-Cyrl-RS"/>
        </w:rPr>
        <w:t>Министарства</w:t>
      </w:r>
      <w:r w:rsidR="00037E6B" w:rsidRPr="006E75D2">
        <w:rPr>
          <w:sz w:val="24"/>
          <w:szCs w:val="24"/>
          <w:lang w:val="sr-Cyrl-RS"/>
        </w:rPr>
        <w:t xml:space="preserve"> за људска и мањинска права </w:t>
      </w:r>
      <w:r>
        <w:rPr>
          <w:sz w:val="24"/>
          <w:szCs w:val="24"/>
          <w:lang w:val="sr-Cyrl-RS"/>
        </w:rPr>
        <w:t xml:space="preserve">и друштвени дијалог </w:t>
      </w:r>
      <w:r w:rsidR="00037E6B" w:rsidRPr="006E75D2">
        <w:rPr>
          <w:sz w:val="24"/>
          <w:szCs w:val="24"/>
          <w:lang w:val="sr-Cyrl-RS"/>
        </w:rPr>
        <w:t xml:space="preserve">и доступан је јавности на веб адреси: </w:t>
      </w:r>
      <w:hyperlink r:id="rId9" w:history="1">
        <w:r w:rsidRPr="00BF269A">
          <w:rPr>
            <w:rStyle w:val="Hyperlink"/>
            <w:sz w:val="24"/>
            <w:szCs w:val="24"/>
            <w:lang w:val="sr-Cyrl-RS"/>
          </w:rPr>
          <w:t>https://www.minljmpdd.gov.rs/multilateralni-ugovori.php</w:t>
        </w:r>
      </w:hyperlink>
      <w:r w:rsidR="00037E6B" w:rsidRPr="006E75D2">
        <w:rPr>
          <w:sz w:val="24"/>
          <w:szCs w:val="24"/>
          <w:lang w:val="sr-Cyrl-RS"/>
        </w:rPr>
        <w:t xml:space="preserve">. На истом сајту објављени су и резултати </w:t>
      </w:r>
      <w:r>
        <w:rPr>
          <w:sz w:val="24"/>
          <w:szCs w:val="24"/>
          <w:lang w:val="sr-Cyrl-RS"/>
        </w:rPr>
        <w:t>четврто</w:t>
      </w:r>
      <w:r w:rsidR="00037E6B" w:rsidRPr="006E75D2">
        <w:rPr>
          <w:sz w:val="24"/>
          <w:szCs w:val="24"/>
          <w:lang w:val="sr-Cyrl-RS"/>
        </w:rPr>
        <w:t xml:space="preserve">г циклуса мониторинга: </w:t>
      </w:r>
      <w:r>
        <w:rPr>
          <w:sz w:val="24"/>
          <w:szCs w:val="24"/>
          <w:lang w:val="sr-Cyrl-RS"/>
        </w:rPr>
        <w:t>Четврто</w:t>
      </w:r>
      <w:r w:rsidR="00037E6B" w:rsidRPr="006E75D2">
        <w:rPr>
          <w:sz w:val="24"/>
          <w:szCs w:val="24"/>
          <w:lang w:val="sr-Cyrl-RS"/>
        </w:rPr>
        <w:t xml:space="preserve"> мишљење Саветодавног комитета, Коментари Републике Србије на то мишљење и Резолуција Комитета министара Савет</w:t>
      </w:r>
      <w:r w:rsidR="00E73C1F">
        <w:rPr>
          <w:sz w:val="24"/>
          <w:szCs w:val="24"/>
          <w:lang w:val="sr-Cyrl-RS"/>
        </w:rPr>
        <w:t>а</w:t>
      </w:r>
      <w:r w:rsidR="00037E6B" w:rsidRPr="006E75D2">
        <w:rPr>
          <w:sz w:val="24"/>
          <w:szCs w:val="24"/>
          <w:lang w:val="sr-Cyrl-RS"/>
        </w:rPr>
        <w:t xml:space="preserve"> Европе о примени Оквирне конвенције у Републици Србији. Налази Саветодавног комитета и Резолуција Комитета минист</w:t>
      </w:r>
      <w:r w:rsidR="00E73C1F">
        <w:rPr>
          <w:sz w:val="24"/>
          <w:szCs w:val="24"/>
          <w:lang w:val="sr-Cyrl-RS"/>
        </w:rPr>
        <w:t>а</w:t>
      </w:r>
      <w:r w:rsidR="00037E6B" w:rsidRPr="006E75D2">
        <w:rPr>
          <w:sz w:val="24"/>
          <w:szCs w:val="24"/>
          <w:lang w:val="sr-Cyrl-RS"/>
        </w:rPr>
        <w:t>ра преведени су на српски језик.</w:t>
      </w:r>
    </w:p>
    <w:p w:rsidR="00037E6B" w:rsidRPr="006E75D2" w:rsidRDefault="001C1864" w:rsidP="001C1864">
      <w:pPr>
        <w:spacing w:after="0"/>
        <w:ind w:firstLine="720"/>
        <w:jc w:val="both"/>
        <w:rPr>
          <w:sz w:val="24"/>
          <w:szCs w:val="24"/>
          <w:lang w:val="sr-Cyrl-RS"/>
        </w:rPr>
      </w:pPr>
      <w:r>
        <w:rPr>
          <w:sz w:val="24"/>
          <w:szCs w:val="24"/>
          <w:lang w:val="sr-Cyrl-RS"/>
        </w:rPr>
        <w:t>На сајту су, на српском и енглеском језику, доступни и сви документи из претходних извештајних циклуса, као и</w:t>
      </w:r>
      <w:r w:rsidR="00037E6B" w:rsidRPr="006E75D2">
        <w:rPr>
          <w:sz w:val="24"/>
          <w:szCs w:val="24"/>
          <w:lang w:val="sr-Cyrl-RS"/>
        </w:rPr>
        <w:t xml:space="preserve"> тематски коментари Саветодавног комитета Оквирне конвенције</w:t>
      </w:r>
      <w:r w:rsidR="009A32E7">
        <w:rPr>
          <w:sz w:val="24"/>
          <w:szCs w:val="24"/>
          <w:lang w:val="sr-Cyrl-RS"/>
        </w:rPr>
        <w:t>,</w:t>
      </w:r>
      <w:r>
        <w:rPr>
          <w:sz w:val="24"/>
          <w:szCs w:val="24"/>
          <w:lang w:val="sr-Cyrl-RS"/>
        </w:rPr>
        <w:t xml:space="preserve"> преведени на српски језик</w:t>
      </w:r>
      <w:r w:rsidR="00037E6B" w:rsidRPr="006E75D2">
        <w:rPr>
          <w:sz w:val="24"/>
          <w:szCs w:val="24"/>
          <w:lang w:val="sr-Cyrl-RS"/>
        </w:rPr>
        <w:t>.</w:t>
      </w:r>
    </w:p>
    <w:p w:rsidR="00037E6B" w:rsidRPr="006E75D2" w:rsidRDefault="00037E6B" w:rsidP="00037E6B">
      <w:pPr>
        <w:spacing w:after="0"/>
        <w:jc w:val="both"/>
        <w:rPr>
          <w:sz w:val="24"/>
          <w:szCs w:val="24"/>
          <w:lang w:val="sr-Cyrl-RS"/>
        </w:rPr>
      </w:pPr>
    </w:p>
    <w:p w:rsidR="00037E6B" w:rsidRPr="0087750A" w:rsidRDefault="00CC7D3C" w:rsidP="00CC7D3C">
      <w:pPr>
        <w:pStyle w:val="BodyText3"/>
        <w:numPr>
          <w:ilvl w:val="2"/>
          <w:numId w:val="1"/>
        </w:numPr>
        <w:shd w:val="clear" w:color="auto" w:fill="auto"/>
        <w:tabs>
          <w:tab w:val="left" w:pos="745"/>
        </w:tabs>
        <w:spacing w:before="0" w:after="0" w:line="276" w:lineRule="auto"/>
        <w:ind w:left="740" w:right="20"/>
        <w:jc w:val="both"/>
        <w:rPr>
          <w:i/>
          <w:sz w:val="24"/>
          <w:szCs w:val="24"/>
          <w:lang w:val="sr-Cyrl-RS"/>
        </w:rPr>
      </w:pPr>
      <w:r w:rsidRPr="0087750A">
        <w:rPr>
          <w:i/>
          <w:sz w:val="24"/>
          <w:szCs w:val="24"/>
          <w:lang w:val="sr-Cyrl-RS"/>
        </w:rPr>
        <w:t>Све пратеће активности организоване на националном, регионалном и локалном нивоу, укључујући активности организоване заједно са Саветом Европе, као што су дискусије, семинари, евалуације, процене утицаја, студије итд., као и резултати ових догађаја.</w:t>
      </w:r>
    </w:p>
    <w:p w:rsidR="00037E6B" w:rsidRPr="006E75D2" w:rsidRDefault="00037E6B" w:rsidP="00037E6B">
      <w:pPr>
        <w:pStyle w:val="BodyText3"/>
        <w:shd w:val="clear" w:color="auto" w:fill="auto"/>
        <w:tabs>
          <w:tab w:val="left" w:pos="745"/>
        </w:tabs>
        <w:spacing w:before="0" w:after="0" w:line="276" w:lineRule="auto"/>
        <w:ind w:left="740" w:right="20" w:firstLine="0"/>
        <w:jc w:val="both"/>
        <w:rPr>
          <w:i/>
          <w:sz w:val="24"/>
          <w:szCs w:val="24"/>
        </w:rPr>
      </w:pPr>
    </w:p>
    <w:p w:rsidR="00785071" w:rsidRPr="00785071" w:rsidRDefault="00785071" w:rsidP="00CE3E81">
      <w:pPr>
        <w:spacing w:after="0"/>
        <w:ind w:firstLine="720"/>
        <w:jc w:val="both"/>
        <w:rPr>
          <w:sz w:val="24"/>
          <w:szCs w:val="24"/>
          <w:lang w:val="sr-Cyrl-RS"/>
        </w:rPr>
      </w:pPr>
      <w:r w:rsidRPr="00785071">
        <w:rPr>
          <w:sz w:val="24"/>
          <w:szCs w:val="24"/>
          <w:lang w:val="sr-Cyrl-RS"/>
        </w:rPr>
        <w:t xml:space="preserve">Follow-up </w:t>
      </w:r>
      <w:r>
        <w:rPr>
          <w:sz w:val="24"/>
          <w:szCs w:val="24"/>
          <w:lang w:val="sr-Cyrl-RS"/>
        </w:rPr>
        <w:t>с</w:t>
      </w:r>
      <w:r w:rsidRPr="00785071">
        <w:rPr>
          <w:sz w:val="24"/>
          <w:szCs w:val="24"/>
          <w:lang w:val="sr-Cyrl-RS"/>
        </w:rPr>
        <w:t>еминар о примени Оквирне конвенције за заштиту националних мањина Савета Европе одржан је 16. јуна 2021. године у Београду. Семинар је одржан у инклузивном процесу, а поред представника Саветодавног комитета Оквирне конвенције и релевантних државних органа, присуствовали су и представници националних савета националних мањина и</w:t>
      </w:r>
      <w:r w:rsidR="00CE3E81">
        <w:rPr>
          <w:sz w:val="24"/>
          <w:szCs w:val="24"/>
          <w:lang w:val="sr-Cyrl-RS"/>
        </w:rPr>
        <w:t xml:space="preserve"> организација цивилног друштва. </w:t>
      </w:r>
      <w:r w:rsidRPr="00785071">
        <w:rPr>
          <w:sz w:val="24"/>
          <w:szCs w:val="24"/>
          <w:lang w:val="sr-Cyrl-RS"/>
        </w:rPr>
        <w:t xml:space="preserve">Циљ семинара је био да пружи платформу за дијалог између Саветодавног комитета и релевантних заинтересованих страна у Републици Србији, како би се размотриле препоруке и утврдили најефикаснији начини њихове практичне примене. </w:t>
      </w:r>
      <w:r w:rsidR="007E5DAE">
        <w:rPr>
          <w:sz w:val="24"/>
          <w:szCs w:val="24"/>
          <w:lang w:val="sr-Cyrl-RS"/>
        </w:rPr>
        <w:t>У склопу семинара, свим учесницима су дистрибуирани одговарајући материјали.</w:t>
      </w:r>
      <w:r w:rsidRPr="00785071">
        <w:rPr>
          <w:sz w:val="24"/>
          <w:szCs w:val="24"/>
          <w:lang w:val="sr-Cyrl-RS"/>
        </w:rPr>
        <w:t xml:space="preserve"> </w:t>
      </w:r>
    </w:p>
    <w:p w:rsidR="00785071" w:rsidRPr="00785071" w:rsidRDefault="00785071" w:rsidP="00785071">
      <w:pPr>
        <w:spacing w:after="0"/>
        <w:ind w:firstLine="720"/>
        <w:jc w:val="both"/>
        <w:rPr>
          <w:sz w:val="24"/>
          <w:szCs w:val="24"/>
          <w:lang w:val="sr-Cyrl-RS"/>
        </w:rPr>
      </w:pPr>
      <w:r w:rsidRPr="00785071">
        <w:rPr>
          <w:sz w:val="24"/>
          <w:szCs w:val="24"/>
          <w:lang w:val="sr-Cyrl-RS"/>
        </w:rPr>
        <w:t>Председниц</w:t>
      </w:r>
      <w:r>
        <w:rPr>
          <w:sz w:val="24"/>
          <w:szCs w:val="24"/>
          <w:lang w:val="sr-Cyrl-RS"/>
        </w:rPr>
        <w:t>и</w:t>
      </w:r>
      <w:r w:rsidRPr="00785071">
        <w:rPr>
          <w:sz w:val="24"/>
          <w:szCs w:val="24"/>
          <w:lang w:val="sr-Cyrl-RS"/>
        </w:rPr>
        <w:t xml:space="preserve"> Саветодавног комитета Оквирне конвенције</w:t>
      </w:r>
      <w:r w:rsidR="00CE3E81">
        <w:rPr>
          <w:sz w:val="24"/>
          <w:szCs w:val="24"/>
          <w:lang w:val="sr-Cyrl-RS"/>
        </w:rPr>
        <w:t xml:space="preserve"> су </w:t>
      </w:r>
      <w:r w:rsidR="00CE3E81" w:rsidRPr="00CE3E81">
        <w:rPr>
          <w:sz w:val="24"/>
          <w:szCs w:val="24"/>
          <w:lang w:val="sr-Cyrl-RS"/>
        </w:rPr>
        <w:t>представил</w:t>
      </w:r>
      <w:r w:rsidR="00CE3E81">
        <w:rPr>
          <w:sz w:val="24"/>
          <w:szCs w:val="24"/>
          <w:lang w:val="sr-Cyrl-RS"/>
        </w:rPr>
        <w:t>и</w:t>
      </w:r>
      <w:r w:rsidR="00CE3E81" w:rsidRPr="00CE3E81">
        <w:rPr>
          <w:sz w:val="24"/>
          <w:szCs w:val="24"/>
          <w:lang w:val="sr-Cyrl-RS"/>
        </w:rPr>
        <w:t xml:space="preserve"> препоруке </w:t>
      </w:r>
      <w:r w:rsidR="00CE3E81">
        <w:rPr>
          <w:sz w:val="24"/>
          <w:szCs w:val="24"/>
          <w:lang w:val="sr-Cyrl-RS"/>
        </w:rPr>
        <w:t xml:space="preserve">из четвртог циклуса мониторинга </w:t>
      </w:r>
      <w:r w:rsidR="00CE3E81" w:rsidRPr="00CE3E81">
        <w:rPr>
          <w:sz w:val="24"/>
          <w:szCs w:val="24"/>
          <w:lang w:val="sr-Cyrl-RS"/>
        </w:rPr>
        <w:t xml:space="preserve">које је Савет Европе упутио Србији у вези са применом </w:t>
      </w:r>
      <w:r w:rsidR="00CE3E81">
        <w:rPr>
          <w:sz w:val="24"/>
          <w:szCs w:val="24"/>
          <w:lang w:val="sr-Cyrl-RS"/>
        </w:rPr>
        <w:t>Оквирне к</w:t>
      </w:r>
      <w:r w:rsidR="00CE3E81" w:rsidRPr="00CE3E81">
        <w:rPr>
          <w:sz w:val="24"/>
          <w:szCs w:val="24"/>
          <w:lang w:val="sr-Cyrl-RS"/>
        </w:rPr>
        <w:t>онвенције</w:t>
      </w:r>
      <w:r w:rsidR="00CE3E81">
        <w:rPr>
          <w:sz w:val="24"/>
          <w:szCs w:val="24"/>
          <w:lang w:val="sr-Cyrl-RS"/>
        </w:rPr>
        <w:t xml:space="preserve">, док су </w:t>
      </w:r>
      <w:r w:rsidRPr="00785071">
        <w:rPr>
          <w:sz w:val="24"/>
          <w:szCs w:val="24"/>
          <w:lang w:val="sr-Cyrl-RS"/>
        </w:rPr>
        <w:t>представни</w:t>
      </w:r>
      <w:r w:rsidR="00CE3E81">
        <w:rPr>
          <w:sz w:val="24"/>
          <w:szCs w:val="24"/>
          <w:lang w:val="sr-Cyrl-RS"/>
        </w:rPr>
        <w:t>ци</w:t>
      </w:r>
      <w:r w:rsidRPr="00785071">
        <w:rPr>
          <w:sz w:val="24"/>
          <w:szCs w:val="24"/>
          <w:lang w:val="sr-Cyrl-RS"/>
        </w:rPr>
        <w:t xml:space="preserve"> релевантних државних органа </w:t>
      </w:r>
      <w:r w:rsidR="00CE3E81">
        <w:rPr>
          <w:sz w:val="24"/>
          <w:szCs w:val="24"/>
          <w:lang w:val="sr-Cyrl-RS"/>
        </w:rPr>
        <w:t>представили</w:t>
      </w:r>
      <w:r w:rsidRPr="00785071">
        <w:rPr>
          <w:sz w:val="24"/>
          <w:szCs w:val="24"/>
          <w:lang w:val="sr-Cyrl-RS"/>
        </w:rPr>
        <w:t xml:space="preserve"> активности </w:t>
      </w:r>
      <w:r w:rsidR="00CE3E81">
        <w:rPr>
          <w:sz w:val="24"/>
          <w:szCs w:val="24"/>
          <w:lang w:val="sr-Cyrl-RS"/>
        </w:rPr>
        <w:t xml:space="preserve">које су предузете </w:t>
      </w:r>
      <w:r w:rsidRPr="00785071">
        <w:rPr>
          <w:sz w:val="24"/>
          <w:szCs w:val="24"/>
          <w:lang w:val="sr-Cyrl-RS"/>
        </w:rPr>
        <w:t>у циљу испуњавања препорука.</w:t>
      </w:r>
    </w:p>
    <w:p w:rsidR="00785071" w:rsidRPr="00785071" w:rsidRDefault="00785071" w:rsidP="00785071">
      <w:pPr>
        <w:spacing w:after="0"/>
        <w:ind w:firstLine="720"/>
        <w:jc w:val="both"/>
        <w:rPr>
          <w:sz w:val="24"/>
          <w:szCs w:val="24"/>
          <w:lang w:val="sr-Cyrl-RS"/>
        </w:rPr>
      </w:pPr>
      <w:r w:rsidRPr="00785071">
        <w:rPr>
          <w:sz w:val="24"/>
          <w:szCs w:val="24"/>
          <w:lang w:val="sr-Cyrl-RS"/>
        </w:rPr>
        <w:t xml:space="preserve">На семинару је </w:t>
      </w:r>
      <w:r w:rsidR="00835E1A">
        <w:rPr>
          <w:sz w:val="24"/>
          <w:szCs w:val="24"/>
          <w:lang w:val="sr-Cyrl-RS"/>
        </w:rPr>
        <w:t>закључено</w:t>
      </w:r>
      <w:r w:rsidRPr="00785071">
        <w:rPr>
          <w:sz w:val="24"/>
          <w:szCs w:val="24"/>
          <w:lang w:val="sr-Cyrl-RS"/>
        </w:rPr>
        <w:t xml:space="preserve"> да препоруке Саветодавног комитета</w:t>
      </w:r>
      <w:r w:rsidR="00CE3E81">
        <w:rPr>
          <w:sz w:val="24"/>
          <w:szCs w:val="24"/>
          <w:lang w:val="sr-Cyrl-RS"/>
        </w:rPr>
        <w:t xml:space="preserve"> за</w:t>
      </w:r>
      <w:r w:rsidRPr="00785071">
        <w:rPr>
          <w:sz w:val="24"/>
          <w:szCs w:val="24"/>
          <w:lang w:val="sr-Cyrl-RS"/>
        </w:rPr>
        <w:t xml:space="preserve"> Републи</w:t>
      </w:r>
      <w:r w:rsidR="00CE3E81">
        <w:rPr>
          <w:sz w:val="24"/>
          <w:szCs w:val="24"/>
          <w:lang w:val="sr-Cyrl-RS"/>
        </w:rPr>
        <w:t>ку Србију</w:t>
      </w:r>
      <w:r w:rsidRPr="00785071">
        <w:rPr>
          <w:sz w:val="24"/>
          <w:szCs w:val="24"/>
          <w:lang w:val="sr-Cyrl-RS"/>
        </w:rPr>
        <w:t xml:space="preserve"> представљају темељ за предузимање активности у унапређењу људских и </w:t>
      </w:r>
      <w:r w:rsidRPr="00785071">
        <w:rPr>
          <w:sz w:val="24"/>
          <w:szCs w:val="24"/>
          <w:lang w:val="sr-Cyrl-RS"/>
        </w:rPr>
        <w:lastRenderedPageBreak/>
        <w:t>мањинских права, али и у процесу приступања Европској унији, као и да Европска унија и Савет Европе остају посвећени партнери властима Републике Србије у овом процесу.</w:t>
      </w:r>
    </w:p>
    <w:p w:rsidR="00785071" w:rsidRDefault="00835E1A" w:rsidP="00785071">
      <w:pPr>
        <w:spacing w:after="0"/>
        <w:ind w:firstLine="720"/>
        <w:jc w:val="both"/>
        <w:rPr>
          <w:sz w:val="24"/>
          <w:szCs w:val="24"/>
          <w:lang w:val="sr-Cyrl-RS"/>
        </w:rPr>
      </w:pPr>
      <w:r>
        <w:rPr>
          <w:sz w:val="24"/>
          <w:szCs w:val="24"/>
          <w:lang w:val="sr-Cyrl-RS"/>
        </w:rPr>
        <w:t xml:space="preserve">У складу са закључцима са семинара, </w:t>
      </w:r>
      <w:r w:rsidR="00785071" w:rsidRPr="00785071">
        <w:rPr>
          <w:sz w:val="24"/>
          <w:szCs w:val="24"/>
          <w:lang w:val="sr-Cyrl-RS"/>
        </w:rPr>
        <w:t xml:space="preserve">Министарство за људска и мањинска права и друштвени дијалог </w:t>
      </w:r>
      <w:r>
        <w:rPr>
          <w:sz w:val="24"/>
          <w:szCs w:val="24"/>
          <w:lang w:val="sr-Cyrl-RS"/>
        </w:rPr>
        <w:t>је</w:t>
      </w:r>
      <w:r w:rsidR="00785071" w:rsidRPr="00785071">
        <w:rPr>
          <w:sz w:val="24"/>
          <w:szCs w:val="24"/>
          <w:lang w:val="sr-Cyrl-RS"/>
        </w:rPr>
        <w:t xml:space="preserve"> након прибављања података од надлежних органа </w:t>
      </w:r>
      <w:r>
        <w:rPr>
          <w:sz w:val="24"/>
          <w:szCs w:val="24"/>
          <w:lang w:val="sr-Cyrl-RS"/>
        </w:rPr>
        <w:t xml:space="preserve">званично </w:t>
      </w:r>
      <w:r w:rsidR="00785071" w:rsidRPr="00785071">
        <w:rPr>
          <w:sz w:val="24"/>
          <w:szCs w:val="24"/>
          <w:lang w:val="sr-Cyrl-RS"/>
        </w:rPr>
        <w:t>обавести</w:t>
      </w:r>
      <w:r>
        <w:rPr>
          <w:sz w:val="24"/>
          <w:szCs w:val="24"/>
          <w:lang w:val="sr-Cyrl-RS"/>
        </w:rPr>
        <w:t>ло</w:t>
      </w:r>
      <w:r w:rsidR="00785071" w:rsidRPr="00785071">
        <w:rPr>
          <w:sz w:val="24"/>
          <w:szCs w:val="24"/>
          <w:lang w:val="sr-Cyrl-RS"/>
        </w:rPr>
        <w:t xml:space="preserve"> Саветодавни комитет о активностима које су реализоване у циљу испуњавања препорука</w:t>
      </w:r>
      <w:r w:rsidR="00081712">
        <w:rPr>
          <w:sz w:val="24"/>
          <w:szCs w:val="24"/>
          <w:lang w:val="sr-Cyrl-RS"/>
        </w:rPr>
        <w:t>, о чему ће у одговарајућим деловима овог извештаја бити више речи</w:t>
      </w:r>
      <w:r w:rsidR="00785071" w:rsidRPr="00785071">
        <w:rPr>
          <w:sz w:val="24"/>
          <w:szCs w:val="24"/>
          <w:lang w:val="sr-Cyrl-RS"/>
        </w:rPr>
        <w:t>.</w:t>
      </w:r>
    </w:p>
    <w:p w:rsidR="009C1F27" w:rsidRDefault="00FB40BC" w:rsidP="009C1F27">
      <w:pPr>
        <w:spacing w:after="0"/>
        <w:ind w:firstLine="720"/>
        <w:jc w:val="both"/>
        <w:rPr>
          <w:sz w:val="24"/>
          <w:szCs w:val="24"/>
          <w:lang w:val="sr-Cyrl-RS"/>
        </w:rPr>
      </w:pPr>
      <w:r>
        <w:rPr>
          <w:sz w:val="24"/>
          <w:szCs w:val="24"/>
          <w:lang w:val="sr-Cyrl-RS"/>
        </w:rPr>
        <w:t xml:space="preserve">Осим наведеног, битно је истаћи да </w:t>
      </w:r>
      <w:r w:rsidR="00037E6B" w:rsidRPr="006E75D2">
        <w:rPr>
          <w:sz w:val="24"/>
          <w:szCs w:val="24"/>
          <w:lang w:val="sr-Cyrl-RS"/>
        </w:rPr>
        <w:t>Република Србија учеств</w:t>
      </w:r>
      <w:r w:rsidR="00835E1A">
        <w:rPr>
          <w:sz w:val="24"/>
          <w:szCs w:val="24"/>
          <w:lang w:val="sr-Cyrl-RS"/>
        </w:rPr>
        <w:t>ује</w:t>
      </w:r>
      <w:r w:rsidR="00037E6B" w:rsidRPr="006E75D2">
        <w:rPr>
          <w:sz w:val="24"/>
          <w:szCs w:val="24"/>
          <w:lang w:val="sr-Cyrl-RS"/>
        </w:rPr>
        <w:t xml:space="preserve"> у пројекту </w:t>
      </w:r>
      <w:r w:rsidR="00835E1A" w:rsidRPr="00835E1A">
        <w:rPr>
          <w:i/>
          <w:sz w:val="24"/>
          <w:szCs w:val="24"/>
          <w:lang w:val="sr-Cyrl-RS"/>
        </w:rPr>
        <w:t>Промоција различитости и једнакости у Србији</w:t>
      </w:r>
      <w:r w:rsidR="009C1F27">
        <w:rPr>
          <w:sz w:val="24"/>
          <w:szCs w:val="24"/>
          <w:lang w:val="sr-Cyrl-RS"/>
        </w:rPr>
        <w:t xml:space="preserve"> </w:t>
      </w:r>
      <w:r w:rsidR="009C1F27" w:rsidRPr="009C1F27">
        <w:rPr>
          <w:sz w:val="24"/>
          <w:szCs w:val="24"/>
          <w:lang w:val="sr-Cyrl-RS"/>
        </w:rPr>
        <w:t>који је део заједничког програма Европске уније/Савета Европе „Horizontal Facility за Западни Балкан и Турску 2019-2022”</w:t>
      </w:r>
      <w:r w:rsidR="003A4824">
        <w:rPr>
          <w:sz w:val="24"/>
          <w:szCs w:val="24"/>
        </w:rPr>
        <w:t xml:space="preserve"> (</w:t>
      </w:r>
      <w:r w:rsidR="003A4824">
        <w:rPr>
          <w:sz w:val="24"/>
          <w:szCs w:val="24"/>
          <w:lang w:val="sr-Cyrl-RS"/>
        </w:rPr>
        <w:t>фаза 2)</w:t>
      </w:r>
      <w:r w:rsidR="009C1F27">
        <w:rPr>
          <w:sz w:val="24"/>
          <w:szCs w:val="24"/>
          <w:lang w:val="sr-Cyrl-RS"/>
        </w:rPr>
        <w:t>.</w:t>
      </w:r>
      <w:r>
        <w:rPr>
          <w:sz w:val="24"/>
          <w:szCs w:val="24"/>
          <w:lang w:val="sr-Cyrl-RS"/>
        </w:rPr>
        <w:t xml:space="preserve"> </w:t>
      </w:r>
      <w:r w:rsidR="009C1F27" w:rsidRPr="009C1F27">
        <w:rPr>
          <w:sz w:val="24"/>
          <w:szCs w:val="24"/>
          <w:lang w:val="sr-Cyrl-RS"/>
        </w:rPr>
        <w:t xml:space="preserve">Циљ пројекта је </w:t>
      </w:r>
      <w:r w:rsidR="009C1F27">
        <w:rPr>
          <w:sz w:val="24"/>
          <w:szCs w:val="24"/>
          <w:lang w:val="sr-Cyrl-RS"/>
        </w:rPr>
        <w:t>ј</w:t>
      </w:r>
      <w:r w:rsidR="009C1F27" w:rsidRPr="009C1F27">
        <w:rPr>
          <w:sz w:val="24"/>
          <w:szCs w:val="24"/>
          <w:lang w:val="sr-Cyrl-RS"/>
        </w:rPr>
        <w:t>ачање капацитета националних и локалних актера како би боље решавали питања у вези са борбом против дискриминације, говором мржње и заштитом права националних мањина и ЛГБТИ особа, у складу са стандардима и препорукама које је поставио Савет Европе</w:t>
      </w:r>
      <w:r w:rsidR="009C1F27">
        <w:rPr>
          <w:sz w:val="24"/>
          <w:szCs w:val="24"/>
          <w:lang w:val="sr-Cyrl-RS"/>
        </w:rPr>
        <w:t>,</w:t>
      </w:r>
      <w:r w:rsidR="009C1F27" w:rsidRPr="009C1F27">
        <w:rPr>
          <w:sz w:val="24"/>
          <w:szCs w:val="24"/>
          <w:lang w:val="sr-Cyrl-RS"/>
        </w:rPr>
        <w:t xml:space="preserve"> а посебно оних из Оквирне конвенције за заштиту националних мањина, Европске повеље о регионалним или мањинским језицима и Европске комисије</w:t>
      </w:r>
      <w:r w:rsidR="009C1F27">
        <w:rPr>
          <w:sz w:val="24"/>
          <w:szCs w:val="24"/>
          <w:lang w:val="sr-Cyrl-RS"/>
        </w:rPr>
        <w:t xml:space="preserve"> против расизма и нетолеранције. </w:t>
      </w:r>
      <w:r w:rsidR="009C1F27" w:rsidRPr="009C1F27">
        <w:rPr>
          <w:sz w:val="24"/>
          <w:szCs w:val="24"/>
          <w:lang w:val="sr-Cyrl-RS"/>
        </w:rPr>
        <w:t>Пројекат такође има за циљ да подржи Србију у преговорима о приступању Европској унији на подручју основних права.</w:t>
      </w:r>
      <w:r w:rsidR="00081712">
        <w:rPr>
          <w:sz w:val="24"/>
          <w:szCs w:val="24"/>
          <w:lang w:val="sr-Cyrl-RS"/>
        </w:rPr>
        <w:t xml:space="preserve"> У оквиру пројекта реализоване су и одређене активности које су за циљ имале стварање услова за испуњавање препорука надлежних тела Савета Европе у процесу мониторинга над применом </w:t>
      </w:r>
      <w:r w:rsidR="00081712" w:rsidRPr="009C1F27">
        <w:rPr>
          <w:sz w:val="24"/>
          <w:szCs w:val="24"/>
          <w:lang w:val="sr-Cyrl-RS"/>
        </w:rPr>
        <w:t>Оквирне конвенције</w:t>
      </w:r>
      <w:r w:rsidR="00081712">
        <w:rPr>
          <w:sz w:val="24"/>
          <w:szCs w:val="24"/>
          <w:lang w:val="sr-Cyrl-RS"/>
        </w:rPr>
        <w:t xml:space="preserve"> и Европске повеље о регионалним или мањинским језицима.</w:t>
      </w:r>
    </w:p>
    <w:p w:rsidR="00037E6B" w:rsidRDefault="00081712" w:rsidP="00FB40BC">
      <w:pPr>
        <w:spacing w:after="0"/>
        <w:ind w:firstLine="720"/>
        <w:jc w:val="both"/>
        <w:rPr>
          <w:sz w:val="24"/>
          <w:szCs w:val="24"/>
        </w:rPr>
      </w:pPr>
      <w:r>
        <w:rPr>
          <w:sz w:val="24"/>
          <w:szCs w:val="24"/>
          <w:lang w:val="sr-Cyrl-RS"/>
        </w:rPr>
        <w:t>Посебно је важно истаћи да се у</w:t>
      </w:r>
      <w:r w:rsidR="00FB40BC">
        <w:rPr>
          <w:sz w:val="24"/>
          <w:szCs w:val="24"/>
          <w:lang w:val="sr-Cyrl-RS"/>
        </w:rPr>
        <w:t xml:space="preserve"> оквиру овог пројекта пружа подршка Републици Србији за израду новог </w:t>
      </w:r>
      <w:r w:rsidR="00037E6B" w:rsidRPr="006E75D2">
        <w:rPr>
          <w:sz w:val="24"/>
          <w:szCs w:val="24"/>
        </w:rPr>
        <w:t>Акцион</w:t>
      </w:r>
      <w:r w:rsidR="00FB40BC">
        <w:rPr>
          <w:sz w:val="24"/>
          <w:szCs w:val="24"/>
          <w:lang w:val="sr-Cyrl-RS"/>
        </w:rPr>
        <w:t>ог</w:t>
      </w:r>
      <w:r w:rsidR="00037E6B" w:rsidRPr="006E75D2">
        <w:rPr>
          <w:sz w:val="24"/>
          <w:szCs w:val="24"/>
        </w:rPr>
        <w:t xml:space="preserve"> план</w:t>
      </w:r>
      <w:r w:rsidR="00FB40BC">
        <w:rPr>
          <w:sz w:val="24"/>
          <w:szCs w:val="24"/>
          <w:lang w:val="sr-Cyrl-RS"/>
        </w:rPr>
        <w:t>а</w:t>
      </w:r>
      <w:r w:rsidR="00037E6B" w:rsidRPr="006E75D2">
        <w:rPr>
          <w:sz w:val="24"/>
          <w:szCs w:val="24"/>
        </w:rPr>
        <w:t xml:space="preserve"> </w:t>
      </w:r>
      <w:r w:rsidR="00037E6B" w:rsidRPr="006E75D2">
        <w:rPr>
          <w:sz w:val="24"/>
          <w:szCs w:val="24"/>
          <w:lang w:val="sr-Cyrl-RS"/>
        </w:rPr>
        <w:t>за остваривање права</w:t>
      </w:r>
      <w:r w:rsidR="00037E6B" w:rsidRPr="006E75D2">
        <w:rPr>
          <w:sz w:val="24"/>
          <w:szCs w:val="24"/>
        </w:rPr>
        <w:t xml:space="preserve"> национални</w:t>
      </w:r>
      <w:r w:rsidR="00037E6B" w:rsidRPr="006E75D2">
        <w:rPr>
          <w:sz w:val="24"/>
          <w:szCs w:val="24"/>
          <w:lang w:val="sr-Cyrl-RS"/>
        </w:rPr>
        <w:t>х</w:t>
      </w:r>
      <w:r w:rsidR="00037E6B" w:rsidRPr="006E75D2">
        <w:rPr>
          <w:sz w:val="24"/>
          <w:szCs w:val="24"/>
        </w:rPr>
        <w:t xml:space="preserve"> мањина </w:t>
      </w:r>
      <w:r w:rsidR="00FB40BC" w:rsidRPr="00FB40BC">
        <w:rPr>
          <w:sz w:val="24"/>
          <w:szCs w:val="24"/>
        </w:rPr>
        <w:t>који ће, између осталог, бити базиран на Извештају о напретку у процесу приступања Србије Европској унији, као и на препорукама из Четвртог мишљења Саветодавног комитета Оквирне конвенције за заштиту националних мањина. Посебну радну групу за припрему текста Предлога акционог плана за остваривање права националних мањина чине представници надлежних институција, националних савета националних мањина и организација цивилног друштва</w:t>
      </w:r>
      <w:r w:rsidR="00DE0E9C">
        <w:rPr>
          <w:sz w:val="24"/>
          <w:szCs w:val="24"/>
          <w:lang w:val="sr-Cyrl-RS"/>
        </w:rPr>
        <w:t>, а њеним радом руководи министарка за људска и мањинска права и друштвени дијалог</w:t>
      </w:r>
      <w:r w:rsidR="00FB40BC" w:rsidRPr="00FB40BC">
        <w:rPr>
          <w:sz w:val="24"/>
          <w:szCs w:val="24"/>
        </w:rPr>
        <w:t>.</w:t>
      </w:r>
      <w:r w:rsidR="0087750A" w:rsidRPr="0087750A">
        <w:t xml:space="preserve"> </w:t>
      </w:r>
      <w:r w:rsidR="0087750A" w:rsidRPr="0087750A">
        <w:rPr>
          <w:sz w:val="24"/>
          <w:szCs w:val="24"/>
        </w:rPr>
        <w:t>По потреби и по позиву, у раду Посебне радне групе учеств</w:t>
      </w:r>
      <w:r>
        <w:rPr>
          <w:sz w:val="24"/>
          <w:szCs w:val="24"/>
          <w:lang w:val="sr-Cyrl-RS"/>
        </w:rPr>
        <w:t>ују и</w:t>
      </w:r>
      <w:r w:rsidR="0087750A" w:rsidRPr="0087750A">
        <w:rPr>
          <w:sz w:val="24"/>
          <w:szCs w:val="24"/>
        </w:rPr>
        <w:t xml:space="preserve"> представници других институција, као и стручњаци, саветници и консултанти који поседују знања релевантна за израду овог документа. Пратећи све релевантне препоруке за припрему </w:t>
      </w:r>
      <w:r w:rsidR="00DE0E9C">
        <w:rPr>
          <w:sz w:val="24"/>
          <w:szCs w:val="24"/>
          <w:lang w:val="sr-Cyrl-RS"/>
        </w:rPr>
        <w:t>овог документа, Република Србија настоји да</w:t>
      </w:r>
      <w:r w:rsidR="0087750A" w:rsidRPr="0087750A">
        <w:rPr>
          <w:sz w:val="24"/>
          <w:szCs w:val="24"/>
        </w:rPr>
        <w:t xml:space="preserve"> припреми нов</w:t>
      </w:r>
      <w:r w:rsidR="00DE0E9C">
        <w:rPr>
          <w:sz w:val="24"/>
          <w:szCs w:val="24"/>
          <w:lang w:val="sr-Cyrl-RS"/>
        </w:rPr>
        <w:t>и</w:t>
      </w:r>
      <w:r w:rsidR="0087750A" w:rsidRPr="0087750A">
        <w:rPr>
          <w:sz w:val="24"/>
          <w:szCs w:val="24"/>
        </w:rPr>
        <w:t xml:space="preserve"> Акциони план који ће бити квалитетнији, ефективнији</w:t>
      </w:r>
      <w:r>
        <w:rPr>
          <w:sz w:val="24"/>
          <w:szCs w:val="24"/>
          <w:lang w:val="sr-Cyrl-RS"/>
        </w:rPr>
        <w:t xml:space="preserve"> и</w:t>
      </w:r>
      <w:r w:rsidR="0087750A" w:rsidRPr="0087750A">
        <w:rPr>
          <w:sz w:val="24"/>
          <w:szCs w:val="24"/>
        </w:rPr>
        <w:t xml:space="preserve"> ефикаснији, са циљем да се унапреди ефикасно остваривање права националних мањина у Републици Србији.</w:t>
      </w:r>
    </w:p>
    <w:p w:rsidR="00FB40BC" w:rsidRPr="006E75D2" w:rsidRDefault="00FB40BC" w:rsidP="00FB40BC">
      <w:pPr>
        <w:spacing w:after="0"/>
        <w:ind w:firstLine="720"/>
        <w:jc w:val="both"/>
        <w:rPr>
          <w:i/>
          <w:sz w:val="24"/>
          <w:szCs w:val="24"/>
        </w:rPr>
      </w:pPr>
    </w:p>
    <w:p w:rsidR="00037E6B" w:rsidRPr="006E75D2" w:rsidRDefault="00037E6B" w:rsidP="0087750A">
      <w:pPr>
        <w:pStyle w:val="BodyText3"/>
        <w:numPr>
          <w:ilvl w:val="2"/>
          <w:numId w:val="1"/>
        </w:numPr>
        <w:shd w:val="clear" w:color="auto" w:fill="auto"/>
        <w:tabs>
          <w:tab w:val="left" w:pos="745"/>
        </w:tabs>
        <w:spacing w:before="0" w:after="0" w:line="276" w:lineRule="auto"/>
        <w:ind w:left="720" w:right="20" w:hanging="700"/>
        <w:jc w:val="both"/>
        <w:rPr>
          <w:i/>
          <w:sz w:val="24"/>
          <w:szCs w:val="24"/>
          <w:lang w:val="sr-Cyrl-RS"/>
        </w:rPr>
      </w:pPr>
      <w:r w:rsidRPr="006E75D2">
        <w:rPr>
          <w:i/>
          <w:sz w:val="24"/>
          <w:szCs w:val="24"/>
          <w:lang w:val="sr-Cyrl-RS"/>
        </w:rPr>
        <w:t xml:space="preserve">Учешће </w:t>
      </w:r>
      <w:r w:rsidR="0087750A" w:rsidRPr="0087750A">
        <w:rPr>
          <w:i/>
          <w:sz w:val="24"/>
          <w:szCs w:val="24"/>
          <w:lang w:val="sr-Cyrl-RS"/>
        </w:rPr>
        <w:t>мањинских организација и других невладиних организација у спровођењу и праћењу Оквирне конвенције од стране власти и њихово учешће у припреми петог извештаја</w:t>
      </w:r>
      <w:r w:rsidR="0087750A">
        <w:rPr>
          <w:i/>
          <w:sz w:val="24"/>
          <w:szCs w:val="24"/>
          <w:lang w:val="sr-Cyrl-RS"/>
        </w:rPr>
        <w:t>.</w:t>
      </w:r>
    </w:p>
    <w:p w:rsidR="00037E6B" w:rsidRPr="006E75D2" w:rsidRDefault="00037E6B" w:rsidP="00037E6B">
      <w:pPr>
        <w:pStyle w:val="BodyText3"/>
        <w:shd w:val="clear" w:color="auto" w:fill="auto"/>
        <w:tabs>
          <w:tab w:val="left" w:pos="745"/>
        </w:tabs>
        <w:spacing w:before="0" w:after="0" w:line="276" w:lineRule="auto"/>
        <w:ind w:left="20" w:right="20" w:firstLine="0"/>
        <w:jc w:val="both"/>
        <w:rPr>
          <w:i/>
          <w:sz w:val="24"/>
          <w:szCs w:val="24"/>
          <w:lang w:val="sr-Cyrl-RS"/>
        </w:rPr>
      </w:pPr>
    </w:p>
    <w:p w:rsidR="00FB0BBF" w:rsidRDefault="00037E6B" w:rsidP="00037E6B">
      <w:pPr>
        <w:pStyle w:val="BodyText3"/>
        <w:shd w:val="clear" w:color="auto" w:fill="auto"/>
        <w:tabs>
          <w:tab w:val="left" w:pos="745"/>
        </w:tabs>
        <w:spacing w:before="0" w:after="0" w:line="276" w:lineRule="auto"/>
        <w:ind w:left="20" w:right="20" w:firstLine="0"/>
        <w:jc w:val="both"/>
        <w:rPr>
          <w:sz w:val="24"/>
          <w:szCs w:val="24"/>
          <w:lang w:val="sr-Cyrl-RS"/>
        </w:rPr>
      </w:pPr>
      <w:r w:rsidRPr="006E75D2">
        <w:rPr>
          <w:i/>
          <w:sz w:val="24"/>
          <w:szCs w:val="24"/>
          <w:lang w:val="sr-Cyrl-RS"/>
        </w:rPr>
        <w:tab/>
      </w:r>
      <w:r w:rsidR="00FB0BBF" w:rsidRPr="00FB0BBF">
        <w:rPr>
          <w:sz w:val="24"/>
          <w:szCs w:val="24"/>
          <w:lang w:val="sr-Cyrl-RS"/>
        </w:rPr>
        <w:t>Акцион</w:t>
      </w:r>
      <w:r w:rsidR="00FB0BBF">
        <w:rPr>
          <w:sz w:val="24"/>
          <w:szCs w:val="24"/>
          <w:lang w:val="sr-Cyrl-RS"/>
        </w:rPr>
        <w:t>и</w:t>
      </w:r>
      <w:r w:rsidR="00FB0BBF" w:rsidRPr="00FB0BBF">
        <w:rPr>
          <w:sz w:val="24"/>
          <w:szCs w:val="24"/>
          <w:lang w:val="sr-Cyrl-RS"/>
        </w:rPr>
        <w:t xml:space="preserve"> план за остваривање права националних мањина</w:t>
      </w:r>
      <w:r w:rsidR="00FB0BBF" w:rsidRPr="00FB0BBF">
        <w:rPr>
          <w:i/>
          <w:sz w:val="24"/>
          <w:szCs w:val="24"/>
          <w:lang w:val="sr-Cyrl-RS"/>
        </w:rPr>
        <w:t xml:space="preserve"> </w:t>
      </w:r>
      <w:r w:rsidR="00FB0BBF" w:rsidRPr="00FB0BBF">
        <w:rPr>
          <w:sz w:val="24"/>
          <w:szCs w:val="24"/>
          <w:lang w:val="sr-Cyrl-RS"/>
        </w:rPr>
        <w:t xml:space="preserve">који је усвојен 2016. године </w:t>
      </w:r>
      <w:r w:rsidR="00FB0BBF">
        <w:rPr>
          <w:sz w:val="24"/>
          <w:szCs w:val="24"/>
          <w:lang w:val="sr-Cyrl-RS"/>
        </w:rPr>
        <w:t>базиран је на налазима и препорукама Саветодавног комитета Оквирне конвенције из трећег циклуса мониторинга, а н</w:t>
      </w:r>
      <w:r w:rsidR="0087750A" w:rsidRPr="00FB0BBF">
        <w:rPr>
          <w:sz w:val="24"/>
          <w:szCs w:val="24"/>
          <w:lang w:val="sr-Cyrl-RS"/>
        </w:rPr>
        <w:t>ационални</w:t>
      </w:r>
      <w:r w:rsidR="0087750A" w:rsidRPr="0087750A">
        <w:rPr>
          <w:sz w:val="24"/>
          <w:szCs w:val="24"/>
          <w:lang w:val="sr-Cyrl-RS"/>
        </w:rPr>
        <w:t xml:space="preserve"> савети </w:t>
      </w:r>
      <w:r w:rsidR="00FB0BBF">
        <w:rPr>
          <w:sz w:val="24"/>
          <w:szCs w:val="24"/>
          <w:lang w:val="sr-Cyrl-RS"/>
        </w:rPr>
        <w:t xml:space="preserve">националних мањина </w:t>
      </w:r>
      <w:r w:rsidR="0087750A" w:rsidRPr="0087750A">
        <w:rPr>
          <w:sz w:val="24"/>
          <w:szCs w:val="24"/>
          <w:lang w:val="sr-Cyrl-RS"/>
        </w:rPr>
        <w:lastRenderedPageBreak/>
        <w:t xml:space="preserve">су </w:t>
      </w:r>
      <w:r w:rsidR="00FB0BBF">
        <w:rPr>
          <w:sz w:val="24"/>
          <w:szCs w:val="24"/>
          <w:lang w:val="sr-Cyrl-RS"/>
        </w:rPr>
        <w:t xml:space="preserve">били </w:t>
      </w:r>
      <w:r w:rsidR="0087750A" w:rsidRPr="0087750A">
        <w:rPr>
          <w:sz w:val="24"/>
          <w:szCs w:val="24"/>
          <w:lang w:val="sr-Cyrl-RS"/>
        </w:rPr>
        <w:t xml:space="preserve">укључени у процес </w:t>
      </w:r>
      <w:r w:rsidR="00081712">
        <w:rPr>
          <w:sz w:val="24"/>
          <w:szCs w:val="24"/>
          <w:lang w:val="sr-Cyrl-RS"/>
        </w:rPr>
        <w:t xml:space="preserve">израде, </w:t>
      </w:r>
      <w:r w:rsidR="0087750A" w:rsidRPr="0087750A">
        <w:rPr>
          <w:sz w:val="24"/>
          <w:szCs w:val="24"/>
          <w:lang w:val="sr-Cyrl-RS"/>
        </w:rPr>
        <w:t>извештавања</w:t>
      </w:r>
      <w:r w:rsidR="00081712">
        <w:rPr>
          <w:sz w:val="24"/>
          <w:szCs w:val="24"/>
          <w:lang w:val="sr-Cyrl-RS"/>
        </w:rPr>
        <w:t>, као</w:t>
      </w:r>
      <w:r w:rsidR="0087750A" w:rsidRPr="0087750A">
        <w:rPr>
          <w:sz w:val="24"/>
          <w:szCs w:val="24"/>
          <w:lang w:val="sr-Cyrl-RS"/>
        </w:rPr>
        <w:t xml:space="preserve"> и у све фазе процеса праћења спровођења Акционог плана. Извештаји, са пратећим статистичким анексима, као и прегледи коментара </w:t>
      </w:r>
      <w:r w:rsidR="00FB0BBF">
        <w:rPr>
          <w:sz w:val="24"/>
          <w:szCs w:val="24"/>
          <w:lang w:val="sr-Cyrl-RS"/>
        </w:rPr>
        <w:t xml:space="preserve">националних савета на извештаје </w:t>
      </w:r>
      <w:r w:rsidR="0087750A" w:rsidRPr="0087750A">
        <w:rPr>
          <w:sz w:val="24"/>
          <w:szCs w:val="24"/>
          <w:lang w:val="sr-Cyrl-RS"/>
        </w:rPr>
        <w:t>и одговора ресорних институција, доступни су на интернет сајту Министарства, а такође с</w:t>
      </w:r>
      <w:r w:rsidR="00FB0BBF">
        <w:rPr>
          <w:sz w:val="24"/>
          <w:szCs w:val="24"/>
          <w:lang w:val="sr-Cyrl-RS"/>
        </w:rPr>
        <w:t>у</w:t>
      </w:r>
      <w:r w:rsidR="0087750A" w:rsidRPr="0087750A">
        <w:rPr>
          <w:sz w:val="24"/>
          <w:szCs w:val="24"/>
          <w:lang w:val="sr-Cyrl-RS"/>
        </w:rPr>
        <w:t xml:space="preserve"> разматра</w:t>
      </w:r>
      <w:r w:rsidR="00FB0BBF">
        <w:rPr>
          <w:sz w:val="24"/>
          <w:szCs w:val="24"/>
          <w:lang w:val="sr-Cyrl-RS"/>
        </w:rPr>
        <w:t>ни</w:t>
      </w:r>
      <w:r w:rsidR="0087750A" w:rsidRPr="0087750A">
        <w:rPr>
          <w:sz w:val="24"/>
          <w:szCs w:val="24"/>
          <w:lang w:val="sr-Cyrl-RS"/>
        </w:rPr>
        <w:t xml:space="preserve"> и на седницама Владиног Савета за националне мањине коме је поверено праћење </w:t>
      </w:r>
      <w:r w:rsidR="00081712">
        <w:rPr>
          <w:sz w:val="24"/>
          <w:szCs w:val="24"/>
          <w:lang w:val="sr-Cyrl-RS"/>
        </w:rPr>
        <w:t xml:space="preserve">ових </w:t>
      </w:r>
      <w:r w:rsidR="0087750A" w:rsidRPr="0087750A">
        <w:rPr>
          <w:sz w:val="24"/>
          <w:szCs w:val="24"/>
          <w:lang w:val="sr-Cyrl-RS"/>
        </w:rPr>
        <w:t>активности</w:t>
      </w:r>
      <w:r w:rsidR="00FB0BBF">
        <w:rPr>
          <w:sz w:val="24"/>
          <w:szCs w:val="24"/>
          <w:lang w:val="sr-Cyrl-RS"/>
        </w:rPr>
        <w:t>, а чији су чланови и председници свих националних савета</w:t>
      </w:r>
      <w:r w:rsidR="0087750A" w:rsidRPr="0087750A">
        <w:rPr>
          <w:sz w:val="24"/>
          <w:szCs w:val="24"/>
          <w:lang w:val="sr-Cyrl-RS"/>
        </w:rPr>
        <w:t xml:space="preserve">. </w:t>
      </w:r>
    </w:p>
    <w:p w:rsidR="000D4C4B" w:rsidRDefault="00FB0BBF" w:rsidP="00DE0E9C">
      <w:pPr>
        <w:pStyle w:val="BodyText3"/>
        <w:shd w:val="clear" w:color="auto" w:fill="auto"/>
        <w:tabs>
          <w:tab w:val="left" w:pos="745"/>
        </w:tabs>
        <w:spacing w:before="0" w:after="0" w:line="276" w:lineRule="auto"/>
        <w:ind w:left="20" w:right="20" w:firstLine="0"/>
        <w:jc w:val="both"/>
        <w:rPr>
          <w:sz w:val="24"/>
          <w:szCs w:val="24"/>
          <w:lang w:val="sr-Cyrl-RS"/>
        </w:rPr>
      </w:pPr>
      <w:r>
        <w:rPr>
          <w:sz w:val="24"/>
          <w:szCs w:val="24"/>
          <w:lang w:val="sr-Cyrl-RS"/>
        </w:rPr>
        <w:tab/>
        <w:t>Као што је већ наведено,</w:t>
      </w:r>
      <w:r w:rsidR="00037E6B" w:rsidRPr="006E75D2">
        <w:rPr>
          <w:sz w:val="24"/>
          <w:szCs w:val="24"/>
          <w:lang w:val="sr-Cyrl-RS"/>
        </w:rPr>
        <w:t xml:space="preserve"> представни</w:t>
      </w:r>
      <w:r>
        <w:rPr>
          <w:sz w:val="24"/>
          <w:szCs w:val="24"/>
          <w:lang w:val="sr-Cyrl-RS"/>
        </w:rPr>
        <w:t>ци</w:t>
      </w:r>
      <w:r w:rsidR="00037E6B" w:rsidRPr="006E75D2">
        <w:rPr>
          <w:sz w:val="24"/>
          <w:szCs w:val="24"/>
          <w:lang w:val="sr-Cyrl-RS"/>
        </w:rPr>
        <w:t xml:space="preserve"> </w:t>
      </w:r>
      <w:r>
        <w:rPr>
          <w:sz w:val="24"/>
          <w:szCs w:val="24"/>
          <w:lang w:val="sr-Cyrl-RS"/>
        </w:rPr>
        <w:t xml:space="preserve">националних савета и организација цивилног друштва део су </w:t>
      </w:r>
      <w:r w:rsidRPr="00FB0BBF">
        <w:rPr>
          <w:sz w:val="24"/>
          <w:szCs w:val="24"/>
          <w:lang w:val="sr-Cyrl-RS"/>
        </w:rPr>
        <w:t>Посебн</w:t>
      </w:r>
      <w:r>
        <w:rPr>
          <w:sz w:val="24"/>
          <w:szCs w:val="24"/>
          <w:lang w:val="sr-Cyrl-RS"/>
        </w:rPr>
        <w:t>е</w:t>
      </w:r>
      <w:r w:rsidRPr="00FB0BBF">
        <w:rPr>
          <w:sz w:val="24"/>
          <w:szCs w:val="24"/>
          <w:lang w:val="sr-Cyrl-RS"/>
        </w:rPr>
        <w:t xml:space="preserve"> радн</w:t>
      </w:r>
      <w:r>
        <w:rPr>
          <w:sz w:val="24"/>
          <w:szCs w:val="24"/>
          <w:lang w:val="sr-Cyrl-RS"/>
        </w:rPr>
        <w:t>е</w:t>
      </w:r>
      <w:r w:rsidRPr="00FB0BBF">
        <w:rPr>
          <w:sz w:val="24"/>
          <w:szCs w:val="24"/>
          <w:lang w:val="sr-Cyrl-RS"/>
        </w:rPr>
        <w:t xml:space="preserve"> груп</w:t>
      </w:r>
      <w:r>
        <w:rPr>
          <w:sz w:val="24"/>
          <w:szCs w:val="24"/>
          <w:lang w:val="sr-Cyrl-RS"/>
        </w:rPr>
        <w:t>е</w:t>
      </w:r>
      <w:r w:rsidRPr="00FB0BBF">
        <w:rPr>
          <w:sz w:val="24"/>
          <w:szCs w:val="24"/>
          <w:lang w:val="sr-Cyrl-RS"/>
        </w:rPr>
        <w:t xml:space="preserve"> за припрему текста Предлога акционог плана за остваривање права националних мањина</w:t>
      </w:r>
      <w:r>
        <w:rPr>
          <w:sz w:val="24"/>
          <w:szCs w:val="24"/>
          <w:lang w:val="sr-Cyrl-RS"/>
        </w:rPr>
        <w:t>.</w:t>
      </w:r>
      <w:r w:rsidR="000D4C4B">
        <w:rPr>
          <w:sz w:val="24"/>
          <w:szCs w:val="24"/>
          <w:lang w:val="sr-Latn-RS"/>
        </w:rPr>
        <w:t xml:space="preserve"> </w:t>
      </w:r>
      <w:r w:rsidR="00DE0E9C" w:rsidRPr="00DE0E9C">
        <w:rPr>
          <w:sz w:val="24"/>
          <w:szCs w:val="24"/>
          <w:lang w:val="sr-Latn-RS"/>
        </w:rPr>
        <w:t xml:space="preserve">На предлог Координације националних савета националних мањина, </w:t>
      </w:r>
      <w:r w:rsidR="00DE0E9C">
        <w:rPr>
          <w:sz w:val="24"/>
          <w:szCs w:val="24"/>
          <w:lang w:val="sr-Cyrl-RS"/>
        </w:rPr>
        <w:t>у Посебну радну групу имено</w:t>
      </w:r>
      <w:r w:rsidR="00081712">
        <w:rPr>
          <w:sz w:val="24"/>
          <w:szCs w:val="24"/>
          <w:lang w:val="sr-Cyrl-RS"/>
        </w:rPr>
        <w:t>вано</w:t>
      </w:r>
      <w:r w:rsidR="00DE0E9C">
        <w:rPr>
          <w:sz w:val="24"/>
          <w:szCs w:val="24"/>
          <w:lang w:val="sr-Cyrl-RS"/>
        </w:rPr>
        <w:t xml:space="preserve"> је шест представника националних савета националних мањина, а поред именованих представника, у раду Посебне радне групе, по позиву Министарства, учествују </w:t>
      </w:r>
      <w:r w:rsidR="00DE0E9C" w:rsidRPr="00DE0E9C">
        <w:rPr>
          <w:sz w:val="24"/>
          <w:szCs w:val="24"/>
          <w:lang w:val="sr-Cyrl-RS"/>
        </w:rPr>
        <w:t>и предста</w:t>
      </w:r>
      <w:r w:rsidR="00DE0E9C">
        <w:rPr>
          <w:sz w:val="24"/>
          <w:szCs w:val="24"/>
          <w:lang w:val="sr-Cyrl-RS"/>
        </w:rPr>
        <w:t>в</w:t>
      </w:r>
      <w:r w:rsidR="00DE0E9C" w:rsidRPr="00DE0E9C">
        <w:rPr>
          <w:sz w:val="24"/>
          <w:szCs w:val="24"/>
          <w:lang w:val="sr-Cyrl-RS"/>
        </w:rPr>
        <w:t>ници националних савета које је одредила Координација националних савета за сваку од четири области у којима национални савети врше овлашћења (култура, информисање, службена употреба језика и писама и образовање).</w:t>
      </w:r>
      <w:r w:rsidR="00DE0E9C">
        <w:rPr>
          <w:sz w:val="24"/>
          <w:szCs w:val="24"/>
          <w:lang w:val="sr-Cyrl-RS"/>
        </w:rPr>
        <w:t xml:space="preserve"> </w:t>
      </w:r>
      <w:r w:rsidR="000D4C4B">
        <w:rPr>
          <w:sz w:val="24"/>
          <w:szCs w:val="24"/>
          <w:lang w:val="sr-Latn-RS"/>
        </w:rPr>
        <w:t>J</w:t>
      </w:r>
      <w:r w:rsidR="000D4C4B" w:rsidRPr="000D4C4B">
        <w:rPr>
          <w:sz w:val="24"/>
          <w:szCs w:val="24"/>
          <w:lang w:val="sr-Latn-RS"/>
        </w:rPr>
        <w:t xml:space="preserve">авни позив организацијама цивилног друштва за чланство у </w:t>
      </w:r>
      <w:r w:rsidR="000D4C4B">
        <w:rPr>
          <w:sz w:val="24"/>
          <w:szCs w:val="24"/>
          <w:lang w:val="sr-Cyrl-RS"/>
        </w:rPr>
        <w:t>Посебној</w:t>
      </w:r>
      <w:r w:rsidR="000D4C4B">
        <w:rPr>
          <w:sz w:val="24"/>
          <w:szCs w:val="24"/>
          <w:lang w:val="sr-Latn-RS"/>
        </w:rPr>
        <w:t xml:space="preserve"> </w:t>
      </w:r>
      <w:r w:rsidR="000D4C4B" w:rsidRPr="000D4C4B">
        <w:rPr>
          <w:sz w:val="24"/>
          <w:szCs w:val="24"/>
          <w:lang w:val="sr-Latn-RS"/>
        </w:rPr>
        <w:t xml:space="preserve">радној групи био је објављен на интернет страници Министарства </w:t>
      </w:r>
      <w:r w:rsidR="000D4C4B">
        <w:rPr>
          <w:sz w:val="24"/>
          <w:szCs w:val="24"/>
          <w:lang w:val="sr-Cyrl-RS"/>
        </w:rPr>
        <w:t>за људска и мањинска права и друштвени дијалог, а за учешће у изради Акционог плана</w:t>
      </w:r>
      <w:r w:rsidR="000D4C4B" w:rsidRPr="000D4C4B">
        <w:rPr>
          <w:sz w:val="24"/>
          <w:szCs w:val="24"/>
          <w:lang w:val="sr-Latn-RS"/>
        </w:rPr>
        <w:t xml:space="preserve"> пријавило се </w:t>
      </w:r>
      <w:r w:rsidR="000D4C4B">
        <w:rPr>
          <w:sz w:val="24"/>
          <w:szCs w:val="24"/>
          <w:lang w:val="sr-Cyrl-RS"/>
        </w:rPr>
        <w:t>пет</w:t>
      </w:r>
      <w:r w:rsidR="000D4C4B" w:rsidRPr="000D4C4B">
        <w:rPr>
          <w:sz w:val="24"/>
          <w:szCs w:val="24"/>
          <w:lang w:val="sr-Latn-RS"/>
        </w:rPr>
        <w:t xml:space="preserve"> организација</w:t>
      </w:r>
      <w:r w:rsidR="00081712">
        <w:rPr>
          <w:sz w:val="24"/>
          <w:szCs w:val="24"/>
          <w:lang w:val="sr-Cyrl-RS"/>
        </w:rPr>
        <w:t>, које се, између осталог, баве проблематиком мањинских права</w:t>
      </w:r>
      <w:r w:rsidR="000D4C4B" w:rsidRPr="000D4C4B">
        <w:rPr>
          <w:sz w:val="24"/>
          <w:szCs w:val="24"/>
          <w:lang w:val="sr-Latn-RS"/>
        </w:rPr>
        <w:t xml:space="preserve">. На предлог Комисије за избор </w:t>
      </w:r>
      <w:r w:rsidR="000D4C4B">
        <w:rPr>
          <w:sz w:val="24"/>
          <w:szCs w:val="24"/>
          <w:lang w:val="sr-Cyrl-RS"/>
        </w:rPr>
        <w:t>организација цивилног друштва,</w:t>
      </w:r>
      <w:r w:rsidR="000D4C4B" w:rsidRPr="000D4C4B">
        <w:rPr>
          <w:sz w:val="24"/>
          <w:szCs w:val="24"/>
          <w:lang w:val="sr-Latn-RS"/>
        </w:rPr>
        <w:t xml:space="preserve"> у радну групу </w:t>
      </w:r>
      <w:r w:rsidR="000D4C4B">
        <w:rPr>
          <w:sz w:val="24"/>
          <w:szCs w:val="24"/>
          <w:lang w:val="sr-Cyrl-RS"/>
        </w:rPr>
        <w:t xml:space="preserve">су </w:t>
      </w:r>
      <w:r w:rsidR="000D4C4B" w:rsidRPr="000D4C4B">
        <w:rPr>
          <w:sz w:val="24"/>
          <w:szCs w:val="24"/>
          <w:lang w:val="sr-Latn-RS"/>
        </w:rPr>
        <w:t>именовани предст</w:t>
      </w:r>
      <w:r w:rsidR="00E73C1F">
        <w:rPr>
          <w:sz w:val="24"/>
          <w:szCs w:val="24"/>
          <w:lang w:val="sr-Cyrl-RS"/>
        </w:rPr>
        <w:t>а</w:t>
      </w:r>
      <w:r w:rsidR="000D4C4B" w:rsidRPr="000D4C4B">
        <w:rPr>
          <w:sz w:val="24"/>
          <w:szCs w:val="24"/>
          <w:lang w:val="sr-Latn-RS"/>
        </w:rPr>
        <w:t>вници свих пријављених организација</w:t>
      </w:r>
      <w:r w:rsidR="000D4C4B">
        <w:rPr>
          <w:sz w:val="24"/>
          <w:szCs w:val="24"/>
          <w:lang w:val="sr-Cyrl-RS"/>
        </w:rPr>
        <w:t>.</w:t>
      </w:r>
      <w:r w:rsidR="00DE0E9C">
        <w:rPr>
          <w:sz w:val="24"/>
          <w:szCs w:val="24"/>
          <w:lang w:val="sr-Cyrl-RS"/>
        </w:rPr>
        <w:t xml:space="preserve"> </w:t>
      </w:r>
    </w:p>
    <w:p w:rsidR="002E129F" w:rsidRDefault="00DE0E9C" w:rsidP="00037E6B">
      <w:pPr>
        <w:pStyle w:val="BodyText3"/>
        <w:shd w:val="clear" w:color="auto" w:fill="auto"/>
        <w:tabs>
          <w:tab w:val="left" w:pos="745"/>
        </w:tabs>
        <w:spacing w:before="0" w:after="0" w:line="276" w:lineRule="auto"/>
        <w:ind w:left="20" w:right="20" w:firstLine="0"/>
        <w:jc w:val="both"/>
        <w:rPr>
          <w:sz w:val="24"/>
          <w:szCs w:val="24"/>
          <w:lang w:val="sr-Cyrl-RS"/>
        </w:rPr>
      </w:pPr>
      <w:r>
        <w:rPr>
          <w:sz w:val="24"/>
          <w:szCs w:val="24"/>
          <w:lang w:val="sr-Cyrl-RS"/>
        </w:rPr>
        <w:tab/>
        <w:t>П</w:t>
      </w:r>
      <w:r w:rsidR="00037E6B" w:rsidRPr="006E75D2">
        <w:rPr>
          <w:sz w:val="24"/>
          <w:szCs w:val="24"/>
          <w:lang w:val="sr-Cyrl-RS"/>
        </w:rPr>
        <w:t xml:space="preserve">озив за учешће у изради </w:t>
      </w:r>
      <w:r>
        <w:rPr>
          <w:sz w:val="24"/>
          <w:szCs w:val="24"/>
          <w:lang w:val="sr-Cyrl-RS"/>
        </w:rPr>
        <w:t>Петог</w:t>
      </w:r>
      <w:r w:rsidR="00037E6B" w:rsidRPr="006E75D2">
        <w:rPr>
          <w:sz w:val="24"/>
          <w:szCs w:val="24"/>
          <w:lang w:val="sr-Cyrl-RS"/>
        </w:rPr>
        <w:t xml:space="preserve"> извештаја о спровођењу Оквирне конвенције </w:t>
      </w:r>
      <w:r>
        <w:rPr>
          <w:sz w:val="24"/>
          <w:szCs w:val="24"/>
          <w:lang w:val="sr-Cyrl-RS"/>
        </w:rPr>
        <w:t>упућен је</w:t>
      </w:r>
      <w:r w:rsidR="00037E6B" w:rsidRPr="006E75D2">
        <w:rPr>
          <w:sz w:val="24"/>
          <w:szCs w:val="24"/>
          <w:lang w:val="sr-Cyrl-RS"/>
        </w:rPr>
        <w:t xml:space="preserve"> сви</w:t>
      </w:r>
      <w:r>
        <w:rPr>
          <w:sz w:val="24"/>
          <w:szCs w:val="24"/>
          <w:lang w:val="sr-Cyrl-RS"/>
        </w:rPr>
        <w:t>м</w:t>
      </w:r>
      <w:r w:rsidR="00037E6B" w:rsidRPr="006E75D2">
        <w:rPr>
          <w:sz w:val="24"/>
          <w:szCs w:val="24"/>
          <w:lang w:val="sr-Cyrl-RS"/>
        </w:rPr>
        <w:t xml:space="preserve"> национални</w:t>
      </w:r>
      <w:r>
        <w:rPr>
          <w:sz w:val="24"/>
          <w:szCs w:val="24"/>
          <w:lang w:val="sr-Cyrl-RS"/>
        </w:rPr>
        <w:t>м</w:t>
      </w:r>
      <w:r w:rsidR="00037E6B" w:rsidRPr="006E75D2">
        <w:rPr>
          <w:sz w:val="24"/>
          <w:szCs w:val="24"/>
          <w:lang w:val="sr-Cyrl-RS"/>
        </w:rPr>
        <w:t xml:space="preserve"> савети</w:t>
      </w:r>
      <w:r>
        <w:rPr>
          <w:sz w:val="24"/>
          <w:szCs w:val="24"/>
          <w:lang w:val="sr-Cyrl-RS"/>
        </w:rPr>
        <w:t>ма</w:t>
      </w:r>
      <w:r w:rsidR="00037E6B" w:rsidRPr="006E75D2">
        <w:rPr>
          <w:sz w:val="24"/>
          <w:szCs w:val="24"/>
          <w:lang w:val="sr-Cyrl-RS"/>
        </w:rPr>
        <w:t xml:space="preserve"> националних мањина и Савез</w:t>
      </w:r>
      <w:r>
        <w:rPr>
          <w:sz w:val="24"/>
          <w:szCs w:val="24"/>
          <w:lang w:val="sr-Cyrl-RS"/>
        </w:rPr>
        <w:t>у</w:t>
      </w:r>
      <w:r w:rsidR="00037E6B" w:rsidRPr="006E75D2">
        <w:rPr>
          <w:sz w:val="24"/>
          <w:szCs w:val="24"/>
          <w:lang w:val="sr-Cyrl-RS"/>
        </w:rPr>
        <w:t xml:space="preserve"> јеврејских општина Србије, као и следећ</w:t>
      </w:r>
      <w:r w:rsidR="002E129F">
        <w:rPr>
          <w:sz w:val="24"/>
          <w:szCs w:val="24"/>
          <w:lang w:val="sr-Cyrl-RS"/>
        </w:rPr>
        <w:t>им</w:t>
      </w:r>
      <w:r w:rsidR="00037E6B" w:rsidRPr="006E75D2">
        <w:rPr>
          <w:sz w:val="24"/>
          <w:szCs w:val="24"/>
          <w:lang w:val="sr-Cyrl-RS"/>
        </w:rPr>
        <w:t xml:space="preserve"> удружењ</w:t>
      </w:r>
      <w:r w:rsidR="002E129F">
        <w:rPr>
          <w:sz w:val="24"/>
          <w:szCs w:val="24"/>
          <w:lang w:val="sr-Cyrl-RS"/>
        </w:rPr>
        <w:t>има</w:t>
      </w:r>
      <w:r w:rsidR="00037E6B" w:rsidRPr="006E75D2">
        <w:rPr>
          <w:sz w:val="24"/>
          <w:szCs w:val="24"/>
          <w:lang w:val="sr-Cyrl-RS"/>
        </w:rPr>
        <w:t xml:space="preserve"> грађана која окупљају припаднике националних мањина или се баве заштитом права националних мањина: Одбор за људска права, Бујановац; Албанско културно друштво „Перспектива“</w:t>
      </w:r>
      <w:r w:rsidR="002E129F">
        <w:rPr>
          <w:sz w:val="24"/>
          <w:szCs w:val="24"/>
          <w:lang w:val="sr-Cyrl-RS"/>
        </w:rPr>
        <w:t xml:space="preserve">, </w:t>
      </w:r>
      <w:r w:rsidR="002E129F" w:rsidRPr="006E75D2">
        <w:rPr>
          <w:sz w:val="24"/>
          <w:szCs w:val="24"/>
          <w:lang w:val="sr-Cyrl-RS"/>
        </w:rPr>
        <w:t>Бујановац</w:t>
      </w:r>
      <w:r w:rsidR="00037E6B" w:rsidRPr="006E75D2">
        <w:rPr>
          <w:sz w:val="24"/>
          <w:szCs w:val="24"/>
          <w:lang w:val="sr-Cyrl-RS"/>
        </w:rPr>
        <w:t>; Цивилни ресурс центар</w:t>
      </w:r>
      <w:r w:rsidR="002E129F">
        <w:rPr>
          <w:sz w:val="24"/>
          <w:szCs w:val="24"/>
          <w:lang w:val="sr-Cyrl-RS"/>
        </w:rPr>
        <w:t xml:space="preserve"> </w:t>
      </w:r>
      <w:r w:rsidR="00037E6B" w:rsidRPr="006E75D2">
        <w:rPr>
          <w:sz w:val="24"/>
          <w:szCs w:val="24"/>
          <w:lang w:val="sr-Cyrl-RS"/>
        </w:rPr>
        <w:t>-</w:t>
      </w:r>
      <w:r w:rsidR="002E129F">
        <w:rPr>
          <w:sz w:val="24"/>
          <w:szCs w:val="24"/>
          <w:lang w:val="sr-Cyrl-RS"/>
        </w:rPr>
        <w:t xml:space="preserve"> </w:t>
      </w:r>
      <w:r w:rsidR="00037E6B" w:rsidRPr="006E75D2">
        <w:rPr>
          <w:sz w:val="24"/>
          <w:szCs w:val="24"/>
          <w:lang w:val="sr-Cyrl-RS"/>
        </w:rPr>
        <w:t xml:space="preserve">Бујановац; Културни центар ДамаД, Нови Пазар; Санџачки одбор за заштиту људских права и слобода, Нови Пазар; Културно-информативни центар бугарске националне мањине, Босилеград; Удружење „Матица Бугара у Србији“, Босилеград; </w:t>
      </w:r>
      <w:r w:rsidR="002E129F" w:rsidRPr="002E129F">
        <w:rPr>
          <w:sz w:val="24"/>
          <w:szCs w:val="24"/>
          <w:lang w:val="sr-Cyrl-RS"/>
        </w:rPr>
        <w:t xml:space="preserve">Бугарско </w:t>
      </w:r>
      <w:r w:rsidR="002E129F">
        <w:rPr>
          <w:sz w:val="24"/>
          <w:szCs w:val="24"/>
          <w:lang w:val="sr-Cyrl-RS"/>
        </w:rPr>
        <w:t>к</w:t>
      </w:r>
      <w:r w:rsidR="002E129F" w:rsidRPr="002E129F">
        <w:rPr>
          <w:sz w:val="24"/>
          <w:szCs w:val="24"/>
          <w:lang w:val="sr-Cyrl-RS"/>
        </w:rPr>
        <w:t xml:space="preserve">ултурно </w:t>
      </w:r>
      <w:r w:rsidR="002E129F">
        <w:rPr>
          <w:sz w:val="24"/>
          <w:szCs w:val="24"/>
          <w:lang w:val="sr-Cyrl-RS"/>
        </w:rPr>
        <w:t>у</w:t>
      </w:r>
      <w:r w:rsidR="002E129F" w:rsidRPr="002E129F">
        <w:rPr>
          <w:sz w:val="24"/>
          <w:szCs w:val="24"/>
          <w:lang w:val="sr-Cyrl-RS"/>
        </w:rPr>
        <w:t xml:space="preserve">дружење </w:t>
      </w:r>
      <w:r w:rsidR="002E129F">
        <w:rPr>
          <w:sz w:val="24"/>
          <w:szCs w:val="24"/>
          <w:lang w:val="sr-Cyrl-RS"/>
        </w:rPr>
        <w:t>„</w:t>
      </w:r>
      <w:r w:rsidR="002E129F" w:rsidRPr="002E129F">
        <w:rPr>
          <w:sz w:val="24"/>
          <w:szCs w:val="24"/>
          <w:lang w:val="sr-Cyrl-RS"/>
        </w:rPr>
        <w:t>Трандафер</w:t>
      </w:r>
      <w:r w:rsidR="002E129F">
        <w:rPr>
          <w:sz w:val="24"/>
          <w:szCs w:val="24"/>
          <w:lang w:val="sr-Cyrl-RS"/>
        </w:rPr>
        <w:t>“</w:t>
      </w:r>
      <w:r w:rsidR="002E129F" w:rsidRPr="002E129F">
        <w:rPr>
          <w:sz w:val="24"/>
          <w:szCs w:val="24"/>
          <w:lang w:val="sr-Cyrl-RS"/>
        </w:rPr>
        <w:t>, Бело Блато</w:t>
      </w:r>
      <w:r w:rsidR="002E129F">
        <w:rPr>
          <w:sz w:val="24"/>
          <w:szCs w:val="24"/>
          <w:lang w:val="sr-Cyrl-RS"/>
        </w:rPr>
        <w:t>;</w:t>
      </w:r>
      <w:r w:rsidR="002E129F" w:rsidRPr="002E129F">
        <w:rPr>
          <w:sz w:val="24"/>
          <w:szCs w:val="24"/>
          <w:lang w:val="sr-Cyrl-RS"/>
        </w:rPr>
        <w:t xml:space="preserve"> </w:t>
      </w:r>
      <w:r w:rsidR="00037E6B" w:rsidRPr="006E75D2">
        <w:rPr>
          <w:sz w:val="24"/>
          <w:szCs w:val="24"/>
          <w:lang w:val="sr-Cyrl-RS"/>
        </w:rPr>
        <w:t xml:space="preserve">Буњевачка матица, Суботица; Удружење грађана „Буњевачко коло“, Сомбор; Форум Влаха, Бор; Удружење „Гергина“, Неготин; Покрет влашког уједињења, Петровац на Млави; Фондација „Ласло Секереш“, Суботица; Новосадски центар за мађарску културу и уметност, Нови Сад; Друштво за мађарски језик „Сарваш Габор“, Ада; </w:t>
      </w:r>
      <w:r w:rsidR="002E129F" w:rsidRPr="002E129F">
        <w:rPr>
          <w:sz w:val="24"/>
          <w:szCs w:val="24"/>
          <w:lang w:val="sr-Cyrl-RS"/>
        </w:rPr>
        <w:t xml:space="preserve">Удружење </w:t>
      </w:r>
      <w:r w:rsidR="002E129F">
        <w:rPr>
          <w:sz w:val="24"/>
          <w:szCs w:val="24"/>
          <w:lang w:val="sr-Cyrl-RS"/>
        </w:rPr>
        <w:t>м</w:t>
      </w:r>
      <w:r w:rsidR="002E129F" w:rsidRPr="002E129F">
        <w:rPr>
          <w:sz w:val="24"/>
          <w:szCs w:val="24"/>
          <w:lang w:val="sr-Cyrl-RS"/>
        </w:rPr>
        <w:t xml:space="preserve">ађарских </w:t>
      </w:r>
      <w:r w:rsidR="002E129F">
        <w:rPr>
          <w:sz w:val="24"/>
          <w:szCs w:val="24"/>
          <w:lang w:val="sr-Cyrl-RS"/>
        </w:rPr>
        <w:t>н</w:t>
      </w:r>
      <w:r w:rsidR="002E129F" w:rsidRPr="002E129F">
        <w:rPr>
          <w:sz w:val="24"/>
          <w:szCs w:val="24"/>
          <w:lang w:val="sr-Cyrl-RS"/>
        </w:rPr>
        <w:t>овинара Војводине</w:t>
      </w:r>
      <w:r w:rsidR="002E129F">
        <w:rPr>
          <w:sz w:val="24"/>
          <w:szCs w:val="24"/>
          <w:lang w:val="sr-Cyrl-RS"/>
        </w:rPr>
        <w:t>, Нови Сад</w:t>
      </w:r>
      <w:r w:rsidR="00037E6B" w:rsidRPr="006E75D2">
        <w:rPr>
          <w:sz w:val="24"/>
          <w:szCs w:val="24"/>
          <w:lang w:val="sr-Cyrl-RS"/>
        </w:rPr>
        <w:t xml:space="preserve">; Војвођански центар за методику, Суботица; Удружење грађана македонске националне заједнице у Јабуци „Илинден-Јабука“, Јабука; Удружење грађана македонске националне мањине нишавског округа „Вардар“, Ниш; </w:t>
      </w:r>
      <w:r w:rsidR="002E129F" w:rsidRPr="002E129F">
        <w:rPr>
          <w:sz w:val="24"/>
          <w:szCs w:val="24"/>
          <w:lang w:val="sr-Cyrl-RS"/>
        </w:rPr>
        <w:t>Македонски културни центар „Блаже Конески“, Панчево</w:t>
      </w:r>
      <w:r w:rsidR="002E129F">
        <w:rPr>
          <w:sz w:val="24"/>
          <w:szCs w:val="24"/>
          <w:lang w:val="sr-Cyrl-RS"/>
        </w:rPr>
        <w:t>;</w:t>
      </w:r>
      <w:r w:rsidR="002E129F" w:rsidRPr="002E129F">
        <w:rPr>
          <w:sz w:val="24"/>
          <w:szCs w:val="24"/>
          <w:lang w:val="sr-Cyrl-RS"/>
        </w:rPr>
        <w:t xml:space="preserve"> </w:t>
      </w:r>
      <w:r w:rsidR="00037E6B" w:rsidRPr="006E75D2">
        <w:rPr>
          <w:sz w:val="24"/>
          <w:szCs w:val="24"/>
          <w:lang w:val="sr-Cyrl-RS"/>
        </w:rPr>
        <w:t xml:space="preserve">Немачки народни савез, Суботица; </w:t>
      </w:r>
      <w:r w:rsidR="002E129F" w:rsidRPr="002E129F">
        <w:rPr>
          <w:sz w:val="24"/>
          <w:szCs w:val="24"/>
          <w:lang w:val="sr-Cyrl-RS"/>
        </w:rPr>
        <w:t xml:space="preserve">Немачко културно удружење </w:t>
      </w:r>
      <w:r w:rsidR="002E129F">
        <w:rPr>
          <w:sz w:val="24"/>
          <w:szCs w:val="24"/>
          <w:lang w:val="sr-Cyrl-RS"/>
        </w:rPr>
        <w:t>„</w:t>
      </w:r>
      <w:r w:rsidR="002E129F" w:rsidRPr="002E129F">
        <w:rPr>
          <w:sz w:val="24"/>
          <w:szCs w:val="24"/>
          <w:lang w:val="sr-Cyrl-RS"/>
        </w:rPr>
        <w:t>Dоnaubrűcke Neusatz</w:t>
      </w:r>
      <w:r w:rsidR="002E129F">
        <w:rPr>
          <w:sz w:val="24"/>
          <w:szCs w:val="24"/>
          <w:lang w:val="sr-Cyrl-RS"/>
        </w:rPr>
        <w:t>“</w:t>
      </w:r>
      <w:r w:rsidR="002E129F" w:rsidRPr="002E129F">
        <w:rPr>
          <w:sz w:val="24"/>
          <w:szCs w:val="24"/>
          <w:lang w:val="sr-Cyrl-RS"/>
        </w:rPr>
        <w:t>, Нови Сад</w:t>
      </w:r>
      <w:r w:rsidR="00037E6B" w:rsidRPr="006E75D2">
        <w:rPr>
          <w:sz w:val="24"/>
          <w:szCs w:val="24"/>
          <w:lang w:val="sr-Cyrl-RS"/>
        </w:rPr>
        <w:t xml:space="preserve">; </w:t>
      </w:r>
      <w:r w:rsidR="002E129F" w:rsidRPr="002E129F">
        <w:rPr>
          <w:sz w:val="24"/>
          <w:szCs w:val="24"/>
          <w:lang w:val="sr-Cyrl-RS"/>
        </w:rPr>
        <w:t>Информативни центар Рома Југославије</w:t>
      </w:r>
      <w:r w:rsidR="00E01B39">
        <w:rPr>
          <w:sz w:val="24"/>
          <w:szCs w:val="24"/>
          <w:lang w:val="sr-Cyrl-RS"/>
        </w:rPr>
        <w:t>,</w:t>
      </w:r>
      <w:r w:rsidR="002E129F" w:rsidRPr="002E129F">
        <w:rPr>
          <w:sz w:val="24"/>
          <w:szCs w:val="24"/>
          <w:lang w:val="sr-Cyrl-RS"/>
        </w:rPr>
        <w:t xml:space="preserve"> Крагујевац;</w:t>
      </w:r>
      <w:r w:rsidR="00E01B39">
        <w:rPr>
          <w:sz w:val="24"/>
          <w:szCs w:val="24"/>
          <w:lang w:val="sr-Cyrl-RS"/>
        </w:rPr>
        <w:t xml:space="preserve"> </w:t>
      </w:r>
      <w:r w:rsidR="00E01B39" w:rsidRPr="00E01B39">
        <w:rPr>
          <w:sz w:val="24"/>
          <w:szCs w:val="24"/>
          <w:lang w:val="sr-Cyrl-RS"/>
        </w:rPr>
        <w:t>Асоцијација коорди</w:t>
      </w:r>
      <w:r w:rsidR="00E01B39">
        <w:rPr>
          <w:sz w:val="24"/>
          <w:szCs w:val="24"/>
          <w:lang w:val="sr-Cyrl-RS"/>
        </w:rPr>
        <w:t>натора за ромска питања, Ваљ</w:t>
      </w:r>
      <w:r w:rsidR="00E73C1F">
        <w:rPr>
          <w:sz w:val="24"/>
          <w:szCs w:val="24"/>
          <w:lang w:val="sr-Cyrl-RS"/>
        </w:rPr>
        <w:t>е</w:t>
      </w:r>
      <w:r w:rsidR="00E01B39">
        <w:rPr>
          <w:sz w:val="24"/>
          <w:szCs w:val="24"/>
          <w:lang w:val="sr-Cyrl-RS"/>
        </w:rPr>
        <w:t xml:space="preserve">во; </w:t>
      </w:r>
      <w:r w:rsidR="00E01B39" w:rsidRPr="00E01B39">
        <w:rPr>
          <w:sz w:val="24"/>
          <w:szCs w:val="24"/>
          <w:lang w:val="sr-Cyrl-RS"/>
        </w:rPr>
        <w:t>Асоцијација педагошких асистената Србије, Крагујевац</w:t>
      </w:r>
      <w:r w:rsidR="00E01B39">
        <w:rPr>
          <w:sz w:val="24"/>
          <w:szCs w:val="24"/>
          <w:lang w:val="sr-Cyrl-RS"/>
        </w:rPr>
        <w:t xml:space="preserve">; </w:t>
      </w:r>
      <w:r w:rsidR="00E01B39" w:rsidRPr="00E01B39">
        <w:rPr>
          <w:sz w:val="24"/>
          <w:szCs w:val="24"/>
          <w:lang w:val="sr-Cyrl-RS"/>
        </w:rPr>
        <w:t xml:space="preserve">Удружење грађана </w:t>
      </w:r>
      <w:r w:rsidR="00E01B39">
        <w:rPr>
          <w:sz w:val="24"/>
          <w:szCs w:val="24"/>
          <w:lang w:val="sr-Cyrl-RS"/>
        </w:rPr>
        <w:t>„</w:t>
      </w:r>
      <w:r w:rsidR="00E01B39" w:rsidRPr="00E01B39">
        <w:rPr>
          <w:sz w:val="24"/>
          <w:szCs w:val="24"/>
          <w:lang w:val="sr-Cyrl-RS"/>
        </w:rPr>
        <w:t>БИБИЈА Ромски женски центар</w:t>
      </w:r>
      <w:r w:rsidR="00E01B39">
        <w:rPr>
          <w:sz w:val="24"/>
          <w:szCs w:val="24"/>
          <w:lang w:val="sr-Cyrl-RS"/>
        </w:rPr>
        <w:t xml:space="preserve">“, Београд; </w:t>
      </w:r>
      <w:r w:rsidR="00E01B39" w:rsidRPr="00E01B39">
        <w:rPr>
          <w:sz w:val="24"/>
          <w:szCs w:val="24"/>
          <w:lang w:val="sr-Cyrl-RS"/>
        </w:rPr>
        <w:t>Удружење грађана Рома продукција Рома ворлд, Ниш</w:t>
      </w:r>
      <w:r w:rsidR="00E01B39">
        <w:rPr>
          <w:sz w:val="24"/>
          <w:szCs w:val="24"/>
          <w:lang w:val="sr-Cyrl-RS"/>
        </w:rPr>
        <w:t>;</w:t>
      </w:r>
    </w:p>
    <w:p w:rsidR="00037E6B" w:rsidRPr="006E75D2" w:rsidRDefault="00037E6B" w:rsidP="00037E6B">
      <w:pPr>
        <w:pStyle w:val="BodyText3"/>
        <w:shd w:val="clear" w:color="auto" w:fill="auto"/>
        <w:tabs>
          <w:tab w:val="left" w:pos="745"/>
        </w:tabs>
        <w:spacing w:before="0" w:after="0" w:line="276" w:lineRule="auto"/>
        <w:ind w:left="20" w:right="20" w:firstLine="0"/>
        <w:jc w:val="both"/>
        <w:rPr>
          <w:i/>
          <w:sz w:val="24"/>
          <w:szCs w:val="24"/>
          <w:lang w:val="sr-Cyrl-RS"/>
        </w:rPr>
      </w:pPr>
      <w:r w:rsidRPr="006E75D2">
        <w:rPr>
          <w:sz w:val="24"/>
          <w:szCs w:val="24"/>
          <w:lang w:val="sr-Cyrl-RS"/>
        </w:rPr>
        <w:t xml:space="preserve">Румунски центар за демократске институције и људска права, Нови Сад; Друштво за румунски језик Војводине - Република Србија, Вршац; Румунско друштво за </w:t>
      </w:r>
      <w:r w:rsidRPr="006E75D2">
        <w:rPr>
          <w:sz w:val="24"/>
          <w:szCs w:val="24"/>
          <w:lang w:val="sr-Cyrl-RS"/>
        </w:rPr>
        <w:lastRenderedPageBreak/>
        <w:t>етнографију и фолклор, Торак; Књижевно</w:t>
      </w:r>
      <w:r w:rsidR="00E01B39">
        <w:rPr>
          <w:sz w:val="24"/>
          <w:szCs w:val="24"/>
          <w:lang w:val="sr-Cyrl-RS"/>
        </w:rPr>
        <w:t>-</w:t>
      </w:r>
      <w:r w:rsidRPr="006E75D2">
        <w:rPr>
          <w:sz w:val="24"/>
          <w:szCs w:val="24"/>
          <w:lang w:val="sr-Cyrl-RS"/>
        </w:rPr>
        <w:t>уметничко друштво „Тибискус“, Уздин; Матица русинска, Руски Крстур; Друштво за русински језик, књижевност и културу, Нови Сад; „Асоцијација словачких педагога“, Бачки Петровац; Асоцијација словачких новинара, Нови Сад; Асоцијација словачких локалних медија, Бачки Петровац; Матица словачка у Србији, Бачки Петровац; Друштво Словенаца у Београду – Друштво Сава, Београд; Друштво Словен</w:t>
      </w:r>
      <w:r w:rsidR="00E73C1F">
        <w:rPr>
          <w:sz w:val="24"/>
          <w:szCs w:val="24"/>
          <w:lang w:val="sr-Cyrl-RS"/>
        </w:rPr>
        <w:t>а</w:t>
      </w:r>
      <w:r w:rsidRPr="006E75D2">
        <w:rPr>
          <w:sz w:val="24"/>
          <w:szCs w:val="24"/>
          <w:lang w:val="sr-Cyrl-RS"/>
        </w:rPr>
        <w:t xml:space="preserve">ца „Кредарица“, Нови Сад; Друштво за украјински језик, књижевност и културу „Просвита“, Нови Сад; „Хрватско академско друштво“, Суботица; </w:t>
      </w:r>
      <w:r w:rsidR="00E01B39" w:rsidRPr="00E01B39">
        <w:rPr>
          <w:sz w:val="24"/>
          <w:szCs w:val="24"/>
          <w:lang w:val="sr-Cyrl-RS"/>
        </w:rPr>
        <w:t xml:space="preserve">Хрватско просвјетно друштво </w:t>
      </w:r>
      <w:r w:rsidRPr="006E75D2">
        <w:rPr>
          <w:sz w:val="24"/>
          <w:szCs w:val="24"/>
          <w:lang w:val="sr-Cyrl-RS"/>
        </w:rPr>
        <w:t xml:space="preserve">„Бела Габрић“, Суботица; Матица </w:t>
      </w:r>
      <w:r w:rsidR="00E01B39">
        <w:rPr>
          <w:sz w:val="24"/>
          <w:szCs w:val="24"/>
          <w:lang w:val="sr-Cyrl-RS"/>
        </w:rPr>
        <w:t>х</w:t>
      </w:r>
      <w:r w:rsidRPr="006E75D2">
        <w:rPr>
          <w:sz w:val="24"/>
          <w:szCs w:val="24"/>
          <w:lang w:val="sr-Cyrl-RS"/>
        </w:rPr>
        <w:t>рватска, Суботица; „Чешка беседа“, Бела Црква; Матица Чешка, Бела Црква</w:t>
      </w:r>
      <w:r w:rsidR="00E01B39">
        <w:rPr>
          <w:sz w:val="24"/>
          <w:szCs w:val="24"/>
          <w:lang w:val="sr-Cyrl-RS"/>
        </w:rPr>
        <w:t xml:space="preserve">; </w:t>
      </w:r>
      <w:r w:rsidR="00E01B39" w:rsidRPr="00E01B39">
        <w:rPr>
          <w:sz w:val="24"/>
          <w:szCs w:val="24"/>
          <w:lang w:val="sr-Cyrl-RS"/>
        </w:rPr>
        <w:t xml:space="preserve">Удружење Грка и пријатеља Грчке </w:t>
      </w:r>
      <w:r w:rsidR="00E01B39">
        <w:rPr>
          <w:sz w:val="24"/>
          <w:szCs w:val="24"/>
          <w:lang w:val="sr-Cyrl-RS"/>
        </w:rPr>
        <w:t>„</w:t>
      </w:r>
      <w:r w:rsidR="00E01B39" w:rsidRPr="00E01B39">
        <w:rPr>
          <w:sz w:val="24"/>
          <w:szCs w:val="24"/>
          <w:lang w:val="sr-Cyrl-RS"/>
        </w:rPr>
        <w:t>Елефтериос Венизелос</w:t>
      </w:r>
      <w:r w:rsidR="00E01B39">
        <w:rPr>
          <w:sz w:val="24"/>
          <w:szCs w:val="24"/>
          <w:lang w:val="sr-Cyrl-RS"/>
        </w:rPr>
        <w:t>“,</w:t>
      </w:r>
      <w:r w:rsidR="00E01B39" w:rsidRPr="00E01B39">
        <w:rPr>
          <w:sz w:val="24"/>
          <w:szCs w:val="24"/>
          <w:lang w:val="sr-Cyrl-RS"/>
        </w:rPr>
        <w:t xml:space="preserve"> Нови Сад</w:t>
      </w:r>
      <w:r w:rsidR="00E01B39">
        <w:rPr>
          <w:sz w:val="24"/>
          <w:szCs w:val="24"/>
          <w:lang w:val="sr-Cyrl-RS"/>
        </w:rPr>
        <w:t>; „</w:t>
      </w:r>
      <w:r w:rsidR="00E01B39" w:rsidRPr="00E01B39">
        <w:rPr>
          <w:sz w:val="24"/>
          <w:szCs w:val="24"/>
          <w:lang w:val="sr-Cyrl-RS"/>
        </w:rPr>
        <w:t>Јеврејски центар за програме из културе и уметности</w:t>
      </w:r>
      <w:r w:rsidR="00535A5D">
        <w:rPr>
          <w:sz w:val="24"/>
          <w:szCs w:val="24"/>
          <w:lang w:val="sr-Cyrl-RS"/>
        </w:rPr>
        <w:t>“</w:t>
      </w:r>
      <w:r w:rsidR="00E01B39" w:rsidRPr="00E01B39">
        <w:rPr>
          <w:sz w:val="24"/>
          <w:szCs w:val="24"/>
          <w:lang w:val="sr-Cyrl-RS"/>
        </w:rPr>
        <w:t>, Београд</w:t>
      </w:r>
      <w:r w:rsidR="00535A5D">
        <w:rPr>
          <w:sz w:val="24"/>
          <w:szCs w:val="24"/>
          <w:lang w:val="sr-Cyrl-RS"/>
        </w:rPr>
        <w:t xml:space="preserve">; </w:t>
      </w:r>
      <w:r w:rsidR="00535A5D" w:rsidRPr="00535A5D">
        <w:rPr>
          <w:sz w:val="24"/>
          <w:szCs w:val="24"/>
          <w:lang w:val="sr-Cyrl-RS"/>
        </w:rPr>
        <w:t xml:space="preserve">Удружење грађана </w:t>
      </w:r>
      <w:r w:rsidR="00535A5D">
        <w:rPr>
          <w:sz w:val="24"/>
          <w:szCs w:val="24"/>
          <w:lang w:val="sr-Cyrl-RS"/>
        </w:rPr>
        <w:t>ц</w:t>
      </w:r>
      <w:r w:rsidR="00535A5D" w:rsidRPr="00535A5D">
        <w:rPr>
          <w:sz w:val="24"/>
          <w:szCs w:val="24"/>
          <w:lang w:val="sr-Cyrl-RS"/>
        </w:rPr>
        <w:t xml:space="preserve">рногорске националности </w:t>
      </w:r>
      <w:r w:rsidR="00535A5D">
        <w:rPr>
          <w:sz w:val="24"/>
          <w:szCs w:val="24"/>
          <w:lang w:val="sr-Cyrl-RS"/>
        </w:rPr>
        <w:t>„</w:t>
      </w:r>
      <w:r w:rsidR="00535A5D" w:rsidRPr="00535A5D">
        <w:rPr>
          <w:sz w:val="24"/>
          <w:szCs w:val="24"/>
          <w:lang w:val="sr-Cyrl-RS"/>
        </w:rPr>
        <w:t>Монтенегро</w:t>
      </w:r>
      <w:r w:rsidR="00535A5D">
        <w:rPr>
          <w:sz w:val="24"/>
          <w:szCs w:val="24"/>
          <w:lang w:val="sr-Cyrl-RS"/>
        </w:rPr>
        <w:t>“</w:t>
      </w:r>
      <w:r w:rsidR="00535A5D" w:rsidRPr="00535A5D">
        <w:rPr>
          <w:sz w:val="24"/>
          <w:szCs w:val="24"/>
          <w:lang w:val="sr-Cyrl-RS"/>
        </w:rPr>
        <w:t>, Београд</w:t>
      </w:r>
      <w:r w:rsidR="00535A5D">
        <w:rPr>
          <w:sz w:val="24"/>
          <w:szCs w:val="24"/>
          <w:lang w:val="sr-Cyrl-RS"/>
        </w:rPr>
        <w:t xml:space="preserve">; </w:t>
      </w:r>
      <w:r w:rsidR="00535A5D" w:rsidRPr="00535A5D">
        <w:rPr>
          <w:sz w:val="24"/>
          <w:szCs w:val="24"/>
          <w:lang w:val="sr-Cyrl-RS"/>
        </w:rPr>
        <w:t xml:space="preserve">Удружење Црногораца Србије </w:t>
      </w:r>
      <w:r w:rsidR="00535A5D">
        <w:rPr>
          <w:sz w:val="24"/>
          <w:szCs w:val="24"/>
          <w:lang w:val="sr-Cyrl-RS"/>
        </w:rPr>
        <w:t>„</w:t>
      </w:r>
      <w:r w:rsidR="00535A5D" w:rsidRPr="00535A5D">
        <w:rPr>
          <w:sz w:val="24"/>
          <w:szCs w:val="24"/>
          <w:lang w:val="sr-Cyrl-RS"/>
        </w:rPr>
        <w:t>Крсташ</w:t>
      </w:r>
      <w:r w:rsidR="00535A5D">
        <w:rPr>
          <w:sz w:val="24"/>
          <w:szCs w:val="24"/>
          <w:lang w:val="sr-Cyrl-RS"/>
        </w:rPr>
        <w:t>“</w:t>
      </w:r>
      <w:r w:rsidR="00535A5D" w:rsidRPr="00535A5D">
        <w:rPr>
          <w:sz w:val="24"/>
          <w:szCs w:val="24"/>
          <w:lang w:val="sr-Cyrl-RS"/>
        </w:rPr>
        <w:t>, Ловћенац</w:t>
      </w:r>
      <w:r w:rsidR="00535A5D">
        <w:rPr>
          <w:sz w:val="24"/>
          <w:szCs w:val="24"/>
          <w:lang w:val="sr-Cyrl-RS"/>
        </w:rPr>
        <w:t xml:space="preserve">; </w:t>
      </w:r>
      <w:r w:rsidRPr="006E75D2">
        <w:rPr>
          <w:sz w:val="24"/>
          <w:szCs w:val="24"/>
          <w:lang w:val="sr-Cyrl-RS"/>
        </w:rPr>
        <w:t xml:space="preserve"> </w:t>
      </w:r>
      <w:r w:rsidR="00535A5D" w:rsidRPr="00535A5D">
        <w:rPr>
          <w:sz w:val="24"/>
          <w:szCs w:val="24"/>
          <w:lang w:val="sr-Cyrl-RS"/>
        </w:rPr>
        <w:t>„Банатски Пољаци“, Остојићево</w:t>
      </w:r>
      <w:r w:rsidR="00535A5D">
        <w:rPr>
          <w:sz w:val="24"/>
          <w:szCs w:val="24"/>
          <w:lang w:val="sr-Cyrl-RS"/>
        </w:rPr>
        <w:t xml:space="preserve">; </w:t>
      </w:r>
      <w:r w:rsidR="00535A5D" w:rsidRPr="00535A5D">
        <w:rPr>
          <w:sz w:val="24"/>
          <w:szCs w:val="24"/>
          <w:lang w:val="sr-Cyrl-RS"/>
        </w:rPr>
        <w:t xml:space="preserve">Удружење грађана </w:t>
      </w:r>
      <w:r w:rsidR="00535A5D">
        <w:rPr>
          <w:sz w:val="24"/>
          <w:szCs w:val="24"/>
          <w:lang w:val="sr-Cyrl-RS"/>
        </w:rPr>
        <w:t>„</w:t>
      </w:r>
      <w:r w:rsidR="00535A5D" w:rsidRPr="00535A5D">
        <w:rPr>
          <w:sz w:val="24"/>
          <w:szCs w:val="24"/>
          <w:lang w:val="sr-Cyrl-RS"/>
        </w:rPr>
        <w:t>Руски талас</w:t>
      </w:r>
      <w:r w:rsidR="00535A5D">
        <w:rPr>
          <w:sz w:val="24"/>
          <w:szCs w:val="24"/>
          <w:lang w:val="sr-Cyrl-RS"/>
        </w:rPr>
        <w:t>“</w:t>
      </w:r>
      <w:r w:rsidR="00535A5D" w:rsidRPr="00535A5D">
        <w:rPr>
          <w:sz w:val="24"/>
          <w:szCs w:val="24"/>
          <w:lang w:val="sr-Cyrl-RS"/>
        </w:rPr>
        <w:t>, Земун</w:t>
      </w:r>
      <w:r w:rsidR="00535A5D">
        <w:rPr>
          <w:sz w:val="24"/>
          <w:szCs w:val="24"/>
          <w:lang w:val="sr-Cyrl-RS"/>
        </w:rPr>
        <w:t xml:space="preserve">; </w:t>
      </w:r>
      <w:r w:rsidR="00535A5D" w:rsidRPr="00535A5D">
        <w:rPr>
          <w:sz w:val="24"/>
          <w:szCs w:val="24"/>
          <w:lang w:val="sr-Cyrl-RS"/>
        </w:rPr>
        <w:t>Руски културни центар, Нови Сад</w:t>
      </w:r>
      <w:r w:rsidR="00535A5D">
        <w:rPr>
          <w:sz w:val="24"/>
          <w:szCs w:val="24"/>
          <w:lang w:val="sr-Cyrl-RS"/>
        </w:rPr>
        <w:t>.</w:t>
      </w:r>
    </w:p>
    <w:p w:rsidR="00037E6B" w:rsidRPr="006E75D2" w:rsidRDefault="00037E6B" w:rsidP="00037E6B">
      <w:pPr>
        <w:pStyle w:val="BodyText3"/>
        <w:shd w:val="clear" w:color="auto" w:fill="auto"/>
        <w:tabs>
          <w:tab w:val="left" w:pos="745"/>
        </w:tabs>
        <w:spacing w:before="0" w:after="0" w:line="276" w:lineRule="auto"/>
        <w:ind w:left="20" w:right="20" w:firstLine="0"/>
        <w:jc w:val="both"/>
        <w:rPr>
          <w:sz w:val="24"/>
          <w:szCs w:val="24"/>
          <w:lang w:val="sr-Cyrl-RS"/>
        </w:rPr>
      </w:pPr>
      <w:r w:rsidRPr="006E75D2">
        <w:rPr>
          <w:i/>
          <w:sz w:val="24"/>
          <w:szCs w:val="24"/>
          <w:lang w:val="sr-Cyrl-RS"/>
        </w:rPr>
        <w:tab/>
      </w:r>
      <w:r w:rsidRPr="0026263B">
        <w:rPr>
          <w:sz w:val="24"/>
          <w:szCs w:val="24"/>
          <w:lang w:val="sr-Cyrl-RS"/>
        </w:rPr>
        <w:t xml:space="preserve">Позиву за учешће у изради </w:t>
      </w:r>
      <w:r w:rsidR="00535A5D" w:rsidRPr="0026263B">
        <w:rPr>
          <w:sz w:val="24"/>
          <w:szCs w:val="24"/>
          <w:lang w:val="sr-Cyrl-RS"/>
        </w:rPr>
        <w:t>Пет</w:t>
      </w:r>
      <w:r w:rsidRPr="0026263B">
        <w:rPr>
          <w:sz w:val="24"/>
          <w:szCs w:val="24"/>
          <w:lang w:val="sr-Cyrl-RS"/>
        </w:rPr>
        <w:t>ог извештаја о спровођењу Оквирне конвенције одазва</w:t>
      </w:r>
      <w:r w:rsidR="00C7373E" w:rsidRPr="0026263B">
        <w:rPr>
          <w:sz w:val="24"/>
          <w:szCs w:val="24"/>
          <w:lang w:val="sr-Cyrl-RS"/>
        </w:rPr>
        <w:t>о</w:t>
      </w:r>
      <w:r w:rsidRPr="0026263B">
        <w:rPr>
          <w:sz w:val="24"/>
          <w:szCs w:val="24"/>
          <w:lang w:val="sr-Cyrl-RS"/>
        </w:rPr>
        <w:t xml:space="preserve"> се </w:t>
      </w:r>
      <w:r w:rsidR="0026263B" w:rsidRPr="0026263B">
        <w:rPr>
          <w:sz w:val="24"/>
          <w:szCs w:val="24"/>
          <w:lang w:val="sr-Cyrl-RS"/>
        </w:rPr>
        <w:t xml:space="preserve">само </w:t>
      </w:r>
      <w:r w:rsidR="00C7373E" w:rsidRPr="0026263B">
        <w:rPr>
          <w:sz w:val="24"/>
          <w:szCs w:val="24"/>
          <w:lang w:val="sr-Cyrl-RS"/>
        </w:rPr>
        <w:t>Н</w:t>
      </w:r>
      <w:r w:rsidRPr="0026263B">
        <w:rPr>
          <w:sz w:val="24"/>
          <w:szCs w:val="24"/>
          <w:lang w:val="sr-Cyrl-RS"/>
        </w:rPr>
        <w:t xml:space="preserve">ационални савет </w:t>
      </w:r>
      <w:r w:rsidR="00535A5D" w:rsidRPr="0026263B">
        <w:rPr>
          <w:sz w:val="24"/>
          <w:szCs w:val="24"/>
          <w:lang w:val="sr-Cyrl-RS"/>
        </w:rPr>
        <w:t>бошњачке</w:t>
      </w:r>
      <w:r w:rsidRPr="0026263B">
        <w:rPr>
          <w:sz w:val="24"/>
          <w:szCs w:val="24"/>
          <w:lang w:val="sr-Cyrl-RS"/>
        </w:rPr>
        <w:t xml:space="preserve"> националне мањине</w:t>
      </w:r>
      <w:r w:rsidR="00C7373E" w:rsidRPr="0026263B">
        <w:rPr>
          <w:sz w:val="24"/>
          <w:szCs w:val="24"/>
          <w:lang w:val="sr-Cyrl-RS"/>
        </w:rPr>
        <w:t xml:space="preserve">, </w:t>
      </w:r>
      <w:r w:rsidR="0026263B" w:rsidRPr="0026263B">
        <w:rPr>
          <w:sz w:val="24"/>
          <w:szCs w:val="24"/>
          <w:lang w:val="sr-Cyrl-RS"/>
        </w:rPr>
        <w:t>иако су позиви били упућени свим националним саветима. Такође, позиву су се одазвала</w:t>
      </w:r>
      <w:r w:rsidR="00C7373E" w:rsidRPr="0026263B">
        <w:rPr>
          <w:sz w:val="24"/>
          <w:szCs w:val="24"/>
          <w:lang w:val="sr-Cyrl-RS"/>
        </w:rPr>
        <w:t xml:space="preserve"> и </w:t>
      </w:r>
      <w:r w:rsidRPr="0026263B">
        <w:rPr>
          <w:sz w:val="24"/>
          <w:szCs w:val="24"/>
          <w:lang w:val="sr-Cyrl-RS"/>
        </w:rPr>
        <w:t>следећа удружења: Друштво за русински језик, књижевност и културу, Нови С</w:t>
      </w:r>
      <w:r w:rsidR="005A6E59" w:rsidRPr="0026263B">
        <w:rPr>
          <w:sz w:val="24"/>
          <w:szCs w:val="24"/>
          <w:lang w:val="sr-Cyrl-RS"/>
        </w:rPr>
        <w:t xml:space="preserve">ад; Удружење „Гергина“, Неготин; </w:t>
      </w:r>
      <w:r w:rsidR="00535A5D" w:rsidRPr="0026263B">
        <w:rPr>
          <w:sz w:val="24"/>
          <w:szCs w:val="24"/>
          <w:lang w:val="sr-Cyrl-RS"/>
        </w:rPr>
        <w:t>Удружење грађана Рома продукција Рома ворлд, Ниш</w:t>
      </w:r>
      <w:r w:rsidR="005A6E59" w:rsidRPr="0026263B">
        <w:rPr>
          <w:sz w:val="24"/>
          <w:szCs w:val="24"/>
          <w:lang w:val="sr-Cyrl-RS"/>
        </w:rPr>
        <w:t xml:space="preserve"> и Одбор за људска права, Бујановац</w:t>
      </w:r>
      <w:r w:rsidRPr="0026263B">
        <w:rPr>
          <w:sz w:val="24"/>
          <w:szCs w:val="24"/>
          <w:lang w:val="sr-Cyrl-RS"/>
        </w:rPr>
        <w:t xml:space="preserve">. Њихова основна запажања о појединим питањима положаја националних мањина презентована су у оквиру имплементације одговарајућих одредаба садржаних у </w:t>
      </w:r>
      <w:r w:rsidR="00535A5D" w:rsidRPr="0026263B">
        <w:rPr>
          <w:sz w:val="24"/>
          <w:szCs w:val="24"/>
          <w:lang w:val="sr-Cyrl-RS"/>
        </w:rPr>
        <w:t>Петом</w:t>
      </w:r>
      <w:r w:rsidRPr="0026263B">
        <w:rPr>
          <w:sz w:val="24"/>
          <w:szCs w:val="24"/>
          <w:lang w:val="sr-Cyrl-RS"/>
        </w:rPr>
        <w:t xml:space="preserve"> извештају о спровођењу Оквирне конвенције. Ставови и запажања националних савета и удружења не одражавају нужно мишљења и налазе државних органа.</w:t>
      </w:r>
    </w:p>
    <w:p w:rsidR="00037E6B" w:rsidRPr="006E75D2" w:rsidRDefault="00037E6B" w:rsidP="0087750A">
      <w:pPr>
        <w:pStyle w:val="BodyText3"/>
        <w:shd w:val="clear" w:color="auto" w:fill="auto"/>
        <w:tabs>
          <w:tab w:val="left" w:pos="745"/>
        </w:tabs>
        <w:spacing w:before="0" w:after="0" w:line="276" w:lineRule="auto"/>
        <w:ind w:left="20" w:right="20" w:firstLine="0"/>
        <w:jc w:val="both"/>
        <w:rPr>
          <w:i/>
          <w:sz w:val="24"/>
          <w:szCs w:val="24"/>
          <w:lang w:val="sr-Cyrl-RS"/>
        </w:rPr>
      </w:pPr>
      <w:r w:rsidRPr="006E75D2">
        <w:rPr>
          <w:sz w:val="24"/>
          <w:szCs w:val="24"/>
          <w:lang w:val="sr-Cyrl-RS"/>
        </w:rPr>
        <w:tab/>
      </w:r>
    </w:p>
    <w:p w:rsidR="00037E6B" w:rsidRPr="006E75D2" w:rsidRDefault="00037E6B" w:rsidP="00037E6B">
      <w:pPr>
        <w:pStyle w:val="BodyText3"/>
        <w:numPr>
          <w:ilvl w:val="2"/>
          <w:numId w:val="1"/>
        </w:numPr>
        <w:shd w:val="clear" w:color="auto" w:fill="auto"/>
        <w:tabs>
          <w:tab w:val="left" w:pos="745"/>
        </w:tabs>
        <w:spacing w:before="0" w:after="0" w:line="276" w:lineRule="auto"/>
        <w:ind w:left="740" w:right="20"/>
        <w:jc w:val="both"/>
        <w:rPr>
          <w:i/>
          <w:sz w:val="24"/>
          <w:szCs w:val="24"/>
          <w:lang w:val="sr-Cyrl-RS"/>
        </w:rPr>
      </w:pPr>
      <w:r w:rsidRPr="006E75D2">
        <w:rPr>
          <w:i/>
          <w:sz w:val="24"/>
          <w:szCs w:val="24"/>
          <w:lang w:val="sr-Cyrl-RS"/>
        </w:rPr>
        <w:t>Све друге мере предузете да се промовише свест о Оквирној конвенцији међу националним мањинама, државним службеницима и у јавности</w:t>
      </w:r>
      <w:r w:rsidR="00535A5D">
        <w:rPr>
          <w:i/>
          <w:sz w:val="24"/>
          <w:szCs w:val="24"/>
          <w:lang w:val="sr-Cyrl-RS"/>
        </w:rPr>
        <w:t>.</w:t>
      </w:r>
    </w:p>
    <w:p w:rsidR="00037E6B" w:rsidRPr="006E75D2" w:rsidRDefault="00037E6B" w:rsidP="00037E6B">
      <w:pPr>
        <w:pStyle w:val="BodyText3"/>
        <w:shd w:val="clear" w:color="auto" w:fill="auto"/>
        <w:tabs>
          <w:tab w:val="left" w:pos="745"/>
        </w:tabs>
        <w:spacing w:before="0" w:after="0" w:line="276" w:lineRule="auto"/>
        <w:ind w:left="20" w:right="20" w:firstLine="0"/>
        <w:jc w:val="both"/>
        <w:rPr>
          <w:i/>
          <w:sz w:val="24"/>
          <w:szCs w:val="24"/>
          <w:lang w:val="sr-Cyrl-RS"/>
        </w:rPr>
      </w:pPr>
    </w:p>
    <w:p w:rsidR="0097013D" w:rsidRPr="0097013D" w:rsidRDefault="0097013D" w:rsidP="0097013D">
      <w:pPr>
        <w:spacing w:after="0"/>
        <w:ind w:firstLine="720"/>
        <w:jc w:val="both"/>
        <w:rPr>
          <w:sz w:val="24"/>
          <w:szCs w:val="24"/>
          <w:lang w:val="sr-Cyrl-RS"/>
        </w:rPr>
      </w:pPr>
      <w:r w:rsidRPr="0097013D">
        <w:rPr>
          <w:sz w:val="24"/>
          <w:szCs w:val="24"/>
          <w:lang w:val="sr-Cyrl-RS"/>
        </w:rPr>
        <w:t xml:space="preserve">Акциони план </w:t>
      </w:r>
      <w:r>
        <w:rPr>
          <w:sz w:val="24"/>
          <w:szCs w:val="24"/>
          <w:lang w:val="sr-Cyrl-RS"/>
        </w:rPr>
        <w:t xml:space="preserve">за остваривање права националних мањина из 2016. године </w:t>
      </w:r>
      <w:r w:rsidRPr="0097013D">
        <w:rPr>
          <w:sz w:val="24"/>
          <w:szCs w:val="24"/>
          <w:lang w:val="sr-Cyrl-RS"/>
        </w:rPr>
        <w:t>предвиђа</w:t>
      </w:r>
      <w:r>
        <w:rPr>
          <w:sz w:val="24"/>
          <w:szCs w:val="24"/>
          <w:lang w:val="sr-Cyrl-RS"/>
        </w:rPr>
        <w:t>о је око</w:t>
      </w:r>
      <w:r w:rsidRPr="0097013D">
        <w:rPr>
          <w:sz w:val="24"/>
          <w:szCs w:val="24"/>
          <w:lang w:val="sr-Cyrl-RS"/>
        </w:rPr>
        <w:t xml:space="preserve"> 80 </w:t>
      </w:r>
      <w:r>
        <w:rPr>
          <w:sz w:val="24"/>
          <w:szCs w:val="24"/>
          <w:lang w:val="sr-Cyrl-RS"/>
        </w:rPr>
        <w:t xml:space="preserve">различитих </w:t>
      </w:r>
      <w:r w:rsidRPr="0097013D">
        <w:rPr>
          <w:sz w:val="24"/>
          <w:szCs w:val="24"/>
          <w:lang w:val="sr-Cyrl-RS"/>
        </w:rPr>
        <w:t xml:space="preserve">носилаца активности, међу којима су </w:t>
      </w:r>
      <w:r>
        <w:rPr>
          <w:sz w:val="24"/>
          <w:szCs w:val="24"/>
          <w:lang w:val="sr-Cyrl-RS"/>
        </w:rPr>
        <w:t xml:space="preserve">била </w:t>
      </w:r>
      <w:r w:rsidRPr="0097013D">
        <w:rPr>
          <w:sz w:val="24"/>
          <w:szCs w:val="24"/>
          <w:lang w:val="sr-Cyrl-RS"/>
        </w:rPr>
        <w:t>министарства и други надлежни органи, национални савети националних мањина, покрајинске институције, високошколске установе, регулаторна тела</w:t>
      </w:r>
      <w:r w:rsidR="00C7373E">
        <w:rPr>
          <w:sz w:val="24"/>
          <w:szCs w:val="24"/>
          <w:lang w:val="sr-Cyrl-RS"/>
        </w:rPr>
        <w:t>,</w:t>
      </w:r>
      <w:r w:rsidRPr="0097013D">
        <w:rPr>
          <w:sz w:val="24"/>
          <w:szCs w:val="24"/>
          <w:lang w:val="sr-Cyrl-RS"/>
        </w:rPr>
        <w:t xml:space="preserve"> итд. Током 2017. године у извештавање је укључено и 76 мултиетничких јединица локалне самоуправе и 53 савета за међунационалне односе</w:t>
      </w:r>
      <w:r w:rsidR="00EB3024">
        <w:rPr>
          <w:sz w:val="24"/>
          <w:szCs w:val="24"/>
          <w:lang w:val="sr-Cyrl-RS"/>
        </w:rPr>
        <w:t xml:space="preserve"> који су формирани на нивоу јединица локалне самоуправе</w:t>
      </w:r>
      <w:r w:rsidRPr="0097013D">
        <w:rPr>
          <w:sz w:val="24"/>
          <w:szCs w:val="24"/>
          <w:lang w:val="sr-Cyrl-RS"/>
        </w:rPr>
        <w:t>.</w:t>
      </w:r>
      <w:r>
        <w:rPr>
          <w:sz w:val="24"/>
          <w:szCs w:val="24"/>
          <w:lang w:val="sr-Cyrl-RS"/>
        </w:rPr>
        <w:t xml:space="preserve"> Након што су у извештавање укључене и јединице локалне самоуправе и савети за међунационалне односе, тадашња Канцеларија за људска и мањинска права</w:t>
      </w:r>
      <w:r w:rsidR="00801F4F">
        <w:rPr>
          <w:sz w:val="24"/>
          <w:szCs w:val="24"/>
        </w:rPr>
        <w:t>,</w:t>
      </w:r>
      <w:r>
        <w:rPr>
          <w:sz w:val="24"/>
          <w:szCs w:val="24"/>
          <w:lang w:val="sr-Cyrl-RS"/>
        </w:rPr>
        <w:t xml:space="preserve"> која је припремала извештаје о спровођењу Акционог плана</w:t>
      </w:r>
      <w:r w:rsidR="009A32E7">
        <w:rPr>
          <w:sz w:val="24"/>
          <w:szCs w:val="24"/>
          <w:lang w:val="sr-Cyrl-RS"/>
        </w:rPr>
        <w:t>,</w:t>
      </w:r>
      <w:r>
        <w:rPr>
          <w:sz w:val="24"/>
          <w:szCs w:val="24"/>
          <w:lang w:val="sr-Cyrl-RS"/>
        </w:rPr>
        <w:t xml:space="preserve"> у</w:t>
      </w:r>
      <w:r w:rsidRPr="0097013D">
        <w:rPr>
          <w:sz w:val="24"/>
          <w:szCs w:val="24"/>
          <w:lang w:val="sr-Cyrl-RS"/>
        </w:rPr>
        <w:t xml:space="preserve"> циљу подизања квалитета извештавања о реализованим активностима</w:t>
      </w:r>
      <w:r>
        <w:rPr>
          <w:sz w:val="24"/>
          <w:szCs w:val="24"/>
          <w:lang w:val="sr-Cyrl-RS"/>
        </w:rPr>
        <w:t>,</w:t>
      </w:r>
      <w:r w:rsidRPr="0097013D">
        <w:rPr>
          <w:sz w:val="24"/>
          <w:szCs w:val="24"/>
          <w:lang w:val="sr-Cyrl-RS"/>
        </w:rPr>
        <w:t xml:space="preserve"> јачања капацитета запослених у локалним самоуправама</w:t>
      </w:r>
      <w:r w:rsidR="009A32E7">
        <w:rPr>
          <w:sz w:val="24"/>
          <w:szCs w:val="24"/>
          <w:lang w:val="sr-Cyrl-RS"/>
        </w:rPr>
        <w:t>, а пре свега,</w:t>
      </w:r>
      <w:r>
        <w:rPr>
          <w:sz w:val="24"/>
          <w:szCs w:val="24"/>
          <w:lang w:val="sr-Cyrl-RS"/>
        </w:rPr>
        <w:t xml:space="preserve"> </w:t>
      </w:r>
      <w:r w:rsidR="00043106">
        <w:rPr>
          <w:sz w:val="24"/>
          <w:szCs w:val="24"/>
          <w:lang w:val="sr-Cyrl-RS"/>
        </w:rPr>
        <w:t>у</w:t>
      </w:r>
      <w:r w:rsidR="00043106" w:rsidRPr="00043106">
        <w:rPr>
          <w:sz w:val="24"/>
          <w:szCs w:val="24"/>
          <w:lang w:val="sr-Cyrl-RS"/>
        </w:rPr>
        <w:t>познавањ</w:t>
      </w:r>
      <w:r w:rsidR="009A32E7">
        <w:rPr>
          <w:sz w:val="24"/>
          <w:szCs w:val="24"/>
          <w:lang w:val="sr-Cyrl-RS"/>
        </w:rPr>
        <w:t>а</w:t>
      </w:r>
      <w:r w:rsidR="00043106" w:rsidRPr="00043106">
        <w:rPr>
          <w:sz w:val="24"/>
          <w:szCs w:val="24"/>
          <w:lang w:val="sr-Cyrl-RS"/>
        </w:rPr>
        <w:t xml:space="preserve"> са конвенцијама Савета Европе и препорукама Саветодавног комитета Оквирне конвенције за заштиту националних мањина</w:t>
      </w:r>
      <w:r w:rsidR="009A32E7">
        <w:rPr>
          <w:sz w:val="24"/>
          <w:szCs w:val="24"/>
          <w:lang w:val="sr-Cyrl-RS"/>
        </w:rPr>
        <w:t>,</w:t>
      </w:r>
      <w:r w:rsidR="00EB3024">
        <w:rPr>
          <w:sz w:val="24"/>
          <w:szCs w:val="24"/>
          <w:lang w:val="sr-Cyrl-RS"/>
        </w:rPr>
        <w:t xml:space="preserve"> током 2017. године</w:t>
      </w:r>
      <w:r w:rsidRPr="0097013D">
        <w:rPr>
          <w:sz w:val="24"/>
          <w:szCs w:val="24"/>
          <w:lang w:val="sr-Cyrl-RS"/>
        </w:rPr>
        <w:t xml:space="preserve"> одржала </w:t>
      </w:r>
      <w:r w:rsidR="009A32E7">
        <w:rPr>
          <w:sz w:val="24"/>
          <w:szCs w:val="24"/>
          <w:lang w:val="sr-Cyrl-RS"/>
        </w:rPr>
        <w:t xml:space="preserve">је </w:t>
      </w:r>
      <w:r w:rsidRPr="0097013D">
        <w:rPr>
          <w:sz w:val="24"/>
          <w:szCs w:val="24"/>
          <w:lang w:val="sr-Cyrl-RS"/>
        </w:rPr>
        <w:t>обуке:</w:t>
      </w:r>
    </w:p>
    <w:p w:rsidR="0097013D" w:rsidRPr="0097013D" w:rsidRDefault="00EB3024" w:rsidP="00EB3024">
      <w:pPr>
        <w:spacing w:after="0"/>
        <w:ind w:firstLine="720"/>
        <w:jc w:val="both"/>
        <w:rPr>
          <w:sz w:val="24"/>
          <w:szCs w:val="24"/>
          <w:lang w:val="sr-Cyrl-RS"/>
        </w:rPr>
      </w:pPr>
      <w:r>
        <w:rPr>
          <w:sz w:val="24"/>
          <w:szCs w:val="24"/>
          <w:lang w:val="sr-Cyrl-RS"/>
        </w:rPr>
        <w:t xml:space="preserve">- </w:t>
      </w:r>
      <w:r w:rsidR="0097013D" w:rsidRPr="0097013D">
        <w:rPr>
          <w:sz w:val="24"/>
          <w:szCs w:val="24"/>
          <w:lang w:val="sr-Cyrl-RS"/>
        </w:rPr>
        <w:t xml:space="preserve">25. септембра у Нишу, за представнике 12 локалних самоуправа </w:t>
      </w:r>
      <w:r w:rsidR="009A32E7">
        <w:rPr>
          <w:sz w:val="24"/>
          <w:szCs w:val="24"/>
          <w:lang w:val="sr-Cyrl-RS"/>
        </w:rPr>
        <w:t>с</w:t>
      </w:r>
      <w:r w:rsidR="0097013D" w:rsidRPr="0097013D">
        <w:rPr>
          <w:sz w:val="24"/>
          <w:szCs w:val="24"/>
          <w:lang w:val="sr-Cyrl-RS"/>
        </w:rPr>
        <w:t>а југ</w:t>
      </w:r>
      <w:r w:rsidR="009A32E7">
        <w:rPr>
          <w:sz w:val="24"/>
          <w:szCs w:val="24"/>
          <w:lang w:val="sr-Cyrl-RS"/>
        </w:rPr>
        <w:t>а</w:t>
      </w:r>
      <w:r w:rsidR="0097013D" w:rsidRPr="0097013D">
        <w:rPr>
          <w:sz w:val="24"/>
          <w:szCs w:val="24"/>
          <w:lang w:val="sr-Cyrl-RS"/>
        </w:rPr>
        <w:t xml:space="preserve"> Србије, </w:t>
      </w:r>
      <w:r>
        <w:rPr>
          <w:sz w:val="24"/>
          <w:szCs w:val="24"/>
          <w:lang w:val="sr-Cyrl-RS"/>
        </w:rPr>
        <w:t xml:space="preserve"> </w:t>
      </w:r>
    </w:p>
    <w:p w:rsidR="0097013D" w:rsidRDefault="00EB3024" w:rsidP="00EB3024">
      <w:pPr>
        <w:spacing w:after="0"/>
        <w:ind w:firstLine="720"/>
        <w:jc w:val="both"/>
        <w:rPr>
          <w:sz w:val="24"/>
          <w:szCs w:val="24"/>
          <w:lang w:val="sr-Cyrl-RS"/>
        </w:rPr>
      </w:pPr>
      <w:r>
        <w:rPr>
          <w:sz w:val="24"/>
          <w:szCs w:val="24"/>
          <w:lang w:val="sr-Cyrl-RS"/>
        </w:rPr>
        <w:t xml:space="preserve">- </w:t>
      </w:r>
      <w:r w:rsidR="0097013D" w:rsidRPr="0097013D">
        <w:rPr>
          <w:sz w:val="24"/>
          <w:szCs w:val="24"/>
          <w:lang w:val="sr-Cyrl-RS"/>
        </w:rPr>
        <w:t>27.</w:t>
      </w:r>
      <w:r>
        <w:rPr>
          <w:sz w:val="24"/>
          <w:szCs w:val="24"/>
          <w:lang w:val="sr-Cyrl-RS"/>
        </w:rPr>
        <w:t xml:space="preserve"> септембра </w:t>
      </w:r>
      <w:r w:rsidR="0097013D" w:rsidRPr="0097013D">
        <w:rPr>
          <w:sz w:val="24"/>
          <w:szCs w:val="24"/>
          <w:lang w:val="sr-Cyrl-RS"/>
        </w:rPr>
        <w:t>у Новом Саду, за представнике 40 локалних самоуправа из АП Војводине.</w:t>
      </w:r>
    </w:p>
    <w:p w:rsidR="003A4824" w:rsidRPr="003A4824" w:rsidRDefault="003A4824" w:rsidP="003A4824">
      <w:pPr>
        <w:spacing w:after="0"/>
        <w:ind w:firstLine="720"/>
        <w:jc w:val="both"/>
        <w:rPr>
          <w:sz w:val="24"/>
          <w:szCs w:val="24"/>
          <w:lang w:val="sr-Cyrl-RS"/>
        </w:rPr>
      </w:pPr>
      <w:r w:rsidRPr="003A4824">
        <w:rPr>
          <w:sz w:val="24"/>
          <w:szCs w:val="24"/>
          <w:lang w:val="sr-Cyrl-RS"/>
        </w:rPr>
        <w:lastRenderedPageBreak/>
        <w:t>Канцеларија за људска и мањинска права је</w:t>
      </w:r>
      <w:r w:rsidR="00354C9C">
        <w:rPr>
          <w:sz w:val="24"/>
          <w:szCs w:val="24"/>
          <w:lang w:val="sr-Cyrl-RS"/>
        </w:rPr>
        <w:t>,</w:t>
      </w:r>
      <w:r w:rsidRPr="003A4824">
        <w:rPr>
          <w:sz w:val="24"/>
          <w:szCs w:val="24"/>
          <w:lang w:val="sr-Cyrl-RS"/>
        </w:rPr>
        <w:t xml:space="preserve"> у сарадњи са Канцеларијом Савета Европе у Београду у оквиру пројекта </w:t>
      </w:r>
      <w:r w:rsidRPr="009A32E7">
        <w:rPr>
          <w:i/>
          <w:sz w:val="24"/>
          <w:szCs w:val="24"/>
          <w:lang w:val="sr-Cyrl-RS"/>
        </w:rPr>
        <w:t>Јачање заштите националних мањина у Србији</w:t>
      </w:r>
      <w:r w:rsidRPr="003A4824">
        <w:rPr>
          <w:sz w:val="24"/>
          <w:szCs w:val="24"/>
          <w:lang w:val="sr-Cyrl-RS"/>
        </w:rPr>
        <w:t xml:space="preserve"> </w:t>
      </w:r>
      <w:r w:rsidR="00354C9C" w:rsidRPr="00354C9C">
        <w:rPr>
          <w:sz w:val="24"/>
          <w:szCs w:val="24"/>
          <w:lang w:val="sr-Cyrl-RS"/>
        </w:rPr>
        <w:t xml:space="preserve">који је </w:t>
      </w:r>
      <w:r w:rsidR="00354C9C">
        <w:rPr>
          <w:sz w:val="24"/>
          <w:szCs w:val="24"/>
          <w:lang w:val="sr-Cyrl-RS"/>
        </w:rPr>
        <w:t xml:space="preserve">био </w:t>
      </w:r>
      <w:r w:rsidR="00354C9C" w:rsidRPr="00354C9C">
        <w:rPr>
          <w:sz w:val="24"/>
          <w:szCs w:val="24"/>
          <w:lang w:val="sr-Cyrl-RS"/>
        </w:rPr>
        <w:t xml:space="preserve">део заједничког програма Европске уније/Савета Европе „Horizontal Facility за Западни Балкан и Турску” (фаза </w:t>
      </w:r>
      <w:r w:rsidR="00354C9C">
        <w:rPr>
          <w:sz w:val="24"/>
          <w:szCs w:val="24"/>
          <w:lang w:val="sr-Cyrl-RS"/>
        </w:rPr>
        <w:t>1</w:t>
      </w:r>
      <w:r w:rsidR="00354C9C" w:rsidRPr="00354C9C">
        <w:rPr>
          <w:sz w:val="24"/>
          <w:szCs w:val="24"/>
          <w:lang w:val="sr-Cyrl-RS"/>
        </w:rPr>
        <w:t>)</w:t>
      </w:r>
      <w:r w:rsidR="00354C9C">
        <w:rPr>
          <w:sz w:val="24"/>
          <w:szCs w:val="24"/>
          <w:lang w:val="sr-Cyrl-RS"/>
        </w:rPr>
        <w:t xml:space="preserve">, </w:t>
      </w:r>
      <w:r w:rsidRPr="003A4824">
        <w:rPr>
          <w:sz w:val="24"/>
          <w:szCs w:val="24"/>
          <w:lang w:val="sr-Cyrl-RS"/>
        </w:rPr>
        <w:t xml:space="preserve">организовала 19. марта 2019. године представљање резултата који се односе на спровођење Акционог плана за остваривање права националних мањина. </w:t>
      </w:r>
    </w:p>
    <w:p w:rsidR="003A4824" w:rsidRDefault="003A4824" w:rsidP="003A4824">
      <w:pPr>
        <w:spacing w:after="0"/>
        <w:ind w:firstLine="720"/>
        <w:jc w:val="both"/>
        <w:rPr>
          <w:sz w:val="24"/>
          <w:szCs w:val="24"/>
          <w:lang w:val="sr-Cyrl-RS"/>
        </w:rPr>
      </w:pPr>
      <w:r w:rsidRPr="003A4824">
        <w:rPr>
          <w:sz w:val="24"/>
          <w:szCs w:val="24"/>
          <w:lang w:val="sr-Cyrl-RS"/>
        </w:rPr>
        <w:t>У оквиру овог пројекта израђена је Анализа извештаја о примени Акционог плана за остваривање права националних мањина, која садржи и препоруке за будућа побољшања у складу са стандардима Савета Европе и Европске уније. Анализу су израдили експерти, на основу периодичних извештаја о спровођењу Акционог плана и на основу разговора са лицима задуженим за припрему извештаја у појединим органима и телима, имајући у виду европске стандарде у овој области, а пре свега одредбе Оквирне конвенције за заштиту националних мањина Савета Европе.</w:t>
      </w:r>
    </w:p>
    <w:p w:rsidR="003A4824" w:rsidRDefault="003A4824" w:rsidP="003A4824">
      <w:pPr>
        <w:spacing w:after="0"/>
        <w:ind w:firstLine="720"/>
        <w:jc w:val="both"/>
        <w:rPr>
          <w:sz w:val="24"/>
          <w:szCs w:val="24"/>
          <w:lang w:val="sr-Cyrl-RS"/>
        </w:rPr>
      </w:pPr>
      <w:r w:rsidRPr="003A4824">
        <w:rPr>
          <w:sz w:val="24"/>
          <w:szCs w:val="24"/>
          <w:lang w:val="sr-Cyrl-RS"/>
        </w:rPr>
        <w:t>Представљању су присуствовали представници државних органа, међународних организација, независних државних органа и националних савета националних мањина, који су се сагласили да је од усвајања Акционог плана учињен значајан помак у погледу унапређења законских решења и њихове доследније примене, као и подизања људских и материјалних капацитета у појединим областима друштвеног живота у којима се остварују права припадника националних мањина, што из</w:t>
      </w:r>
      <w:r w:rsidR="006904C2">
        <w:rPr>
          <w:sz w:val="24"/>
          <w:szCs w:val="24"/>
          <w:lang w:val="sr-Cyrl-RS"/>
        </w:rPr>
        <w:t>вештаји јасно документују</w:t>
      </w:r>
      <w:r w:rsidRPr="003A4824">
        <w:rPr>
          <w:sz w:val="24"/>
          <w:szCs w:val="24"/>
          <w:lang w:val="sr-Cyrl-RS"/>
        </w:rPr>
        <w:t>.</w:t>
      </w:r>
    </w:p>
    <w:p w:rsidR="00AB5BA5" w:rsidRDefault="006904C2" w:rsidP="006904C2">
      <w:pPr>
        <w:spacing w:after="0"/>
        <w:ind w:firstLine="720"/>
        <w:jc w:val="both"/>
        <w:rPr>
          <w:sz w:val="24"/>
          <w:szCs w:val="24"/>
          <w:lang w:val="sr-Cyrl-RS"/>
        </w:rPr>
      </w:pPr>
      <w:r>
        <w:rPr>
          <w:sz w:val="24"/>
          <w:szCs w:val="24"/>
          <w:lang w:val="sr-Cyrl-RS"/>
        </w:rPr>
        <w:t xml:space="preserve">Такође, значајне мере </w:t>
      </w:r>
      <w:r w:rsidRPr="006904C2">
        <w:rPr>
          <w:sz w:val="24"/>
          <w:szCs w:val="24"/>
          <w:lang w:val="sr-Cyrl-RS"/>
        </w:rPr>
        <w:t xml:space="preserve">да се промовише свест о Оквирној конвенцији међу државним службеницима </w:t>
      </w:r>
      <w:r>
        <w:rPr>
          <w:sz w:val="24"/>
          <w:szCs w:val="24"/>
          <w:lang w:val="sr-Cyrl-RS"/>
        </w:rPr>
        <w:t xml:space="preserve">предвиђене су </w:t>
      </w:r>
      <w:r w:rsidR="0016720E" w:rsidRPr="0016720E">
        <w:rPr>
          <w:sz w:val="24"/>
          <w:szCs w:val="24"/>
          <w:lang w:val="sr-Cyrl-RS"/>
        </w:rPr>
        <w:t>Правилником о утврђивању програма општег стручног усавршавања државних службеника из органа државне управе и служби Владе</w:t>
      </w:r>
      <w:r>
        <w:rPr>
          <w:sz w:val="24"/>
          <w:szCs w:val="24"/>
          <w:lang w:val="sr-Cyrl-RS"/>
        </w:rPr>
        <w:t>.</w:t>
      </w:r>
      <w:r w:rsidR="0016720E">
        <w:rPr>
          <w:rStyle w:val="FootnoteReference"/>
          <w:sz w:val="24"/>
          <w:szCs w:val="24"/>
          <w:lang w:val="sr-Cyrl-RS"/>
        </w:rPr>
        <w:footnoteReference w:id="1"/>
      </w:r>
      <w:r>
        <w:rPr>
          <w:sz w:val="24"/>
          <w:szCs w:val="24"/>
          <w:lang w:val="sr-Cyrl-RS"/>
        </w:rPr>
        <w:t xml:space="preserve"> У</w:t>
      </w:r>
      <w:r w:rsidR="0016720E" w:rsidRPr="0016720E">
        <w:rPr>
          <w:sz w:val="24"/>
          <w:szCs w:val="24"/>
          <w:lang w:val="sr-Cyrl-RS"/>
        </w:rPr>
        <w:t xml:space="preserve"> оквиру Програма општег континуираног стручног усавршавања државних службеника утврђена је програмска област Заштита људских права и тајност података, са припадајућим тематским областима Заштита од дискриминације, Дискриминација пред органима јавне власти, Заштита података о личности, Заштита тајних података, Права припадника националних мањина, Механизми за праћење стања људских права у Републици Србији с освртом на посебно осетљиве групе и Извршавање пресуда Европског суда за људска права.</w:t>
      </w:r>
      <w:r>
        <w:rPr>
          <w:sz w:val="24"/>
          <w:szCs w:val="24"/>
          <w:lang w:val="sr-Cyrl-RS"/>
        </w:rPr>
        <w:t xml:space="preserve"> </w:t>
      </w:r>
      <w:r w:rsidR="0016720E">
        <w:rPr>
          <w:sz w:val="24"/>
          <w:szCs w:val="24"/>
        </w:rPr>
        <w:t>T</w:t>
      </w:r>
      <w:r w:rsidR="0016720E" w:rsidRPr="0016720E">
        <w:rPr>
          <w:sz w:val="24"/>
          <w:szCs w:val="24"/>
          <w:lang w:val="sr-Cyrl-RS"/>
        </w:rPr>
        <w:t>ематск</w:t>
      </w:r>
      <w:r w:rsidR="0016720E">
        <w:rPr>
          <w:sz w:val="24"/>
          <w:szCs w:val="24"/>
          <w:lang w:val="sr-Cyrl-RS"/>
        </w:rPr>
        <w:t>а</w:t>
      </w:r>
      <w:r w:rsidR="0016720E" w:rsidRPr="0016720E">
        <w:rPr>
          <w:sz w:val="24"/>
          <w:szCs w:val="24"/>
          <w:lang w:val="sr-Cyrl-RS"/>
        </w:rPr>
        <w:t xml:space="preserve"> област Права п</w:t>
      </w:r>
      <w:r w:rsidR="0016720E">
        <w:rPr>
          <w:sz w:val="24"/>
          <w:szCs w:val="24"/>
          <w:lang w:val="sr-Cyrl-RS"/>
        </w:rPr>
        <w:t xml:space="preserve">рипадника националних мањина </w:t>
      </w:r>
      <w:r w:rsidR="0016720E" w:rsidRPr="0016720E">
        <w:rPr>
          <w:sz w:val="24"/>
          <w:szCs w:val="24"/>
          <w:lang w:val="sr-Cyrl-RS"/>
        </w:rPr>
        <w:t>има за циљ упознавање полазника са правима припадника националних мањина која су утврђена важећим прописима</w:t>
      </w:r>
      <w:r w:rsidR="0016720E">
        <w:rPr>
          <w:sz w:val="24"/>
          <w:szCs w:val="24"/>
        </w:rPr>
        <w:t xml:space="preserve"> </w:t>
      </w:r>
      <w:r w:rsidR="0016720E">
        <w:rPr>
          <w:sz w:val="24"/>
          <w:szCs w:val="24"/>
          <w:lang w:val="sr-Cyrl-RS"/>
        </w:rPr>
        <w:t>и међународним стандардима</w:t>
      </w:r>
      <w:r w:rsidR="00C7373E">
        <w:rPr>
          <w:sz w:val="24"/>
          <w:szCs w:val="24"/>
          <w:lang w:val="sr-Cyrl-RS"/>
        </w:rPr>
        <w:t>,</w:t>
      </w:r>
      <w:r w:rsidR="0016720E" w:rsidRPr="0016720E">
        <w:rPr>
          <w:sz w:val="24"/>
          <w:szCs w:val="24"/>
          <w:lang w:val="sr-Cyrl-RS"/>
        </w:rPr>
        <w:t xml:space="preserve"> информисање о начину и поступку за остваривање и заштиту права припадника националних мањина, као и надлежним органима </w:t>
      </w:r>
      <w:r w:rsidR="0016720E">
        <w:rPr>
          <w:sz w:val="24"/>
          <w:szCs w:val="24"/>
          <w:lang w:val="sr-Cyrl-RS"/>
        </w:rPr>
        <w:t>за</w:t>
      </w:r>
      <w:r w:rsidR="0016720E" w:rsidRPr="0016720E">
        <w:rPr>
          <w:sz w:val="24"/>
          <w:szCs w:val="24"/>
          <w:lang w:val="sr-Cyrl-RS"/>
        </w:rPr>
        <w:t xml:space="preserve"> питања из ове области</w:t>
      </w:r>
      <w:r w:rsidR="00C7373E">
        <w:rPr>
          <w:sz w:val="24"/>
          <w:szCs w:val="24"/>
          <w:lang w:val="sr-Cyrl-RS"/>
        </w:rPr>
        <w:t>,</w:t>
      </w:r>
      <w:r w:rsidR="0016720E" w:rsidRPr="0016720E">
        <w:rPr>
          <w:sz w:val="24"/>
          <w:szCs w:val="24"/>
          <w:lang w:val="sr-Cyrl-RS"/>
        </w:rPr>
        <w:t xml:space="preserve"> стицање знања о националним саветима националних мањина</w:t>
      </w:r>
      <w:r w:rsidR="00C7373E">
        <w:rPr>
          <w:sz w:val="24"/>
          <w:szCs w:val="24"/>
          <w:lang w:val="sr-Cyrl-RS"/>
        </w:rPr>
        <w:t>,</w:t>
      </w:r>
      <w:r w:rsidR="0016720E" w:rsidRPr="0016720E">
        <w:rPr>
          <w:sz w:val="24"/>
          <w:szCs w:val="24"/>
          <w:lang w:val="sr-Cyrl-RS"/>
        </w:rPr>
        <w:t xml:space="preserve"> упознавање са обавезама Републике Србије у процесу европских интеграција</w:t>
      </w:r>
      <w:r w:rsidR="0016720E">
        <w:rPr>
          <w:sz w:val="24"/>
          <w:szCs w:val="24"/>
          <w:lang w:val="sr-Cyrl-RS"/>
        </w:rPr>
        <w:t xml:space="preserve"> која се </w:t>
      </w:r>
      <w:r w:rsidR="0016720E" w:rsidRPr="0016720E">
        <w:rPr>
          <w:sz w:val="24"/>
          <w:szCs w:val="24"/>
          <w:lang w:val="sr-Cyrl-RS"/>
        </w:rPr>
        <w:t xml:space="preserve">односе на права припадника националних мањина. </w:t>
      </w:r>
      <w:r>
        <w:rPr>
          <w:sz w:val="24"/>
          <w:szCs w:val="24"/>
          <w:lang w:val="sr-Cyrl-RS"/>
        </w:rPr>
        <w:t xml:space="preserve"> </w:t>
      </w:r>
      <w:r w:rsidR="0016720E" w:rsidRPr="0016720E">
        <w:rPr>
          <w:sz w:val="24"/>
          <w:szCs w:val="24"/>
          <w:lang w:val="sr-Cyrl-RS"/>
        </w:rPr>
        <w:t xml:space="preserve">Циљна група </w:t>
      </w:r>
      <w:r w:rsidR="00C7373E">
        <w:rPr>
          <w:sz w:val="24"/>
          <w:szCs w:val="24"/>
          <w:lang w:val="sr-Cyrl-RS"/>
        </w:rPr>
        <w:t>на</w:t>
      </w:r>
      <w:r w:rsidR="0016720E" w:rsidRPr="0016720E">
        <w:rPr>
          <w:sz w:val="24"/>
          <w:szCs w:val="24"/>
          <w:lang w:val="sr-Cyrl-RS"/>
        </w:rPr>
        <w:t xml:space="preserve"> обукама које се организују у оквиру ове тематске области су сви државни службеници, а очекивани исход </w:t>
      </w:r>
      <w:r w:rsidR="00C7373E">
        <w:rPr>
          <w:sz w:val="24"/>
          <w:szCs w:val="24"/>
          <w:lang w:val="sr-Cyrl-RS"/>
        </w:rPr>
        <w:t xml:space="preserve">је </w:t>
      </w:r>
      <w:r w:rsidR="0016720E" w:rsidRPr="0016720E">
        <w:rPr>
          <w:sz w:val="24"/>
          <w:szCs w:val="24"/>
          <w:lang w:val="sr-Cyrl-RS"/>
        </w:rPr>
        <w:t>унапређење и стицање нових знања, као и подизање свести државних службеника о правима припадника националних мањина и начину и поступку остваривања и заштите њихових права.</w:t>
      </w:r>
      <w:r w:rsidR="003D18B6">
        <w:rPr>
          <w:sz w:val="24"/>
          <w:szCs w:val="24"/>
          <w:lang w:val="sr-Cyrl-RS"/>
        </w:rPr>
        <w:t xml:space="preserve"> </w:t>
      </w:r>
      <w:r w:rsidR="003D18B6" w:rsidRPr="0026263B">
        <w:rPr>
          <w:sz w:val="24"/>
          <w:szCs w:val="24"/>
          <w:lang w:val="sr-Cyrl-RS"/>
        </w:rPr>
        <w:t>Обуке се континуирано спроводе.</w:t>
      </w:r>
    </w:p>
    <w:p w:rsidR="006904C2" w:rsidRDefault="006904C2" w:rsidP="006904C2">
      <w:pPr>
        <w:spacing w:after="0"/>
        <w:jc w:val="both"/>
        <w:rPr>
          <w:sz w:val="24"/>
          <w:szCs w:val="24"/>
          <w:lang w:val="sr-Cyrl-RS"/>
        </w:rPr>
      </w:pPr>
    </w:p>
    <w:p w:rsidR="006904C2" w:rsidRDefault="006904C2" w:rsidP="009A1D57">
      <w:pPr>
        <w:pStyle w:val="Heading1"/>
      </w:pPr>
      <w:bookmarkStart w:id="4" w:name="_Toc111191321"/>
      <w:r w:rsidRPr="00775DEF">
        <w:lastRenderedPageBreak/>
        <w:t>III. Мере предузете за решавање кључних питања</w:t>
      </w:r>
      <w:bookmarkEnd w:id="4"/>
    </w:p>
    <w:p w:rsidR="00775DEF" w:rsidRPr="00775DEF" w:rsidRDefault="00775DEF" w:rsidP="00775DEF">
      <w:pPr>
        <w:spacing w:after="0"/>
        <w:jc w:val="both"/>
        <w:rPr>
          <w:b/>
          <w:sz w:val="24"/>
          <w:szCs w:val="24"/>
        </w:rPr>
      </w:pPr>
    </w:p>
    <w:p w:rsidR="006904C2" w:rsidRPr="00D961D0" w:rsidRDefault="006904C2" w:rsidP="00775DEF">
      <w:pPr>
        <w:spacing w:after="0"/>
        <w:jc w:val="both"/>
        <w:rPr>
          <w:i/>
          <w:sz w:val="24"/>
          <w:szCs w:val="24"/>
          <w:lang w:val="sr-Cyrl-RS"/>
        </w:rPr>
      </w:pPr>
      <w:r w:rsidRPr="00D961D0">
        <w:rPr>
          <w:i/>
          <w:sz w:val="24"/>
          <w:szCs w:val="24"/>
        </w:rPr>
        <w:t xml:space="preserve">1. </w:t>
      </w:r>
      <w:r w:rsidRPr="00D961D0">
        <w:rPr>
          <w:i/>
          <w:sz w:val="24"/>
          <w:szCs w:val="24"/>
          <w:lang w:val="sr-Cyrl-RS"/>
        </w:rPr>
        <w:t>Подићи свест припадника ромске мањине који живе у неформалним насељима, као и релевантних радника у заједници, о законодавним стандардима и правним лековима који су доступни жртвама дискриминације; наставити и интензивирати одлучно решавање питања структуралне дискриминације са којом се Роми суочавају у погледу њиховог статуса држављанства, као и становања, здравствене заштите, образовања и запошљавања, укључујући предузимање потребних афирмативних мера за решавање узрока дискриминације с којом се суочавају; елиминисати све облике сегрегације ромске деце и укључити их у редовно образовање; удвостручити напоре у борби против изостајања из школе и раног напуштања школовања међу ромском децом, укључујући ширењем и развојем дугорочног коришћења услуга педагошких асистената; појачати напоре на побољшању учешћа Рома у економском и друштвеном животу, креирањем мера политика које су засноване на рашчлањеним подацима, успостављајући јасне показатеље, пратећи их у блиској сарадњи са представницима Рома, у циљу њиховог прилагођавања и јачања на периодичној основи.</w:t>
      </w:r>
    </w:p>
    <w:p w:rsidR="006904C2" w:rsidRDefault="006904C2" w:rsidP="006904C2">
      <w:pPr>
        <w:spacing w:after="0"/>
        <w:jc w:val="both"/>
        <w:rPr>
          <w:sz w:val="24"/>
          <w:szCs w:val="24"/>
          <w:lang w:val="sr-Cyrl-RS"/>
        </w:rPr>
      </w:pPr>
    </w:p>
    <w:p w:rsidR="006904C2" w:rsidRDefault="006904C2" w:rsidP="006904C2">
      <w:pPr>
        <w:spacing w:after="0"/>
        <w:ind w:firstLine="720"/>
        <w:jc w:val="both"/>
        <w:rPr>
          <w:sz w:val="24"/>
          <w:szCs w:val="24"/>
          <w:lang w:val="sr-Cyrl-RS"/>
        </w:rPr>
      </w:pPr>
      <w:r>
        <w:rPr>
          <w:sz w:val="24"/>
          <w:szCs w:val="24"/>
          <w:lang w:val="sr-Cyrl-RS"/>
        </w:rPr>
        <w:t>Република Србија спроводи низ активности које имају за циљ</w:t>
      </w:r>
      <w:r>
        <w:rPr>
          <w:sz w:val="24"/>
          <w:szCs w:val="24"/>
        </w:rPr>
        <w:t xml:space="preserve"> </w:t>
      </w:r>
      <w:r>
        <w:rPr>
          <w:sz w:val="24"/>
          <w:szCs w:val="24"/>
          <w:lang w:val="sr-Cyrl-RS"/>
        </w:rPr>
        <w:t xml:space="preserve">унапређење положаја припадника ромске мањине, укључујући и мере </w:t>
      </w:r>
      <w:r w:rsidRPr="00D17AC5">
        <w:rPr>
          <w:sz w:val="24"/>
          <w:szCs w:val="24"/>
          <w:lang w:val="sr-Cyrl-RS"/>
        </w:rPr>
        <w:t xml:space="preserve">за решавање узрока дискриминације с којом се суочавају </w:t>
      </w:r>
      <w:r>
        <w:rPr>
          <w:sz w:val="24"/>
          <w:szCs w:val="24"/>
          <w:lang w:val="sr-Cyrl-RS"/>
        </w:rPr>
        <w:t>и п</w:t>
      </w:r>
      <w:r w:rsidRPr="00D17AC5">
        <w:rPr>
          <w:sz w:val="24"/>
          <w:szCs w:val="24"/>
          <w:lang w:val="sr-Cyrl-RS"/>
        </w:rPr>
        <w:t>оди</w:t>
      </w:r>
      <w:r>
        <w:rPr>
          <w:sz w:val="24"/>
          <w:szCs w:val="24"/>
          <w:lang w:val="sr-Cyrl-RS"/>
        </w:rPr>
        <w:t>зање</w:t>
      </w:r>
      <w:r w:rsidRPr="00D17AC5">
        <w:rPr>
          <w:sz w:val="24"/>
          <w:szCs w:val="24"/>
          <w:lang w:val="sr-Cyrl-RS"/>
        </w:rPr>
        <w:t xml:space="preserve"> свест</w:t>
      </w:r>
      <w:r>
        <w:rPr>
          <w:sz w:val="24"/>
          <w:szCs w:val="24"/>
          <w:lang w:val="sr-Cyrl-RS"/>
        </w:rPr>
        <w:t>и</w:t>
      </w:r>
      <w:r w:rsidRPr="00D17AC5">
        <w:rPr>
          <w:sz w:val="24"/>
          <w:szCs w:val="24"/>
          <w:lang w:val="sr-Cyrl-RS"/>
        </w:rPr>
        <w:t xml:space="preserve"> припадника ромске мањине који живе у неформалним насељима, као и релевантних радника у заједници, о законодавним стандардима и правним лековима који су доступни жртвама дискриминације</w:t>
      </w:r>
      <w:r>
        <w:rPr>
          <w:sz w:val="24"/>
          <w:szCs w:val="24"/>
          <w:lang w:val="sr-Cyrl-RS"/>
        </w:rPr>
        <w:t>.</w:t>
      </w:r>
      <w:r w:rsidRPr="00D17AC5">
        <w:rPr>
          <w:sz w:val="24"/>
          <w:szCs w:val="24"/>
          <w:lang w:val="sr-Cyrl-RS"/>
        </w:rPr>
        <w:t xml:space="preserve"> </w:t>
      </w:r>
    </w:p>
    <w:p w:rsidR="0043699C" w:rsidRDefault="0043699C" w:rsidP="0043699C">
      <w:pPr>
        <w:spacing w:after="0"/>
        <w:jc w:val="both"/>
        <w:rPr>
          <w:sz w:val="24"/>
          <w:szCs w:val="24"/>
          <w:lang w:val="sr-Cyrl-RS"/>
        </w:rPr>
      </w:pPr>
    </w:p>
    <w:p w:rsidR="0043699C" w:rsidRPr="0043699C" w:rsidRDefault="0043699C" w:rsidP="0043699C">
      <w:pPr>
        <w:spacing w:after="0"/>
        <w:jc w:val="both"/>
        <w:rPr>
          <w:i/>
          <w:sz w:val="24"/>
          <w:szCs w:val="24"/>
          <w:lang w:val="sr-Cyrl-RS"/>
        </w:rPr>
      </w:pPr>
      <w:r w:rsidRPr="0043699C">
        <w:rPr>
          <w:i/>
          <w:sz w:val="24"/>
          <w:szCs w:val="24"/>
          <w:lang w:val="sr-Cyrl-RS"/>
        </w:rPr>
        <w:t>Активности на подизању свести о законодавним стандардима и правним лековима који су доступни жртвама дискриминације</w:t>
      </w:r>
    </w:p>
    <w:p w:rsidR="0043699C" w:rsidRDefault="0043699C" w:rsidP="0043699C">
      <w:pPr>
        <w:spacing w:after="0"/>
        <w:jc w:val="both"/>
        <w:rPr>
          <w:sz w:val="24"/>
          <w:szCs w:val="24"/>
          <w:lang w:val="sr-Cyrl-RS"/>
        </w:rPr>
      </w:pPr>
    </w:p>
    <w:p w:rsidR="006904C2" w:rsidRDefault="003C6D26" w:rsidP="006904C2">
      <w:pPr>
        <w:spacing w:after="0"/>
        <w:ind w:firstLine="720"/>
        <w:jc w:val="both"/>
        <w:rPr>
          <w:sz w:val="24"/>
          <w:szCs w:val="24"/>
          <w:lang w:val="sr-Cyrl-RS"/>
        </w:rPr>
      </w:pPr>
      <w:r w:rsidRPr="003C6D26">
        <w:rPr>
          <w:sz w:val="24"/>
          <w:szCs w:val="24"/>
          <w:lang w:val="sr-Cyrl-RS"/>
        </w:rPr>
        <w:t>Повереник за заштиту равноправности</w:t>
      </w:r>
      <w:r w:rsidR="00C222C6">
        <w:rPr>
          <w:sz w:val="24"/>
          <w:szCs w:val="24"/>
          <w:lang w:val="sr-Cyrl-RS"/>
        </w:rPr>
        <w:t>,</w:t>
      </w:r>
      <w:r w:rsidRPr="003C6D26">
        <w:rPr>
          <w:sz w:val="24"/>
          <w:szCs w:val="24"/>
          <w:lang w:val="sr-Cyrl-RS"/>
        </w:rPr>
        <w:t xml:space="preserve"> као нeзaвисaн, сaмoстaлaн и спeциjaлизoвaн држaвни oргaн чија је надлежност спрeчaвaњe свих видoвa, oбликa и случajeвa дискриминaциje, зaштитa рaвнoпрaвнoсти, кao и унaпрeђивaњe oствaривaњa и зaштитe рaвнoпрaвнoсти,</w:t>
      </w:r>
      <w:r w:rsidR="006904C2">
        <w:rPr>
          <w:sz w:val="24"/>
          <w:szCs w:val="24"/>
          <w:lang w:val="sr-Cyrl-RS"/>
        </w:rPr>
        <w:t xml:space="preserve"> </w:t>
      </w:r>
      <w:r w:rsidR="006904C2" w:rsidRPr="00D961D0">
        <w:rPr>
          <w:sz w:val="24"/>
          <w:szCs w:val="24"/>
          <w:lang w:val="sr-Cyrl-RS"/>
        </w:rPr>
        <w:t xml:space="preserve">припремио </w:t>
      </w:r>
      <w:r>
        <w:rPr>
          <w:sz w:val="24"/>
          <w:szCs w:val="24"/>
          <w:lang w:val="sr-Cyrl-RS"/>
        </w:rPr>
        <w:t xml:space="preserve">је </w:t>
      </w:r>
      <w:r w:rsidR="006904C2" w:rsidRPr="00D961D0">
        <w:rPr>
          <w:sz w:val="24"/>
          <w:szCs w:val="24"/>
          <w:lang w:val="sr-Cyrl-RS"/>
        </w:rPr>
        <w:t>и објавио више стручних публикација о положају и заштити од дискриминације</w:t>
      </w:r>
      <w:r>
        <w:rPr>
          <w:sz w:val="24"/>
          <w:szCs w:val="24"/>
          <w:lang w:val="sr-Cyrl-RS"/>
        </w:rPr>
        <w:t xml:space="preserve"> кој</w:t>
      </w:r>
      <w:r w:rsidR="00801F4F">
        <w:rPr>
          <w:sz w:val="24"/>
          <w:szCs w:val="24"/>
        </w:rPr>
        <w:t>e</w:t>
      </w:r>
      <w:r w:rsidR="00801F4F">
        <w:rPr>
          <w:sz w:val="24"/>
          <w:szCs w:val="24"/>
          <w:lang w:val="sr-Cyrl-RS"/>
        </w:rPr>
        <w:t xml:space="preserve"> су доступне</w:t>
      </w:r>
      <w:r>
        <w:rPr>
          <w:sz w:val="24"/>
          <w:szCs w:val="24"/>
          <w:lang w:val="sr-Cyrl-RS"/>
        </w:rPr>
        <w:t xml:space="preserve"> најширој заједници, укључујући и припаднике </w:t>
      </w:r>
      <w:r w:rsidRPr="003C6D26">
        <w:rPr>
          <w:sz w:val="24"/>
          <w:szCs w:val="24"/>
          <w:lang w:val="sr-Cyrl-RS"/>
        </w:rPr>
        <w:t>ромске мањине који живе у неформалним насељима</w:t>
      </w:r>
      <w:r w:rsidR="006904C2" w:rsidRPr="00D961D0">
        <w:rPr>
          <w:sz w:val="24"/>
          <w:szCs w:val="24"/>
          <w:lang w:val="sr-Cyrl-RS"/>
        </w:rPr>
        <w:t xml:space="preserve">. </w:t>
      </w:r>
      <w:r w:rsidRPr="003C6D26">
        <w:rPr>
          <w:sz w:val="24"/>
          <w:szCs w:val="24"/>
          <w:lang w:val="sr-Cyrl-RS"/>
        </w:rPr>
        <w:t>Између осталог, израђене су брошуре о основним појмовима и начину заштите од дискриминације, као и образац притужбе Поверенику</w:t>
      </w:r>
      <w:r w:rsidR="00A3619D">
        <w:rPr>
          <w:sz w:val="24"/>
          <w:szCs w:val="24"/>
          <w:lang w:val="sr-Cyrl-RS"/>
        </w:rPr>
        <w:t>,</w:t>
      </w:r>
      <w:r w:rsidRPr="003C6D26">
        <w:rPr>
          <w:sz w:val="24"/>
          <w:szCs w:val="24"/>
          <w:lang w:val="sr-Cyrl-RS"/>
        </w:rPr>
        <w:t xml:space="preserve"> које су издате на </w:t>
      </w:r>
      <w:r>
        <w:rPr>
          <w:sz w:val="24"/>
          <w:szCs w:val="24"/>
          <w:lang w:val="sr-Cyrl-RS"/>
        </w:rPr>
        <w:t xml:space="preserve">мањинским језицима, укључујући и ромски </w:t>
      </w:r>
      <w:r w:rsidRPr="003C6D26">
        <w:rPr>
          <w:sz w:val="24"/>
          <w:szCs w:val="24"/>
          <w:lang w:val="sr-Cyrl-RS"/>
        </w:rPr>
        <w:t xml:space="preserve">језик. Припремљена је публикација „Препознај и пријави дискриминацију“ на ромском и српском језику, која је првенствено намењена припадницима ромске заједнице и садржи објашњење различитих облика дискриминације, механизама заштите од дискриминације уз релевантне примере из свакодневног живота, а садржи и интегрисан образац притужбе како би се представницима ромске заједнице, али и организацијама цивилног друштва које се баве заштитом права Рома, олакшао приступ заштити од дискриминације, као и поступак подношења притужбе. Лифлети „Ко је Повереник“ штампани су на ромском </w:t>
      </w:r>
      <w:r w:rsidR="00FA3770">
        <w:rPr>
          <w:sz w:val="24"/>
          <w:szCs w:val="24"/>
          <w:lang w:val="sr-Cyrl-RS"/>
        </w:rPr>
        <w:t xml:space="preserve">и осталим мањинским </w:t>
      </w:r>
      <w:r w:rsidRPr="003C6D26">
        <w:rPr>
          <w:sz w:val="24"/>
          <w:szCs w:val="24"/>
          <w:lang w:val="sr-Cyrl-RS"/>
        </w:rPr>
        <w:t>јези</w:t>
      </w:r>
      <w:r w:rsidR="00FA3770">
        <w:rPr>
          <w:sz w:val="24"/>
          <w:szCs w:val="24"/>
          <w:lang w:val="sr-Cyrl-RS"/>
        </w:rPr>
        <w:t>цима</w:t>
      </w:r>
      <w:r w:rsidRPr="003C6D26">
        <w:rPr>
          <w:sz w:val="24"/>
          <w:szCs w:val="24"/>
          <w:lang w:val="sr-Cyrl-RS"/>
        </w:rPr>
        <w:t xml:space="preserve">, и у њима се на једноставан начин објашњава појам дискриминације, механизми заштите од дискриминације, афирмативне мере, као и начин подношења притужбе Поверенику, са </w:t>
      </w:r>
      <w:r w:rsidRPr="003C6D26">
        <w:rPr>
          <w:sz w:val="24"/>
          <w:szCs w:val="24"/>
          <w:lang w:val="sr-Cyrl-RS"/>
        </w:rPr>
        <w:lastRenderedPageBreak/>
        <w:t>интегрисаним обрасцем притужбе. У циљу обезбеђивања веће доступности механизама заштите од дискриминације, Повереник је у сарадњи са Ромском платформом Друштва Рома Зајечара и Удружења ромских студената из Новог Сада, омогућио доступност обрасца за пријаву дискриминације на сајту romskaplatforma.rs</w:t>
      </w:r>
      <w:r w:rsidR="00FA3770">
        <w:rPr>
          <w:sz w:val="24"/>
          <w:szCs w:val="24"/>
          <w:lang w:val="sr-Cyrl-RS"/>
        </w:rPr>
        <w:t xml:space="preserve"> </w:t>
      </w:r>
      <w:r w:rsidRPr="003C6D26">
        <w:rPr>
          <w:sz w:val="24"/>
          <w:szCs w:val="24"/>
          <w:lang w:val="sr-Cyrl-RS"/>
        </w:rPr>
        <w:t xml:space="preserve">где се налазе и примери случајева дискриминације, као и </w:t>
      </w:r>
      <w:r w:rsidR="00FA3770">
        <w:rPr>
          <w:sz w:val="24"/>
          <w:szCs w:val="24"/>
          <w:lang w:val="sr-Cyrl-RS"/>
        </w:rPr>
        <w:t xml:space="preserve">остале </w:t>
      </w:r>
      <w:r w:rsidRPr="003C6D26">
        <w:rPr>
          <w:sz w:val="24"/>
          <w:szCs w:val="24"/>
          <w:lang w:val="sr-Cyrl-RS"/>
        </w:rPr>
        <w:t>теме везане за положај Рома.</w:t>
      </w:r>
    </w:p>
    <w:p w:rsidR="00FA3770" w:rsidRPr="00FA3770" w:rsidRDefault="00FA3770" w:rsidP="00FA3770">
      <w:pPr>
        <w:spacing w:after="0"/>
        <w:ind w:firstLine="720"/>
        <w:jc w:val="both"/>
        <w:rPr>
          <w:sz w:val="24"/>
          <w:szCs w:val="24"/>
          <w:lang w:val="sr-Cyrl-RS"/>
        </w:rPr>
      </w:pPr>
      <w:r>
        <w:rPr>
          <w:sz w:val="24"/>
          <w:szCs w:val="24"/>
          <w:lang w:val="sr-Cyrl-RS"/>
        </w:rPr>
        <w:t xml:space="preserve">Осим наведеног, </w:t>
      </w:r>
      <w:r w:rsidR="003C6D26" w:rsidRPr="00D961D0">
        <w:rPr>
          <w:sz w:val="24"/>
          <w:szCs w:val="24"/>
          <w:lang w:val="sr-Cyrl-RS"/>
        </w:rPr>
        <w:t xml:space="preserve">Повереник </w:t>
      </w:r>
      <w:r>
        <w:rPr>
          <w:sz w:val="24"/>
          <w:szCs w:val="24"/>
          <w:lang w:val="sr-Cyrl-RS"/>
        </w:rPr>
        <w:t>у циљу</w:t>
      </w:r>
      <w:r w:rsidR="003C6D26" w:rsidRPr="00363CC7">
        <w:rPr>
          <w:sz w:val="24"/>
          <w:szCs w:val="24"/>
          <w:lang w:val="sr-Cyrl-RS"/>
        </w:rPr>
        <w:t xml:space="preserve"> спрeчaвaњ</w:t>
      </w:r>
      <w:r>
        <w:rPr>
          <w:sz w:val="24"/>
          <w:szCs w:val="24"/>
          <w:lang w:val="sr-Cyrl-RS"/>
        </w:rPr>
        <w:t>а</w:t>
      </w:r>
      <w:r w:rsidR="003C6D26" w:rsidRPr="00363CC7">
        <w:rPr>
          <w:sz w:val="24"/>
          <w:szCs w:val="24"/>
          <w:lang w:val="sr-Cyrl-RS"/>
        </w:rPr>
        <w:t xml:space="preserve"> свих видoвa, oбликa и случajeвa дискриминaциje и унaпрeђивaњ</w:t>
      </w:r>
      <w:r>
        <w:rPr>
          <w:sz w:val="24"/>
          <w:szCs w:val="24"/>
          <w:lang w:val="sr-Cyrl-RS"/>
        </w:rPr>
        <w:t>а</w:t>
      </w:r>
      <w:r w:rsidR="003C6D26" w:rsidRPr="00363CC7">
        <w:rPr>
          <w:sz w:val="24"/>
          <w:szCs w:val="24"/>
          <w:lang w:val="sr-Cyrl-RS"/>
        </w:rPr>
        <w:t xml:space="preserve"> oствa</w:t>
      </w:r>
      <w:r w:rsidR="003C6D26">
        <w:rPr>
          <w:sz w:val="24"/>
          <w:szCs w:val="24"/>
          <w:lang w:val="sr-Cyrl-RS"/>
        </w:rPr>
        <w:t xml:space="preserve">ривaњa и зaштитe рaвнoпрaвнoсти, </w:t>
      </w:r>
      <w:r w:rsidR="003C6D26" w:rsidRPr="00D961D0">
        <w:rPr>
          <w:sz w:val="24"/>
          <w:szCs w:val="24"/>
          <w:lang w:val="sr-Cyrl-RS"/>
        </w:rPr>
        <w:t>континуирано спроводи обуке из области антидискриминационог права, обуке о препознавању и реаговању на дискриминацију, као и о механизмима заштите од дискриминације које су намењене различитим професионалним групама и најширој јавности</w:t>
      </w:r>
      <w:r w:rsidR="00846827">
        <w:rPr>
          <w:sz w:val="24"/>
          <w:szCs w:val="24"/>
          <w:lang w:val="sr-Cyrl-RS"/>
        </w:rPr>
        <w:t xml:space="preserve">, чији је циљ, између осталог, и </w:t>
      </w:r>
      <w:r w:rsidR="00846827" w:rsidRPr="00846827">
        <w:rPr>
          <w:sz w:val="24"/>
          <w:szCs w:val="24"/>
          <w:lang w:val="sr-Cyrl-RS"/>
        </w:rPr>
        <w:t>решавање питања дискриминације са којом се суочавају</w:t>
      </w:r>
      <w:r w:rsidR="00846827">
        <w:rPr>
          <w:sz w:val="24"/>
          <w:szCs w:val="24"/>
          <w:lang w:val="sr-Cyrl-RS"/>
        </w:rPr>
        <w:t xml:space="preserve"> припадници ромске националне мањине у различитим сферама друштвеног живота</w:t>
      </w:r>
      <w:r w:rsidR="003C6D26">
        <w:rPr>
          <w:sz w:val="24"/>
          <w:szCs w:val="24"/>
          <w:lang w:val="sr-Cyrl-RS"/>
        </w:rPr>
        <w:t xml:space="preserve">. </w:t>
      </w:r>
      <w:r>
        <w:rPr>
          <w:sz w:val="24"/>
          <w:szCs w:val="24"/>
          <w:lang w:val="sr-Cyrl-RS"/>
        </w:rPr>
        <w:t>У</w:t>
      </w:r>
      <w:r w:rsidRPr="00FA3770">
        <w:rPr>
          <w:sz w:val="24"/>
          <w:szCs w:val="24"/>
          <w:lang w:val="sr-Cyrl-RS"/>
        </w:rPr>
        <w:t xml:space="preserve"> периоду који обухвата Пети периодични извештај, Повереник је реализовао следеће обуке:</w:t>
      </w:r>
    </w:p>
    <w:p w:rsidR="00FA3770" w:rsidRPr="00FA3770" w:rsidRDefault="00FA3770" w:rsidP="00FA3770">
      <w:pPr>
        <w:spacing w:after="0"/>
        <w:ind w:firstLine="720"/>
        <w:jc w:val="both"/>
        <w:rPr>
          <w:sz w:val="24"/>
          <w:szCs w:val="24"/>
          <w:lang w:val="sr-Cyrl-RS"/>
        </w:rPr>
      </w:pPr>
      <w:r>
        <w:rPr>
          <w:sz w:val="24"/>
          <w:szCs w:val="24"/>
          <w:lang w:val="sr-Cyrl-RS"/>
        </w:rPr>
        <w:t xml:space="preserve">- </w:t>
      </w:r>
      <w:r w:rsidRPr="00FA3770">
        <w:rPr>
          <w:sz w:val="24"/>
          <w:szCs w:val="24"/>
          <w:lang w:val="sr-Cyrl-RS"/>
        </w:rPr>
        <w:t xml:space="preserve">у периоду од 2016. до 2021. године континуирано су спровођене обуке полицијских службеника о појму и облицима дискриминације, посебно о злочину из мржње. Обучено је преко 600 припадника </w:t>
      </w:r>
      <w:r>
        <w:rPr>
          <w:sz w:val="24"/>
          <w:szCs w:val="24"/>
          <w:lang w:val="sr-Cyrl-RS"/>
        </w:rPr>
        <w:t>Министарства унутрашљих послова</w:t>
      </w:r>
      <w:r w:rsidRPr="00FA3770">
        <w:rPr>
          <w:sz w:val="24"/>
          <w:szCs w:val="24"/>
          <w:lang w:val="sr-Cyrl-RS"/>
        </w:rPr>
        <w:t xml:space="preserve"> из различитих подручних полицијских управа; </w:t>
      </w:r>
    </w:p>
    <w:p w:rsidR="00FA3770" w:rsidRPr="00FA3770" w:rsidRDefault="00FA3770" w:rsidP="00FA3770">
      <w:pPr>
        <w:spacing w:after="0"/>
        <w:ind w:firstLine="720"/>
        <w:jc w:val="both"/>
        <w:rPr>
          <w:sz w:val="24"/>
          <w:szCs w:val="24"/>
          <w:lang w:val="sr-Cyrl-RS"/>
        </w:rPr>
      </w:pPr>
      <w:r>
        <w:rPr>
          <w:sz w:val="24"/>
          <w:szCs w:val="24"/>
          <w:lang w:val="sr-Cyrl-RS"/>
        </w:rPr>
        <w:t xml:space="preserve">- </w:t>
      </w:r>
      <w:r w:rsidRPr="00FA3770">
        <w:rPr>
          <w:sz w:val="24"/>
          <w:szCs w:val="24"/>
          <w:lang w:val="sr-Cyrl-RS"/>
        </w:rPr>
        <w:t xml:space="preserve">током 2017. одржано је 10 регионалних семинара </w:t>
      </w:r>
      <w:r w:rsidR="003442EA">
        <w:rPr>
          <w:sz w:val="24"/>
          <w:szCs w:val="24"/>
        </w:rPr>
        <w:t xml:space="preserve">за раднике у заједници, </w:t>
      </w:r>
      <w:r w:rsidRPr="00FA3770">
        <w:rPr>
          <w:sz w:val="24"/>
          <w:szCs w:val="24"/>
          <w:lang w:val="sr-Cyrl-RS"/>
        </w:rPr>
        <w:t>под називом „Заштита од дискриминације – препознавање и спречавање случајева дискриминације у раду локалне самоуправе“. Програмом обуке обухваћено је преко 300 запослених из 75 јединица локалне самоуправе;</w:t>
      </w:r>
    </w:p>
    <w:p w:rsidR="00FA3770" w:rsidRPr="00FA3770" w:rsidRDefault="00FA3770" w:rsidP="00FA3770">
      <w:pPr>
        <w:spacing w:after="0"/>
        <w:ind w:firstLine="720"/>
        <w:jc w:val="both"/>
        <w:rPr>
          <w:sz w:val="24"/>
          <w:szCs w:val="24"/>
          <w:lang w:val="sr-Cyrl-RS"/>
        </w:rPr>
      </w:pPr>
      <w:r>
        <w:rPr>
          <w:sz w:val="24"/>
          <w:szCs w:val="24"/>
          <w:lang w:val="sr-Cyrl-RS"/>
        </w:rPr>
        <w:t xml:space="preserve">- </w:t>
      </w:r>
      <w:r w:rsidRPr="00FA3770">
        <w:rPr>
          <w:sz w:val="24"/>
          <w:szCs w:val="24"/>
          <w:lang w:val="sr-Cyrl-RS"/>
        </w:rPr>
        <w:t>у току 2017. и 2018</w:t>
      </w:r>
      <w:r>
        <w:rPr>
          <w:sz w:val="24"/>
          <w:szCs w:val="24"/>
          <w:lang w:val="sr-Cyrl-RS"/>
        </w:rPr>
        <w:t>.</w:t>
      </w:r>
      <w:r w:rsidRPr="00FA3770">
        <w:rPr>
          <w:sz w:val="24"/>
          <w:szCs w:val="24"/>
          <w:lang w:val="sr-Cyrl-RS"/>
        </w:rPr>
        <w:t xml:space="preserve"> године организовано је укупно 11 семинара о примени антидискриминационих прописа, којима су обухваћени сви инспектори рада у Републици Србији (укупно 242); </w:t>
      </w:r>
    </w:p>
    <w:p w:rsidR="00FA3770" w:rsidRPr="00FA3770" w:rsidRDefault="00FA3770" w:rsidP="00FA3770">
      <w:pPr>
        <w:spacing w:after="0"/>
        <w:ind w:firstLine="720"/>
        <w:jc w:val="both"/>
        <w:rPr>
          <w:sz w:val="24"/>
          <w:szCs w:val="24"/>
          <w:lang w:val="sr-Cyrl-RS"/>
        </w:rPr>
      </w:pPr>
      <w:r>
        <w:rPr>
          <w:sz w:val="24"/>
          <w:szCs w:val="24"/>
          <w:lang w:val="sr-Cyrl-RS"/>
        </w:rPr>
        <w:t xml:space="preserve">- </w:t>
      </w:r>
      <w:r w:rsidRPr="00FA3770">
        <w:rPr>
          <w:sz w:val="24"/>
          <w:szCs w:val="24"/>
          <w:lang w:val="sr-Cyrl-RS"/>
        </w:rPr>
        <w:t>кроз програм Правосудне академије, 2018. године одржана су четири семинара за судије грађанских одељења виших судова у Републици Србији, на тему „Судска грађанско-правна заштита од дискриминације“, а програмом je обухваћено 86 судија из св</w:t>
      </w:r>
      <w:r w:rsidR="003442EA">
        <w:rPr>
          <w:sz w:val="24"/>
          <w:szCs w:val="24"/>
          <w:lang w:val="sr-Cyrl-RS"/>
        </w:rPr>
        <w:t>а четири апелациона суда</w:t>
      </w:r>
      <w:r w:rsidRPr="00FA3770">
        <w:rPr>
          <w:sz w:val="24"/>
          <w:szCs w:val="24"/>
          <w:lang w:val="sr-Cyrl-RS"/>
        </w:rPr>
        <w:t>. Поред тога, организована је и радионица за судије апелационих и виших судова на тему стратешких парница у области заштите од дискриминације;</w:t>
      </w:r>
    </w:p>
    <w:p w:rsidR="00FA3770" w:rsidRPr="00FA3770" w:rsidRDefault="00846827" w:rsidP="00FA3770">
      <w:pPr>
        <w:spacing w:after="0"/>
        <w:ind w:firstLine="720"/>
        <w:jc w:val="both"/>
        <w:rPr>
          <w:sz w:val="24"/>
          <w:szCs w:val="24"/>
          <w:lang w:val="sr-Cyrl-RS"/>
        </w:rPr>
      </w:pPr>
      <w:r>
        <w:rPr>
          <w:sz w:val="24"/>
          <w:szCs w:val="24"/>
          <w:lang w:val="sr-Cyrl-RS"/>
        </w:rPr>
        <w:t xml:space="preserve">- </w:t>
      </w:r>
      <w:r w:rsidR="00FA3770" w:rsidRPr="00FA3770">
        <w:rPr>
          <w:sz w:val="24"/>
          <w:szCs w:val="24"/>
          <w:lang w:val="sr-Cyrl-RS"/>
        </w:rPr>
        <w:t>у току 2018. одржани су семинари за представнике медија на тему извештавања о питањима дискриминације, равноправности и поштовања основних људских права, као и обука за представнике 16 организација цивилног друштва чији је циљ био подизање капацитета за спровођење ситуационог тестирања случајева дискриминације;</w:t>
      </w:r>
    </w:p>
    <w:p w:rsidR="00FA3770" w:rsidRPr="00FA3770" w:rsidRDefault="00846827" w:rsidP="00FA3770">
      <w:pPr>
        <w:spacing w:after="0"/>
        <w:ind w:firstLine="720"/>
        <w:jc w:val="both"/>
        <w:rPr>
          <w:sz w:val="24"/>
          <w:szCs w:val="24"/>
          <w:lang w:val="sr-Cyrl-RS"/>
        </w:rPr>
      </w:pPr>
      <w:r>
        <w:rPr>
          <w:sz w:val="24"/>
          <w:szCs w:val="24"/>
          <w:lang w:val="sr-Cyrl-RS"/>
        </w:rPr>
        <w:t xml:space="preserve">- </w:t>
      </w:r>
      <w:r w:rsidR="00FA3770" w:rsidRPr="00FA3770">
        <w:rPr>
          <w:sz w:val="24"/>
          <w:szCs w:val="24"/>
          <w:lang w:val="sr-Cyrl-RS"/>
        </w:rPr>
        <w:t xml:space="preserve">током 2018. у оквиру програма „Подршка ЕУ инклузији Рома – оснаживање локалних заједница за инклузију Рома“ Сталне конференције градова и општина, представницима локалних самоуправа, центара за социјални рад и организацијама цивилног друштва презентовани су механизми заштите од дискриминације, </w:t>
      </w:r>
      <w:r>
        <w:rPr>
          <w:sz w:val="24"/>
          <w:szCs w:val="24"/>
          <w:lang w:val="sr-Cyrl-RS"/>
        </w:rPr>
        <w:t xml:space="preserve">као и </w:t>
      </w:r>
      <w:r w:rsidR="00FA3770" w:rsidRPr="00FA3770">
        <w:rPr>
          <w:sz w:val="24"/>
          <w:szCs w:val="24"/>
          <w:lang w:val="sr-Cyrl-RS"/>
        </w:rPr>
        <w:t>улога и значај Повереника. Одржане су обуке у четири града за више од 100 учесника;</w:t>
      </w:r>
    </w:p>
    <w:p w:rsidR="00FA3770" w:rsidRPr="00FA3770" w:rsidRDefault="00846827" w:rsidP="00FA3770">
      <w:pPr>
        <w:spacing w:after="0"/>
        <w:ind w:firstLine="720"/>
        <w:jc w:val="both"/>
        <w:rPr>
          <w:sz w:val="24"/>
          <w:szCs w:val="24"/>
          <w:lang w:val="sr-Cyrl-RS"/>
        </w:rPr>
      </w:pPr>
      <w:r>
        <w:rPr>
          <w:sz w:val="24"/>
          <w:szCs w:val="24"/>
          <w:lang w:val="sr-Cyrl-RS"/>
        </w:rPr>
        <w:t xml:space="preserve">- </w:t>
      </w:r>
      <w:r w:rsidR="00FA3770" w:rsidRPr="00FA3770">
        <w:rPr>
          <w:sz w:val="24"/>
          <w:szCs w:val="24"/>
          <w:lang w:val="sr-Cyrl-RS"/>
        </w:rPr>
        <w:t xml:space="preserve">током 2019. спроведена је пилот-обука за 25 саветника из Националне службе за запошљавање, намењена стицању теоријских и практичних знања o појму и облицима дискриминације, као и о надлежностима и пракси Повереника у области запошљавања и рада. </w:t>
      </w:r>
      <w:r>
        <w:rPr>
          <w:sz w:val="24"/>
          <w:szCs w:val="24"/>
          <w:lang w:val="sr-Cyrl-RS"/>
        </w:rPr>
        <w:t>Ове обуке настављене су и у</w:t>
      </w:r>
      <w:r w:rsidR="00FA3770" w:rsidRPr="00FA3770">
        <w:rPr>
          <w:sz w:val="24"/>
          <w:szCs w:val="24"/>
          <w:lang w:val="sr-Cyrl-RS"/>
        </w:rPr>
        <w:t xml:space="preserve"> 2021. години</w:t>
      </w:r>
      <w:r>
        <w:rPr>
          <w:sz w:val="24"/>
          <w:szCs w:val="24"/>
          <w:lang w:val="sr-Cyrl-RS"/>
        </w:rPr>
        <w:t>, а</w:t>
      </w:r>
      <w:r w:rsidR="00FA3770" w:rsidRPr="00FA3770">
        <w:rPr>
          <w:sz w:val="24"/>
          <w:szCs w:val="24"/>
          <w:lang w:val="sr-Cyrl-RS"/>
        </w:rPr>
        <w:t xml:space="preserve"> преко 60 запослених у Националној служби </w:t>
      </w:r>
      <w:r>
        <w:rPr>
          <w:sz w:val="24"/>
          <w:szCs w:val="24"/>
          <w:lang w:val="sr-Cyrl-RS"/>
        </w:rPr>
        <w:t xml:space="preserve">било је </w:t>
      </w:r>
      <w:r w:rsidR="00FA3770" w:rsidRPr="00FA3770">
        <w:rPr>
          <w:sz w:val="24"/>
          <w:szCs w:val="24"/>
          <w:lang w:val="sr-Cyrl-RS"/>
        </w:rPr>
        <w:t>обухваћено овим програмом;</w:t>
      </w:r>
    </w:p>
    <w:p w:rsidR="00FA3770" w:rsidRPr="00FA3770" w:rsidRDefault="00846827" w:rsidP="00FA3770">
      <w:pPr>
        <w:spacing w:after="0"/>
        <w:ind w:firstLine="720"/>
        <w:jc w:val="both"/>
        <w:rPr>
          <w:sz w:val="24"/>
          <w:szCs w:val="24"/>
          <w:lang w:val="sr-Cyrl-RS"/>
        </w:rPr>
      </w:pPr>
      <w:r>
        <w:rPr>
          <w:sz w:val="24"/>
          <w:szCs w:val="24"/>
          <w:lang w:val="sr-Cyrl-RS"/>
        </w:rPr>
        <w:lastRenderedPageBreak/>
        <w:t xml:space="preserve">- </w:t>
      </w:r>
      <w:r w:rsidR="009632CB" w:rsidRPr="009632CB">
        <w:rPr>
          <w:sz w:val="24"/>
          <w:szCs w:val="24"/>
          <w:lang w:val="sr-Cyrl-RS"/>
        </w:rPr>
        <w:t>у 2019. години у оквиру пројекта „Социјалне услуге за рањиве групе“</w:t>
      </w:r>
      <w:r w:rsidR="009632CB">
        <w:rPr>
          <w:sz w:val="24"/>
          <w:szCs w:val="24"/>
          <w:lang w:val="sr-Cyrl-RS"/>
        </w:rPr>
        <w:t xml:space="preserve"> </w:t>
      </w:r>
      <w:r w:rsidR="00FA3770" w:rsidRPr="00FA3770">
        <w:rPr>
          <w:sz w:val="24"/>
          <w:szCs w:val="24"/>
          <w:lang w:val="sr-Cyrl-RS"/>
        </w:rPr>
        <w:t>одржане су три обуке (у Сомбору, Нишу и Београду) за пружаоце социјалних услуга на локалном нивоу у oблaсти примeнe aнтидискриминaциoних прoписa;</w:t>
      </w:r>
    </w:p>
    <w:p w:rsidR="00FA3770" w:rsidRPr="00FA3770" w:rsidRDefault="00846827" w:rsidP="00FA3770">
      <w:pPr>
        <w:spacing w:after="0"/>
        <w:ind w:firstLine="720"/>
        <w:jc w:val="both"/>
        <w:rPr>
          <w:sz w:val="24"/>
          <w:szCs w:val="24"/>
          <w:lang w:val="sr-Cyrl-RS"/>
        </w:rPr>
      </w:pPr>
      <w:r>
        <w:rPr>
          <w:sz w:val="24"/>
          <w:szCs w:val="24"/>
          <w:lang w:val="sr-Cyrl-RS"/>
        </w:rPr>
        <w:t xml:space="preserve">- </w:t>
      </w:r>
      <w:r w:rsidR="00FA3770" w:rsidRPr="00FA3770">
        <w:rPr>
          <w:sz w:val="24"/>
          <w:szCs w:val="24"/>
          <w:lang w:val="sr-Cyrl-RS"/>
        </w:rPr>
        <w:t>обукама под називом „Право на равноправност и недискриминацију у области туризма“ у току 2019. и 2021. године обухваћено је преко 50 туристичк</w:t>
      </w:r>
      <w:r w:rsidR="00E73C1F">
        <w:rPr>
          <w:sz w:val="24"/>
          <w:szCs w:val="24"/>
          <w:lang w:val="sr-Cyrl-RS"/>
        </w:rPr>
        <w:t>их</w:t>
      </w:r>
      <w:r w:rsidR="00FA3770" w:rsidRPr="00FA3770">
        <w:rPr>
          <w:sz w:val="24"/>
          <w:szCs w:val="24"/>
          <w:lang w:val="sr-Cyrl-RS"/>
        </w:rPr>
        <w:t xml:space="preserve"> радника;</w:t>
      </w:r>
    </w:p>
    <w:p w:rsidR="00FA3770" w:rsidRPr="00FA3770" w:rsidRDefault="00846827" w:rsidP="00FA3770">
      <w:pPr>
        <w:spacing w:after="0"/>
        <w:ind w:firstLine="720"/>
        <w:jc w:val="both"/>
        <w:rPr>
          <w:sz w:val="24"/>
          <w:szCs w:val="24"/>
          <w:lang w:val="sr-Cyrl-RS"/>
        </w:rPr>
      </w:pPr>
      <w:r>
        <w:rPr>
          <w:sz w:val="24"/>
          <w:szCs w:val="24"/>
          <w:lang w:val="sr-Cyrl-RS"/>
        </w:rPr>
        <w:t xml:space="preserve">- </w:t>
      </w:r>
      <w:r w:rsidR="00FA3770" w:rsidRPr="00FA3770">
        <w:rPr>
          <w:sz w:val="24"/>
          <w:szCs w:val="24"/>
          <w:lang w:val="sr-Cyrl-RS"/>
        </w:rPr>
        <w:t xml:space="preserve">током реализације пројекта „Јачање локалних антидискриминационих и институционалних капацитета“, Повереник је спровео више обука на тему „Како препознати дискриминацију у раду“, а обучено је 300 представника из 15 локалних самоуправа у Србији; </w:t>
      </w:r>
    </w:p>
    <w:p w:rsidR="00DC5E76" w:rsidRDefault="00846827" w:rsidP="00FA3770">
      <w:pPr>
        <w:spacing w:after="0"/>
        <w:ind w:firstLine="720"/>
        <w:jc w:val="both"/>
        <w:rPr>
          <w:sz w:val="24"/>
          <w:szCs w:val="24"/>
          <w:lang w:val="sr-Cyrl-RS"/>
        </w:rPr>
      </w:pPr>
      <w:r>
        <w:rPr>
          <w:sz w:val="24"/>
          <w:szCs w:val="24"/>
          <w:lang w:val="sr-Cyrl-RS"/>
        </w:rPr>
        <w:t xml:space="preserve">- </w:t>
      </w:r>
      <w:r w:rsidR="00FA3770" w:rsidRPr="00FA3770">
        <w:rPr>
          <w:sz w:val="24"/>
          <w:szCs w:val="24"/>
          <w:lang w:val="sr-Cyrl-RS"/>
        </w:rPr>
        <w:t>за полазнике Правосудне академије, судије и јавне тужиоце, у току 2021. године снимљен је и свеобухватни онлајн курс о заштити од дискриминације који ће бити доступан на платформи Правосудне академије. Такође, израђена је и онлајн обука на тему антидискриминације, родно заснованог насиља и стратешких парница која ће постати обавезни део образовања за следеће генерације</w:t>
      </w:r>
      <w:r>
        <w:rPr>
          <w:sz w:val="24"/>
          <w:szCs w:val="24"/>
          <w:lang w:val="sr-Cyrl-RS"/>
        </w:rPr>
        <w:t xml:space="preserve"> полазника</w:t>
      </w:r>
      <w:r w:rsidR="00FA3770" w:rsidRPr="00FA3770">
        <w:rPr>
          <w:sz w:val="24"/>
          <w:szCs w:val="24"/>
          <w:lang w:val="sr-Cyrl-RS"/>
        </w:rPr>
        <w:t>. Ова обука доступна је јавности и налази се и на интернет презентацији Повереника</w:t>
      </w:r>
      <w:r w:rsidR="0043699C">
        <w:rPr>
          <w:sz w:val="24"/>
          <w:szCs w:val="24"/>
          <w:lang w:val="sr-Cyrl-RS"/>
        </w:rPr>
        <w:t>;</w:t>
      </w:r>
      <w:r w:rsidR="00FA3770" w:rsidRPr="00FA3770">
        <w:rPr>
          <w:sz w:val="24"/>
          <w:szCs w:val="24"/>
          <w:lang w:val="sr-Cyrl-RS"/>
        </w:rPr>
        <w:t xml:space="preserve"> </w:t>
      </w:r>
    </w:p>
    <w:p w:rsidR="003C6D26" w:rsidRDefault="00DC5E76" w:rsidP="00FA3770">
      <w:pPr>
        <w:spacing w:after="0"/>
        <w:ind w:firstLine="720"/>
        <w:jc w:val="both"/>
        <w:rPr>
          <w:sz w:val="24"/>
          <w:szCs w:val="24"/>
          <w:lang w:val="sr-Cyrl-RS"/>
        </w:rPr>
      </w:pPr>
      <w:r>
        <w:rPr>
          <w:sz w:val="24"/>
          <w:szCs w:val="24"/>
          <w:lang w:val="sr-Cyrl-RS"/>
        </w:rPr>
        <w:t xml:space="preserve">- </w:t>
      </w:r>
      <w:r w:rsidR="00FA3770" w:rsidRPr="00FA3770">
        <w:rPr>
          <w:sz w:val="24"/>
          <w:szCs w:val="24"/>
          <w:lang w:val="sr-Cyrl-RS"/>
        </w:rPr>
        <w:t xml:space="preserve">за представнике </w:t>
      </w:r>
      <w:r>
        <w:rPr>
          <w:sz w:val="24"/>
          <w:szCs w:val="24"/>
          <w:lang w:val="sr-Cyrl-RS"/>
        </w:rPr>
        <w:t>н</w:t>
      </w:r>
      <w:r w:rsidR="00FA3770" w:rsidRPr="00FA3770">
        <w:rPr>
          <w:sz w:val="24"/>
          <w:szCs w:val="24"/>
          <w:lang w:val="sr-Cyrl-RS"/>
        </w:rPr>
        <w:t xml:space="preserve">ационалних савета националних мањина </w:t>
      </w:r>
      <w:r>
        <w:rPr>
          <w:sz w:val="24"/>
          <w:szCs w:val="24"/>
          <w:lang w:val="sr-Cyrl-RS"/>
        </w:rPr>
        <w:t>2020. године</w:t>
      </w:r>
      <w:r w:rsidR="00FA3770" w:rsidRPr="00FA3770">
        <w:rPr>
          <w:sz w:val="24"/>
          <w:szCs w:val="24"/>
          <w:lang w:val="sr-Cyrl-RS"/>
        </w:rPr>
        <w:t xml:space="preserve"> одржана је обука о појму и облицима дискриминације и механизмима заштите, док су у току 2021. године организоване две обуке за преко 30 активиста ромских организација. </w:t>
      </w:r>
      <w:r>
        <w:rPr>
          <w:sz w:val="24"/>
          <w:szCs w:val="24"/>
          <w:lang w:val="sr-Cyrl-RS"/>
        </w:rPr>
        <w:t>Исте године, п</w:t>
      </w:r>
      <w:r w:rsidR="00FA3770" w:rsidRPr="00FA3770">
        <w:rPr>
          <w:sz w:val="24"/>
          <w:szCs w:val="24"/>
          <w:lang w:val="sr-Cyrl-RS"/>
        </w:rPr>
        <w:t>реко 20 представника медија обучено је за препознавање дискриминације, са посебним акцентом на говор мржње према мањинским заједницама.</w:t>
      </w:r>
    </w:p>
    <w:p w:rsidR="0043699C" w:rsidRDefault="0043699C" w:rsidP="00DC5E76">
      <w:pPr>
        <w:spacing w:after="0"/>
        <w:ind w:firstLine="720"/>
        <w:jc w:val="both"/>
        <w:rPr>
          <w:sz w:val="24"/>
          <w:szCs w:val="24"/>
          <w:lang w:val="sr-Cyrl-RS"/>
        </w:rPr>
      </w:pPr>
    </w:p>
    <w:p w:rsidR="003C6D26" w:rsidRDefault="00DC5E76" w:rsidP="00DC5E76">
      <w:pPr>
        <w:spacing w:after="0"/>
        <w:ind w:firstLine="720"/>
        <w:jc w:val="both"/>
        <w:rPr>
          <w:sz w:val="24"/>
          <w:szCs w:val="24"/>
          <w:lang w:val="sr-Cyrl-RS"/>
        </w:rPr>
      </w:pPr>
      <w:r w:rsidRPr="0043699C">
        <w:rPr>
          <w:sz w:val="24"/>
          <w:szCs w:val="24"/>
          <w:lang w:val="sr-Cyrl-RS"/>
        </w:rPr>
        <w:t>Осим наведеног</w:t>
      </w:r>
      <w:r w:rsidRPr="0043699C">
        <w:rPr>
          <w:sz w:val="24"/>
          <w:szCs w:val="24"/>
        </w:rPr>
        <w:t>, Повереник редовно спроводи едукације за службенике запослене у државној управи, у оквиру програма обуке Националне академије за јавну управу</w:t>
      </w:r>
      <w:r w:rsidRPr="0043699C">
        <w:rPr>
          <w:sz w:val="24"/>
          <w:szCs w:val="24"/>
          <w:lang w:val="sr-Cyrl-RS"/>
        </w:rPr>
        <w:t>. П</w:t>
      </w:r>
      <w:r w:rsidRPr="0043699C">
        <w:rPr>
          <w:sz w:val="24"/>
          <w:szCs w:val="24"/>
        </w:rPr>
        <w:t xml:space="preserve">рограм обуке </w:t>
      </w:r>
      <w:r w:rsidRPr="0043699C">
        <w:rPr>
          <w:i/>
          <w:sz w:val="24"/>
          <w:szCs w:val="24"/>
          <w:lang w:val="sr-Cyrl-RS"/>
        </w:rPr>
        <w:t>З</w:t>
      </w:r>
      <w:r w:rsidRPr="0043699C">
        <w:rPr>
          <w:i/>
          <w:sz w:val="24"/>
          <w:szCs w:val="24"/>
        </w:rPr>
        <w:t>аштита од дискриминације</w:t>
      </w:r>
      <w:r w:rsidRPr="0043699C">
        <w:rPr>
          <w:sz w:val="24"/>
          <w:szCs w:val="24"/>
        </w:rPr>
        <w:t xml:space="preserve"> </w:t>
      </w:r>
      <w:r w:rsidRPr="0043699C">
        <w:rPr>
          <w:sz w:val="24"/>
          <w:szCs w:val="24"/>
          <w:lang w:val="sr-Cyrl-RS"/>
        </w:rPr>
        <w:t>има за циљ да унапреди знања државних службеника у вези са правним и институционалним оквиром заштите од дискриминације, као и појмом и облицима дискриминације, и улогом и надлежностима Повереника за заштиту равноправности.</w:t>
      </w:r>
    </w:p>
    <w:p w:rsidR="0043699C" w:rsidRPr="0043699C" w:rsidRDefault="0043699C" w:rsidP="0043699C">
      <w:pPr>
        <w:spacing w:after="0"/>
        <w:ind w:firstLine="720"/>
        <w:jc w:val="both"/>
        <w:rPr>
          <w:sz w:val="24"/>
          <w:szCs w:val="24"/>
          <w:lang w:val="sr-Cyrl-RS"/>
        </w:rPr>
      </w:pPr>
      <w:r w:rsidRPr="0043699C">
        <w:rPr>
          <w:sz w:val="24"/>
          <w:szCs w:val="24"/>
          <w:lang w:val="sr-Cyrl-RS"/>
        </w:rPr>
        <w:t>Редовне активности Повереника на унапређивању стања у области равноправности подразумевају и организовање и учешће на стручним скуповима, али и непосредан контакт са грађанима у пријемној канцеларији Повереника, као и боравак на терену (посете локалним самоуправама, неформалним насељима) у циљу веће приступачности институције грађанима и пружања делотворне заштите од дискриминације. Такође, Повереник у свом раду упозорава јавност на најчешће, типичне и тешке случајеве дискриминације, као и на често непримерен дискриминаторан говор и говор мржње у јавном простору, и на тај начин утиче на подизање свести јавности о последицама ових негативних појава.</w:t>
      </w:r>
    </w:p>
    <w:p w:rsidR="0043699C" w:rsidRDefault="0043699C" w:rsidP="0043699C">
      <w:pPr>
        <w:spacing w:after="0"/>
        <w:ind w:firstLine="720"/>
        <w:jc w:val="both"/>
        <w:rPr>
          <w:sz w:val="24"/>
          <w:szCs w:val="24"/>
          <w:lang w:val="sr-Cyrl-RS"/>
        </w:rPr>
      </w:pPr>
      <w:r w:rsidRPr="0043699C">
        <w:rPr>
          <w:sz w:val="24"/>
          <w:szCs w:val="24"/>
          <w:lang w:val="sr-Cyrl-RS"/>
        </w:rPr>
        <w:t>Повереник је партнер на пројекту „Инклузиja Рoмa и других мaргинaлизoвaних групa у Србиjи“ у оквиру којег је, између осталог, реализована кампања „Упознај</w:t>
      </w:r>
      <w:r>
        <w:rPr>
          <w:sz w:val="24"/>
          <w:szCs w:val="24"/>
          <w:lang w:val="sr-Cyrl-RS"/>
        </w:rPr>
        <w:t>,</w:t>
      </w:r>
      <w:r w:rsidRPr="0043699C">
        <w:rPr>
          <w:sz w:val="24"/>
          <w:szCs w:val="24"/>
          <w:lang w:val="sr-Cyrl-RS"/>
        </w:rPr>
        <w:t xml:space="preserve"> не суди“ чији је циљ подизање свести о дискриминацији Рома и подстицање на адекватно реаговање и превенцију. Ова кампања је обухватила и дебате на Јавном сервису РТВ, као и конференције и округле столове у више градова, у којима су учествовали </w:t>
      </w:r>
      <w:r>
        <w:rPr>
          <w:sz w:val="24"/>
          <w:szCs w:val="24"/>
          <w:lang w:val="sr-Cyrl-RS"/>
        </w:rPr>
        <w:t xml:space="preserve">и </w:t>
      </w:r>
      <w:r w:rsidRPr="0043699C">
        <w:rPr>
          <w:sz w:val="24"/>
          <w:szCs w:val="24"/>
          <w:lang w:val="sr-Cyrl-RS"/>
        </w:rPr>
        <w:t>представници ромске националне мањине.</w:t>
      </w:r>
    </w:p>
    <w:p w:rsidR="00801F4F" w:rsidRDefault="00801F4F" w:rsidP="0043699C">
      <w:pPr>
        <w:spacing w:after="0"/>
        <w:ind w:firstLine="720"/>
        <w:jc w:val="both"/>
        <w:rPr>
          <w:sz w:val="24"/>
          <w:szCs w:val="24"/>
          <w:lang w:val="sr-Cyrl-RS"/>
        </w:rPr>
      </w:pPr>
    </w:p>
    <w:p w:rsidR="0043699C" w:rsidRPr="0043699C" w:rsidRDefault="0043699C" w:rsidP="00DC5E76">
      <w:pPr>
        <w:spacing w:after="0"/>
        <w:ind w:firstLine="720"/>
        <w:jc w:val="both"/>
        <w:rPr>
          <w:sz w:val="24"/>
          <w:szCs w:val="24"/>
          <w:lang w:val="sr-Cyrl-RS"/>
        </w:rPr>
      </w:pPr>
    </w:p>
    <w:p w:rsidR="0043699C" w:rsidRPr="0043699C" w:rsidRDefault="0043699C" w:rsidP="0043699C">
      <w:pPr>
        <w:spacing w:after="0"/>
        <w:jc w:val="both"/>
        <w:rPr>
          <w:i/>
          <w:sz w:val="24"/>
          <w:szCs w:val="24"/>
          <w:lang w:val="sr-Cyrl-RS"/>
        </w:rPr>
      </w:pPr>
      <w:r w:rsidRPr="0043699C">
        <w:rPr>
          <w:i/>
          <w:sz w:val="24"/>
          <w:szCs w:val="24"/>
          <w:lang w:val="sr-Cyrl-RS"/>
        </w:rPr>
        <w:lastRenderedPageBreak/>
        <w:t>Активности у области издавања личних докумената</w:t>
      </w:r>
    </w:p>
    <w:p w:rsidR="0043699C" w:rsidRDefault="0043699C" w:rsidP="0043699C">
      <w:pPr>
        <w:spacing w:after="0"/>
        <w:jc w:val="both"/>
        <w:rPr>
          <w:sz w:val="24"/>
          <w:szCs w:val="24"/>
          <w:lang w:val="sr-Cyrl-RS"/>
        </w:rPr>
      </w:pPr>
    </w:p>
    <w:p w:rsidR="00332D53" w:rsidRDefault="006904C2" w:rsidP="006904C2">
      <w:pPr>
        <w:spacing w:after="0"/>
        <w:ind w:firstLine="720"/>
        <w:jc w:val="both"/>
        <w:rPr>
          <w:sz w:val="24"/>
          <w:szCs w:val="24"/>
          <w:lang w:val="sr-Cyrl-RS"/>
        </w:rPr>
      </w:pPr>
      <w:r>
        <w:rPr>
          <w:sz w:val="24"/>
          <w:szCs w:val="24"/>
          <w:lang w:val="sr-Cyrl-RS"/>
        </w:rPr>
        <w:t xml:space="preserve">Као што је наведено у Четвртом државном извештају, Република Србија је током реализације </w:t>
      </w:r>
      <w:r w:rsidRPr="000C08C0">
        <w:rPr>
          <w:sz w:val="24"/>
          <w:szCs w:val="24"/>
          <w:lang w:val="sr-Cyrl-RS"/>
        </w:rPr>
        <w:t>Споразум</w:t>
      </w:r>
      <w:r>
        <w:rPr>
          <w:sz w:val="24"/>
          <w:szCs w:val="24"/>
          <w:lang w:val="sr-Cyrl-RS"/>
        </w:rPr>
        <w:t>а</w:t>
      </w:r>
      <w:r w:rsidRPr="000C08C0">
        <w:rPr>
          <w:sz w:val="24"/>
          <w:szCs w:val="24"/>
          <w:lang w:val="sr-Cyrl-RS"/>
        </w:rPr>
        <w:t xml:space="preserve"> о разумевању </w:t>
      </w:r>
      <w:r>
        <w:rPr>
          <w:sz w:val="24"/>
          <w:szCs w:val="24"/>
          <w:lang w:val="sr-Cyrl-RS"/>
        </w:rPr>
        <w:t xml:space="preserve">између </w:t>
      </w:r>
      <w:r w:rsidRPr="000C08C0">
        <w:rPr>
          <w:sz w:val="24"/>
          <w:szCs w:val="24"/>
          <w:lang w:val="sr-Cyrl-RS"/>
        </w:rPr>
        <w:t>Министарств</w:t>
      </w:r>
      <w:r>
        <w:rPr>
          <w:sz w:val="24"/>
          <w:szCs w:val="24"/>
          <w:lang w:val="sr-Cyrl-RS"/>
        </w:rPr>
        <w:t>а</w:t>
      </w:r>
      <w:r w:rsidRPr="000C08C0">
        <w:rPr>
          <w:sz w:val="24"/>
          <w:szCs w:val="24"/>
          <w:lang w:val="sr-Cyrl-RS"/>
        </w:rPr>
        <w:t xml:space="preserve"> државне управе и локалне самоуправе</w:t>
      </w:r>
      <w:r>
        <w:rPr>
          <w:sz w:val="24"/>
          <w:szCs w:val="24"/>
          <w:lang w:val="sr-Cyrl-RS"/>
        </w:rPr>
        <w:t>,</w:t>
      </w:r>
      <w:r w:rsidRPr="000C08C0">
        <w:rPr>
          <w:sz w:val="24"/>
          <w:szCs w:val="24"/>
          <w:lang w:val="sr-Cyrl-RS"/>
        </w:rPr>
        <w:t xml:space="preserve"> Заштитник</w:t>
      </w:r>
      <w:r>
        <w:rPr>
          <w:sz w:val="24"/>
          <w:szCs w:val="24"/>
          <w:lang w:val="sr-Cyrl-RS"/>
        </w:rPr>
        <w:t>а</w:t>
      </w:r>
      <w:r w:rsidRPr="000C08C0">
        <w:rPr>
          <w:sz w:val="24"/>
          <w:szCs w:val="24"/>
          <w:lang w:val="sr-Cyrl-RS"/>
        </w:rPr>
        <w:t xml:space="preserve"> грађана и Висок</w:t>
      </w:r>
      <w:r>
        <w:rPr>
          <w:sz w:val="24"/>
          <w:szCs w:val="24"/>
          <w:lang w:val="sr-Cyrl-RS"/>
        </w:rPr>
        <w:t>ог</w:t>
      </w:r>
      <w:r w:rsidRPr="000C08C0">
        <w:rPr>
          <w:sz w:val="24"/>
          <w:szCs w:val="24"/>
          <w:lang w:val="sr-Cyrl-RS"/>
        </w:rPr>
        <w:t xml:space="preserve"> комесаријат</w:t>
      </w:r>
      <w:r>
        <w:rPr>
          <w:sz w:val="24"/>
          <w:szCs w:val="24"/>
          <w:lang w:val="sr-Cyrl-RS"/>
        </w:rPr>
        <w:t>а</w:t>
      </w:r>
      <w:r w:rsidRPr="000C08C0">
        <w:rPr>
          <w:sz w:val="24"/>
          <w:szCs w:val="24"/>
          <w:lang w:val="sr-Cyrl-RS"/>
        </w:rPr>
        <w:t xml:space="preserve"> Уједињених нација за избеглице – Представништво у Србији низом активности обезбедил</w:t>
      </w:r>
      <w:r>
        <w:rPr>
          <w:sz w:val="24"/>
          <w:szCs w:val="24"/>
          <w:lang w:val="sr-Cyrl-RS"/>
        </w:rPr>
        <w:t>а</w:t>
      </w:r>
      <w:r w:rsidRPr="000C08C0">
        <w:rPr>
          <w:sz w:val="24"/>
          <w:szCs w:val="24"/>
          <w:lang w:val="sr-Cyrl-RS"/>
        </w:rPr>
        <w:t xml:space="preserve"> механизме ради превенције ризика од апатридије. Право на упис у матичну књигу рођених, као претпоставка за остваривање других права, а самим тим и отклањање ризика од апатридије, омогућено је кроз унапређење правног оквира, медијску кампању и анимирање посебно осетљивих група становништва – пре свега ромске популације. Овом свеобухватном акцијом значајно је смањен број лица која нису уписана у матичну књигу рођених до те мере да се овакви случајеви сада јављају </w:t>
      </w:r>
      <w:r w:rsidR="009632CB">
        <w:rPr>
          <w:sz w:val="24"/>
          <w:szCs w:val="24"/>
          <w:lang w:val="sr-Cyrl-RS"/>
        </w:rPr>
        <w:t xml:space="preserve">само </w:t>
      </w:r>
      <w:r w:rsidRPr="000C08C0">
        <w:rPr>
          <w:sz w:val="24"/>
          <w:szCs w:val="24"/>
          <w:lang w:val="sr-Cyrl-RS"/>
        </w:rPr>
        <w:t xml:space="preserve">као изузетак. </w:t>
      </w:r>
    </w:p>
    <w:p w:rsidR="006904C2" w:rsidRPr="000C08C0" w:rsidRDefault="006904C2" w:rsidP="006904C2">
      <w:pPr>
        <w:spacing w:after="0"/>
        <w:ind w:firstLine="720"/>
        <w:jc w:val="both"/>
        <w:rPr>
          <w:sz w:val="24"/>
          <w:szCs w:val="24"/>
          <w:lang w:val="sr-Cyrl-RS"/>
        </w:rPr>
      </w:pPr>
      <w:r w:rsidRPr="000C08C0">
        <w:rPr>
          <w:sz w:val="24"/>
          <w:szCs w:val="24"/>
          <w:lang w:val="sr-Cyrl-RS"/>
        </w:rPr>
        <w:t>Праћењем стања у овој области, а ради решавања ситуација које се појављују као појединачни случајеви, договорен је наставак сарадње, те је 3. октобра 2019. године потписан нови Споразум о разумевању, у циљу сагледавања евентуалних проблема припадника ромске националне мањине у остваривању права на упис у матичну књигу рођених, као и других права из личног статуса, са посебним освртом на новорођену децу, у циљу спречавања настанка ризика од апатридије.</w:t>
      </w:r>
    </w:p>
    <w:p w:rsidR="00332D53" w:rsidRPr="000C08C0" w:rsidRDefault="00332D53" w:rsidP="00332D53">
      <w:pPr>
        <w:spacing w:after="0"/>
        <w:ind w:firstLine="720"/>
        <w:jc w:val="both"/>
        <w:rPr>
          <w:sz w:val="24"/>
          <w:szCs w:val="24"/>
          <w:lang w:val="sr-Cyrl-RS"/>
        </w:rPr>
      </w:pPr>
      <w:r w:rsidRPr="00332D53">
        <w:rPr>
          <w:sz w:val="24"/>
          <w:szCs w:val="24"/>
          <w:lang w:val="sr-Cyrl-RS"/>
        </w:rPr>
        <w:t>Министарство унутрашњих послова у оквиру своје надлежности одлучује о захтевима за пријем и престанак држављанства Републике Србије, примењујући Закон о држављанству Републике Србије.</w:t>
      </w:r>
      <w:r>
        <w:rPr>
          <w:rStyle w:val="FootnoteReference"/>
          <w:sz w:val="24"/>
          <w:szCs w:val="24"/>
          <w:lang w:val="sr-Cyrl-RS"/>
        </w:rPr>
        <w:footnoteReference w:id="2"/>
      </w:r>
      <w:r w:rsidR="00FC0BFF">
        <w:rPr>
          <w:sz w:val="24"/>
          <w:szCs w:val="24"/>
          <w:lang w:val="sr-Cyrl-RS"/>
        </w:rPr>
        <w:t xml:space="preserve"> П</w:t>
      </w:r>
      <w:r w:rsidRPr="00332D53">
        <w:rPr>
          <w:sz w:val="24"/>
          <w:szCs w:val="24"/>
          <w:lang w:val="sr-Cyrl-RS"/>
        </w:rPr>
        <w:t xml:space="preserve">оштујући општа начела међународног права, а пре свега одредбе Европске конвенције о држављанству, </w:t>
      </w:r>
      <w:r w:rsidR="00FC0BFF">
        <w:rPr>
          <w:sz w:val="24"/>
          <w:szCs w:val="24"/>
          <w:lang w:val="sr-Cyrl-RS"/>
        </w:rPr>
        <w:t xml:space="preserve">у Закону се </w:t>
      </w:r>
      <w:r w:rsidRPr="00332D53">
        <w:rPr>
          <w:sz w:val="24"/>
          <w:szCs w:val="24"/>
          <w:lang w:val="sr-Cyrl-RS"/>
        </w:rPr>
        <w:t>посебн</w:t>
      </w:r>
      <w:r w:rsidR="00FC0BFF">
        <w:rPr>
          <w:sz w:val="24"/>
          <w:szCs w:val="24"/>
          <w:lang w:val="sr-Cyrl-RS"/>
        </w:rPr>
        <w:t>а</w:t>
      </w:r>
      <w:r w:rsidRPr="00332D53">
        <w:rPr>
          <w:sz w:val="24"/>
          <w:szCs w:val="24"/>
          <w:lang w:val="sr-Cyrl-RS"/>
        </w:rPr>
        <w:t xml:space="preserve"> пажњ</w:t>
      </w:r>
      <w:r w:rsidR="00FC0BFF">
        <w:rPr>
          <w:sz w:val="24"/>
          <w:szCs w:val="24"/>
          <w:lang w:val="sr-Cyrl-RS"/>
        </w:rPr>
        <w:t>а</w:t>
      </w:r>
      <w:r w:rsidRPr="00332D53">
        <w:rPr>
          <w:sz w:val="24"/>
          <w:szCs w:val="24"/>
          <w:lang w:val="sr-Cyrl-RS"/>
        </w:rPr>
        <w:t xml:space="preserve"> поклања принципима који имају за циљ спречавање и смањење апатридије, кроз могућност стицања држављанства Републике Србије по различитим правним основама (рођење, порекло, исељеници, странци, итд).</w:t>
      </w:r>
      <w:r w:rsidR="00FC0BFF">
        <w:rPr>
          <w:sz w:val="24"/>
          <w:szCs w:val="24"/>
          <w:lang w:val="sr-Cyrl-RS"/>
        </w:rPr>
        <w:t xml:space="preserve"> </w:t>
      </w:r>
      <w:r w:rsidRPr="00332D53">
        <w:rPr>
          <w:sz w:val="24"/>
          <w:szCs w:val="24"/>
          <w:lang w:val="sr-Cyrl-RS"/>
        </w:rPr>
        <w:t xml:space="preserve">Захтеви за пријем у држављанство Републике Србије припадника ромске националне мањине сматрају се хитним и решавају се приоритетно у складу са </w:t>
      </w:r>
      <w:r w:rsidR="00FC0BFF">
        <w:rPr>
          <w:sz w:val="24"/>
          <w:szCs w:val="24"/>
          <w:lang w:val="sr-Cyrl-RS"/>
        </w:rPr>
        <w:t>овим з</w:t>
      </w:r>
      <w:r w:rsidRPr="00332D53">
        <w:rPr>
          <w:sz w:val="24"/>
          <w:szCs w:val="24"/>
          <w:lang w:val="sr-Cyrl-RS"/>
        </w:rPr>
        <w:t>аконом</w:t>
      </w:r>
      <w:r w:rsidR="00FC0BFF">
        <w:rPr>
          <w:sz w:val="24"/>
          <w:szCs w:val="24"/>
          <w:lang w:val="sr-Cyrl-RS"/>
        </w:rPr>
        <w:t>.</w:t>
      </w:r>
      <w:r w:rsidRPr="00332D53">
        <w:rPr>
          <w:sz w:val="24"/>
          <w:szCs w:val="24"/>
          <w:lang w:val="sr-Cyrl-RS"/>
        </w:rPr>
        <w:t xml:space="preserve"> </w:t>
      </w:r>
    </w:p>
    <w:p w:rsidR="00332D53" w:rsidRPr="00332D53" w:rsidRDefault="00FC0BFF" w:rsidP="00FC0BFF">
      <w:pPr>
        <w:spacing w:after="0"/>
        <w:ind w:firstLine="720"/>
        <w:jc w:val="both"/>
        <w:rPr>
          <w:sz w:val="24"/>
          <w:szCs w:val="24"/>
          <w:lang w:val="sr-Cyrl-RS"/>
        </w:rPr>
      </w:pPr>
      <w:r w:rsidRPr="00FC0BFF">
        <w:rPr>
          <w:sz w:val="24"/>
          <w:szCs w:val="24"/>
          <w:lang w:val="sr-Cyrl-RS"/>
        </w:rPr>
        <w:t>Висок</w:t>
      </w:r>
      <w:r w:rsidR="00392AC9">
        <w:rPr>
          <w:sz w:val="24"/>
          <w:szCs w:val="24"/>
          <w:lang w:val="sr-Cyrl-RS"/>
        </w:rPr>
        <w:t>и</w:t>
      </w:r>
      <w:r w:rsidRPr="00FC0BFF">
        <w:rPr>
          <w:sz w:val="24"/>
          <w:szCs w:val="24"/>
          <w:lang w:val="sr-Cyrl-RS"/>
        </w:rPr>
        <w:t xml:space="preserve"> комесаријат Уједињених нација за избеглице – Представништво у Србији</w:t>
      </w:r>
      <w:r>
        <w:rPr>
          <w:sz w:val="24"/>
          <w:szCs w:val="24"/>
          <w:lang w:val="sr-Cyrl-RS"/>
        </w:rPr>
        <w:t xml:space="preserve"> спр</w:t>
      </w:r>
      <w:r w:rsidR="00392AC9">
        <w:rPr>
          <w:sz w:val="24"/>
          <w:szCs w:val="24"/>
          <w:lang w:val="sr-Cyrl-RS"/>
        </w:rPr>
        <w:t>ове</w:t>
      </w:r>
      <w:r>
        <w:rPr>
          <w:sz w:val="24"/>
          <w:szCs w:val="24"/>
          <w:lang w:val="sr-Cyrl-RS"/>
        </w:rPr>
        <w:t xml:space="preserve">о је </w:t>
      </w:r>
      <w:r w:rsidR="00392AC9">
        <w:rPr>
          <w:sz w:val="24"/>
          <w:szCs w:val="24"/>
          <w:lang w:val="sr-Cyrl-RS"/>
        </w:rPr>
        <w:t xml:space="preserve">до сада </w:t>
      </w:r>
      <w:r>
        <w:rPr>
          <w:sz w:val="24"/>
          <w:szCs w:val="24"/>
          <w:lang w:val="sr-Cyrl-RS"/>
        </w:rPr>
        <w:t xml:space="preserve">три истраживања о ризику од апатридије </w:t>
      </w:r>
      <w:r w:rsidR="00392AC9">
        <w:rPr>
          <w:sz w:val="24"/>
          <w:szCs w:val="24"/>
          <w:lang w:val="sr-Cyrl-RS"/>
        </w:rPr>
        <w:t>у Републици Србији, 2010, 2015. и 2020. године</w:t>
      </w:r>
      <w:r w:rsidR="009632CB">
        <w:rPr>
          <w:sz w:val="24"/>
          <w:szCs w:val="24"/>
          <w:lang w:val="sr-Cyrl-RS"/>
        </w:rPr>
        <w:t xml:space="preserve">. </w:t>
      </w:r>
      <w:r w:rsidRPr="00FC0BFF">
        <w:rPr>
          <w:sz w:val="24"/>
          <w:szCs w:val="24"/>
          <w:lang w:val="sr-Cyrl-RS"/>
        </w:rPr>
        <w:t xml:space="preserve">Треће по реду </w:t>
      </w:r>
      <w:r>
        <w:rPr>
          <w:sz w:val="24"/>
          <w:szCs w:val="24"/>
          <w:lang w:val="sr-Cyrl-RS"/>
        </w:rPr>
        <w:t>и</w:t>
      </w:r>
      <w:r w:rsidRPr="00FC0BFF">
        <w:rPr>
          <w:sz w:val="24"/>
          <w:szCs w:val="24"/>
          <w:lang w:val="sr-Cyrl-RS"/>
        </w:rPr>
        <w:t>страживање „Лица у ризику од апатридије у Србији: Преглед тренутног стања и препоруке за будућност“</w:t>
      </w:r>
      <w:r w:rsidR="00B00AF7">
        <w:rPr>
          <w:rStyle w:val="FootnoteReference"/>
          <w:sz w:val="24"/>
          <w:szCs w:val="24"/>
          <w:lang w:val="sr-Cyrl-RS"/>
        </w:rPr>
        <w:footnoteReference w:id="3"/>
      </w:r>
      <w:r>
        <w:rPr>
          <w:sz w:val="24"/>
          <w:szCs w:val="24"/>
          <w:lang w:val="sr-Cyrl-RS"/>
        </w:rPr>
        <w:t xml:space="preserve"> </w:t>
      </w:r>
      <w:r w:rsidR="00332D53" w:rsidRPr="00332D53">
        <w:rPr>
          <w:sz w:val="24"/>
          <w:szCs w:val="24"/>
          <w:lang w:val="sr-Cyrl-RS"/>
        </w:rPr>
        <w:t>чији је основни циљ прибављање репрезентативних података о раширености апатридије међу популацијом Рома, Ашкалија и Египћана који живе у неформалним насељима у Србији</w:t>
      </w:r>
      <w:r w:rsidR="009632CB">
        <w:rPr>
          <w:sz w:val="24"/>
          <w:szCs w:val="24"/>
          <w:lang w:val="sr-Cyrl-RS"/>
        </w:rPr>
        <w:t>,</w:t>
      </w:r>
      <w:r w:rsidR="00332D53" w:rsidRPr="00332D53">
        <w:rPr>
          <w:sz w:val="24"/>
          <w:szCs w:val="24"/>
          <w:lang w:val="sr-Cyrl-RS"/>
        </w:rPr>
        <w:t xml:space="preserve"> </w:t>
      </w:r>
      <w:r w:rsidR="009632CB">
        <w:rPr>
          <w:sz w:val="24"/>
          <w:szCs w:val="24"/>
          <w:lang w:val="sr-Cyrl-RS"/>
        </w:rPr>
        <w:t>за потребе</w:t>
      </w:r>
      <w:r w:rsidR="009632CB" w:rsidRPr="00332D53">
        <w:rPr>
          <w:sz w:val="24"/>
          <w:szCs w:val="24"/>
          <w:lang w:val="sr-Cyrl-RS"/>
        </w:rPr>
        <w:t xml:space="preserve"> УНХЦР</w:t>
      </w:r>
      <w:r w:rsidR="009632CB">
        <w:rPr>
          <w:sz w:val="24"/>
          <w:szCs w:val="24"/>
          <w:lang w:val="sr-Cyrl-RS"/>
        </w:rPr>
        <w:t>-а</w:t>
      </w:r>
      <w:r w:rsidR="009632CB" w:rsidRPr="00332D53">
        <w:rPr>
          <w:sz w:val="24"/>
          <w:szCs w:val="24"/>
          <w:lang w:val="sr-Cyrl-RS"/>
        </w:rPr>
        <w:t xml:space="preserve"> </w:t>
      </w:r>
      <w:r w:rsidR="00332D53" w:rsidRPr="00332D53">
        <w:rPr>
          <w:sz w:val="24"/>
          <w:szCs w:val="24"/>
          <w:lang w:val="sr-Cyrl-RS"/>
        </w:rPr>
        <w:t>спрове</w:t>
      </w:r>
      <w:r w:rsidR="009632CB">
        <w:rPr>
          <w:sz w:val="24"/>
          <w:szCs w:val="24"/>
          <w:lang w:val="sr-Cyrl-RS"/>
        </w:rPr>
        <w:t>ло</w:t>
      </w:r>
      <w:r w:rsidR="00332D53" w:rsidRPr="00332D53">
        <w:rPr>
          <w:sz w:val="24"/>
          <w:szCs w:val="24"/>
          <w:lang w:val="sr-Cyrl-RS"/>
        </w:rPr>
        <w:t xml:space="preserve"> је </w:t>
      </w:r>
      <w:r w:rsidR="009632CB">
        <w:rPr>
          <w:sz w:val="24"/>
          <w:szCs w:val="24"/>
          <w:lang w:val="sr-Cyrl-RS"/>
        </w:rPr>
        <w:t xml:space="preserve">удружење грађана </w:t>
      </w:r>
      <w:r w:rsidR="00332D53" w:rsidRPr="00332D53">
        <w:rPr>
          <w:sz w:val="24"/>
          <w:szCs w:val="24"/>
          <w:lang w:val="sr-Cyrl-RS"/>
        </w:rPr>
        <w:t>ЦеСИД током октобра 2020. године</w:t>
      </w:r>
      <w:r w:rsidR="009632CB">
        <w:rPr>
          <w:sz w:val="24"/>
          <w:szCs w:val="24"/>
          <w:lang w:val="sr-Cyrl-RS"/>
        </w:rPr>
        <w:t>, што представља пример независног истраживања које власти</w:t>
      </w:r>
      <w:r w:rsidR="008827FD">
        <w:rPr>
          <w:sz w:val="24"/>
          <w:szCs w:val="24"/>
          <w:lang w:val="sr-Cyrl-RS"/>
        </w:rPr>
        <w:t>ма</w:t>
      </w:r>
      <w:r w:rsidR="009632CB">
        <w:rPr>
          <w:sz w:val="24"/>
          <w:szCs w:val="24"/>
          <w:lang w:val="sr-Cyrl-RS"/>
        </w:rPr>
        <w:t xml:space="preserve"> Републике Србије</w:t>
      </w:r>
      <w:r w:rsidR="008827FD">
        <w:rPr>
          <w:sz w:val="24"/>
          <w:szCs w:val="24"/>
          <w:lang w:val="sr-Cyrl-RS"/>
        </w:rPr>
        <w:t xml:space="preserve"> мо</w:t>
      </w:r>
      <w:r w:rsidR="00801F4F">
        <w:rPr>
          <w:sz w:val="24"/>
          <w:szCs w:val="24"/>
          <w:lang w:val="sr-Cyrl-RS"/>
        </w:rPr>
        <w:t>же</w:t>
      </w:r>
      <w:r w:rsidR="008827FD">
        <w:rPr>
          <w:sz w:val="24"/>
          <w:szCs w:val="24"/>
          <w:lang w:val="sr-Cyrl-RS"/>
        </w:rPr>
        <w:t xml:space="preserve"> да пруже основ за креирање јавних политика</w:t>
      </w:r>
      <w:r w:rsidR="00332D53" w:rsidRPr="00332D53">
        <w:rPr>
          <w:sz w:val="24"/>
          <w:szCs w:val="24"/>
          <w:lang w:val="sr-Cyrl-RS"/>
        </w:rPr>
        <w:t>.</w:t>
      </w:r>
      <w:r w:rsidRPr="00FC0BFF">
        <w:t xml:space="preserve"> </w:t>
      </w:r>
    </w:p>
    <w:p w:rsidR="00332D53" w:rsidRPr="00332D53" w:rsidRDefault="00332D53" w:rsidP="00332D53">
      <w:pPr>
        <w:spacing w:after="0"/>
        <w:ind w:firstLine="720"/>
        <w:jc w:val="both"/>
        <w:rPr>
          <w:sz w:val="24"/>
          <w:szCs w:val="24"/>
          <w:lang w:val="sr-Cyrl-RS"/>
        </w:rPr>
      </w:pPr>
      <w:r w:rsidRPr="00332D53">
        <w:rPr>
          <w:sz w:val="24"/>
          <w:szCs w:val="24"/>
          <w:lang w:val="sr-Cyrl-RS"/>
        </w:rPr>
        <w:t>Истраживање је спроведено квантитативном методом, техником „лицем у лице“, на репрезентативном узорку испитаника настањених у неформалним насељима на територији Републике Србије. У истр</w:t>
      </w:r>
      <w:r w:rsidR="008827FD">
        <w:rPr>
          <w:sz w:val="24"/>
          <w:szCs w:val="24"/>
          <w:lang w:val="sr-Cyrl-RS"/>
        </w:rPr>
        <w:t>аживање је укључено 56 општина/</w:t>
      </w:r>
      <w:r w:rsidRPr="00332D53">
        <w:rPr>
          <w:sz w:val="24"/>
          <w:szCs w:val="24"/>
          <w:lang w:val="sr-Cyrl-RS"/>
        </w:rPr>
        <w:t xml:space="preserve">градова у Србији у којима је, према налазима пописа из 2011. године, забележени број Рома био већи у </w:t>
      </w:r>
      <w:r w:rsidRPr="00332D53">
        <w:rPr>
          <w:sz w:val="24"/>
          <w:szCs w:val="24"/>
          <w:lang w:val="sr-Cyrl-RS"/>
        </w:rPr>
        <w:lastRenderedPageBreak/>
        <w:t>односу на републички просек. У овим општинама је узорковано 117 неформалних насеља, у оквиру којих је селектовано 1</w:t>
      </w:r>
      <w:r w:rsidR="00801F4F">
        <w:rPr>
          <w:sz w:val="24"/>
          <w:szCs w:val="24"/>
          <w:lang w:val="sr-Cyrl-RS"/>
        </w:rPr>
        <w:t>.</w:t>
      </w:r>
      <w:r w:rsidRPr="00332D53">
        <w:rPr>
          <w:sz w:val="24"/>
          <w:szCs w:val="24"/>
          <w:lang w:val="sr-Cyrl-RS"/>
        </w:rPr>
        <w:t>807 домаћинстава методом случајног одабира.</w:t>
      </w:r>
    </w:p>
    <w:p w:rsidR="00392AC9" w:rsidRDefault="00392AC9" w:rsidP="00332D53">
      <w:pPr>
        <w:spacing w:after="0"/>
        <w:ind w:firstLine="720"/>
        <w:jc w:val="both"/>
        <w:rPr>
          <w:sz w:val="24"/>
          <w:szCs w:val="24"/>
          <w:lang w:val="sr-Cyrl-RS"/>
        </w:rPr>
      </w:pPr>
      <w:r>
        <w:rPr>
          <w:sz w:val="24"/>
          <w:szCs w:val="24"/>
          <w:lang w:val="sr-Cyrl-RS"/>
        </w:rPr>
        <w:t xml:space="preserve">У истраживању се </w:t>
      </w:r>
      <w:r w:rsidR="00D84FEB">
        <w:rPr>
          <w:sz w:val="24"/>
          <w:szCs w:val="24"/>
          <w:lang w:val="sr-Cyrl-RS"/>
        </w:rPr>
        <w:t>закључује</w:t>
      </w:r>
      <w:r>
        <w:rPr>
          <w:sz w:val="24"/>
          <w:szCs w:val="24"/>
          <w:lang w:val="sr-Cyrl-RS"/>
        </w:rPr>
        <w:t xml:space="preserve"> да је р</w:t>
      </w:r>
      <w:r w:rsidR="00332D53" w:rsidRPr="00332D53">
        <w:rPr>
          <w:sz w:val="24"/>
          <w:szCs w:val="24"/>
          <w:lang w:val="sr-Cyrl-RS"/>
        </w:rPr>
        <w:t>еализација Споразума о разумевању који је</w:t>
      </w:r>
      <w:r w:rsidR="00FC0BFF">
        <w:rPr>
          <w:sz w:val="24"/>
          <w:szCs w:val="24"/>
          <w:lang w:val="sr-Cyrl-RS"/>
        </w:rPr>
        <w:t xml:space="preserve"> </w:t>
      </w:r>
      <w:r w:rsidR="00332D53" w:rsidRPr="00332D53">
        <w:rPr>
          <w:sz w:val="24"/>
          <w:szCs w:val="24"/>
          <w:lang w:val="sr-Cyrl-RS"/>
        </w:rPr>
        <w:t>УНХЦР 2012. године потписао са Министарством државне управе и локалне самоуправе и Заштитником грађана</w:t>
      </w:r>
      <w:r w:rsidR="00FC0BFF">
        <w:rPr>
          <w:sz w:val="24"/>
          <w:szCs w:val="24"/>
          <w:lang w:val="sr-Cyrl-RS"/>
        </w:rPr>
        <w:t xml:space="preserve"> </w:t>
      </w:r>
      <w:r w:rsidR="00332D53" w:rsidRPr="00332D53">
        <w:rPr>
          <w:sz w:val="24"/>
          <w:szCs w:val="24"/>
          <w:lang w:val="sr-Cyrl-RS"/>
        </w:rPr>
        <w:t>довела је до значајног унапређења примене нових законских решења, као и уједначавања праксе поступања</w:t>
      </w:r>
      <w:r w:rsidR="00FC0BFF">
        <w:rPr>
          <w:sz w:val="24"/>
          <w:szCs w:val="24"/>
          <w:lang w:val="sr-Cyrl-RS"/>
        </w:rPr>
        <w:t xml:space="preserve"> </w:t>
      </w:r>
      <w:r w:rsidR="00332D53" w:rsidRPr="00332D53">
        <w:rPr>
          <w:sz w:val="24"/>
          <w:szCs w:val="24"/>
          <w:lang w:val="sr-Cyrl-RS"/>
        </w:rPr>
        <w:t xml:space="preserve">надлежних државних органа, што је резултирало тиме да број лица у ризику од апатридије унутар </w:t>
      </w:r>
      <w:r>
        <w:rPr>
          <w:sz w:val="24"/>
          <w:szCs w:val="24"/>
          <w:lang w:val="sr-Cyrl-RS"/>
        </w:rPr>
        <w:t>ове</w:t>
      </w:r>
      <w:r w:rsidR="00332D53" w:rsidRPr="00332D53">
        <w:rPr>
          <w:sz w:val="24"/>
          <w:szCs w:val="24"/>
          <w:lang w:val="sr-Cyrl-RS"/>
        </w:rPr>
        <w:t xml:space="preserve"> популације</w:t>
      </w:r>
      <w:r w:rsidR="00FC0BFF">
        <w:rPr>
          <w:sz w:val="24"/>
          <w:szCs w:val="24"/>
          <w:lang w:val="sr-Cyrl-RS"/>
        </w:rPr>
        <w:t xml:space="preserve"> </w:t>
      </w:r>
      <w:r w:rsidR="00332D53" w:rsidRPr="00332D53">
        <w:rPr>
          <w:sz w:val="24"/>
          <w:szCs w:val="24"/>
          <w:lang w:val="sr-Cyrl-RS"/>
        </w:rPr>
        <w:t>настањене у неформалним насељима буде смањен за нешто више од 1.100 људи, што је велики напредак који</w:t>
      </w:r>
      <w:r w:rsidR="00FC0BFF">
        <w:rPr>
          <w:sz w:val="24"/>
          <w:szCs w:val="24"/>
          <w:lang w:val="sr-Cyrl-RS"/>
        </w:rPr>
        <w:t xml:space="preserve"> </w:t>
      </w:r>
      <w:r w:rsidR="00332D53" w:rsidRPr="00332D53">
        <w:rPr>
          <w:sz w:val="24"/>
          <w:szCs w:val="24"/>
          <w:lang w:val="sr-Cyrl-RS"/>
        </w:rPr>
        <w:t xml:space="preserve">у процентима износи чак 42% у односу на 2015. годину. </w:t>
      </w:r>
      <w:r w:rsidRPr="00392AC9">
        <w:rPr>
          <w:sz w:val="24"/>
          <w:szCs w:val="24"/>
          <w:lang w:val="sr-Cyrl-RS"/>
        </w:rPr>
        <w:t xml:space="preserve">Укупно 45 лица или 0,49% из узорка немају држављанство на основу чега се може закључити да лица у опасности од апатридије која нису уписана у евиденције држављанства чине 0,49% </w:t>
      </w:r>
      <w:r w:rsidR="00D84FEB">
        <w:rPr>
          <w:sz w:val="24"/>
          <w:szCs w:val="24"/>
          <w:lang w:val="sr-Cyrl-RS"/>
        </w:rPr>
        <w:t xml:space="preserve">припадника </w:t>
      </w:r>
      <w:r w:rsidRPr="00392AC9">
        <w:rPr>
          <w:sz w:val="24"/>
          <w:szCs w:val="24"/>
          <w:lang w:val="sr-Cyrl-RS"/>
        </w:rPr>
        <w:t>ромск</w:t>
      </w:r>
      <w:r w:rsidR="00D84FEB">
        <w:rPr>
          <w:sz w:val="24"/>
          <w:szCs w:val="24"/>
          <w:lang w:val="sr-Cyrl-RS"/>
        </w:rPr>
        <w:t>е</w:t>
      </w:r>
      <w:r w:rsidRPr="00392AC9">
        <w:rPr>
          <w:sz w:val="24"/>
          <w:szCs w:val="24"/>
          <w:lang w:val="sr-Cyrl-RS"/>
        </w:rPr>
        <w:t>, ашкалијск</w:t>
      </w:r>
      <w:r w:rsidR="00D84FEB">
        <w:rPr>
          <w:sz w:val="24"/>
          <w:szCs w:val="24"/>
          <w:lang w:val="sr-Cyrl-RS"/>
        </w:rPr>
        <w:t>е</w:t>
      </w:r>
      <w:r w:rsidRPr="00392AC9">
        <w:rPr>
          <w:sz w:val="24"/>
          <w:szCs w:val="24"/>
          <w:lang w:val="sr-Cyrl-RS"/>
        </w:rPr>
        <w:t xml:space="preserve"> или египћанск</w:t>
      </w:r>
      <w:r w:rsidR="00D84FEB">
        <w:rPr>
          <w:sz w:val="24"/>
          <w:szCs w:val="24"/>
          <w:lang w:val="sr-Cyrl-RS"/>
        </w:rPr>
        <w:t>е</w:t>
      </w:r>
      <w:r w:rsidRPr="00392AC9">
        <w:rPr>
          <w:sz w:val="24"/>
          <w:szCs w:val="24"/>
          <w:lang w:val="sr-Cyrl-RS"/>
        </w:rPr>
        <w:t xml:space="preserve"> националн</w:t>
      </w:r>
      <w:r w:rsidR="00D84FEB">
        <w:rPr>
          <w:sz w:val="24"/>
          <w:szCs w:val="24"/>
          <w:lang w:val="sr-Cyrl-RS"/>
        </w:rPr>
        <w:t>е</w:t>
      </w:r>
      <w:r w:rsidRPr="00392AC9">
        <w:rPr>
          <w:sz w:val="24"/>
          <w:szCs w:val="24"/>
          <w:lang w:val="sr-Cyrl-RS"/>
        </w:rPr>
        <w:t xml:space="preserve"> мањин</w:t>
      </w:r>
      <w:r w:rsidR="00D84FEB">
        <w:rPr>
          <w:sz w:val="24"/>
          <w:szCs w:val="24"/>
          <w:lang w:val="sr-Cyrl-RS"/>
        </w:rPr>
        <w:t>е</w:t>
      </w:r>
      <w:r w:rsidRPr="00392AC9">
        <w:rPr>
          <w:sz w:val="24"/>
          <w:szCs w:val="24"/>
          <w:lang w:val="sr-Cyrl-RS"/>
        </w:rPr>
        <w:t xml:space="preserve"> у неформалним насељима. </w:t>
      </w:r>
    </w:p>
    <w:p w:rsidR="00332D53" w:rsidRDefault="00392AC9" w:rsidP="00332D53">
      <w:pPr>
        <w:spacing w:after="0"/>
        <w:ind w:firstLine="720"/>
        <w:jc w:val="both"/>
        <w:rPr>
          <w:sz w:val="24"/>
          <w:szCs w:val="24"/>
          <w:lang w:val="sr-Cyrl-RS"/>
        </w:rPr>
      </w:pPr>
      <w:r>
        <w:rPr>
          <w:sz w:val="24"/>
          <w:szCs w:val="24"/>
          <w:lang w:val="sr-Cyrl-RS"/>
        </w:rPr>
        <w:t xml:space="preserve">Активности </w:t>
      </w:r>
      <w:r w:rsidR="00332D53" w:rsidRPr="00332D53">
        <w:rPr>
          <w:sz w:val="24"/>
          <w:szCs w:val="24"/>
          <w:lang w:val="sr-Cyrl-RS"/>
        </w:rPr>
        <w:t xml:space="preserve">планиране </w:t>
      </w:r>
      <w:r>
        <w:rPr>
          <w:sz w:val="24"/>
          <w:szCs w:val="24"/>
          <w:lang w:val="sr-Cyrl-RS"/>
        </w:rPr>
        <w:t>за</w:t>
      </w:r>
      <w:r w:rsidR="00332D53" w:rsidRPr="00332D53">
        <w:rPr>
          <w:sz w:val="24"/>
          <w:szCs w:val="24"/>
          <w:lang w:val="sr-Cyrl-RS"/>
        </w:rPr>
        <w:t xml:space="preserve"> наредн</w:t>
      </w:r>
      <w:r>
        <w:rPr>
          <w:sz w:val="24"/>
          <w:szCs w:val="24"/>
          <w:lang w:val="sr-Cyrl-RS"/>
        </w:rPr>
        <w:t>и</w:t>
      </w:r>
      <w:r w:rsidR="00332D53" w:rsidRPr="00332D53">
        <w:rPr>
          <w:sz w:val="24"/>
          <w:szCs w:val="24"/>
          <w:lang w:val="sr-Cyrl-RS"/>
        </w:rPr>
        <w:t xml:space="preserve"> период треба да омогуће регулисање преосталих проблема</w:t>
      </w:r>
      <w:r w:rsidR="00FC0BFF">
        <w:rPr>
          <w:sz w:val="24"/>
          <w:szCs w:val="24"/>
          <w:lang w:val="sr-Cyrl-RS"/>
        </w:rPr>
        <w:t xml:space="preserve"> </w:t>
      </w:r>
      <w:r w:rsidR="00332D53" w:rsidRPr="00332D53">
        <w:rPr>
          <w:sz w:val="24"/>
          <w:szCs w:val="24"/>
          <w:lang w:val="sr-Cyrl-RS"/>
        </w:rPr>
        <w:t xml:space="preserve">лица у ризику од апатридије. </w:t>
      </w:r>
      <w:r w:rsidR="00D84FEB">
        <w:rPr>
          <w:sz w:val="24"/>
          <w:szCs w:val="24"/>
          <w:lang w:val="sr-Cyrl-RS"/>
        </w:rPr>
        <w:t>Остварени н</w:t>
      </w:r>
      <w:r w:rsidR="00332D53" w:rsidRPr="00332D53">
        <w:rPr>
          <w:sz w:val="24"/>
          <w:szCs w:val="24"/>
          <w:lang w:val="sr-Cyrl-RS"/>
        </w:rPr>
        <w:t>апредак указује да Србија, заједно са УНХЦР-ом и организацијама</w:t>
      </w:r>
      <w:r w:rsidR="00FC0BFF">
        <w:rPr>
          <w:sz w:val="24"/>
          <w:szCs w:val="24"/>
          <w:lang w:val="sr-Cyrl-RS"/>
        </w:rPr>
        <w:t xml:space="preserve"> </w:t>
      </w:r>
      <w:r w:rsidR="00332D53" w:rsidRPr="00332D53">
        <w:rPr>
          <w:sz w:val="24"/>
          <w:szCs w:val="24"/>
          <w:lang w:val="sr-Cyrl-RS"/>
        </w:rPr>
        <w:t>цивилног друштва које се баве људским правима, посвећује значајну пажњу овом проблему. Ипак, број оних</w:t>
      </w:r>
      <w:r w:rsidR="00FC0BFF">
        <w:rPr>
          <w:sz w:val="24"/>
          <w:szCs w:val="24"/>
          <w:lang w:val="sr-Cyrl-RS"/>
        </w:rPr>
        <w:t xml:space="preserve"> </w:t>
      </w:r>
      <w:r w:rsidR="00332D53" w:rsidRPr="00332D53">
        <w:rPr>
          <w:sz w:val="24"/>
          <w:szCs w:val="24"/>
          <w:lang w:val="sr-Cyrl-RS"/>
        </w:rPr>
        <w:t>особа које још увек не поседују лична документа, а које се често налазе на маргинама друштва и до којих</w:t>
      </w:r>
      <w:r w:rsidR="00FC0BFF">
        <w:rPr>
          <w:sz w:val="24"/>
          <w:szCs w:val="24"/>
          <w:lang w:val="sr-Cyrl-RS"/>
        </w:rPr>
        <w:t xml:space="preserve"> </w:t>
      </w:r>
      <w:r w:rsidR="00332D53" w:rsidRPr="00332D53">
        <w:rPr>
          <w:sz w:val="24"/>
          <w:szCs w:val="24"/>
          <w:lang w:val="sr-Cyrl-RS"/>
        </w:rPr>
        <w:t>није лако доћи, оставља простора за додатне напоре који би унапредиле положај заједнице и смањили потенцијал</w:t>
      </w:r>
      <w:r w:rsidR="00FC0BFF">
        <w:rPr>
          <w:sz w:val="24"/>
          <w:szCs w:val="24"/>
          <w:lang w:val="sr-Cyrl-RS"/>
        </w:rPr>
        <w:t xml:space="preserve"> </w:t>
      </w:r>
      <w:r w:rsidR="00332D53" w:rsidRPr="00332D53">
        <w:rPr>
          <w:sz w:val="24"/>
          <w:szCs w:val="24"/>
          <w:lang w:val="sr-Cyrl-RS"/>
        </w:rPr>
        <w:t xml:space="preserve">за повећање броја лица у ризику од апатридије у Србији. </w:t>
      </w:r>
    </w:p>
    <w:p w:rsidR="00B00AF7" w:rsidRPr="00332D53" w:rsidRDefault="00B00AF7" w:rsidP="00332D53">
      <w:pPr>
        <w:spacing w:after="0"/>
        <w:ind w:firstLine="720"/>
        <w:jc w:val="both"/>
        <w:rPr>
          <w:sz w:val="24"/>
          <w:szCs w:val="24"/>
          <w:lang w:val="sr-Cyrl-RS"/>
        </w:rPr>
      </w:pPr>
      <w:r w:rsidRPr="00B00AF7">
        <w:rPr>
          <w:sz w:val="24"/>
          <w:szCs w:val="24"/>
          <w:lang w:val="sr-Cyrl-RS"/>
        </w:rPr>
        <w:t xml:space="preserve">С обзиром на напредак који је постигнут до данас, УНХЦР </w:t>
      </w:r>
      <w:r>
        <w:rPr>
          <w:sz w:val="24"/>
          <w:szCs w:val="24"/>
          <w:lang w:val="sr-Cyrl-RS"/>
        </w:rPr>
        <w:t xml:space="preserve">наводи да је </w:t>
      </w:r>
      <w:r w:rsidRPr="00B00AF7">
        <w:rPr>
          <w:sz w:val="24"/>
          <w:szCs w:val="24"/>
          <w:lang w:val="sr-Cyrl-RS"/>
        </w:rPr>
        <w:t>Република Србија једна од земаља које би могле да потпуно искорене апатридију до 2024. године или чак и раније.</w:t>
      </w:r>
      <w:r>
        <w:rPr>
          <w:rStyle w:val="FootnoteReference"/>
          <w:sz w:val="24"/>
          <w:szCs w:val="24"/>
          <w:lang w:val="sr-Cyrl-RS"/>
        </w:rPr>
        <w:footnoteReference w:id="4"/>
      </w:r>
      <w:r w:rsidRPr="00B00AF7">
        <w:rPr>
          <w:sz w:val="24"/>
          <w:szCs w:val="24"/>
          <w:lang w:val="sr-Cyrl-RS"/>
        </w:rPr>
        <w:t xml:space="preserve"> </w:t>
      </w:r>
    </w:p>
    <w:p w:rsidR="00414485" w:rsidRDefault="00414485" w:rsidP="00414485">
      <w:pPr>
        <w:spacing w:after="0"/>
        <w:jc w:val="both"/>
        <w:rPr>
          <w:sz w:val="24"/>
          <w:szCs w:val="24"/>
          <w:lang w:val="sr-Cyrl-RS"/>
        </w:rPr>
      </w:pPr>
    </w:p>
    <w:p w:rsidR="00414485" w:rsidRPr="00874C27" w:rsidRDefault="00414485" w:rsidP="00414485">
      <w:pPr>
        <w:spacing w:after="0"/>
        <w:jc w:val="both"/>
        <w:rPr>
          <w:i/>
          <w:sz w:val="24"/>
          <w:szCs w:val="24"/>
          <w:lang w:val="sr-Cyrl-RS"/>
        </w:rPr>
      </w:pPr>
      <w:r w:rsidRPr="00874C27">
        <w:rPr>
          <w:i/>
          <w:sz w:val="24"/>
          <w:szCs w:val="24"/>
          <w:lang w:val="sr-Cyrl-RS"/>
        </w:rPr>
        <w:t>Активности у области ста</w:t>
      </w:r>
      <w:r w:rsidR="008B7415" w:rsidRPr="00874C27">
        <w:rPr>
          <w:i/>
          <w:sz w:val="24"/>
          <w:szCs w:val="24"/>
          <w:lang w:val="sr-Cyrl-RS"/>
        </w:rPr>
        <w:t>н</w:t>
      </w:r>
      <w:r w:rsidRPr="00874C27">
        <w:rPr>
          <w:i/>
          <w:sz w:val="24"/>
          <w:szCs w:val="24"/>
          <w:lang w:val="sr-Cyrl-RS"/>
        </w:rPr>
        <w:t>овања</w:t>
      </w:r>
    </w:p>
    <w:p w:rsidR="00414485" w:rsidRPr="00A66C30" w:rsidRDefault="00414485" w:rsidP="00414485">
      <w:pPr>
        <w:spacing w:after="0"/>
        <w:jc w:val="both"/>
        <w:rPr>
          <w:sz w:val="24"/>
          <w:szCs w:val="24"/>
          <w:highlight w:val="yellow"/>
          <w:lang w:val="sr-Cyrl-RS"/>
        </w:rPr>
      </w:pPr>
    </w:p>
    <w:p w:rsidR="006904C2" w:rsidRPr="00FD6ED2" w:rsidRDefault="006904C2" w:rsidP="00C63B9C">
      <w:pPr>
        <w:spacing w:after="0"/>
        <w:ind w:firstLine="720"/>
        <w:jc w:val="both"/>
        <w:rPr>
          <w:sz w:val="24"/>
          <w:szCs w:val="24"/>
          <w:lang w:val="sr-Cyrl-RS"/>
        </w:rPr>
      </w:pPr>
      <w:r w:rsidRPr="00FD6ED2">
        <w:rPr>
          <w:sz w:val="24"/>
          <w:szCs w:val="24"/>
          <w:lang w:val="sr-Cyrl-RS"/>
        </w:rPr>
        <w:t xml:space="preserve">Република Србија спроводи велики број пројеката уз подршку међународне заједнице чији је циљ унапређење услова становања припадника ромске националне мањине. Кроз ИПА 2013 уговор ,,Спровођење трајних решења за становање и побољшање физичке инфраструктуре у ромским насељима“ – Грант шема, </w:t>
      </w:r>
      <w:r w:rsidR="005C5231" w:rsidRPr="00FD6ED2">
        <w:rPr>
          <w:sz w:val="24"/>
          <w:szCs w:val="24"/>
          <w:lang w:val="sr-Cyrl-RS"/>
        </w:rPr>
        <w:t xml:space="preserve">у периоду 2017-2019. година </w:t>
      </w:r>
      <w:r w:rsidRPr="00FD6ED2">
        <w:rPr>
          <w:sz w:val="24"/>
          <w:szCs w:val="24"/>
          <w:lang w:val="sr-Cyrl-RS"/>
        </w:rPr>
        <w:t>реализоване су планиране активности у погледу изградње/реконструкције социјалних станова и изградње путне и комуналне инфраструктуре. Планирани радови су успешно реализовани кроз 9 пројеката у 11 јединица локалне самоуправе</w:t>
      </w:r>
      <w:r w:rsidR="00FF5192">
        <w:rPr>
          <w:sz w:val="24"/>
          <w:szCs w:val="24"/>
          <w:lang w:val="sr-Cyrl-RS"/>
        </w:rPr>
        <w:t xml:space="preserve"> (ЈЛС)</w:t>
      </w:r>
      <w:r w:rsidRPr="00FD6ED2">
        <w:rPr>
          <w:sz w:val="24"/>
          <w:szCs w:val="24"/>
          <w:lang w:val="sr-Cyrl-RS"/>
        </w:rPr>
        <w:t xml:space="preserve">. Уговор је реализован паралелно са уговором о техничкој помоћи ,,Техничка подршка за унапређење услова живота и становања ромске популације која тренутно пребива у неформалним насељима“ који је пружао стручну подршку у спровођењу грант шеме. Уговор је званично завршен у септембру 2019, а </w:t>
      </w:r>
      <w:r w:rsidR="005C5231" w:rsidRPr="00FD6ED2">
        <w:rPr>
          <w:sz w:val="24"/>
          <w:szCs w:val="24"/>
          <w:lang w:val="sr-Cyrl-RS"/>
        </w:rPr>
        <w:t>послед</w:t>
      </w:r>
      <w:r w:rsidRPr="00FD6ED2">
        <w:rPr>
          <w:sz w:val="24"/>
          <w:szCs w:val="24"/>
          <w:lang w:val="sr-Cyrl-RS"/>
        </w:rPr>
        <w:t xml:space="preserve">њи радови у граду Прокупљу су завршени у трећем кварталу 2020. године. Укупно је изграђено 114 стамбених јединица у кућама и 12 станова, а реконструисано је 59 кућа. Укупан број припадника ромске популације са решеним стамбеним питањем кроз овај пројекат је преко 750. </w:t>
      </w:r>
    </w:p>
    <w:p w:rsidR="005C5231" w:rsidRDefault="005C5231" w:rsidP="00C63B9C">
      <w:pPr>
        <w:spacing w:after="0"/>
        <w:ind w:firstLine="720"/>
        <w:jc w:val="both"/>
        <w:rPr>
          <w:sz w:val="24"/>
          <w:szCs w:val="24"/>
          <w:lang w:val="sr-Cyrl-RS"/>
        </w:rPr>
      </w:pPr>
      <w:r>
        <w:rPr>
          <w:sz w:val="24"/>
          <w:szCs w:val="24"/>
          <w:lang w:val="sr-Cyrl-RS"/>
        </w:rPr>
        <w:lastRenderedPageBreak/>
        <w:t>Кроз Програм ИПА 2014, у периоду од 2019</w:t>
      </w:r>
      <w:r w:rsidR="006B677A">
        <w:rPr>
          <w:sz w:val="24"/>
          <w:szCs w:val="24"/>
          <w:lang w:val="sr-Cyrl-RS"/>
        </w:rPr>
        <w:t>.</w:t>
      </w:r>
      <w:r>
        <w:rPr>
          <w:sz w:val="24"/>
          <w:szCs w:val="24"/>
          <w:lang w:val="sr-Cyrl-RS"/>
        </w:rPr>
        <w:t xml:space="preserve"> </w:t>
      </w:r>
      <w:r w:rsidR="00E73C1F">
        <w:rPr>
          <w:sz w:val="24"/>
          <w:szCs w:val="24"/>
          <w:lang w:val="sr-Cyrl-RS"/>
        </w:rPr>
        <w:t>до</w:t>
      </w:r>
      <w:r>
        <w:rPr>
          <w:sz w:val="24"/>
          <w:szCs w:val="24"/>
          <w:lang w:val="sr-Cyrl-RS"/>
        </w:rPr>
        <w:t xml:space="preserve"> 2021. године, реализован је пројекат „ЕУ подршка унапређењу становања Рома”, у оквиру којег су спровођене активности у 35 једница локалне самоуправе. У том периоду израђена су 24 комплета </w:t>
      </w:r>
      <w:r w:rsidRPr="00EC0065">
        <w:rPr>
          <w:sz w:val="24"/>
          <w:szCs w:val="24"/>
          <w:lang w:val="sr-Cyrl-RS"/>
        </w:rPr>
        <w:t>планск</w:t>
      </w:r>
      <w:r>
        <w:rPr>
          <w:sz w:val="24"/>
          <w:szCs w:val="24"/>
          <w:lang w:val="sr-Cyrl-RS"/>
        </w:rPr>
        <w:t>е и 82 комплета техничке</w:t>
      </w:r>
      <w:r w:rsidRPr="00EC0065">
        <w:rPr>
          <w:sz w:val="24"/>
          <w:szCs w:val="24"/>
          <w:lang w:val="sr-Cyrl-RS"/>
        </w:rPr>
        <w:t xml:space="preserve"> документациј</w:t>
      </w:r>
      <w:r w:rsidR="00E73C1F">
        <w:rPr>
          <w:sz w:val="24"/>
          <w:szCs w:val="24"/>
          <w:lang w:val="sr-Cyrl-RS"/>
        </w:rPr>
        <w:t>е</w:t>
      </w:r>
      <w:r>
        <w:rPr>
          <w:sz w:val="24"/>
          <w:szCs w:val="24"/>
          <w:lang w:val="sr-Cyrl-RS"/>
        </w:rPr>
        <w:t xml:space="preserve"> за решавање стамбених потреба за преко 340 ромских домаћинстава из 115 насеља, а захваљујући припремљеној документацији шест </w:t>
      </w:r>
      <w:r w:rsidRPr="005C5231">
        <w:rPr>
          <w:sz w:val="24"/>
          <w:szCs w:val="24"/>
          <w:lang w:val="sr-Cyrl-RS"/>
        </w:rPr>
        <w:t>једница локалне самоуправе</w:t>
      </w:r>
      <w:r>
        <w:rPr>
          <w:sz w:val="24"/>
          <w:szCs w:val="24"/>
          <w:lang w:val="sr-Cyrl-RS"/>
        </w:rPr>
        <w:t xml:space="preserve"> је обезбедило средства за изградњу станова из ИПА 2018 програма. Кроз пројекат је обезбеђена подршка за рад 15 мобилних тимова за потребе израде оперативних планова и акционих планова за инклузију Рома и ажурирана је </w:t>
      </w:r>
      <w:r w:rsidRPr="00EC0065">
        <w:rPr>
          <w:sz w:val="24"/>
          <w:szCs w:val="24"/>
          <w:lang w:val="sr-Cyrl-RS"/>
        </w:rPr>
        <w:t>баз</w:t>
      </w:r>
      <w:r>
        <w:rPr>
          <w:sz w:val="24"/>
          <w:szCs w:val="24"/>
          <w:lang w:val="sr-Cyrl-RS"/>
        </w:rPr>
        <w:t>а о подстандардним ромским насељима.</w:t>
      </w:r>
    </w:p>
    <w:p w:rsidR="00FD6ED2" w:rsidRPr="00EC0065" w:rsidRDefault="00FD6ED2" w:rsidP="002644F9">
      <w:pPr>
        <w:spacing w:after="0"/>
        <w:ind w:firstLine="720"/>
        <w:jc w:val="both"/>
        <w:rPr>
          <w:sz w:val="24"/>
          <w:szCs w:val="24"/>
          <w:lang w:val="sr-Cyrl-RS"/>
        </w:rPr>
      </w:pPr>
      <w:r>
        <w:rPr>
          <w:sz w:val="24"/>
          <w:szCs w:val="24"/>
          <w:lang w:val="sr-Cyrl-RS"/>
        </w:rPr>
        <w:t xml:space="preserve">У оквиру Програма ИПА 2016, који је истекао крајем марта 2022. године, </w:t>
      </w:r>
      <w:r w:rsidRPr="00EC0065">
        <w:rPr>
          <w:sz w:val="24"/>
          <w:szCs w:val="24"/>
          <w:lang w:val="sr-Cyrl-RS"/>
        </w:rPr>
        <w:t>Стална конферен</w:t>
      </w:r>
      <w:r>
        <w:rPr>
          <w:sz w:val="24"/>
          <w:szCs w:val="24"/>
          <w:lang w:val="sr-Cyrl-RS"/>
        </w:rPr>
        <w:t>ција градова и општина спровела је пројекат „</w:t>
      </w:r>
      <w:r w:rsidRPr="00EC0065">
        <w:rPr>
          <w:sz w:val="24"/>
          <w:szCs w:val="24"/>
          <w:lang w:val="sr-Cyrl-RS"/>
        </w:rPr>
        <w:t>Оснаживање локалних заједница за инклузију Рома</w:t>
      </w:r>
      <w:r>
        <w:rPr>
          <w:sz w:val="24"/>
          <w:szCs w:val="24"/>
          <w:lang w:val="sr-Cyrl-RS"/>
        </w:rPr>
        <w:t xml:space="preserve">”. До краја 2021. године </w:t>
      </w:r>
      <w:r w:rsidRPr="00EC0065">
        <w:rPr>
          <w:sz w:val="24"/>
          <w:szCs w:val="24"/>
          <w:lang w:val="sr-Cyrl-RS"/>
        </w:rPr>
        <w:t xml:space="preserve">израђено је 11 урбанистичких планова </w:t>
      </w:r>
      <w:r>
        <w:rPr>
          <w:sz w:val="24"/>
          <w:szCs w:val="24"/>
          <w:lang w:val="sr-Cyrl-RS"/>
        </w:rPr>
        <w:t xml:space="preserve">и </w:t>
      </w:r>
      <w:r w:rsidRPr="00EC0065">
        <w:rPr>
          <w:sz w:val="24"/>
          <w:szCs w:val="24"/>
          <w:lang w:val="sr-Cyrl-RS"/>
        </w:rPr>
        <w:t>12 комплета техничке документације (социјални станови, пу</w:t>
      </w:r>
      <w:r>
        <w:rPr>
          <w:sz w:val="24"/>
          <w:szCs w:val="24"/>
          <w:lang w:val="sr-Cyrl-RS"/>
        </w:rPr>
        <w:t>тна и комунална инфраструктура), у</w:t>
      </w:r>
      <w:r w:rsidRPr="00EC0065">
        <w:rPr>
          <w:sz w:val="24"/>
          <w:szCs w:val="24"/>
          <w:lang w:val="sr-Cyrl-RS"/>
        </w:rPr>
        <w:t xml:space="preserve">рађена </w:t>
      </w:r>
      <w:r>
        <w:rPr>
          <w:sz w:val="24"/>
          <w:szCs w:val="24"/>
          <w:lang w:val="sr-Cyrl-RS"/>
        </w:rPr>
        <w:t xml:space="preserve">је </w:t>
      </w:r>
      <w:r w:rsidRPr="00EC0065">
        <w:rPr>
          <w:sz w:val="24"/>
          <w:szCs w:val="24"/>
          <w:lang w:val="sr-Cyrl-RS"/>
        </w:rPr>
        <w:t xml:space="preserve">анализа стања у области озакоњења подстандардних ромских насеља у 23 </w:t>
      </w:r>
      <w:r w:rsidRPr="00FD6ED2">
        <w:rPr>
          <w:sz w:val="24"/>
          <w:szCs w:val="24"/>
          <w:lang w:val="sr-Cyrl-RS"/>
        </w:rPr>
        <w:t>једниц</w:t>
      </w:r>
      <w:r w:rsidR="00FF5192">
        <w:rPr>
          <w:sz w:val="24"/>
          <w:szCs w:val="24"/>
          <w:lang w:val="sr-Cyrl-RS"/>
        </w:rPr>
        <w:t>е</w:t>
      </w:r>
      <w:r w:rsidRPr="00FD6ED2">
        <w:rPr>
          <w:sz w:val="24"/>
          <w:szCs w:val="24"/>
          <w:lang w:val="sr-Cyrl-RS"/>
        </w:rPr>
        <w:t xml:space="preserve"> локалне самоуправе</w:t>
      </w:r>
      <w:r w:rsidRPr="00EC0065">
        <w:rPr>
          <w:sz w:val="24"/>
          <w:szCs w:val="24"/>
          <w:lang w:val="sr-Cyrl-RS"/>
        </w:rPr>
        <w:t xml:space="preserve"> и креирана методологија за унапређењ</w:t>
      </w:r>
      <w:r>
        <w:rPr>
          <w:sz w:val="24"/>
          <w:szCs w:val="24"/>
          <w:lang w:val="sr-Cyrl-RS"/>
        </w:rPr>
        <w:t>е стања у наведеној области.</w:t>
      </w:r>
      <w:r w:rsidRPr="00EC0065">
        <w:rPr>
          <w:sz w:val="24"/>
          <w:szCs w:val="24"/>
          <w:lang w:val="sr-Cyrl-RS"/>
        </w:rPr>
        <w:t xml:space="preserve"> </w:t>
      </w:r>
      <w:r>
        <w:rPr>
          <w:sz w:val="24"/>
          <w:szCs w:val="24"/>
          <w:lang w:val="sr-Cyrl-RS"/>
        </w:rPr>
        <w:t>Осим наведеног, израђен је И</w:t>
      </w:r>
      <w:r w:rsidRPr="00FD6ED2">
        <w:rPr>
          <w:sz w:val="24"/>
          <w:szCs w:val="24"/>
          <w:lang w:val="sr-Cyrl-RS"/>
        </w:rPr>
        <w:t>звештај о стању у области озакоњења</w:t>
      </w:r>
      <w:r>
        <w:rPr>
          <w:sz w:val="24"/>
          <w:szCs w:val="24"/>
          <w:lang w:val="sr-Cyrl-RS"/>
        </w:rPr>
        <w:t xml:space="preserve"> </w:t>
      </w:r>
      <w:r w:rsidRPr="00FD6ED2">
        <w:rPr>
          <w:sz w:val="24"/>
          <w:szCs w:val="24"/>
          <w:lang w:val="sr-Cyrl-RS"/>
        </w:rPr>
        <w:t>објеката ромске заједнице са препорукама</w:t>
      </w:r>
      <w:r>
        <w:rPr>
          <w:sz w:val="24"/>
          <w:szCs w:val="24"/>
          <w:lang w:val="sr-Cyrl-RS"/>
        </w:rPr>
        <w:t xml:space="preserve"> </w:t>
      </w:r>
      <w:r w:rsidRPr="00FD6ED2">
        <w:rPr>
          <w:sz w:val="24"/>
          <w:szCs w:val="24"/>
          <w:lang w:val="sr-Cyrl-RS"/>
        </w:rPr>
        <w:t>за унапређење процеса</w:t>
      </w:r>
      <w:r w:rsidR="006B677A">
        <w:rPr>
          <w:sz w:val="24"/>
          <w:szCs w:val="24"/>
          <w:lang w:val="sr-Cyrl-RS"/>
        </w:rPr>
        <w:t>,</w:t>
      </w:r>
      <w:r>
        <w:rPr>
          <w:rStyle w:val="FootnoteReference"/>
          <w:sz w:val="24"/>
          <w:szCs w:val="24"/>
          <w:lang w:val="sr-Cyrl-RS"/>
        </w:rPr>
        <w:footnoteReference w:id="5"/>
      </w:r>
      <w:r>
        <w:rPr>
          <w:sz w:val="24"/>
          <w:szCs w:val="24"/>
          <w:lang w:val="sr-Cyrl-RS"/>
        </w:rPr>
        <w:t xml:space="preserve"> ф</w:t>
      </w:r>
      <w:r w:rsidRPr="00EC0065">
        <w:rPr>
          <w:sz w:val="24"/>
          <w:szCs w:val="24"/>
          <w:lang w:val="sr-Cyrl-RS"/>
        </w:rPr>
        <w:t>ормирано је нових 10 мобилних тимова</w:t>
      </w:r>
      <w:r>
        <w:rPr>
          <w:sz w:val="24"/>
          <w:szCs w:val="24"/>
          <w:lang w:val="sr-Cyrl-RS"/>
        </w:rPr>
        <w:t xml:space="preserve"> за подршку инклузији Рома, </w:t>
      </w:r>
      <w:r w:rsidRPr="00EC0065">
        <w:rPr>
          <w:sz w:val="24"/>
          <w:szCs w:val="24"/>
          <w:lang w:val="sr-Cyrl-RS"/>
        </w:rPr>
        <w:t xml:space="preserve">поднето </w:t>
      </w:r>
      <w:r>
        <w:rPr>
          <w:sz w:val="24"/>
          <w:szCs w:val="24"/>
          <w:lang w:val="sr-Cyrl-RS"/>
        </w:rPr>
        <w:t xml:space="preserve">је </w:t>
      </w:r>
      <w:r w:rsidRPr="00EC0065">
        <w:rPr>
          <w:sz w:val="24"/>
          <w:szCs w:val="24"/>
          <w:lang w:val="sr-Cyrl-RS"/>
        </w:rPr>
        <w:t>2.153 захтева за легализацију (индивидуално или пр</w:t>
      </w:r>
      <w:r>
        <w:rPr>
          <w:sz w:val="24"/>
          <w:szCs w:val="24"/>
          <w:lang w:val="sr-Cyrl-RS"/>
        </w:rPr>
        <w:t>еко општинске/градске управе) и п</w:t>
      </w:r>
      <w:r w:rsidRPr="00EC0065">
        <w:rPr>
          <w:sz w:val="24"/>
          <w:szCs w:val="24"/>
          <w:lang w:val="sr-Cyrl-RS"/>
        </w:rPr>
        <w:t xml:space="preserve">ружена правна помоћ за </w:t>
      </w:r>
      <w:r>
        <w:rPr>
          <w:sz w:val="24"/>
          <w:szCs w:val="24"/>
          <w:lang w:val="sr-Cyrl-RS"/>
        </w:rPr>
        <w:t xml:space="preserve">решавање имовинско правних питања за </w:t>
      </w:r>
      <w:r w:rsidRPr="00EC0065">
        <w:rPr>
          <w:sz w:val="24"/>
          <w:szCs w:val="24"/>
          <w:lang w:val="sr-Cyrl-RS"/>
        </w:rPr>
        <w:t xml:space="preserve">247 </w:t>
      </w:r>
      <w:r>
        <w:rPr>
          <w:sz w:val="24"/>
          <w:szCs w:val="24"/>
          <w:lang w:val="sr-Cyrl-RS"/>
        </w:rPr>
        <w:t>ромск</w:t>
      </w:r>
      <w:r w:rsidR="00FF5192">
        <w:rPr>
          <w:sz w:val="24"/>
          <w:szCs w:val="24"/>
          <w:lang w:val="sr-Cyrl-RS"/>
        </w:rPr>
        <w:t>их</w:t>
      </w:r>
      <w:r>
        <w:rPr>
          <w:sz w:val="24"/>
          <w:szCs w:val="24"/>
          <w:lang w:val="sr-Cyrl-RS"/>
        </w:rPr>
        <w:t xml:space="preserve"> домаћинст</w:t>
      </w:r>
      <w:r w:rsidR="00E73C1F">
        <w:rPr>
          <w:sz w:val="24"/>
          <w:szCs w:val="24"/>
          <w:lang w:val="sr-Cyrl-RS"/>
        </w:rPr>
        <w:t>а</w:t>
      </w:r>
      <w:r>
        <w:rPr>
          <w:sz w:val="24"/>
          <w:szCs w:val="24"/>
          <w:lang w:val="sr-Cyrl-RS"/>
        </w:rPr>
        <w:t xml:space="preserve">ва за потребе </w:t>
      </w:r>
      <w:r w:rsidR="0033530E">
        <w:rPr>
          <w:sz w:val="24"/>
          <w:szCs w:val="24"/>
          <w:lang w:val="sr-Cyrl-RS"/>
        </w:rPr>
        <w:t>легализације</w:t>
      </w:r>
      <w:r w:rsidRPr="00EC0065">
        <w:rPr>
          <w:sz w:val="24"/>
          <w:szCs w:val="24"/>
          <w:lang w:val="sr-Cyrl-RS"/>
        </w:rPr>
        <w:t>.</w:t>
      </w:r>
    </w:p>
    <w:p w:rsidR="002644F9" w:rsidRDefault="002644F9" w:rsidP="002644F9">
      <w:pPr>
        <w:spacing w:after="0"/>
        <w:ind w:firstLine="720"/>
        <w:jc w:val="both"/>
        <w:rPr>
          <w:sz w:val="24"/>
          <w:szCs w:val="24"/>
          <w:lang w:val="sr-Cyrl-RS"/>
        </w:rPr>
      </w:pPr>
      <w:r>
        <w:rPr>
          <w:sz w:val="24"/>
          <w:szCs w:val="24"/>
          <w:lang w:val="sr-Cyrl-RS"/>
        </w:rPr>
        <w:t>Кроз П</w:t>
      </w:r>
      <w:r w:rsidRPr="00EC0065">
        <w:rPr>
          <w:sz w:val="24"/>
          <w:szCs w:val="24"/>
          <w:lang w:val="sr-Cyrl-RS"/>
        </w:rPr>
        <w:t>рограм ИПА 2018</w:t>
      </w:r>
      <w:r>
        <w:rPr>
          <w:sz w:val="24"/>
          <w:szCs w:val="24"/>
          <w:lang w:val="sr-Cyrl-RS"/>
        </w:rPr>
        <w:t>, у оквиру којег се реализује Пројекат „</w:t>
      </w:r>
      <w:r w:rsidRPr="00EC0065">
        <w:rPr>
          <w:sz w:val="24"/>
          <w:szCs w:val="24"/>
          <w:lang w:val="sr-Cyrl-RS"/>
        </w:rPr>
        <w:t>Подршка Европске уније социјалном</w:t>
      </w:r>
      <w:r>
        <w:rPr>
          <w:sz w:val="24"/>
          <w:szCs w:val="24"/>
          <w:lang w:val="sr-Cyrl-RS"/>
        </w:rPr>
        <w:t xml:space="preserve"> становању и активној инклузији”</w:t>
      </w:r>
      <w:r w:rsidRPr="00EC0065">
        <w:rPr>
          <w:sz w:val="24"/>
          <w:szCs w:val="24"/>
          <w:lang w:val="sr-Cyrl-RS"/>
        </w:rPr>
        <w:t xml:space="preserve">, </w:t>
      </w:r>
      <w:r>
        <w:rPr>
          <w:sz w:val="24"/>
          <w:szCs w:val="24"/>
          <w:lang w:val="sr-Cyrl-RS"/>
        </w:rPr>
        <w:t>у наредн</w:t>
      </w:r>
      <w:r w:rsidR="00FF5192">
        <w:rPr>
          <w:sz w:val="24"/>
          <w:szCs w:val="24"/>
          <w:lang w:val="sr-Cyrl-RS"/>
        </w:rPr>
        <w:t>е</w:t>
      </w:r>
      <w:r>
        <w:rPr>
          <w:sz w:val="24"/>
          <w:szCs w:val="24"/>
          <w:lang w:val="sr-Cyrl-RS"/>
        </w:rPr>
        <w:t xml:space="preserve"> 2 године је </w:t>
      </w:r>
      <w:r w:rsidRPr="00EC0065">
        <w:rPr>
          <w:sz w:val="24"/>
          <w:szCs w:val="24"/>
          <w:lang w:val="sr-Cyrl-RS"/>
        </w:rPr>
        <w:t>планирано обезбеђивање решења стамбених проблема за 500 породица или око 1</w:t>
      </w:r>
      <w:r w:rsidR="00FF5192">
        <w:rPr>
          <w:sz w:val="24"/>
          <w:szCs w:val="24"/>
          <w:lang w:val="sr-Cyrl-RS"/>
        </w:rPr>
        <w:t>.</w:t>
      </w:r>
      <w:r w:rsidRPr="00EC0065">
        <w:rPr>
          <w:sz w:val="24"/>
          <w:szCs w:val="24"/>
          <w:lang w:val="sr-Cyrl-RS"/>
        </w:rPr>
        <w:t>500 појединаца који припада</w:t>
      </w:r>
      <w:r>
        <w:rPr>
          <w:sz w:val="24"/>
          <w:szCs w:val="24"/>
          <w:lang w:val="sr-Cyrl-RS"/>
        </w:rPr>
        <w:t>ју осетљивим друштвеним групама, међу којима је највећи број Рома</w:t>
      </w:r>
      <w:r w:rsidR="00FF5192">
        <w:rPr>
          <w:sz w:val="24"/>
          <w:szCs w:val="24"/>
          <w:lang w:val="sr-Cyrl-RS"/>
        </w:rPr>
        <w:t xml:space="preserve">, </w:t>
      </w:r>
      <w:r w:rsidR="00FF5192" w:rsidRPr="00EC0065">
        <w:rPr>
          <w:sz w:val="24"/>
          <w:szCs w:val="24"/>
          <w:lang w:val="sr-Cyrl-RS"/>
        </w:rPr>
        <w:t xml:space="preserve">у </w:t>
      </w:r>
      <w:r w:rsidR="00FF5192">
        <w:rPr>
          <w:sz w:val="24"/>
          <w:szCs w:val="24"/>
          <w:lang w:val="sr-Cyrl-RS"/>
        </w:rPr>
        <w:t>више од 15 јединица локалне самоуправе</w:t>
      </w:r>
      <w:r>
        <w:rPr>
          <w:sz w:val="24"/>
          <w:szCs w:val="24"/>
          <w:lang w:val="sr-Cyrl-RS"/>
        </w:rPr>
        <w:t>.</w:t>
      </w:r>
    </w:p>
    <w:p w:rsidR="006904C2" w:rsidRPr="005C5231" w:rsidRDefault="006904C2" w:rsidP="006904C2">
      <w:pPr>
        <w:spacing w:after="0"/>
        <w:ind w:firstLine="720"/>
        <w:jc w:val="both"/>
        <w:rPr>
          <w:sz w:val="24"/>
          <w:szCs w:val="24"/>
          <w:lang w:val="sr-Cyrl-RS"/>
        </w:rPr>
      </w:pPr>
      <w:r w:rsidRPr="005C5231">
        <w:rPr>
          <w:sz w:val="24"/>
          <w:szCs w:val="24"/>
          <w:lang w:val="sr-Cyrl-RS"/>
        </w:rPr>
        <w:t xml:space="preserve">Тим за социјално укључивање и смањење сиромаштва </w:t>
      </w:r>
      <w:r w:rsidR="00FF5192">
        <w:rPr>
          <w:sz w:val="24"/>
          <w:szCs w:val="24"/>
          <w:lang w:val="sr-Cyrl-RS"/>
        </w:rPr>
        <w:t xml:space="preserve">је </w:t>
      </w:r>
      <w:r w:rsidRPr="005C5231">
        <w:rPr>
          <w:sz w:val="24"/>
          <w:szCs w:val="24"/>
          <w:lang w:val="sr-Cyrl-RS"/>
        </w:rPr>
        <w:t>у сарадњи са УН Тимом за људска права у периоду март - септембар 2020. године спровео је „Мапирање подстандардних ромских насеља према ризицима и приступу правима у доба КОВИД-19 пандемије“</w:t>
      </w:r>
      <w:r w:rsidR="006B677A">
        <w:rPr>
          <w:sz w:val="24"/>
          <w:szCs w:val="24"/>
          <w:lang w:val="sr-Cyrl-RS"/>
        </w:rPr>
        <w:t>.</w:t>
      </w:r>
      <w:r w:rsidRPr="005C5231">
        <w:rPr>
          <w:rStyle w:val="FootnoteReference"/>
          <w:sz w:val="24"/>
          <w:szCs w:val="24"/>
          <w:lang w:val="sr-Cyrl-RS"/>
        </w:rPr>
        <w:footnoteReference w:id="6"/>
      </w:r>
      <w:r w:rsidRPr="005C5231">
        <w:rPr>
          <w:sz w:val="24"/>
          <w:szCs w:val="24"/>
          <w:lang w:val="sr-Cyrl-RS"/>
        </w:rPr>
        <w:t xml:space="preserve"> Мапирањем су обухваћена укупно 702 подстандардна ромска насеља која се налазе на територији 94 јединице локалне самоуправе у којима живи 167.975 људи. Прикупљени подаци обухватају приступ чистој води и канализацији, здравствене ризике у датом епидемиолошком контексту, обављање делатности са повећаним здравственим ризицима, као и приступ струји и одрживим изворима прихода. Подаци су добијени од успостављених институционалних механизама за инклузију Рома и Ромкиња на нивоу јединица локалне самоуправе и од представника организација цивилног друштва.  Према резултатима мапирања, на територији 51 ЈЛС се налази 159 подстандард</w:t>
      </w:r>
      <w:r w:rsidR="00AE4ACB">
        <w:rPr>
          <w:sz w:val="24"/>
          <w:szCs w:val="24"/>
          <w:lang w:val="sr-Cyrl-RS"/>
        </w:rPr>
        <w:t>н</w:t>
      </w:r>
      <w:r w:rsidRPr="005C5231">
        <w:rPr>
          <w:sz w:val="24"/>
          <w:szCs w:val="24"/>
          <w:lang w:val="sr-Cyrl-RS"/>
        </w:rPr>
        <w:t>их насеља која немају приступ чистој води или је тај приступ нерегуларан; на територији 35 ЈЛС се налазе 64 подстандардна насеља која немају приступ електричној енергији или је тај приступ нерегуларан; на територији 82 ЈЛС се налази 457 подстандардн</w:t>
      </w:r>
      <w:r w:rsidR="006B677A">
        <w:rPr>
          <w:sz w:val="24"/>
          <w:szCs w:val="24"/>
          <w:lang w:val="sr-Cyrl-RS"/>
        </w:rPr>
        <w:t>их</w:t>
      </w:r>
      <w:r w:rsidRPr="005C5231">
        <w:rPr>
          <w:sz w:val="24"/>
          <w:szCs w:val="24"/>
          <w:lang w:val="sr-Cyrl-RS"/>
        </w:rPr>
        <w:t xml:space="preserve"> насеља која немају приступ канализацији или је тај приступ </w:t>
      </w:r>
      <w:r w:rsidRPr="005C5231">
        <w:rPr>
          <w:sz w:val="24"/>
          <w:szCs w:val="24"/>
          <w:lang w:val="sr-Cyrl-RS"/>
        </w:rPr>
        <w:lastRenderedPageBreak/>
        <w:t>нерегуларан; на територији 13 ЈЛС се налаз</w:t>
      </w:r>
      <w:r w:rsidR="006B677A">
        <w:rPr>
          <w:sz w:val="24"/>
          <w:szCs w:val="24"/>
          <w:lang w:val="sr-Cyrl-RS"/>
        </w:rPr>
        <w:t>е</w:t>
      </w:r>
      <w:r w:rsidRPr="005C5231">
        <w:rPr>
          <w:sz w:val="24"/>
          <w:szCs w:val="24"/>
          <w:lang w:val="sr-Cyrl-RS"/>
        </w:rPr>
        <w:t xml:space="preserve"> 44 подстандардна насеља која немају приступ чистој пијаћој води, електричној енергији и канализацији, или је тај приступ нерегуларан. </w:t>
      </w:r>
    </w:p>
    <w:p w:rsidR="00B055B8" w:rsidRPr="005C5231" w:rsidRDefault="006904C2" w:rsidP="006904C2">
      <w:pPr>
        <w:spacing w:after="0"/>
        <w:ind w:firstLine="720"/>
        <w:jc w:val="both"/>
        <w:rPr>
          <w:sz w:val="24"/>
          <w:szCs w:val="24"/>
          <w:lang w:val="sr-Cyrl-RS"/>
        </w:rPr>
      </w:pPr>
      <w:r w:rsidRPr="005C5231">
        <w:rPr>
          <w:sz w:val="24"/>
          <w:szCs w:val="24"/>
          <w:lang w:val="sr-Cyrl-RS"/>
        </w:rPr>
        <w:t>Тим за социјално укључивање и смањење сиромаштва затим је покренуо израду „Анализе одрживих модела за обезбеђење приступа чистој води, канализацији и електричној енергији становника/ца подстандардних ромских насеља у Републици Србији“</w:t>
      </w:r>
      <w:r w:rsidR="00B055B8" w:rsidRPr="005C5231">
        <w:rPr>
          <w:sz w:val="24"/>
          <w:szCs w:val="24"/>
          <w:lang w:val="sr-Cyrl-RS"/>
        </w:rPr>
        <w:t>,</w:t>
      </w:r>
      <w:r w:rsidR="00FF5192">
        <w:rPr>
          <w:rStyle w:val="FootnoteReference"/>
          <w:sz w:val="24"/>
          <w:szCs w:val="24"/>
          <w:lang w:val="sr-Cyrl-RS"/>
        </w:rPr>
        <w:footnoteReference w:id="7"/>
      </w:r>
      <w:r w:rsidR="00B055B8" w:rsidRPr="005C5231">
        <w:rPr>
          <w:sz w:val="24"/>
          <w:szCs w:val="24"/>
          <w:lang w:val="sr-Cyrl-RS"/>
        </w:rPr>
        <w:t xml:space="preserve"> која је припремљена крајем 2021. године</w:t>
      </w:r>
      <w:r w:rsidRPr="005C5231">
        <w:rPr>
          <w:sz w:val="24"/>
          <w:szCs w:val="24"/>
          <w:lang w:val="sr-Cyrl-RS"/>
        </w:rPr>
        <w:t xml:space="preserve">. Анализа има за циљ да прикаже одрживе моделе и начине обезбеђивања приступа чистој води, канализацији и електричној енергији који ће бити засновани на постојећем правном и стратешком (националном и локалном) оквиру, али и да предложи њихове измене и допуне у циљу унапређења приступа основним правима и услугама. </w:t>
      </w:r>
    </w:p>
    <w:p w:rsidR="005C5231" w:rsidRPr="00A66C30" w:rsidRDefault="006904C2" w:rsidP="006904C2">
      <w:pPr>
        <w:spacing w:after="0"/>
        <w:ind w:firstLine="720"/>
        <w:jc w:val="both"/>
        <w:rPr>
          <w:sz w:val="24"/>
          <w:szCs w:val="24"/>
          <w:highlight w:val="yellow"/>
          <w:lang w:val="sr-Cyrl-RS"/>
        </w:rPr>
      </w:pPr>
      <w:r w:rsidRPr="005C5231">
        <w:rPr>
          <w:sz w:val="24"/>
          <w:szCs w:val="24"/>
          <w:lang w:val="sr-Cyrl-RS"/>
        </w:rPr>
        <w:t xml:space="preserve">Влада Републике Србије реализује пројекат „Смањење додатне рањивости ромских породица и других рањивих група, изазване пандемијом </w:t>
      </w:r>
      <w:r w:rsidR="00FF5192" w:rsidRPr="00FF5192">
        <w:rPr>
          <w:sz w:val="24"/>
          <w:szCs w:val="24"/>
          <w:lang w:val="sr-Cyrl-RS"/>
        </w:rPr>
        <w:t>КОВИД-19</w:t>
      </w:r>
      <w:r w:rsidRPr="005C5231">
        <w:rPr>
          <w:sz w:val="24"/>
          <w:szCs w:val="24"/>
          <w:lang w:val="sr-Cyrl-RS"/>
        </w:rPr>
        <w:t xml:space="preserve"> у 18 локалних самоуправа.“ Пројекат има за циљ превазилажење изазова насталих услед епидемије у области образовања, побољшање приступа води, информисање и промоцију имунизације против </w:t>
      </w:r>
      <w:r w:rsidR="00FF5192" w:rsidRPr="00FF5192">
        <w:rPr>
          <w:sz w:val="24"/>
          <w:szCs w:val="24"/>
          <w:lang w:val="sr-Cyrl-RS"/>
        </w:rPr>
        <w:t>КОВИД-19</w:t>
      </w:r>
      <w:r w:rsidRPr="005C5231">
        <w:rPr>
          <w:sz w:val="24"/>
          <w:szCs w:val="24"/>
          <w:lang w:val="sr-Cyrl-RS"/>
        </w:rPr>
        <w:t>, као и техничку подршку надлежним локалним институцијама за потребе праћења тока епидемије. У области образовања пружа</w:t>
      </w:r>
      <w:r w:rsidR="00B055B8" w:rsidRPr="005C5231">
        <w:rPr>
          <w:sz w:val="24"/>
          <w:szCs w:val="24"/>
          <w:lang w:val="sr-Cyrl-RS"/>
        </w:rPr>
        <w:t xml:space="preserve"> се</w:t>
      </w:r>
      <w:r w:rsidRPr="005C5231">
        <w:rPr>
          <w:sz w:val="24"/>
          <w:szCs w:val="24"/>
          <w:lang w:val="sr-Cyrl-RS"/>
        </w:rPr>
        <w:t xml:space="preserve"> подршка ученицима основних школа у учењу, као и подршка родитељима да помогну дец</w:t>
      </w:r>
      <w:r w:rsidR="00B62317">
        <w:rPr>
          <w:sz w:val="24"/>
          <w:szCs w:val="24"/>
          <w:lang w:val="sr-Cyrl-RS"/>
        </w:rPr>
        <w:t>и</w:t>
      </w:r>
      <w:r w:rsidRPr="005C5231">
        <w:rPr>
          <w:sz w:val="24"/>
          <w:szCs w:val="24"/>
          <w:lang w:val="sr-Cyrl-RS"/>
        </w:rPr>
        <w:t xml:space="preserve"> ток</w:t>
      </w:r>
      <w:r w:rsidR="00B055B8" w:rsidRPr="005C5231">
        <w:rPr>
          <w:sz w:val="24"/>
          <w:szCs w:val="24"/>
          <w:lang w:val="sr-Cyrl-RS"/>
        </w:rPr>
        <w:t>ом школовања. Поред тога, додељује</w:t>
      </w:r>
      <w:r w:rsidRPr="005C5231">
        <w:rPr>
          <w:sz w:val="24"/>
          <w:szCs w:val="24"/>
          <w:lang w:val="sr-Cyrl-RS"/>
        </w:rPr>
        <w:t xml:space="preserve"> се и техничка опрема</w:t>
      </w:r>
      <w:r w:rsidR="006B677A">
        <w:rPr>
          <w:sz w:val="24"/>
          <w:szCs w:val="24"/>
          <w:lang w:val="sr-Cyrl-RS"/>
        </w:rPr>
        <w:t>,</w:t>
      </w:r>
      <w:r w:rsidRPr="005C5231">
        <w:rPr>
          <w:sz w:val="24"/>
          <w:szCs w:val="24"/>
          <w:lang w:val="sr-Cyrl-RS"/>
        </w:rPr>
        <w:t xml:space="preserve"> као предуслов за учење на даљину и испуњавање школских задатака. Кад је реч о информисању, превенцији и промоцији имунизације против </w:t>
      </w:r>
      <w:r w:rsidR="00B62317" w:rsidRPr="00B62317">
        <w:rPr>
          <w:sz w:val="24"/>
          <w:szCs w:val="24"/>
          <w:lang w:val="sr-Cyrl-RS"/>
        </w:rPr>
        <w:t>КОВИД-19</w:t>
      </w:r>
      <w:r w:rsidRPr="005C5231">
        <w:rPr>
          <w:sz w:val="24"/>
          <w:szCs w:val="24"/>
          <w:lang w:val="sr-Cyrl-RS"/>
        </w:rPr>
        <w:t>, ромским породицама се пружа</w:t>
      </w:r>
      <w:r w:rsidR="00B055B8" w:rsidRPr="005C5231">
        <w:rPr>
          <w:sz w:val="24"/>
          <w:szCs w:val="24"/>
          <w:lang w:val="sr-Cyrl-RS"/>
        </w:rPr>
        <w:t>ју</w:t>
      </w:r>
      <w:r w:rsidRPr="005C5231">
        <w:rPr>
          <w:sz w:val="24"/>
          <w:szCs w:val="24"/>
          <w:lang w:val="sr-Cyrl-RS"/>
        </w:rPr>
        <w:t xml:space="preserve"> савети о превентивним мерама</w:t>
      </w:r>
      <w:r w:rsidR="00B62317">
        <w:rPr>
          <w:sz w:val="24"/>
          <w:szCs w:val="24"/>
          <w:lang w:val="sr-Cyrl-RS"/>
        </w:rPr>
        <w:t xml:space="preserve"> и</w:t>
      </w:r>
      <w:r w:rsidRPr="005C5231">
        <w:rPr>
          <w:sz w:val="24"/>
          <w:szCs w:val="24"/>
          <w:lang w:val="sr-Cyrl-RS"/>
        </w:rPr>
        <w:t xml:space="preserve"> информације о значају процеса. </w:t>
      </w:r>
      <w:r w:rsidR="005C5231" w:rsidRPr="005C5231">
        <w:rPr>
          <w:sz w:val="24"/>
          <w:szCs w:val="24"/>
          <w:lang w:val="sr-Cyrl-RS"/>
        </w:rPr>
        <w:t>Побољшање приступа води биће обезбеђено изналажењем трајних решења за 545 маргинализованих породица које живе у 11 подстандардних насеља у општинама Стара Пазова, Ковин, Зрењанин, Смедеревска Паланка, Топола, Ваљево, Кањижа и Алибунар, кроз изградњу и доградњу водоводних мрежа, односно обезбеђивање индивидуалних прикључака на водоводну мрежу. Корисници пројекта су пре свега Роми и Ромкиње, повратници/е, који живе у 18 локалних самоуправа, али и припадници/е других маргинализованих група.</w:t>
      </w:r>
    </w:p>
    <w:p w:rsidR="003B31D0" w:rsidRDefault="003B31D0" w:rsidP="003B31D0">
      <w:pPr>
        <w:spacing w:after="0"/>
        <w:jc w:val="both"/>
        <w:rPr>
          <w:sz w:val="24"/>
          <w:szCs w:val="24"/>
          <w:highlight w:val="yellow"/>
          <w:lang w:val="sr-Cyrl-RS"/>
        </w:rPr>
      </w:pPr>
    </w:p>
    <w:p w:rsidR="00874C27" w:rsidRPr="00C140E0" w:rsidRDefault="00874C27" w:rsidP="003B31D0">
      <w:pPr>
        <w:spacing w:after="0"/>
        <w:jc w:val="both"/>
        <w:rPr>
          <w:i/>
          <w:sz w:val="24"/>
          <w:szCs w:val="24"/>
          <w:lang w:val="sr-Cyrl-RS"/>
        </w:rPr>
      </w:pPr>
      <w:r w:rsidRPr="00C140E0">
        <w:rPr>
          <w:i/>
          <w:sz w:val="24"/>
          <w:szCs w:val="24"/>
          <w:lang w:val="sr-Cyrl-RS"/>
        </w:rPr>
        <w:t>Активности у области здравствене заштите</w:t>
      </w:r>
    </w:p>
    <w:p w:rsidR="009945EB" w:rsidRPr="00C140E0" w:rsidRDefault="009945EB" w:rsidP="009945EB">
      <w:pPr>
        <w:spacing w:after="0"/>
        <w:jc w:val="both"/>
        <w:rPr>
          <w:sz w:val="24"/>
          <w:szCs w:val="24"/>
          <w:lang w:val="sr-Cyrl-RS"/>
        </w:rPr>
      </w:pPr>
    </w:p>
    <w:p w:rsidR="00747E7C" w:rsidRDefault="00EA48A0" w:rsidP="009D3498">
      <w:pPr>
        <w:spacing w:after="0"/>
        <w:ind w:firstLine="720"/>
        <w:jc w:val="both"/>
        <w:rPr>
          <w:sz w:val="24"/>
          <w:szCs w:val="24"/>
          <w:lang w:val="sr-Cyrl-RS"/>
        </w:rPr>
      </w:pPr>
      <w:r w:rsidRPr="00C140E0">
        <w:rPr>
          <w:sz w:val="24"/>
          <w:szCs w:val="24"/>
          <w:lang w:val="sr-Cyrl-RS"/>
        </w:rPr>
        <w:t xml:space="preserve">У извештајном периоду постигнути су значајни резултати у вези са активностима у области здравствене заштите Рома. </w:t>
      </w:r>
      <w:r w:rsidR="00B62317" w:rsidRPr="00C140E0">
        <w:rPr>
          <w:sz w:val="24"/>
          <w:szCs w:val="24"/>
          <w:lang w:val="sr-Cyrl-RS"/>
        </w:rPr>
        <w:t>У Републици Србији је п</w:t>
      </w:r>
      <w:r w:rsidR="009945EB" w:rsidRPr="00C140E0">
        <w:rPr>
          <w:sz w:val="24"/>
          <w:szCs w:val="24"/>
          <w:lang w:val="sr-Cyrl-RS"/>
        </w:rPr>
        <w:t>остигнут практично потпун обухват рођења уз стручну помоћ</w:t>
      </w:r>
      <w:r w:rsidR="00EF2A2D" w:rsidRPr="00C140E0">
        <w:rPr>
          <w:sz w:val="24"/>
          <w:szCs w:val="24"/>
          <w:lang w:val="sr-Cyrl-RS"/>
        </w:rPr>
        <w:t>, будући да је</w:t>
      </w:r>
      <w:r w:rsidR="009945EB" w:rsidRPr="00C140E0">
        <w:rPr>
          <w:sz w:val="24"/>
          <w:szCs w:val="24"/>
          <w:lang w:val="sr-Cyrl-RS"/>
        </w:rPr>
        <w:t xml:space="preserve"> 100% деце рођено у здравственој установи, а 99% деце у ромским насељима је рођено уз стручну помоћ и порођаји су обављени у здравственим установама. Смртност одојчади у ромским насељима према подацима MICS</w:t>
      </w:r>
      <w:r w:rsidR="00B848C2" w:rsidRPr="00C140E0">
        <w:rPr>
          <w:sz w:val="24"/>
          <w:szCs w:val="24"/>
          <w:lang w:val="sr-Cyrl-RS"/>
        </w:rPr>
        <w:t xml:space="preserve"> истраживања</w:t>
      </w:r>
      <w:r w:rsidR="00B62317" w:rsidRPr="00C140E0">
        <w:rPr>
          <w:rStyle w:val="FootnoteReference"/>
          <w:sz w:val="24"/>
          <w:szCs w:val="24"/>
          <w:lang w:val="sr-Cyrl-RS"/>
        </w:rPr>
        <w:footnoteReference w:id="8"/>
      </w:r>
      <w:r w:rsidR="009945EB" w:rsidRPr="00C140E0">
        <w:rPr>
          <w:sz w:val="24"/>
          <w:szCs w:val="24"/>
          <w:lang w:val="sr-Cyrl-RS"/>
        </w:rPr>
        <w:t xml:space="preserve"> кој</w:t>
      </w:r>
      <w:r w:rsidR="00B848C2" w:rsidRPr="00C140E0">
        <w:rPr>
          <w:sz w:val="24"/>
          <w:szCs w:val="24"/>
          <w:lang w:val="sr-Cyrl-RS"/>
        </w:rPr>
        <w:t>и</w:t>
      </w:r>
      <w:r w:rsidR="009945EB" w:rsidRPr="00C140E0">
        <w:rPr>
          <w:sz w:val="24"/>
          <w:szCs w:val="24"/>
          <w:lang w:val="sr-Cyrl-RS"/>
        </w:rPr>
        <w:t xml:space="preserve"> се односе на 2019. годину је 8</w:t>
      </w:r>
      <w:r w:rsidRPr="00C140E0">
        <w:rPr>
          <w:sz w:val="24"/>
          <w:szCs w:val="24"/>
          <w:lang w:val="sr-Cyrl-RS"/>
        </w:rPr>
        <w:t xml:space="preserve"> промила</w:t>
      </w:r>
      <w:r w:rsidR="009945EB" w:rsidRPr="00C140E0">
        <w:rPr>
          <w:sz w:val="24"/>
          <w:szCs w:val="24"/>
          <w:lang w:val="sr-Cyrl-RS"/>
        </w:rPr>
        <w:t xml:space="preserve"> и већа </w:t>
      </w:r>
      <w:r w:rsidR="00EF2A2D" w:rsidRPr="00C140E0">
        <w:rPr>
          <w:sz w:val="24"/>
          <w:szCs w:val="24"/>
          <w:lang w:val="sr-Cyrl-RS"/>
        </w:rPr>
        <w:t xml:space="preserve">је </w:t>
      </w:r>
      <w:r w:rsidR="009945EB" w:rsidRPr="00C140E0">
        <w:rPr>
          <w:sz w:val="24"/>
          <w:szCs w:val="24"/>
          <w:lang w:val="sr-Cyrl-RS"/>
        </w:rPr>
        <w:t xml:space="preserve">од </w:t>
      </w:r>
      <w:r w:rsidR="009945EB" w:rsidRPr="00C140E0">
        <w:rPr>
          <w:sz w:val="24"/>
          <w:szCs w:val="24"/>
          <w:lang w:val="sr-Cyrl-RS"/>
        </w:rPr>
        <w:lastRenderedPageBreak/>
        <w:t xml:space="preserve">националног просека, мада је смањена за скоро пет </w:t>
      </w:r>
      <w:r w:rsidRPr="00C140E0">
        <w:rPr>
          <w:sz w:val="24"/>
          <w:szCs w:val="24"/>
          <w:lang w:val="sr-Cyrl-RS"/>
        </w:rPr>
        <w:t>промила</w:t>
      </w:r>
      <w:r w:rsidR="009945EB" w:rsidRPr="00C140E0">
        <w:rPr>
          <w:sz w:val="24"/>
          <w:szCs w:val="24"/>
          <w:lang w:val="sr-Cyrl-RS"/>
        </w:rPr>
        <w:t xml:space="preserve"> од претходног истраживања MICS-а из 2014. године. </w:t>
      </w:r>
      <w:r w:rsidR="00B848C2" w:rsidRPr="00C140E0">
        <w:rPr>
          <w:sz w:val="24"/>
          <w:szCs w:val="24"/>
          <w:lang w:val="sr-Cyrl-RS"/>
        </w:rPr>
        <w:t xml:space="preserve">Према Извештају Владе РС у делу који се односи на резултате програма и пројеката Министарства здравља - унапређење доступности здравствене заштите ромској популацији, наведено је да је у 2020. години обављено 8.250 вакцинација и систематских прегледа ромске деце, као и да је остварено 2.150 докумената (здравствених књижица, личних докумената и овера здравствених књижица). Додатно, 10.500 деце је прошло радионице и планиране разговоре из различитих области здравственог васпитања. </w:t>
      </w:r>
    </w:p>
    <w:p w:rsidR="009945EB" w:rsidRPr="00C140E0" w:rsidRDefault="00B848C2" w:rsidP="009D3498">
      <w:pPr>
        <w:spacing w:after="0"/>
        <w:ind w:firstLine="720"/>
        <w:jc w:val="both"/>
        <w:rPr>
          <w:sz w:val="24"/>
          <w:szCs w:val="24"/>
          <w:lang w:val="sr-Cyrl-RS"/>
        </w:rPr>
      </w:pPr>
      <w:r w:rsidRPr="00C140E0">
        <w:rPr>
          <w:sz w:val="24"/>
          <w:szCs w:val="24"/>
          <w:lang w:val="sr-Cyrl-RS"/>
        </w:rPr>
        <w:t>Деца узраста до 5 година су у Србији осигурана у 99% случајева, док су деца истог узраста у ромским насељима осигурана у 96% случајева. Деца узраста од 5 до 17 година су осигурана у 99% случајева у Србији, а у ромским насељима је осигурано 97% деце истог узраста.</w:t>
      </w:r>
      <w:r w:rsidR="00747E7C">
        <w:rPr>
          <w:sz w:val="24"/>
          <w:szCs w:val="24"/>
          <w:lang w:val="sr-Cyrl-RS"/>
        </w:rPr>
        <w:t xml:space="preserve"> </w:t>
      </w:r>
      <w:r w:rsidRPr="00C140E0">
        <w:rPr>
          <w:sz w:val="24"/>
          <w:szCs w:val="24"/>
          <w:lang w:val="sr-Cyrl-RS"/>
        </w:rPr>
        <w:t>Жене у репродуктивном периоду (15-19 година) су осигуране (обавезно здравств</w:t>
      </w:r>
      <w:r w:rsidR="00EA48A0" w:rsidRPr="00C140E0">
        <w:rPr>
          <w:sz w:val="24"/>
          <w:szCs w:val="24"/>
          <w:lang w:val="sr-Cyrl-RS"/>
        </w:rPr>
        <w:t xml:space="preserve">ено осигурање) у 97% случајева </w:t>
      </w:r>
      <w:r w:rsidRPr="00C140E0">
        <w:rPr>
          <w:sz w:val="24"/>
          <w:szCs w:val="24"/>
          <w:lang w:val="sr-Cyrl-RS"/>
        </w:rPr>
        <w:t>према подацима MICS истраживања који се односе на 2019. годину. Пренатални преглед барем четири пута је имало 97% жена у Србији, док је 80% жена било прегледано 8 или више пута. У ромским насељима је 95% жена које су родиле у последње две године имало пренатални преглед више од једног пута, 83% барем четири пута, а 43% осам или више пута.</w:t>
      </w:r>
      <w:r w:rsidR="00EA48A0" w:rsidRPr="00C140E0">
        <w:rPr>
          <w:sz w:val="24"/>
          <w:szCs w:val="24"/>
          <w:lang w:val="sr-Cyrl-RS"/>
        </w:rPr>
        <w:t xml:space="preserve"> </w:t>
      </w:r>
      <w:r w:rsidR="009945EB" w:rsidRPr="00C140E0">
        <w:rPr>
          <w:sz w:val="24"/>
          <w:szCs w:val="24"/>
          <w:lang w:val="sr-Cyrl-RS"/>
        </w:rPr>
        <w:t xml:space="preserve">У Србији је након порођаја 94% жена имало посету патронажне сестре у недељи после порођаја (просечан број посета је био 3,8 пута) док у ромским насељима </w:t>
      </w:r>
      <w:r w:rsidR="00EA48A0" w:rsidRPr="00C140E0">
        <w:rPr>
          <w:sz w:val="24"/>
          <w:szCs w:val="24"/>
          <w:lang w:val="sr-Cyrl-RS"/>
        </w:rPr>
        <w:t xml:space="preserve">тај проценат износи </w:t>
      </w:r>
      <w:r w:rsidR="009945EB" w:rsidRPr="00C140E0">
        <w:rPr>
          <w:sz w:val="24"/>
          <w:szCs w:val="24"/>
          <w:lang w:val="sr-Cyrl-RS"/>
        </w:rPr>
        <w:t>90 (просечан број пос</w:t>
      </w:r>
      <w:r w:rsidR="00AA6B1B" w:rsidRPr="00C140E0">
        <w:rPr>
          <w:sz w:val="24"/>
          <w:szCs w:val="24"/>
          <w:lang w:val="sr-Cyrl-RS"/>
        </w:rPr>
        <w:t xml:space="preserve">ета одојчету је био 3,6 пута). </w:t>
      </w:r>
    </w:p>
    <w:p w:rsidR="00910E91" w:rsidRPr="00C140E0" w:rsidRDefault="00910E91" w:rsidP="00910E91">
      <w:pPr>
        <w:shd w:val="clear" w:color="auto" w:fill="FFFFFF"/>
        <w:spacing w:after="0"/>
        <w:ind w:firstLine="720"/>
        <w:jc w:val="both"/>
        <w:rPr>
          <w:rFonts w:eastAsia="Times New Roman"/>
          <w:sz w:val="24"/>
          <w:szCs w:val="24"/>
          <w:lang w:val="sr-Cyrl-RS" w:eastAsia="en-GB"/>
        </w:rPr>
      </w:pPr>
      <w:r w:rsidRPr="00C140E0">
        <w:rPr>
          <w:rFonts w:eastAsia="Times New Roman"/>
          <w:sz w:val="24"/>
          <w:szCs w:val="24"/>
          <w:lang w:val="sr-Cyrl-RS" w:eastAsia="en-GB"/>
        </w:rPr>
        <w:t>Министарство здравља посебну пажњу поклања унапређењу доступности здравствене заштите припадницима ромске мањине. Министарство сваке године расписује конкурс „Унапређење доступности здравствене заштите ромској популацији“, а приоритети конкурса дефинисани су у складу са Планом развоја здравствене заштите</w:t>
      </w:r>
      <w:r w:rsidRPr="00C140E0">
        <w:rPr>
          <w:rStyle w:val="FootnoteReference"/>
          <w:rFonts w:eastAsia="Times New Roman"/>
          <w:sz w:val="24"/>
          <w:szCs w:val="24"/>
          <w:lang w:val="sr-Cyrl-RS" w:eastAsia="en-GB"/>
        </w:rPr>
        <w:footnoteReference w:id="9"/>
      </w:r>
      <w:r w:rsidRPr="00C140E0">
        <w:rPr>
          <w:rFonts w:eastAsia="Times New Roman"/>
          <w:sz w:val="24"/>
          <w:szCs w:val="24"/>
          <w:lang w:val="sr-Cyrl-RS" w:eastAsia="en-GB"/>
        </w:rPr>
        <w:t> и Стратегијом за социјално укључивање  Рома и Ромкиња. Циљеви конкурса усмерени су на</w:t>
      </w:r>
      <w:r w:rsidR="00EA48A0" w:rsidRPr="00C140E0">
        <w:rPr>
          <w:rFonts w:eastAsia="Times New Roman"/>
          <w:sz w:val="24"/>
          <w:szCs w:val="24"/>
          <w:lang w:val="sr-Cyrl-RS" w:eastAsia="en-GB"/>
        </w:rPr>
        <w:t>: 1)</w:t>
      </w:r>
      <w:r w:rsidRPr="00C140E0">
        <w:rPr>
          <w:rFonts w:eastAsia="Times New Roman"/>
          <w:sz w:val="24"/>
          <w:szCs w:val="24"/>
          <w:lang w:val="sr-Cyrl-RS" w:eastAsia="en-GB"/>
        </w:rPr>
        <w:t xml:space="preserve"> унапређење доступности здравствене заштите и </w:t>
      </w:r>
      <w:r w:rsidR="00EA48A0" w:rsidRPr="00C140E0">
        <w:rPr>
          <w:rFonts w:eastAsia="Times New Roman"/>
          <w:sz w:val="24"/>
          <w:szCs w:val="24"/>
          <w:lang w:val="sr-Cyrl-RS" w:eastAsia="en-GB"/>
        </w:rPr>
        <w:t xml:space="preserve">2) </w:t>
      </w:r>
      <w:r w:rsidRPr="00C140E0">
        <w:rPr>
          <w:rFonts w:eastAsia="Times New Roman"/>
          <w:sz w:val="24"/>
          <w:szCs w:val="24"/>
          <w:lang w:val="sr-Cyrl-RS" w:eastAsia="en-GB"/>
        </w:rPr>
        <w:t>унапређење квалитета пружања услуга здравствене заштите ромској популацији.</w:t>
      </w:r>
    </w:p>
    <w:p w:rsidR="00910E91" w:rsidRPr="00C140E0" w:rsidRDefault="00910E91" w:rsidP="00910E91">
      <w:pPr>
        <w:shd w:val="clear" w:color="auto" w:fill="FFFFFF"/>
        <w:spacing w:after="0"/>
        <w:ind w:firstLine="720"/>
        <w:jc w:val="both"/>
        <w:rPr>
          <w:rFonts w:eastAsia="Times New Roman"/>
          <w:sz w:val="24"/>
          <w:szCs w:val="24"/>
          <w:lang w:val="sr-Cyrl-RS" w:eastAsia="en-GB"/>
        </w:rPr>
      </w:pPr>
      <w:r w:rsidRPr="00C140E0">
        <w:rPr>
          <w:rFonts w:eastAsia="Times New Roman"/>
          <w:sz w:val="24"/>
          <w:szCs w:val="24"/>
          <w:lang w:val="sr-Cyrl-RS" w:eastAsia="en-GB"/>
        </w:rPr>
        <w:t xml:space="preserve">Када је у питању унапређење доступности здравствене заштите, приоритетне области конкурса, између осталог, односе се на смањење свих облика дискриминације, превенцију хроничних болести, репродуктивно здравље, здравље деце, младих и старих, болести зависности, ментално здравље, спречавање насиља у породици, а последњих година приоритет је и ублажавање последица изазваних пандемијом </w:t>
      </w:r>
      <w:r w:rsidR="00F90A93" w:rsidRPr="00C140E0">
        <w:rPr>
          <w:rFonts w:eastAsia="Times New Roman"/>
          <w:sz w:val="24"/>
          <w:szCs w:val="24"/>
          <w:lang w:val="sr-Cyrl-RS" w:eastAsia="en-GB"/>
        </w:rPr>
        <w:t>КОВИД</w:t>
      </w:r>
      <w:r w:rsidRPr="00C140E0">
        <w:rPr>
          <w:rFonts w:eastAsia="Times New Roman"/>
          <w:sz w:val="24"/>
          <w:szCs w:val="24"/>
          <w:lang w:val="sr-Cyrl-RS" w:eastAsia="en-GB"/>
        </w:rPr>
        <w:t>-19</w:t>
      </w:r>
      <w:r w:rsidR="00747E7C">
        <w:rPr>
          <w:rFonts w:eastAsia="Times New Roman"/>
          <w:sz w:val="24"/>
          <w:szCs w:val="24"/>
          <w:lang w:val="sr-Cyrl-RS" w:eastAsia="en-GB"/>
        </w:rPr>
        <w:t>.</w:t>
      </w:r>
    </w:p>
    <w:p w:rsidR="00910E91" w:rsidRPr="00C140E0" w:rsidRDefault="00910E91" w:rsidP="00910E91">
      <w:pPr>
        <w:shd w:val="clear" w:color="auto" w:fill="FFFFFF"/>
        <w:spacing w:after="0"/>
        <w:ind w:firstLine="720"/>
        <w:jc w:val="both"/>
        <w:rPr>
          <w:rFonts w:eastAsia="Times New Roman"/>
          <w:sz w:val="24"/>
          <w:szCs w:val="24"/>
          <w:lang w:val="sr-Cyrl-RS" w:eastAsia="en-GB"/>
        </w:rPr>
      </w:pPr>
      <w:r w:rsidRPr="00C140E0">
        <w:rPr>
          <w:rFonts w:eastAsia="Times New Roman"/>
          <w:sz w:val="24"/>
          <w:szCs w:val="24"/>
          <w:lang w:val="sr-Cyrl-RS" w:eastAsia="en-GB"/>
        </w:rPr>
        <w:t>Унапређење квалитета пружања услуга здравствене заштите ромској популацији спроводи се кроз програме едукације здравствених радника о борби против дискриминације, стереотипа и предрасуда, о здравственом стању и потребама ромске популације и заштити права Рома као пацијената. Осим тога, у овој области финансирају се и програми обуке здравствених медијаторки у вези са заштитом здравља жена, репродуктивним здрављем и планирањем породице, вакцинацијом деце, спречавањем насиља у породици, смањењем свих облика дискриминације, као и израда едукативног материјала и материјала за рад здравствених медијаторки. У доњој табели дати су подаци о износима додељених средстава на овом конкурсу по годинама.</w:t>
      </w:r>
    </w:p>
    <w:p w:rsidR="00910E91" w:rsidRPr="00C140E0" w:rsidRDefault="00910E91" w:rsidP="00910E91">
      <w:pPr>
        <w:shd w:val="clear" w:color="auto" w:fill="FFFFFF"/>
        <w:spacing w:after="75" w:line="240" w:lineRule="auto"/>
        <w:jc w:val="both"/>
        <w:rPr>
          <w:rFonts w:ascii="Arial" w:eastAsia="Times New Roman" w:hAnsi="Arial" w:cs="Arial"/>
          <w:color w:val="0D4077"/>
          <w:sz w:val="27"/>
          <w:szCs w:val="27"/>
          <w:lang w:val="sr-Cyrl-RS" w:eastAsia="en-GB"/>
        </w:rPr>
      </w:pPr>
    </w:p>
    <w:tbl>
      <w:tblPr>
        <w:tblStyle w:val="TableGrid"/>
        <w:tblW w:w="0" w:type="auto"/>
        <w:tblLook w:val="04A0" w:firstRow="1" w:lastRow="0" w:firstColumn="1" w:lastColumn="0" w:noHBand="0" w:noVBand="1"/>
      </w:tblPr>
      <w:tblGrid>
        <w:gridCol w:w="1271"/>
        <w:gridCol w:w="5528"/>
        <w:gridCol w:w="2217"/>
      </w:tblGrid>
      <w:tr w:rsidR="00910E91" w:rsidRPr="00C140E0" w:rsidTr="004E78D7">
        <w:tc>
          <w:tcPr>
            <w:tcW w:w="1271" w:type="dxa"/>
          </w:tcPr>
          <w:p w:rsidR="00910E91" w:rsidRPr="00C140E0" w:rsidRDefault="00910E91" w:rsidP="00910E91">
            <w:pPr>
              <w:spacing w:after="0"/>
              <w:jc w:val="center"/>
              <w:rPr>
                <w:rFonts w:eastAsia="Times New Roman"/>
                <w:sz w:val="20"/>
                <w:szCs w:val="20"/>
                <w:lang w:val="sr-Cyrl-RS" w:eastAsia="en-GB"/>
              </w:rPr>
            </w:pPr>
            <w:r w:rsidRPr="00C140E0">
              <w:rPr>
                <w:rFonts w:eastAsia="Times New Roman"/>
                <w:sz w:val="20"/>
                <w:szCs w:val="20"/>
                <w:lang w:val="sr-Cyrl-RS" w:eastAsia="en-GB"/>
              </w:rPr>
              <w:lastRenderedPageBreak/>
              <w:t>Година</w:t>
            </w:r>
          </w:p>
        </w:tc>
        <w:tc>
          <w:tcPr>
            <w:tcW w:w="5528" w:type="dxa"/>
          </w:tcPr>
          <w:p w:rsidR="00910E91" w:rsidRPr="00C140E0" w:rsidRDefault="00910E91" w:rsidP="00910E91">
            <w:pPr>
              <w:spacing w:after="0"/>
              <w:jc w:val="center"/>
              <w:rPr>
                <w:rFonts w:eastAsia="Times New Roman"/>
                <w:sz w:val="20"/>
                <w:szCs w:val="20"/>
                <w:lang w:val="sr-Cyrl-RS" w:eastAsia="en-GB"/>
              </w:rPr>
            </w:pPr>
            <w:r w:rsidRPr="00C140E0">
              <w:rPr>
                <w:rFonts w:eastAsia="Times New Roman"/>
                <w:sz w:val="20"/>
                <w:szCs w:val="20"/>
                <w:lang w:val="sr-Cyrl-RS" w:eastAsia="en-GB"/>
              </w:rPr>
              <w:t>Област</w:t>
            </w:r>
          </w:p>
        </w:tc>
        <w:tc>
          <w:tcPr>
            <w:tcW w:w="2217" w:type="dxa"/>
          </w:tcPr>
          <w:p w:rsidR="00910E91" w:rsidRPr="00C140E0" w:rsidRDefault="00910E91" w:rsidP="00910E91">
            <w:pPr>
              <w:spacing w:after="0"/>
              <w:jc w:val="center"/>
              <w:rPr>
                <w:rFonts w:eastAsia="Times New Roman"/>
                <w:sz w:val="20"/>
                <w:szCs w:val="20"/>
                <w:lang w:val="sr-Cyrl-RS" w:eastAsia="en-GB"/>
              </w:rPr>
            </w:pPr>
            <w:r w:rsidRPr="00C140E0">
              <w:rPr>
                <w:rFonts w:eastAsia="Times New Roman"/>
                <w:sz w:val="20"/>
                <w:szCs w:val="20"/>
                <w:lang w:val="sr-Cyrl-RS" w:eastAsia="en-GB"/>
              </w:rPr>
              <w:t>Износ средстава</w:t>
            </w:r>
          </w:p>
        </w:tc>
      </w:tr>
      <w:tr w:rsidR="00910E91" w:rsidRPr="00C140E0" w:rsidTr="004E78D7">
        <w:tc>
          <w:tcPr>
            <w:tcW w:w="1271" w:type="dxa"/>
          </w:tcPr>
          <w:p w:rsidR="00910E91" w:rsidRPr="00C140E0" w:rsidRDefault="00910E91" w:rsidP="00910E91">
            <w:pPr>
              <w:spacing w:after="0"/>
              <w:jc w:val="center"/>
              <w:rPr>
                <w:rFonts w:eastAsia="Times New Roman"/>
                <w:sz w:val="20"/>
                <w:szCs w:val="20"/>
                <w:lang w:val="sr-Cyrl-RS" w:eastAsia="en-GB"/>
              </w:rPr>
            </w:pPr>
            <w:r w:rsidRPr="00C140E0">
              <w:rPr>
                <w:rFonts w:eastAsia="Times New Roman"/>
                <w:sz w:val="20"/>
                <w:szCs w:val="20"/>
                <w:lang w:val="sr-Cyrl-RS" w:eastAsia="en-GB"/>
              </w:rPr>
              <w:t>2018.</w:t>
            </w:r>
          </w:p>
        </w:tc>
        <w:tc>
          <w:tcPr>
            <w:tcW w:w="5528" w:type="dxa"/>
          </w:tcPr>
          <w:p w:rsidR="00910E91" w:rsidRPr="00C140E0" w:rsidRDefault="00910E91" w:rsidP="00910E91">
            <w:pPr>
              <w:spacing w:after="0"/>
              <w:rPr>
                <w:rFonts w:eastAsia="Times New Roman"/>
                <w:sz w:val="20"/>
                <w:szCs w:val="20"/>
                <w:lang w:val="sr-Cyrl-RS" w:eastAsia="en-GB"/>
              </w:rPr>
            </w:pPr>
            <w:r w:rsidRPr="00C140E0">
              <w:rPr>
                <w:rFonts w:eastAsia="Times New Roman"/>
                <w:sz w:val="20"/>
                <w:szCs w:val="20"/>
                <w:lang w:val="sr-Cyrl-RS" w:eastAsia="en-GB"/>
              </w:rPr>
              <w:t>Унапређење доступности здравствене заштите ромској популацији</w:t>
            </w:r>
          </w:p>
        </w:tc>
        <w:tc>
          <w:tcPr>
            <w:tcW w:w="2217" w:type="dxa"/>
          </w:tcPr>
          <w:p w:rsidR="00910E91" w:rsidRPr="00C140E0" w:rsidRDefault="00910E91" w:rsidP="00910E91">
            <w:pPr>
              <w:spacing w:after="0"/>
              <w:jc w:val="right"/>
              <w:rPr>
                <w:rFonts w:eastAsia="Times New Roman"/>
                <w:sz w:val="20"/>
                <w:szCs w:val="20"/>
                <w:lang w:val="sr-Cyrl-RS" w:eastAsia="en-GB"/>
              </w:rPr>
            </w:pPr>
            <w:r w:rsidRPr="00C140E0">
              <w:rPr>
                <w:rFonts w:eastAsia="Times New Roman"/>
                <w:sz w:val="20"/>
                <w:szCs w:val="20"/>
                <w:lang w:val="sr-Cyrl-RS" w:eastAsia="en-GB"/>
              </w:rPr>
              <w:t>5.499.100,00</w:t>
            </w:r>
          </w:p>
        </w:tc>
      </w:tr>
      <w:tr w:rsidR="00910E91" w:rsidRPr="00C140E0" w:rsidTr="004E78D7">
        <w:tc>
          <w:tcPr>
            <w:tcW w:w="1271" w:type="dxa"/>
            <w:vMerge w:val="restart"/>
            <w:vAlign w:val="center"/>
          </w:tcPr>
          <w:p w:rsidR="00910E91" w:rsidRPr="00C140E0" w:rsidRDefault="00910E91" w:rsidP="00910E91">
            <w:pPr>
              <w:spacing w:after="0"/>
              <w:jc w:val="center"/>
              <w:rPr>
                <w:rFonts w:eastAsia="Times New Roman"/>
                <w:sz w:val="20"/>
                <w:szCs w:val="20"/>
                <w:lang w:val="sr-Cyrl-RS" w:eastAsia="en-GB"/>
              </w:rPr>
            </w:pPr>
            <w:r w:rsidRPr="00C140E0">
              <w:rPr>
                <w:rFonts w:eastAsia="Times New Roman"/>
                <w:sz w:val="20"/>
                <w:szCs w:val="20"/>
                <w:lang w:val="sr-Cyrl-RS" w:eastAsia="en-GB"/>
              </w:rPr>
              <w:t>2019.</w:t>
            </w:r>
          </w:p>
        </w:tc>
        <w:tc>
          <w:tcPr>
            <w:tcW w:w="5528" w:type="dxa"/>
          </w:tcPr>
          <w:p w:rsidR="00910E91" w:rsidRPr="00C140E0" w:rsidRDefault="00910E91" w:rsidP="00910E91">
            <w:pPr>
              <w:spacing w:after="0"/>
              <w:rPr>
                <w:rFonts w:eastAsia="Times New Roman"/>
                <w:sz w:val="20"/>
                <w:szCs w:val="20"/>
                <w:lang w:val="sr-Cyrl-RS" w:eastAsia="en-GB"/>
              </w:rPr>
            </w:pPr>
            <w:r w:rsidRPr="00C140E0">
              <w:rPr>
                <w:rFonts w:eastAsia="Times New Roman"/>
                <w:sz w:val="20"/>
                <w:szCs w:val="20"/>
                <w:lang w:val="sr-Cyrl-RS" w:eastAsia="en-GB"/>
              </w:rPr>
              <w:t>Унапређење доступности здравствене заштите</w:t>
            </w:r>
          </w:p>
        </w:tc>
        <w:tc>
          <w:tcPr>
            <w:tcW w:w="2217" w:type="dxa"/>
          </w:tcPr>
          <w:p w:rsidR="00910E91" w:rsidRPr="00C140E0" w:rsidRDefault="00910E91" w:rsidP="00910E91">
            <w:pPr>
              <w:spacing w:after="0"/>
              <w:jc w:val="right"/>
              <w:rPr>
                <w:rFonts w:eastAsia="Times New Roman"/>
                <w:sz w:val="20"/>
                <w:szCs w:val="20"/>
                <w:lang w:val="sr-Cyrl-RS" w:eastAsia="en-GB"/>
              </w:rPr>
            </w:pPr>
            <w:r w:rsidRPr="00C140E0">
              <w:rPr>
                <w:rFonts w:eastAsia="Times New Roman"/>
                <w:sz w:val="20"/>
                <w:szCs w:val="20"/>
                <w:lang w:val="sr-Cyrl-RS" w:eastAsia="en-GB"/>
              </w:rPr>
              <w:t>5.499.600,00</w:t>
            </w:r>
          </w:p>
        </w:tc>
      </w:tr>
      <w:tr w:rsidR="00910E91" w:rsidRPr="00C140E0" w:rsidTr="004E78D7">
        <w:tc>
          <w:tcPr>
            <w:tcW w:w="1271" w:type="dxa"/>
            <w:vMerge/>
          </w:tcPr>
          <w:p w:rsidR="00910E91" w:rsidRPr="00C140E0" w:rsidRDefault="00910E91" w:rsidP="00910E91">
            <w:pPr>
              <w:spacing w:after="0"/>
              <w:jc w:val="center"/>
              <w:rPr>
                <w:rFonts w:eastAsia="Times New Roman"/>
                <w:sz w:val="20"/>
                <w:szCs w:val="20"/>
                <w:lang w:val="sr-Cyrl-RS" w:eastAsia="en-GB"/>
              </w:rPr>
            </w:pPr>
          </w:p>
        </w:tc>
        <w:tc>
          <w:tcPr>
            <w:tcW w:w="5528" w:type="dxa"/>
          </w:tcPr>
          <w:p w:rsidR="00910E91" w:rsidRPr="00C140E0" w:rsidRDefault="00910E91" w:rsidP="00910E91">
            <w:pPr>
              <w:spacing w:after="0"/>
              <w:rPr>
                <w:rFonts w:eastAsia="Times New Roman"/>
                <w:sz w:val="20"/>
                <w:szCs w:val="20"/>
                <w:lang w:val="sr-Cyrl-RS" w:eastAsia="en-GB"/>
              </w:rPr>
            </w:pPr>
            <w:r w:rsidRPr="00C140E0">
              <w:rPr>
                <w:rFonts w:eastAsia="Times New Roman"/>
                <w:sz w:val="20"/>
                <w:szCs w:val="20"/>
                <w:lang w:val="sr-Cyrl-RS" w:eastAsia="en-GB"/>
              </w:rPr>
              <w:t>Унапређење квалитета пружања услуга здравствене заштите</w:t>
            </w:r>
          </w:p>
        </w:tc>
        <w:tc>
          <w:tcPr>
            <w:tcW w:w="2217" w:type="dxa"/>
          </w:tcPr>
          <w:p w:rsidR="00910E91" w:rsidRPr="00C140E0" w:rsidRDefault="00910E91" w:rsidP="00910E91">
            <w:pPr>
              <w:spacing w:after="0"/>
              <w:jc w:val="right"/>
              <w:rPr>
                <w:rFonts w:eastAsia="Times New Roman"/>
                <w:sz w:val="20"/>
                <w:szCs w:val="20"/>
                <w:lang w:val="sr-Cyrl-RS" w:eastAsia="en-GB"/>
              </w:rPr>
            </w:pPr>
            <w:r w:rsidRPr="00C140E0">
              <w:rPr>
                <w:rFonts w:eastAsia="Times New Roman"/>
                <w:sz w:val="20"/>
                <w:szCs w:val="20"/>
                <w:lang w:val="sr-Cyrl-RS" w:eastAsia="en-GB"/>
              </w:rPr>
              <w:t>3.197.000,00</w:t>
            </w:r>
          </w:p>
        </w:tc>
      </w:tr>
      <w:tr w:rsidR="00910E91" w:rsidRPr="00C140E0" w:rsidTr="004E78D7">
        <w:tc>
          <w:tcPr>
            <w:tcW w:w="1271" w:type="dxa"/>
            <w:vMerge w:val="restart"/>
            <w:vAlign w:val="center"/>
          </w:tcPr>
          <w:p w:rsidR="00910E91" w:rsidRPr="00C140E0" w:rsidRDefault="00910E91" w:rsidP="00910E91">
            <w:pPr>
              <w:spacing w:after="0"/>
              <w:jc w:val="center"/>
              <w:rPr>
                <w:rFonts w:eastAsia="Times New Roman"/>
                <w:sz w:val="20"/>
                <w:szCs w:val="20"/>
                <w:lang w:val="sr-Cyrl-RS" w:eastAsia="en-GB"/>
              </w:rPr>
            </w:pPr>
            <w:r w:rsidRPr="00C140E0">
              <w:rPr>
                <w:rFonts w:eastAsia="Times New Roman"/>
                <w:sz w:val="20"/>
                <w:szCs w:val="20"/>
                <w:lang w:val="sr-Cyrl-RS" w:eastAsia="en-GB"/>
              </w:rPr>
              <w:t>2020.</w:t>
            </w:r>
          </w:p>
        </w:tc>
        <w:tc>
          <w:tcPr>
            <w:tcW w:w="5528" w:type="dxa"/>
          </w:tcPr>
          <w:p w:rsidR="00910E91" w:rsidRPr="00C140E0" w:rsidRDefault="00910E91" w:rsidP="00910E91">
            <w:pPr>
              <w:spacing w:after="0"/>
              <w:rPr>
                <w:rFonts w:eastAsia="Times New Roman"/>
                <w:sz w:val="20"/>
                <w:szCs w:val="20"/>
                <w:lang w:val="sr-Cyrl-RS" w:eastAsia="en-GB"/>
              </w:rPr>
            </w:pPr>
            <w:r w:rsidRPr="00C140E0">
              <w:rPr>
                <w:rFonts w:eastAsia="Times New Roman"/>
                <w:sz w:val="20"/>
                <w:szCs w:val="20"/>
                <w:lang w:val="sr-Cyrl-RS" w:eastAsia="en-GB"/>
              </w:rPr>
              <w:t>Унапређење доступности здравствене заштите</w:t>
            </w:r>
          </w:p>
        </w:tc>
        <w:tc>
          <w:tcPr>
            <w:tcW w:w="2217" w:type="dxa"/>
          </w:tcPr>
          <w:p w:rsidR="00910E91" w:rsidRPr="00C140E0" w:rsidRDefault="00910E91" w:rsidP="00910E91">
            <w:pPr>
              <w:spacing w:after="0"/>
              <w:jc w:val="right"/>
              <w:rPr>
                <w:rFonts w:eastAsia="Times New Roman"/>
                <w:sz w:val="20"/>
                <w:szCs w:val="20"/>
                <w:lang w:val="sr-Cyrl-RS" w:eastAsia="en-GB"/>
              </w:rPr>
            </w:pPr>
            <w:r w:rsidRPr="00C140E0">
              <w:rPr>
                <w:rFonts w:eastAsia="Times New Roman"/>
                <w:sz w:val="20"/>
                <w:szCs w:val="20"/>
                <w:lang w:val="sr-Cyrl-RS" w:eastAsia="en-GB"/>
              </w:rPr>
              <w:t>5.888.759,00</w:t>
            </w:r>
          </w:p>
        </w:tc>
      </w:tr>
      <w:tr w:rsidR="00910E91" w:rsidRPr="00C140E0" w:rsidTr="004E78D7">
        <w:tc>
          <w:tcPr>
            <w:tcW w:w="1271" w:type="dxa"/>
            <w:vMerge/>
          </w:tcPr>
          <w:p w:rsidR="00910E91" w:rsidRPr="00C140E0" w:rsidRDefault="00910E91" w:rsidP="00910E91">
            <w:pPr>
              <w:spacing w:after="0"/>
              <w:jc w:val="center"/>
              <w:rPr>
                <w:rFonts w:eastAsia="Times New Roman"/>
                <w:sz w:val="20"/>
                <w:szCs w:val="20"/>
                <w:lang w:val="sr-Cyrl-RS" w:eastAsia="en-GB"/>
              </w:rPr>
            </w:pPr>
          </w:p>
        </w:tc>
        <w:tc>
          <w:tcPr>
            <w:tcW w:w="5528" w:type="dxa"/>
          </w:tcPr>
          <w:p w:rsidR="00910E91" w:rsidRPr="00C140E0" w:rsidRDefault="00910E91" w:rsidP="00910E91">
            <w:pPr>
              <w:spacing w:after="0"/>
              <w:rPr>
                <w:rFonts w:eastAsia="Times New Roman"/>
                <w:sz w:val="20"/>
                <w:szCs w:val="20"/>
                <w:lang w:val="sr-Cyrl-RS" w:eastAsia="en-GB"/>
              </w:rPr>
            </w:pPr>
            <w:r w:rsidRPr="00C140E0">
              <w:rPr>
                <w:rFonts w:eastAsia="Times New Roman"/>
                <w:sz w:val="20"/>
                <w:szCs w:val="20"/>
                <w:lang w:val="sr-Cyrl-RS" w:eastAsia="en-GB"/>
              </w:rPr>
              <w:t>Унапређење квалитета пружања услуга здравствене заштите</w:t>
            </w:r>
          </w:p>
        </w:tc>
        <w:tc>
          <w:tcPr>
            <w:tcW w:w="2217" w:type="dxa"/>
          </w:tcPr>
          <w:p w:rsidR="00910E91" w:rsidRPr="00C140E0" w:rsidRDefault="00910E91" w:rsidP="00910E91">
            <w:pPr>
              <w:spacing w:after="0"/>
              <w:jc w:val="right"/>
              <w:rPr>
                <w:rFonts w:eastAsia="Times New Roman"/>
                <w:sz w:val="20"/>
                <w:szCs w:val="20"/>
                <w:lang w:val="sr-Cyrl-RS" w:eastAsia="en-GB"/>
              </w:rPr>
            </w:pPr>
            <w:r w:rsidRPr="00C140E0">
              <w:rPr>
                <w:rFonts w:eastAsia="Times New Roman"/>
                <w:sz w:val="20"/>
                <w:szCs w:val="20"/>
                <w:lang w:val="sr-Cyrl-RS" w:eastAsia="en-GB"/>
              </w:rPr>
              <w:t>3.500.000,00</w:t>
            </w:r>
          </w:p>
        </w:tc>
      </w:tr>
      <w:tr w:rsidR="00910E91" w:rsidRPr="00C140E0" w:rsidTr="004E78D7">
        <w:tc>
          <w:tcPr>
            <w:tcW w:w="1271" w:type="dxa"/>
            <w:vMerge w:val="restart"/>
            <w:vAlign w:val="center"/>
          </w:tcPr>
          <w:p w:rsidR="00910E91" w:rsidRPr="00C140E0" w:rsidRDefault="00910E91" w:rsidP="00910E91">
            <w:pPr>
              <w:spacing w:after="0"/>
              <w:jc w:val="center"/>
              <w:rPr>
                <w:rFonts w:eastAsia="Times New Roman"/>
                <w:sz w:val="20"/>
                <w:szCs w:val="20"/>
                <w:lang w:val="sr-Cyrl-RS" w:eastAsia="en-GB"/>
              </w:rPr>
            </w:pPr>
            <w:r w:rsidRPr="00C140E0">
              <w:rPr>
                <w:rFonts w:eastAsia="Times New Roman"/>
                <w:sz w:val="20"/>
                <w:szCs w:val="20"/>
                <w:lang w:val="sr-Cyrl-RS" w:eastAsia="en-GB"/>
              </w:rPr>
              <w:t>2021.</w:t>
            </w:r>
          </w:p>
        </w:tc>
        <w:tc>
          <w:tcPr>
            <w:tcW w:w="5528" w:type="dxa"/>
          </w:tcPr>
          <w:p w:rsidR="00910E91" w:rsidRPr="00C140E0" w:rsidRDefault="00910E91" w:rsidP="00910E91">
            <w:pPr>
              <w:spacing w:after="0"/>
              <w:rPr>
                <w:rFonts w:eastAsia="Times New Roman"/>
                <w:sz w:val="20"/>
                <w:szCs w:val="20"/>
                <w:lang w:val="sr-Cyrl-RS" w:eastAsia="en-GB"/>
              </w:rPr>
            </w:pPr>
            <w:r w:rsidRPr="00C140E0">
              <w:rPr>
                <w:rFonts w:eastAsia="Times New Roman"/>
                <w:sz w:val="20"/>
                <w:szCs w:val="20"/>
                <w:lang w:val="sr-Cyrl-RS" w:eastAsia="en-GB"/>
              </w:rPr>
              <w:t>Унапређење доступности здравствене заштите</w:t>
            </w:r>
          </w:p>
        </w:tc>
        <w:tc>
          <w:tcPr>
            <w:tcW w:w="2217" w:type="dxa"/>
          </w:tcPr>
          <w:p w:rsidR="00910E91" w:rsidRPr="00C140E0" w:rsidRDefault="00910E91" w:rsidP="00910E91">
            <w:pPr>
              <w:spacing w:after="0"/>
              <w:jc w:val="right"/>
              <w:rPr>
                <w:rFonts w:eastAsia="Times New Roman"/>
                <w:sz w:val="20"/>
                <w:szCs w:val="20"/>
                <w:lang w:val="sr-Cyrl-RS" w:eastAsia="en-GB"/>
              </w:rPr>
            </w:pPr>
            <w:r w:rsidRPr="00C140E0">
              <w:rPr>
                <w:rFonts w:eastAsia="Times New Roman"/>
                <w:sz w:val="20"/>
                <w:szCs w:val="20"/>
                <w:lang w:val="sr-Cyrl-RS" w:eastAsia="en-GB"/>
              </w:rPr>
              <w:t>6.498.600,00</w:t>
            </w:r>
          </w:p>
        </w:tc>
      </w:tr>
      <w:tr w:rsidR="00910E91" w:rsidRPr="00C140E0" w:rsidTr="004E78D7">
        <w:tc>
          <w:tcPr>
            <w:tcW w:w="1271" w:type="dxa"/>
            <w:vMerge/>
            <w:vAlign w:val="center"/>
          </w:tcPr>
          <w:p w:rsidR="00910E91" w:rsidRPr="00C140E0" w:rsidRDefault="00910E91" w:rsidP="00910E91">
            <w:pPr>
              <w:spacing w:after="0"/>
              <w:jc w:val="center"/>
              <w:rPr>
                <w:rFonts w:eastAsia="Times New Roman"/>
                <w:sz w:val="20"/>
                <w:szCs w:val="20"/>
                <w:lang w:val="sr-Cyrl-RS" w:eastAsia="en-GB"/>
              </w:rPr>
            </w:pPr>
          </w:p>
        </w:tc>
        <w:tc>
          <w:tcPr>
            <w:tcW w:w="5528" w:type="dxa"/>
          </w:tcPr>
          <w:p w:rsidR="00910E91" w:rsidRPr="00C140E0" w:rsidRDefault="00910E91" w:rsidP="00910E91">
            <w:pPr>
              <w:spacing w:after="0"/>
              <w:rPr>
                <w:rFonts w:eastAsia="Times New Roman"/>
                <w:sz w:val="20"/>
                <w:szCs w:val="20"/>
                <w:lang w:val="sr-Cyrl-RS" w:eastAsia="en-GB"/>
              </w:rPr>
            </w:pPr>
            <w:r w:rsidRPr="00C140E0">
              <w:rPr>
                <w:rFonts w:eastAsia="Times New Roman"/>
                <w:sz w:val="20"/>
                <w:szCs w:val="20"/>
                <w:lang w:val="sr-Cyrl-RS" w:eastAsia="en-GB"/>
              </w:rPr>
              <w:t>Унапређење квалитета пружања услуга здравствене заштите</w:t>
            </w:r>
          </w:p>
        </w:tc>
        <w:tc>
          <w:tcPr>
            <w:tcW w:w="2217" w:type="dxa"/>
          </w:tcPr>
          <w:p w:rsidR="00910E91" w:rsidRPr="00C140E0" w:rsidRDefault="00910E91" w:rsidP="00910E91">
            <w:pPr>
              <w:spacing w:after="0"/>
              <w:jc w:val="right"/>
              <w:rPr>
                <w:rFonts w:eastAsia="Times New Roman"/>
                <w:sz w:val="20"/>
                <w:szCs w:val="20"/>
                <w:lang w:val="sr-Cyrl-RS" w:eastAsia="en-GB"/>
              </w:rPr>
            </w:pPr>
            <w:r w:rsidRPr="00C140E0">
              <w:rPr>
                <w:rFonts w:eastAsia="Times New Roman"/>
                <w:sz w:val="20"/>
                <w:szCs w:val="20"/>
                <w:lang w:val="sr-Cyrl-RS" w:eastAsia="en-GB"/>
              </w:rPr>
              <w:t>3.500.000,00</w:t>
            </w:r>
          </w:p>
        </w:tc>
      </w:tr>
      <w:tr w:rsidR="00910E91" w:rsidRPr="00C140E0" w:rsidTr="004E78D7">
        <w:tc>
          <w:tcPr>
            <w:tcW w:w="1271" w:type="dxa"/>
            <w:vMerge w:val="restart"/>
            <w:vAlign w:val="center"/>
          </w:tcPr>
          <w:p w:rsidR="00910E91" w:rsidRPr="00C140E0" w:rsidRDefault="00910E91" w:rsidP="00910E91">
            <w:pPr>
              <w:spacing w:after="0"/>
              <w:jc w:val="center"/>
              <w:rPr>
                <w:rFonts w:eastAsia="Times New Roman"/>
                <w:sz w:val="20"/>
                <w:szCs w:val="20"/>
                <w:lang w:val="sr-Cyrl-RS" w:eastAsia="en-GB"/>
              </w:rPr>
            </w:pPr>
            <w:r w:rsidRPr="00C140E0">
              <w:rPr>
                <w:rFonts w:eastAsia="Times New Roman"/>
                <w:sz w:val="20"/>
                <w:szCs w:val="20"/>
                <w:lang w:val="sr-Cyrl-RS" w:eastAsia="en-GB"/>
              </w:rPr>
              <w:t>2022.</w:t>
            </w:r>
          </w:p>
        </w:tc>
        <w:tc>
          <w:tcPr>
            <w:tcW w:w="5528" w:type="dxa"/>
          </w:tcPr>
          <w:p w:rsidR="00910E91" w:rsidRPr="00C140E0" w:rsidRDefault="00910E91" w:rsidP="00910E91">
            <w:pPr>
              <w:spacing w:after="0"/>
              <w:rPr>
                <w:rFonts w:eastAsia="Times New Roman"/>
                <w:sz w:val="20"/>
                <w:szCs w:val="20"/>
                <w:lang w:val="sr-Cyrl-RS" w:eastAsia="en-GB"/>
              </w:rPr>
            </w:pPr>
            <w:r w:rsidRPr="00C140E0">
              <w:rPr>
                <w:rFonts w:eastAsia="Times New Roman"/>
                <w:sz w:val="20"/>
                <w:szCs w:val="20"/>
                <w:lang w:val="sr-Cyrl-RS" w:eastAsia="en-GB"/>
              </w:rPr>
              <w:t>Унапређење доступности здравствене заштите</w:t>
            </w:r>
          </w:p>
        </w:tc>
        <w:tc>
          <w:tcPr>
            <w:tcW w:w="2217" w:type="dxa"/>
          </w:tcPr>
          <w:p w:rsidR="00910E91" w:rsidRPr="00C140E0" w:rsidRDefault="00910E91" w:rsidP="00910E91">
            <w:pPr>
              <w:spacing w:after="0"/>
              <w:jc w:val="right"/>
              <w:rPr>
                <w:rFonts w:eastAsia="Times New Roman"/>
                <w:sz w:val="20"/>
                <w:szCs w:val="20"/>
                <w:lang w:val="sr-Cyrl-RS" w:eastAsia="en-GB"/>
              </w:rPr>
            </w:pPr>
            <w:r w:rsidRPr="00C140E0">
              <w:rPr>
                <w:rFonts w:eastAsia="Times New Roman"/>
                <w:sz w:val="20"/>
                <w:szCs w:val="20"/>
                <w:lang w:val="sr-Cyrl-RS" w:eastAsia="en-GB"/>
              </w:rPr>
              <w:t>6.460.450,00</w:t>
            </w:r>
          </w:p>
        </w:tc>
      </w:tr>
      <w:tr w:rsidR="00910E91" w:rsidRPr="00C140E0" w:rsidTr="004E78D7">
        <w:tc>
          <w:tcPr>
            <w:tcW w:w="1271" w:type="dxa"/>
            <w:vMerge/>
          </w:tcPr>
          <w:p w:rsidR="00910E91" w:rsidRPr="00C140E0" w:rsidRDefault="00910E91" w:rsidP="00910E91">
            <w:pPr>
              <w:spacing w:after="0"/>
              <w:jc w:val="both"/>
              <w:rPr>
                <w:rFonts w:eastAsia="Times New Roman"/>
                <w:sz w:val="20"/>
                <w:szCs w:val="20"/>
                <w:lang w:val="sr-Cyrl-RS" w:eastAsia="en-GB"/>
              </w:rPr>
            </w:pPr>
          </w:p>
        </w:tc>
        <w:tc>
          <w:tcPr>
            <w:tcW w:w="5528" w:type="dxa"/>
          </w:tcPr>
          <w:p w:rsidR="00910E91" w:rsidRPr="00C140E0" w:rsidRDefault="00910E91" w:rsidP="00910E91">
            <w:pPr>
              <w:spacing w:after="0"/>
              <w:rPr>
                <w:rFonts w:eastAsia="Times New Roman"/>
                <w:sz w:val="20"/>
                <w:szCs w:val="20"/>
                <w:lang w:val="sr-Cyrl-RS" w:eastAsia="en-GB"/>
              </w:rPr>
            </w:pPr>
            <w:r w:rsidRPr="00C140E0">
              <w:rPr>
                <w:rFonts w:eastAsia="Times New Roman"/>
                <w:sz w:val="20"/>
                <w:szCs w:val="20"/>
                <w:lang w:val="sr-Cyrl-RS" w:eastAsia="en-GB"/>
              </w:rPr>
              <w:t>Унапређење квалитета пружања услуга здравствене заштите</w:t>
            </w:r>
          </w:p>
        </w:tc>
        <w:tc>
          <w:tcPr>
            <w:tcW w:w="2217" w:type="dxa"/>
          </w:tcPr>
          <w:p w:rsidR="00910E91" w:rsidRPr="00C140E0" w:rsidRDefault="00910E91" w:rsidP="00910E91">
            <w:pPr>
              <w:spacing w:after="0"/>
              <w:jc w:val="right"/>
              <w:rPr>
                <w:rFonts w:eastAsia="Times New Roman"/>
                <w:sz w:val="20"/>
                <w:szCs w:val="20"/>
                <w:lang w:val="sr-Cyrl-RS" w:eastAsia="en-GB"/>
              </w:rPr>
            </w:pPr>
            <w:r w:rsidRPr="00C140E0">
              <w:rPr>
                <w:rFonts w:eastAsia="Times New Roman"/>
                <w:sz w:val="20"/>
                <w:szCs w:val="20"/>
                <w:lang w:val="sr-Cyrl-RS" w:eastAsia="en-GB"/>
              </w:rPr>
              <w:t>3.500.000,00</w:t>
            </w:r>
          </w:p>
        </w:tc>
      </w:tr>
    </w:tbl>
    <w:p w:rsidR="00910E91" w:rsidRPr="00C140E0" w:rsidRDefault="00910E91" w:rsidP="009D3498">
      <w:pPr>
        <w:spacing w:after="0"/>
        <w:ind w:firstLine="720"/>
        <w:jc w:val="both"/>
        <w:rPr>
          <w:sz w:val="24"/>
          <w:szCs w:val="24"/>
          <w:lang w:val="sr-Cyrl-RS"/>
        </w:rPr>
      </w:pPr>
    </w:p>
    <w:p w:rsidR="00150393" w:rsidRPr="00C140E0" w:rsidRDefault="002D75E5" w:rsidP="009D3498">
      <w:pPr>
        <w:spacing w:after="0"/>
        <w:ind w:firstLine="720"/>
        <w:jc w:val="both"/>
        <w:rPr>
          <w:sz w:val="24"/>
          <w:szCs w:val="24"/>
          <w:lang w:val="sr-Cyrl-RS"/>
        </w:rPr>
      </w:pPr>
      <w:r w:rsidRPr="00C140E0">
        <w:rPr>
          <w:sz w:val="24"/>
          <w:szCs w:val="24"/>
          <w:lang w:val="sr-Cyrl-RS"/>
        </w:rPr>
        <w:t xml:space="preserve">Вишегодишњи рад здравствених медијаторки </w:t>
      </w:r>
      <w:r w:rsidR="00632A81" w:rsidRPr="00C140E0">
        <w:rPr>
          <w:sz w:val="24"/>
          <w:szCs w:val="24"/>
          <w:lang w:val="sr-Cyrl-RS"/>
        </w:rPr>
        <w:t xml:space="preserve">такође је </w:t>
      </w:r>
      <w:r w:rsidRPr="00C140E0">
        <w:rPr>
          <w:sz w:val="24"/>
          <w:szCs w:val="24"/>
          <w:lang w:val="sr-Cyrl-RS"/>
        </w:rPr>
        <w:t xml:space="preserve">значајно допринео унапређењу стања у погледу остваривања права на здравствену и социјалну заштиту и образовање припадника ромске националне мањине, пре свега оних који живе у неформалним насељима. </w:t>
      </w:r>
      <w:r w:rsidR="00B848C2" w:rsidRPr="00C140E0">
        <w:rPr>
          <w:sz w:val="24"/>
          <w:szCs w:val="24"/>
          <w:lang w:val="sr-Cyrl-RS"/>
        </w:rPr>
        <w:t>Б</w:t>
      </w:r>
      <w:r w:rsidR="009945EB" w:rsidRPr="00C140E0">
        <w:rPr>
          <w:sz w:val="24"/>
          <w:szCs w:val="24"/>
          <w:lang w:val="sr-Cyrl-RS"/>
        </w:rPr>
        <w:t xml:space="preserve">рој здравствених медијаторки </w:t>
      </w:r>
      <w:r w:rsidR="00B848C2" w:rsidRPr="00C140E0">
        <w:rPr>
          <w:sz w:val="24"/>
          <w:szCs w:val="24"/>
          <w:lang w:val="sr-Cyrl-RS"/>
        </w:rPr>
        <w:t>се континирано</w:t>
      </w:r>
      <w:r w:rsidR="009945EB" w:rsidRPr="00C140E0">
        <w:rPr>
          <w:sz w:val="24"/>
          <w:szCs w:val="24"/>
          <w:lang w:val="sr-Cyrl-RS"/>
        </w:rPr>
        <w:t xml:space="preserve"> повећа</w:t>
      </w:r>
      <w:r w:rsidR="00B848C2" w:rsidRPr="00C140E0">
        <w:rPr>
          <w:sz w:val="24"/>
          <w:szCs w:val="24"/>
          <w:lang w:val="sr-Cyrl-RS"/>
        </w:rPr>
        <w:t>ва</w:t>
      </w:r>
      <w:r w:rsidR="009945EB" w:rsidRPr="00C140E0">
        <w:rPr>
          <w:sz w:val="24"/>
          <w:szCs w:val="24"/>
          <w:lang w:val="sr-Cyrl-RS"/>
        </w:rPr>
        <w:t xml:space="preserve"> </w:t>
      </w:r>
      <w:r w:rsidR="00B848C2" w:rsidRPr="00C140E0">
        <w:rPr>
          <w:sz w:val="24"/>
          <w:szCs w:val="24"/>
          <w:lang w:val="sr-Cyrl-RS"/>
        </w:rPr>
        <w:t>и тренутно их је ангажовано</w:t>
      </w:r>
      <w:r w:rsidR="009945EB" w:rsidRPr="00C140E0">
        <w:rPr>
          <w:sz w:val="24"/>
          <w:szCs w:val="24"/>
          <w:lang w:val="sr-Cyrl-RS"/>
        </w:rPr>
        <w:t xml:space="preserve"> 85. </w:t>
      </w:r>
      <w:r w:rsidR="00150393" w:rsidRPr="00C140E0">
        <w:rPr>
          <w:sz w:val="24"/>
          <w:szCs w:val="24"/>
          <w:lang w:val="sr-Cyrl-RS"/>
        </w:rPr>
        <w:t xml:space="preserve">У табели која следи дати су подаци које су евидентирале здравствене медијаторке у периоду од 2017. до 2021. године </w:t>
      </w:r>
      <w:r w:rsidR="003B49FD" w:rsidRPr="00C140E0">
        <w:rPr>
          <w:sz w:val="24"/>
          <w:szCs w:val="24"/>
          <w:lang w:val="sr-Cyrl-RS"/>
        </w:rPr>
        <w:t>у погледу приступа здравственој заштити припадника ромске националне мањине.</w:t>
      </w:r>
    </w:p>
    <w:p w:rsidR="00210BB0" w:rsidRPr="00C140E0" w:rsidRDefault="00210BB0" w:rsidP="009945EB">
      <w:pPr>
        <w:spacing w:after="0"/>
        <w:jc w:val="both"/>
        <w:rPr>
          <w:sz w:val="24"/>
          <w:szCs w:val="24"/>
          <w:lang w:val="sr-Cyrl-RS"/>
        </w:rPr>
      </w:pPr>
    </w:p>
    <w:tbl>
      <w:tblPr>
        <w:tblStyle w:val="TableGrid"/>
        <w:tblW w:w="0" w:type="auto"/>
        <w:tblInd w:w="2122" w:type="dxa"/>
        <w:tblLook w:val="04A0" w:firstRow="1" w:lastRow="0" w:firstColumn="1" w:lastColumn="0" w:noHBand="0" w:noVBand="1"/>
      </w:tblPr>
      <w:tblGrid>
        <w:gridCol w:w="2767"/>
        <w:gridCol w:w="1531"/>
      </w:tblGrid>
      <w:tr w:rsidR="009D3498" w:rsidRPr="00C140E0" w:rsidTr="00632A81">
        <w:trPr>
          <w:trHeight w:val="246"/>
        </w:trPr>
        <w:tc>
          <w:tcPr>
            <w:tcW w:w="2767" w:type="dxa"/>
          </w:tcPr>
          <w:p w:rsidR="009D3498" w:rsidRPr="00C140E0" w:rsidRDefault="009D3498" w:rsidP="004E78D7">
            <w:pPr>
              <w:spacing w:after="0"/>
              <w:rPr>
                <w:sz w:val="20"/>
                <w:szCs w:val="20"/>
                <w:lang w:val="sr-Cyrl-RS"/>
              </w:rPr>
            </w:pPr>
            <w:r w:rsidRPr="00C140E0">
              <w:rPr>
                <w:sz w:val="20"/>
                <w:szCs w:val="20"/>
                <w:lang w:val="sr-Cyrl-RS"/>
              </w:rPr>
              <w:t>Број домаћинстава</w:t>
            </w:r>
          </w:p>
        </w:tc>
        <w:tc>
          <w:tcPr>
            <w:tcW w:w="1531" w:type="dxa"/>
          </w:tcPr>
          <w:p w:rsidR="009D3498" w:rsidRPr="00C140E0" w:rsidRDefault="009D3498" w:rsidP="004E78D7">
            <w:pPr>
              <w:spacing w:after="0"/>
              <w:rPr>
                <w:sz w:val="20"/>
                <w:szCs w:val="20"/>
                <w:lang w:val="sr-Cyrl-RS"/>
              </w:rPr>
            </w:pPr>
            <w:r w:rsidRPr="00C140E0">
              <w:rPr>
                <w:sz w:val="20"/>
                <w:szCs w:val="20"/>
                <w:lang w:val="sr-Cyrl-RS"/>
              </w:rPr>
              <w:t>58.837</w:t>
            </w:r>
          </w:p>
        </w:tc>
      </w:tr>
      <w:tr w:rsidR="009D3498" w:rsidRPr="00C140E0" w:rsidTr="00632A81">
        <w:trPr>
          <w:trHeight w:val="246"/>
        </w:trPr>
        <w:tc>
          <w:tcPr>
            <w:tcW w:w="2767" w:type="dxa"/>
          </w:tcPr>
          <w:p w:rsidR="009D3498" w:rsidRPr="00C140E0" w:rsidRDefault="009D3498" w:rsidP="004E78D7">
            <w:pPr>
              <w:spacing w:after="0"/>
              <w:rPr>
                <w:sz w:val="20"/>
                <w:szCs w:val="20"/>
                <w:lang w:val="sr-Cyrl-RS"/>
              </w:rPr>
            </w:pPr>
            <w:r w:rsidRPr="00C140E0">
              <w:rPr>
                <w:sz w:val="20"/>
                <w:szCs w:val="20"/>
                <w:lang w:val="sr-Cyrl-RS"/>
              </w:rPr>
              <w:t>Број лица</w:t>
            </w:r>
          </w:p>
        </w:tc>
        <w:tc>
          <w:tcPr>
            <w:tcW w:w="1531" w:type="dxa"/>
          </w:tcPr>
          <w:p w:rsidR="009D3498" w:rsidRPr="00C140E0" w:rsidRDefault="009D3498" w:rsidP="004E78D7">
            <w:pPr>
              <w:spacing w:after="0"/>
              <w:rPr>
                <w:sz w:val="20"/>
                <w:szCs w:val="20"/>
                <w:lang w:val="sr-Cyrl-RS"/>
              </w:rPr>
            </w:pPr>
            <w:r w:rsidRPr="00C140E0">
              <w:rPr>
                <w:sz w:val="20"/>
                <w:szCs w:val="20"/>
                <w:lang w:val="sr-Cyrl-RS"/>
              </w:rPr>
              <w:t>146.763</w:t>
            </w:r>
          </w:p>
        </w:tc>
      </w:tr>
      <w:tr w:rsidR="009D3498" w:rsidRPr="00C140E0" w:rsidTr="00632A81">
        <w:trPr>
          <w:trHeight w:val="246"/>
        </w:trPr>
        <w:tc>
          <w:tcPr>
            <w:tcW w:w="2767" w:type="dxa"/>
          </w:tcPr>
          <w:p w:rsidR="009D3498" w:rsidRPr="00C140E0" w:rsidRDefault="009D3498" w:rsidP="004E78D7">
            <w:pPr>
              <w:spacing w:after="0"/>
              <w:rPr>
                <w:b/>
                <w:sz w:val="20"/>
                <w:szCs w:val="20"/>
                <w:lang w:val="sr-Cyrl-RS"/>
              </w:rPr>
            </w:pPr>
            <w:r w:rsidRPr="00C140E0">
              <w:rPr>
                <w:b/>
                <w:sz w:val="20"/>
                <w:szCs w:val="20"/>
                <w:lang w:val="sr-Cyrl-RS"/>
              </w:rPr>
              <w:t>Мушкарци</w:t>
            </w:r>
          </w:p>
        </w:tc>
        <w:tc>
          <w:tcPr>
            <w:tcW w:w="1531" w:type="dxa"/>
          </w:tcPr>
          <w:p w:rsidR="009D3498" w:rsidRPr="00C140E0" w:rsidRDefault="009D3498" w:rsidP="004E78D7">
            <w:pPr>
              <w:spacing w:after="0"/>
              <w:rPr>
                <w:b/>
                <w:sz w:val="20"/>
                <w:szCs w:val="20"/>
                <w:lang w:val="sr-Cyrl-RS"/>
              </w:rPr>
            </w:pPr>
            <w:r w:rsidRPr="00C140E0">
              <w:rPr>
                <w:b/>
                <w:sz w:val="20"/>
                <w:szCs w:val="20"/>
                <w:lang w:val="sr-Cyrl-RS"/>
              </w:rPr>
              <w:t>43.774</w:t>
            </w:r>
          </w:p>
        </w:tc>
      </w:tr>
      <w:tr w:rsidR="009D3498" w:rsidRPr="00C140E0" w:rsidTr="00632A81">
        <w:trPr>
          <w:trHeight w:val="239"/>
        </w:trPr>
        <w:tc>
          <w:tcPr>
            <w:tcW w:w="2767" w:type="dxa"/>
          </w:tcPr>
          <w:p w:rsidR="009D3498" w:rsidRPr="00C140E0" w:rsidRDefault="009D3498" w:rsidP="004E78D7">
            <w:pPr>
              <w:spacing w:after="0"/>
              <w:rPr>
                <w:b/>
                <w:sz w:val="20"/>
                <w:szCs w:val="20"/>
                <w:lang w:val="sr-Cyrl-RS"/>
              </w:rPr>
            </w:pPr>
            <w:r w:rsidRPr="00C140E0">
              <w:rPr>
                <w:b/>
                <w:sz w:val="20"/>
                <w:szCs w:val="20"/>
                <w:lang w:val="sr-Cyrl-RS"/>
              </w:rPr>
              <w:t>Жене</w:t>
            </w:r>
          </w:p>
        </w:tc>
        <w:tc>
          <w:tcPr>
            <w:tcW w:w="1531" w:type="dxa"/>
          </w:tcPr>
          <w:p w:rsidR="009D3498" w:rsidRPr="00C140E0" w:rsidRDefault="009D3498" w:rsidP="004E78D7">
            <w:pPr>
              <w:spacing w:after="0"/>
              <w:rPr>
                <w:b/>
                <w:sz w:val="20"/>
                <w:szCs w:val="20"/>
                <w:lang w:val="sr-Cyrl-RS"/>
              </w:rPr>
            </w:pPr>
            <w:r w:rsidRPr="00C140E0">
              <w:rPr>
                <w:b/>
                <w:sz w:val="20"/>
                <w:szCs w:val="20"/>
                <w:lang w:val="sr-Cyrl-RS"/>
              </w:rPr>
              <w:t>47.261</w:t>
            </w:r>
          </w:p>
        </w:tc>
      </w:tr>
      <w:tr w:rsidR="009D3498" w:rsidRPr="00C140E0" w:rsidTr="00632A81">
        <w:trPr>
          <w:trHeight w:val="246"/>
        </w:trPr>
        <w:tc>
          <w:tcPr>
            <w:tcW w:w="2767" w:type="dxa"/>
          </w:tcPr>
          <w:p w:rsidR="009D3498" w:rsidRPr="00C140E0" w:rsidRDefault="009D3498" w:rsidP="004E78D7">
            <w:pPr>
              <w:spacing w:after="0"/>
              <w:rPr>
                <w:sz w:val="20"/>
                <w:szCs w:val="20"/>
                <w:lang w:val="sr-Cyrl-RS"/>
              </w:rPr>
            </w:pPr>
            <w:r w:rsidRPr="00C140E0">
              <w:rPr>
                <w:sz w:val="20"/>
                <w:szCs w:val="20"/>
                <w:lang w:val="sr-Cyrl-RS"/>
              </w:rPr>
              <w:t>труднице</w:t>
            </w:r>
          </w:p>
        </w:tc>
        <w:tc>
          <w:tcPr>
            <w:tcW w:w="1531" w:type="dxa"/>
          </w:tcPr>
          <w:p w:rsidR="009D3498" w:rsidRPr="00C140E0" w:rsidRDefault="009D3498" w:rsidP="004E78D7">
            <w:pPr>
              <w:spacing w:after="0"/>
              <w:rPr>
                <w:sz w:val="20"/>
                <w:szCs w:val="20"/>
                <w:lang w:val="sr-Cyrl-RS"/>
              </w:rPr>
            </w:pPr>
            <w:r w:rsidRPr="00C140E0">
              <w:rPr>
                <w:sz w:val="20"/>
                <w:szCs w:val="20"/>
                <w:lang w:val="sr-Cyrl-RS"/>
              </w:rPr>
              <w:t>9.756</w:t>
            </w:r>
          </w:p>
        </w:tc>
      </w:tr>
      <w:tr w:rsidR="009D3498" w:rsidRPr="00C140E0" w:rsidTr="00632A81">
        <w:trPr>
          <w:trHeight w:val="246"/>
        </w:trPr>
        <w:tc>
          <w:tcPr>
            <w:tcW w:w="2767" w:type="dxa"/>
          </w:tcPr>
          <w:p w:rsidR="009D3498" w:rsidRPr="00C140E0" w:rsidRDefault="009D3498" w:rsidP="004E78D7">
            <w:pPr>
              <w:spacing w:after="0"/>
              <w:rPr>
                <w:sz w:val="20"/>
                <w:szCs w:val="20"/>
                <w:lang w:val="sr-Cyrl-RS"/>
              </w:rPr>
            </w:pPr>
            <w:r w:rsidRPr="00C140E0">
              <w:rPr>
                <w:sz w:val="20"/>
                <w:szCs w:val="20"/>
                <w:lang w:val="sr-Cyrl-RS"/>
              </w:rPr>
              <w:t>ризична трудноћа</w:t>
            </w:r>
          </w:p>
        </w:tc>
        <w:tc>
          <w:tcPr>
            <w:tcW w:w="1531" w:type="dxa"/>
          </w:tcPr>
          <w:p w:rsidR="009D3498" w:rsidRPr="00C140E0" w:rsidRDefault="009D3498" w:rsidP="004E78D7">
            <w:pPr>
              <w:spacing w:after="0"/>
              <w:rPr>
                <w:sz w:val="20"/>
                <w:szCs w:val="20"/>
                <w:lang w:val="sr-Cyrl-RS"/>
              </w:rPr>
            </w:pPr>
            <w:r w:rsidRPr="00C140E0">
              <w:rPr>
                <w:sz w:val="20"/>
                <w:szCs w:val="20"/>
                <w:lang w:val="sr-Cyrl-RS"/>
              </w:rPr>
              <w:t>743</w:t>
            </w:r>
          </w:p>
        </w:tc>
      </w:tr>
      <w:tr w:rsidR="009D3498" w:rsidRPr="00C140E0" w:rsidTr="00632A81">
        <w:trPr>
          <w:trHeight w:val="246"/>
        </w:trPr>
        <w:tc>
          <w:tcPr>
            <w:tcW w:w="2767" w:type="dxa"/>
          </w:tcPr>
          <w:p w:rsidR="009D3498" w:rsidRPr="00C140E0" w:rsidRDefault="009D3498" w:rsidP="004E78D7">
            <w:pPr>
              <w:spacing w:after="0"/>
              <w:rPr>
                <w:sz w:val="20"/>
                <w:szCs w:val="20"/>
                <w:lang w:val="sr-Cyrl-RS"/>
              </w:rPr>
            </w:pPr>
            <w:r w:rsidRPr="00C140E0">
              <w:rPr>
                <w:sz w:val="20"/>
                <w:szCs w:val="20"/>
                <w:lang w:val="sr-Cyrl-RS"/>
              </w:rPr>
              <w:t>бабињара</w:t>
            </w:r>
          </w:p>
        </w:tc>
        <w:tc>
          <w:tcPr>
            <w:tcW w:w="1531" w:type="dxa"/>
          </w:tcPr>
          <w:p w:rsidR="009D3498" w:rsidRPr="00C140E0" w:rsidRDefault="009D3498" w:rsidP="004E78D7">
            <w:pPr>
              <w:spacing w:after="0"/>
              <w:rPr>
                <w:sz w:val="20"/>
                <w:szCs w:val="20"/>
                <w:lang w:val="sr-Cyrl-RS"/>
              </w:rPr>
            </w:pPr>
            <w:r w:rsidRPr="00C140E0">
              <w:rPr>
                <w:sz w:val="20"/>
                <w:szCs w:val="20"/>
                <w:lang w:val="sr-Cyrl-RS"/>
              </w:rPr>
              <w:t>4.880</w:t>
            </w:r>
          </w:p>
        </w:tc>
      </w:tr>
      <w:tr w:rsidR="009D3498" w:rsidRPr="00C140E0" w:rsidTr="00632A81">
        <w:trPr>
          <w:trHeight w:val="246"/>
        </w:trPr>
        <w:tc>
          <w:tcPr>
            <w:tcW w:w="2767" w:type="dxa"/>
          </w:tcPr>
          <w:p w:rsidR="009D3498" w:rsidRPr="00C140E0" w:rsidRDefault="009D3498" w:rsidP="004E78D7">
            <w:pPr>
              <w:spacing w:after="0"/>
              <w:rPr>
                <w:sz w:val="20"/>
                <w:szCs w:val="20"/>
                <w:lang w:val="sr-Cyrl-RS"/>
              </w:rPr>
            </w:pPr>
            <w:r w:rsidRPr="00C140E0">
              <w:rPr>
                <w:sz w:val="20"/>
                <w:szCs w:val="20"/>
                <w:lang w:val="sr-Cyrl-RS"/>
              </w:rPr>
              <w:t>генеративни период</w:t>
            </w:r>
          </w:p>
        </w:tc>
        <w:tc>
          <w:tcPr>
            <w:tcW w:w="1531" w:type="dxa"/>
          </w:tcPr>
          <w:p w:rsidR="009D3498" w:rsidRPr="00C140E0" w:rsidRDefault="009D3498" w:rsidP="004E78D7">
            <w:pPr>
              <w:spacing w:after="0"/>
              <w:rPr>
                <w:sz w:val="20"/>
                <w:szCs w:val="20"/>
                <w:lang w:val="sr-Cyrl-RS"/>
              </w:rPr>
            </w:pPr>
            <w:r w:rsidRPr="00C140E0">
              <w:rPr>
                <w:sz w:val="20"/>
                <w:szCs w:val="20"/>
                <w:lang w:val="sr-Cyrl-RS"/>
              </w:rPr>
              <w:t>32.910</w:t>
            </w:r>
          </w:p>
        </w:tc>
      </w:tr>
      <w:tr w:rsidR="009D3498" w:rsidRPr="00C140E0" w:rsidTr="00632A81">
        <w:trPr>
          <w:trHeight w:val="246"/>
        </w:trPr>
        <w:tc>
          <w:tcPr>
            <w:tcW w:w="2767" w:type="dxa"/>
          </w:tcPr>
          <w:p w:rsidR="009D3498" w:rsidRPr="00C140E0" w:rsidRDefault="009D3498" w:rsidP="004E78D7">
            <w:pPr>
              <w:spacing w:after="0"/>
              <w:rPr>
                <w:sz w:val="20"/>
                <w:szCs w:val="20"/>
                <w:lang w:val="sr-Cyrl-RS"/>
              </w:rPr>
            </w:pPr>
            <w:r w:rsidRPr="00C140E0">
              <w:rPr>
                <w:sz w:val="20"/>
                <w:szCs w:val="20"/>
                <w:lang w:val="sr-Cyrl-RS"/>
              </w:rPr>
              <w:t>пост генеративни период</w:t>
            </w:r>
          </w:p>
        </w:tc>
        <w:tc>
          <w:tcPr>
            <w:tcW w:w="1531" w:type="dxa"/>
          </w:tcPr>
          <w:p w:rsidR="009D3498" w:rsidRPr="00C140E0" w:rsidRDefault="009D3498" w:rsidP="004E78D7">
            <w:pPr>
              <w:spacing w:after="0"/>
              <w:rPr>
                <w:sz w:val="20"/>
                <w:szCs w:val="20"/>
                <w:lang w:val="sr-Cyrl-RS"/>
              </w:rPr>
            </w:pPr>
            <w:r w:rsidRPr="00C140E0">
              <w:rPr>
                <w:sz w:val="20"/>
                <w:szCs w:val="20"/>
                <w:lang w:val="sr-Cyrl-RS"/>
              </w:rPr>
              <w:t>14.430</w:t>
            </w:r>
          </w:p>
        </w:tc>
      </w:tr>
      <w:tr w:rsidR="009D3498" w:rsidRPr="00C140E0" w:rsidTr="00632A81">
        <w:trPr>
          <w:trHeight w:val="239"/>
        </w:trPr>
        <w:tc>
          <w:tcPr>
            <w:tcW w:w="4298" w:type="dxa"/>
            <w:gridSpan w:val="2"/>
          </w:tcPr>
          <w:p w:rsidR="009D3498" w:rsidRPr="00C140E0" w:rsidRDefault="009D3498" w:rsidP="004E78D7">
            <w:pPr>
              <w:spacing w:after="0"/>
              <w:rPr>
                <w:sz w:val="20"/>
                <w:szCs w:val="20"/>
                <w:lang w:val="sr-Cyrl-RS"/>
              </w:rPr>
            </w:pPr>
            <w:r w:rsidRPr="00C140E0">
              <w:rPr>
                <w:i/>
                <w:sz w:val="20"/>
                <w:szCs w:val="20"/>
                <w:lang w:val="sr-Cyrl-RS"/>
              </w:rPr>
              <w:t>Лекар</w:t>
            </w:r>
          </w:p>
        </w:tc>
      </w:tr>
      <w:tr w:rsidR="009D3498" w:rsidRPr="00C140E0" w:rsidTr="00632A81">
        <w:trPr>
          <w:trHeight w:val="246"/>
        </w:trPr>
        <w:tc>
          <w:tcPr>
            <w:tcW w:w="2767" w:type="dxa"/>
          </w:tcPr>
          <w:p w:rsidR="009D3498" w:rsidRPr="00C140E0" w:rsidRDefault="009D3498" w:rsidP="004E78D7">
            <w:pPr>
              <w:spacing w:after="0"/>
              <w:rPr>
                <w:sz w:val="20"/>
                <w:szCs w:val="20"/>
                <w:lang w:val="sr-Cyrl-RS"/>
              </w:rPr>
            </w:pPr>
            <w:r w:rsidRPr="00C140E0">
              <w:rPr>
                <w:sz w:val="20"/>
                <w:szCs w:val="20"/>
                <w:lang w:val="sr-Cyrl-RS"/>
              </w:rPr>
              <w:t xml:space="preserve">изабран </w:t>
            </w:r>
          </w:p>
        </w:tc>
        <w:tc>
          <w:tcPr>
            <w:tcW w:w="1531" w:type="dxa"/>
          </w:tcPr>
          <w:p w:rsidR="009D3498" w:rsidRPr="00C140E0" w:rsidRDefault="009D3498" w:rsidP="004E78D7">
            <w:pPr>
              <w:spacing w:after="0"/>
              <w:rPr>
                <w:sz w:val="20"/>
                <w:szCs w:val="20"/>
                <w:lang w:val="sr-Cyrl-RS"/>
              </w:rPr>
            </w:pPr>
            <w:r w:rsidRPr="00C140E0">
              <w:rPr>
                <w:sz w:val="20"/>
                <w:szCs w:val="20"/>
                <w:lang w:val="sr-Cyrl-RS"/>
              </w:rPr>
              <w:t>39.555</w:t>
            </w:r>
          </w:p>
        </w:tc>
      </w:tr>
      <w:tr w:rsidR="009D3498" w:rsidRPr="00C140E0" w:rsidTr="00632A81">
        <w:trPr>
          <w:trHeight w:val="246"/>
        </w:trPr>
        <w:tc>
          <w:tcPr>
            <w:tcW w:w="2767" w:type="dxa"/>
          </w:tcPr>
          <w:p w:rsidR="009D3498" w:rsidRPr="00C140E0" w:rsidRDefault="009D3498" w:rsidP="004E78D7">
            <w:pPr>
              <w:spacing w:after="0"/>
              <w:rPr>
                <w:sz w:val="20"/>
                <w:szCs w:val="20"/>
                <w:lang w:val="sr-Cyrl-RS"/>
              </w:rPr>
            </w:pPr>
            <w:r w:rsidRPr="00C140E0">
              <w:rPr>
                <w:sz w:val="20"/>
                <w:szCs w:val="20"/>
                <w:lang w:val="sr-Cyrl-RS"/>
              </w:rPr>
              <w:t xml:space="preserve">нема изабраног лекара </w:t>
            </w:r>
          </w:p>
        </w:tc>
        <w:tc>
          <w:tcPr>
            <w:tcW w:w="1531" w:type="dxa"/>
          </w:tcPr>
          <w:p w:rsidR="009D3498" w:rsidRPr="00C140E0" w:rsidRDefault="009D3498" w:rsidP="004E78D7">
            <w:pPr>
              <w:spacing w:after="0"/>
              <w:rPr>
                <w:sz w:val="20"/>
                <w:szCs w:val="20"/>
                <w:lang w:val="sr-Cyrl-RS"/>
              </w:rPr>
            </w:pPr>
            <w:r w:rsidRPr="00C140E0">
              <w:rPr>
                <w:sz w:val="20"/>
                <w:szCs w:val="20"/>
                <w:lang w:val="sr-Cyrl-RS"/>
              </w:rPr>
              <w:t>16.340</w:t>
            </w:r>
          </w:p>
        </w:tc>
      </w:tr>
      <w:tr w:rsidR="009D3498" w:rsidRPr="00C140E0" w:rsidTr="00632A81">
        <w:trPr>
          <w:trHeight w:val="246"/>
        </w:trPr>
        <w:tc>
          <w:tcPr>
            <w:tcW w:w="4298" w:type="dxa"/>
            <w:gridSpan w:val="2"/>
          </w:tcPr>
          <w:p w:rsidR="009D3498" w:rsidRPr="00C140E0" w:rsidRDefault="009D3498" w:rsidP="004E78D7">
            <w:pPr>
              <w:spacing w:after="0"/>
              <w:rPr>
                <w:i/>
                <w:sz w:val="20"/>
                <w:szCs w:val="20"/>
                <w:lang w:val="sr-Cyrl-RS"/>
              </w:rPr>
            </w:pPr>
            <w:r w:rsidRPr="00C140E0">
              <w:rPr>
                <w:i/>
                <w:sz w:val="20"/>
                <w:szCs w:val="20"/>
                <w:lang w:val="sr-Cyrl-RS"/>
              </w:rPr>
              <w:t>Контрола гинеколога</w:t>
            </w:r>
          </w:p>
        </w:tc>
      </w:tr>
      <w:tr w:rsidR="009D3498" w:rsidRPr="00C140E0" w:rsidTr="00632A81">
        <w:trPr>
          <w:trHeight w:val="246"/>
        </w:trPr>
        <w:tc>
          <w:tcPr>
            <w:tcW w:w="2767" w:type="dxa"/>
          </w:tcPr>
          <w:p w:rsidR="009D3498" w:rsidRPr="00C140E0" w:rsidRDefault="009D3498" w:rsidP="004E78D7">
            <w:pPr>
              <w:spacing w:after="0"/>
              <w:rPr>
                <w:sz w:val="20"/>
                <w:szCs w:val="20"/>
                <w:lang w:val="sr-Cyrl-RS"/>
              </w:rPr>
            </w:pPr>
            <w:r w:rsidRPr="00C140E0">
              <w:rPr>
                <w:sz w:val="20"/>
                <w:szCs w:val="20"/>
                <w:lang w:val="sr-Cyrl-RS"/>
              </w:rPr>
              <w:t xml:space="preserve">систематски преглед </w:t>
            </w:r>
          </w:p>
        </w:tc>
        <w:tc>
          <w:tcPr>
            <w:tcW w:w="1531" w:type="dxa"/>
          </w:tcPr>
          <w:p w:rsidR="009D3498" w:rsidRPr="00C140E0" w:rsidRDefault="009D3498" w:rsidP="004E78D7">
            <w:pPr>
              <w:spacing w:after="0"/>
              <w:rPr>
                <w:sz w:val="20"/>
                <w:szCs w:val="20"/>
                <w:lang w:val="sr-Cyrl-RS"/>
              </w:rPr>
            </w:pPr>
            <w:r w:rsidRPr="00C140E0">
              <w:rPr>
                <w:sz w:val="20"/>
                <w:szCs w:val="20"/>
                <w:lang w:val="sr-Cyrl-RS"/>
              </w:rPr>
              <w:t>19.867</w:t>
            </w:r>
          </w:p>
        </w:tc>
      </w:tr>
      <w:tr w:rsidR="009D3498" w:rsidRPr="00C140E0" w:rsidTr="00632A81">
        <w:trPr>
          <w:trHeight w:val="246"/>
        </w:trPr>
        <w:tc>
          <w:tcPr>
            <w:tcW w:w="2767" w:type="dxa"/>
          </w:tcPr>
          <w:p w:rsidR="009D3498" w:rsidRPr="00C140E0" w:rsidRDefault="009D3498" w:rsidP="004E78D7">
            <w:pPr>
              <w:spacing w:after="0"/>
              <w:rPr>
                <w:sz w:val="20"/>
                <w:szCs w:val="20"/>
                <w:lang w:val="sr-Cyrl-RS"/>
              </w:rPr>
            </w:pPr>
            <w:r w:rsidRPr="00C140E0">
              <w:rPr>
                <w:sz w:val="20"/>
                <w:szCs w:val="20"/>
                <w:lang w:val="sr-Cyrl-RS"/>
              </w:rPr>
              <w:t xml:space="preserve">контролни преглед </w:t>
            </w:r>
          </w:p>
        </w:tc>
        <w:tc>
          <w:tcPr>
            <w:tcW w:w="1531" w:type="dxa"/>
          </w:tcPr>
          <w:p w:rsidR="009D3498" w:rsidRPr="00C140E0" w:rsidRDefault="009D3498" w:rsidP="004E78D7">
            <w:pPr>
              <w:spacing w:after="0"/>
              <w:rPr>
                <w:sz w:val="20"/>
                <w:szCs w:val="20"/>
                <w:lang w:val="sr-Cyrl-RS"/>
              </w:rPr>
            </w:pPr>
            <w:r w:rsidRPr="00C140E0">
              <w:rPr>
                <w:sz w:val="20"/>
                <w:szCs w:val="20"/>
                <w:lang w:val="sr-Cyrl-RS"/>
              </w:rPr>
              <w:t>5.250</w:t>
            </w:r>
          </w:p>
        </w:tc>
      </w:tr>
      <w:tr w:rsidR="009D3498" w:rsidRPr="00C140E0" w:rsidTr="00632A81">
        <w:trPr>
          <w:trHeight w:val="239"/>
        </w:trPr>
        <w:tc>
          <w:tcPr>
            <w:tcW w:w="2767" w:type="dxa"/>
          </w:tcPr>
          <w:p w:rsidR="009D3498" w:rsidRPr="00C140E0" w:rsidRDefault="009D3498" w:rsidP="004E78D7">
            <w:pPr>
              <w:spacing w:after="0"/>
              <w:rPr>
                <w:sz w:val="20"/>
                <w:szCs w:val="20"/>
                <w:lang w:val="sr-Cyrl-RS"/>
              </w:rPr>
            </w:pPr>
            <w:r w:rsidRPr="00C140E0">
              <w:rPr>
                <w:sz w:val="20"/>
                <w:szCs w:val="20"/>
                <w:lang w:val="sr-Cyrl-RS"/>
              </w:rPr>
              <w:t xml:space="preserve">мамографија </w:t>
            </w:r>
          </w:p>
        </w:tc>
        <w:tc>
          <w:tcPr>
            <w:tcW w:w="1531" w:type="dxa"/>
          </w:tcPr>
          <w:p w:rsidR="009D3498" w:rsidRPr="00C140E0" w:rsidRDefault="009D3498" w:rsidP="004E78D7">
            <w:pPr>
              <w:spacing w:after="0"/>
              <w:rPr>
                <w:sz w:val="20"/>
                <w:szCs w:val="20"/>
                <w:lang w:val="sr-Cyrl-RS"/>
              </w:rPr>
            </w:pPr>
            <w:r w:rsidRPr="00C140E0">
              <w:rPr>
                <w:sz w:val="20"/>
                <w:szCs w:val="20"/>
                <w:lang w:val="sr-Cyrl-RS"/>
              </w:rPr>
              <w:t>1</w:t>
            </w:r>
            <w:r w:rsidR="00747E7C">
              <w:rPr>
                <w:sz w:val="20"/>
                <w:szCs w:val="20"/>
                <w:lang w:val="sr-Cyrl-RS"/>
              </w:rPr>
              <w:t>.</w:t>
            </w:r>
            <w:r w:rsidRPr="00C140E0">
              <w:rPr>
                <w:sz w:val="20"/>
                <w:szCs w:val="20"/>
                <w:lang w:val="sr-Cyrl-RS"/>
              </w:rPr>
              <w:t>255</w:t>
            </w:r>
          </w:p>
        </w:tc>
      </w:tr>
      <w:tr w:rsidR="009D3498" w:rsidRPr="00C140E0" w:rsidTr="00632A81">
        <w:trPr>
          <w:trHeight w:val="246"/>
        </w:trPr>
        <w:tc>
          <w:tcPr>
            <w:tcW w:w="4298" w:type="dxa"/>
            <w:gridSpan w:val="2"/>
          </w:tcPr>
          <w:p w:rsidR="009D3498" w:rsidRPr="00C140E0" w:rsidRDefault="009D3498" w:rsidP="004E78D7">
            <w:pPr>
              <w:spacing w:after="0"/>
              <w:rPr>
                <w:sz w:val="20"/>
                <w:szCs w:val="20"/>
                <w:lang w:val="sr-Cyrl-RS"/>
              </w:rPr>
            </w:pPr>
            <w:r w:rsidRPr="00C140E0">
              <w:rPr>
                <w:i/>
                <w:sz w:val="20"/>
                <w:szCs w:val="20"/>
                <w:lang w:val="sr-Cyrl-RS"/>
              </w:rPr>
              <w:t>Контрола гинеколога за труднице</w:t>
            </w:r>
          </w:p>
        </w:tc>
      </w:tr>
      <w:tr w:rsidR="009D3498" w:rsidRPr="00C140E0" w:rsidTr="00632A81">
        <w:trPr>
          <w:trHeight w:val="246"/>
        </w:trPr>
        <w:tc>
          <w:tcPr>
            <w:tcW w:w="2767" w:type="dxa"/>
          </w:tcPr>
          <w:p w:rsidR="009D3498" w:rsidRPr="00C140E0" w:rsidRDefault="009D3498" w:rsidP="004E78D7">
            <w:pPr>
              <w:spacing w:after="0"/>
              <w:rPr>
                <w:sz w:val="20"/>
                <w:szCs w:val="20"/>
                <w:lang w:val="sr-Cyrl-RS"/>
              </w:rPr>
            </w:pPr>
            <w:r w:rsidRPr="00C140E0">
              <w:rPr>
                <w:sz w:val="20"/>
                <w:szCs w:val="20"/>
                <w:lang w:val="sr-Cyrl-RS"/>
              </w:rPr>
              <w:t xml:space="preserve">урађен преглед </w:t>
            </w:r>
          </w:p>
        </w:tc>
        <w:tc>
          <w:tcPr>
            <w:tcW w:w="1531" w:type="dxa"/>
          </w:tcPr>
          <w:p w:rsidR="009D3498" w:rsidRPr="00C140E0" w:rsidRDefault="009D3498" w:rsidP="004E78D7">
            <w:pPr>
              <w:spacing w:after="0"/>
              <w:rPr>
                <w:sz w:val="20"/>
                <w:szCs w:val="20"/>
                <w:lang w:val="sr-Cyrl-RS"/>
              </w:rPr>
            </w:pPr>
            <w:r w:rsidRPr="00C140E0">
              <w:rPr>
                <w:sz w:val="20"/>
                <w:szCs w:val="20"/>
                <w:lang w:val="sr-Cyrl-RS"/>
              </w:rPr>
              <w:t>5.408</w:t>
            </w:r>
          </w:p>
        </w:tc>
      </w:tr>
      <w:tr w:rsidR="009D3498" w:rsidRPr="00C140E0" w:rsidTr="00632A81">
        <w:trPr>
          <w:trHeight w:val="246"/>
        </w:trPr>
        <w:tc>
          <w:tcPr>
            <w:tcW w:w="2767" w:type="dxa"/>
          </w:tcPr>
          <w:p w:rsidR="009D3498" w:rsidRPr="00C140E0" w:rsidRDefault="009D3498" w:rsidP="004E78D7">
            <w:pPr>
              <w:spacing w:after="0"/>
              <w:rPr>
                <w:sz w:val="20"/>
                <w:szCs w:val="20"/>
                <w:lang w:val="sr-Cyrl-RS"/>
              </w:rPr>
            </w:pPr>
            <w:r w:rsidRPr="00C140E0">
              <w:rPr>
                <w:sz w:val="20"/>
                <w:szCs w:val="20"/>
                <w:lang w:val="sr-Cyrl-RS"/>
              </w:rPr>
              <w:t xml:space="preserve">не јавља се лекару </w:t>
            </w:r>
          </w:p>
        </w:tc>
        <w:tc>
          <w:tcPr>
            <w:tcW w:w="1531" w:type="dxa"/>
          </w:tcPr>
          <w:p w:rsidR="009D3498" w:rsidRPr="00C140E0" w:rsidRDefault="009D3498" w:rsidP="004E78D7">
            <w:pPr>
              <w:spacing w:after="0"/>
              <w:rPr>
                <w:sz w:val="20"/>
                <w:szCs w:val="20"/>
                <w:lang w:val="sr-Cyrl-RS"/>
              </w:rPr>
            </w:pPr>
            <w:r w:rsidRPr="00C140E0">
              <w:rPr>
                <w:sz w:val="20"/>
                <w:szCs w:val="20"/>
                <w:lang w:val="sr-Cyrl-RS"/>
              </w:rPr>
              <w:t>4.348</w:t>
            </w:r>
          </w:p>
        </w:tc>
      </w:tr>
      <w:tr w:rsidR="009D3498" w:rsidRPr="00C140E0" w:rsidTr="00632A81">
        <w:trPr>
          <w:trHeight w:val="246"/>
        </w:trPr>
        <w:tc>
          <w:tcPr>
            <w:tcW w:w="2767" w:type="dxa"/>
          </w:tcPr>
          <w:p w:rsidR="009D3498" w:rsidRPr="00C140E0" w:rsidRDefault="009D3498" w:rsidP="004E78D7">
            <w:pPr>
              <w:spacing w:after="0"/>
              <w:rPr>
                <w:b/>
                <w:sz w:val="20"/>
                <w:szCs w:val="20"/>
                <w:lang w:val="sr-Cyrl-RS"/>
              </w:rPr>
            </w:pPr>
            <w:r w:rsidRPr="00C140E0">
              <w:rPr>
                <w:b/>
                <w:sz w:val="20"/>
                <w:szCs w:val="20"/>
                <w:lang w:val="sr-Cyrl-RS"/>
              </w:rPr>
              <w:t>Деца</w:t>
            </w:r>
          </w:p>
        </w:tc>
        <w:tc>
          <w:tcPr>
            <w:tcW w:w="1531" w:type="dxa"/>
          </w:tcPr>
          <w:p w:rsidR="009D3498" w:rsidRPr="00C140E0" w:rsidRDefault="009D3498" w:rsidP="004E78D7">
            <w:pPr>
              <w:spacing w:after="0"/>
              <w:rPr>
                <w:b/>
                <w:sz w:val="20"/>
                <w:szCs w:val="20"/>
                <w:lang w:val="sr-Cyrl-RS"/>
              </w:rPr>
            </w:pPr>
            <w:r w:rsidRPr="00C140E0">
              <w:rPr>
                <w:b/>
                <w:sz w:val="20"/>
                <w:szCs w:val="20"/>
                <w:lang w:val="sr-Cyrl-RS"/>
              </w:rPr>
              <w:t>55.728</w:t>
            </w:r>
          </w:p>
        </w:tc>
      </w:tr>
      <w:tr w:rsidR="009D3498" w:rsidRPr="00C140E0" w:rsidTr="00632A81">
        <w:trPr>
          <w:trHeight w:val="246"/>
        </w:trPr>
        <w:tc>
          <w:tcPr>
            <w:tcW w:w="2767" w:type="dxa"/>
          </w:tcPr>
          <w:p w:rsidR="009D3498" w:rsidRPr="00C140E0" w:rsidRDefault="009D3498" w:rsidP="004E78D7">
            <w:pPr>
              <w:spacing w:after="0"/>
              <w:rPr>
                <w:sz w:val="20"/>
                <w:szCs w:val="20"/>
                <w:lang w:val="sr-Cyrl-RS"/>
              </w:rPr>
            </w:pPr>
            <w:r w:rsidRPr="00C140E0">
              <w:rPr>
                <w:sz w:val="20"/>
                <w:szCs w:val="20"/>
                <w:lang w:val="sr-Cyrl-RS"/>
              </w:rPr>
              <w:t>Одојчад</w:t>
            </w:r>
          </w:p>
        </w:tc>
        <w:tc>
          <w:tcPr>
            <w:tcW w:w="1531" w:type="dxa"/>
          </w:tcPr>
          <w:p w:rsidR="009D3498" w:rsidRPr="00C140E0" w:rsidRDefault="009D3498" w:rsidP="004E78D7">
            <w:pPr>
              <w:spacing w:after="0"/>
              <w:rPr>
                <w:sz w:val="20"/>
                <w:szCs w:val="20"/>
                <w:lang w:val="sr-Cyrl-RS"/>
              </w:rPr>
            </w:pPr>
            <w:r w:rsidRPr="00C140E0">
              <w:rPr>
                <w:sz w:val="20"/>
                <w:szCs w:val="20"/>
                <w:lang w:val="sr-Cyrl-RS"/>
              </w:rPr>
              <w:t>10.433</w:t>
            </w:r>
          </w:p>
        </w:tc>
      </w:tr>
      <w:tr w:rsidR="009D3498" w:rsidRPr="00C140E0" w:rsidTr="00632A81">
        <w:trPr>
          <w:trHeight w:val="239"/>
        </w:trPr>
        <w:tc>
          <w:tcPr>
            <w:tcW w:w="2767" w:type="dxa"/>
          </w:tcPr>
          <w:p w:rsidR="009D3498" w:rsidRPr="00C140E0" w:rsidRDefault="009D3498" w:rsidP="004E78D7">
            <w:pPr>
              <w:spacing w:after="0"/>
              <w:rPr>
                <w:i/>
                <w:sz w:val="20"/>
                <w:szCs w:val="20"/>
                <w:lang w:val="sr-Cyrl-RS"/>
              </w:rPr>
            </w:pPr>
            <w:r w:rsidRPr="00C140E0">
              <w:rPr>
                <w:i/>
                <w:sz w:val="20"/>
                <w:szCs w:val="20"/>
                <w:lang w:val="sr-Cyrl-RS"/>
              </w:rPr>
              <w:t>Лекар</w:t>
            </w:r>
          </w:p>
        </w:tc>
        <w:tc>
          <w:tcPr>
            <w:tcW w:w="1531" w:type="dxa"/>
          </w:tcPr>
          <w:p w:rsidR="009D3498" w:rsidRPr="00C140E0" w:rsidRDefault="009D3498" w:rsidP="004E78D7">
            <w:pPr>
              <w:spacing w:after="0"/>
              <w:rPr>
                <w:sz w:val="20"/>
                <w:szCs w:val="20"/>
                <w:lang w:val="sr-Cyrl-RS"/>
              </w:rPr>
            </w:pPr>
          </w:p>
        </w:tc>
      </w:tr>
      <w:tr w:rsidR="009D3498" w:rsidRPr="00C140E0" w:rsidTr="00632A81">
        <w:trPr>
          <w:trHeight w:val="246"/>
        </w:trPr>
        <w:tc>
          <w:tcPr>
            <w:tcW w:w="2767" w:type="dxa"/>
          </w:tcPr>
          <w:p w:rsidR="009D3498" w:rsidRPr="00C140E0" w:rsidRDefault="009D3498" w:rsidP="004E78D7">
            <w:pPr>
              <w:spacing w:after="0"/>
              <w:rPr>
                <w:sz w:val="20"/>
                <w:szCs w:val="20"/>
                <w:lang w:val="sr-Cyrl-RS"/>
              </w:rPr>
            </w:pPr>
            <w:r w:rsidRPr="00C140E0">
              <w:rPr>
                <w:sz w:val="20"/>
                <w:szCs w:val="20"/>
                <w:lang w:val="sr-Cyrl-RS"/>
              </w:rPr>
              <w:t xml:space="preserve">изабран </w:t>
            </w:r>
          </w:p>
        </w:tc>
        <w:tc>
          <w:tcPr>
            <w:tcW w:w="1531" w:type="dxa"/>
          </w:tcPr>
          <w:p w:rsidR="009D3498" w:rsidRPr="00C140E0" w:rsidRDefault="009D3498" w:rsidP="004E78D7">
            <w:pPr>
              <w:spacing w:after="0"/>
              <w:rPr>
                <w:sz w:val="20"/>
                <w:szCs w:val="20"/>
                <w:lang w:val="sr-Cyrl-RS"/>
              </w:rPr>
            </w:pPr>
            <w:r w:rsidRPr="00C140E0">
              <w:rPr>
                <w:sz w:val="20"/>
                <w:szCs w:val="20"/>
                <w:lang w:val="sr-Cyrl-RS"/>
              </w:rPr>
              <w:t>5.452</w:t>
            </w:r>
          </w:p>
        </w:tc>
      </w:tr>
      <w:tr w:rsidR="009D3498" w:rsidRPr="00C140E0" w:rsidTr="00632A81">
        <w:trPr>
          <w:trHeight w:val="246"/>
        </w:trPr>
        <w:tc>
          <w:tcPr>
            <w:tcW w:w="2767" w:type="dxa"/>
          </w:tcPr>
          <w:p w:rsidR="009D3498" w:rsidRPr="00C140E0" w:rsidRDefault="009D3498" w:rsidP="004E78D7">
            <w:pPr>
              <w:spacing w:after="0"/>
              <w:rPr>
                <w:sz w:val="20"/>
                <w:szCs w:val="20"/>
                <w:lang w:val="sr-Cyrl-RS"/>
              </w:rPr>
            </w:pPr>
            <w:r w:rsidRPr="00C140E0">
              <w:rPr>
                <w:sz w:val="20"/>
                <w:szCs w:val="20"/>
                <w:lang w:val="sr-Cyrl-RS"/>
              </w:rPr>
              <w:t xml:space="preserve">није изабран </w:t>
            </w:r>
          </w:p>
        </w:tc>
        <w:tc>
          <w:tcPr>
            <w:tcW w:w="1531" w:type="dxa"/>
          </w:tcPr>
          <w:p w:rsidR="009D3498" w:rsidRPr="00C140E0" w:rsidRDefault="009D3498" w:rsidP="004E78D7">
            <w:pPr>
              <w:spacing w:after="0"/>
              <w:rPr>
                <w:sz w:val="20"/>
                <w:szCs w:val="20"/>
                <w:lang w:val="sr-Cyrl-RS"/>
              </w:rPr>
            </w:pPr>
            <w:r w:rsidRPr="00C140E0">
              <w:rPr>
                <w:sz w:val="20"/>
                <w:szCs w:val="20"/>
                <w:lang w:val="sr-Cyrl-RS"/>
              </w:rPr>
              <w:t>5.590</w:t>
            </w:r>
          </w:p>
        </w:tc>
      </w:tr>
      <w:tr w:rsidR="009D3498" w:rsidRPr="00C140E0" w:rsidTr="00632A81">
        <w:trPr>
          <w:trHeight w:val="246"/>
        </w:trPr>
        <w:tc>
          <w:tcPr>
            <w:tcW w:w="4298" w:type="dxa"/>
            <w:gridSpan w:val="2"/>
          </w:tcPr>
          <w:p w:rsidR="009D3498" w:rsidRPr="00C140E0" w:rsidRDefault="009D3498" w:rsidP="004E78D7">
            <w:pPr>
              <w:spacing w:after="0"/>
              <w:rPr>
                <w:i/>
                <w:sz w:val="20"/>
                <w:szCs w:val="20"/>
                <w:lang w:val="sr-Cyrl-RS"/>
              </w:rPr>
            </w:pPr>
            <w:r w:rsidRPr="00C140E0">
              <w:rPr>
                <w:i/>
                <w:sz w:val="20"/>
                <w:szCs w:val="20"/>
                <w:lang w:val="sr-Cyrl-RS"/>
              </w:rPr>
              <w:t>Вакцинација</w:t>
            </w:r>
          </w:p>
        </w:tc>
      </w:tr>
      <w:tr w:rsidR="009D3498" w:rsidRPr="00C140E0" w:rsidTr="00632A81">
        <w:trPr>
          <w:trHeight w:val="246"/>
        </w:trPr>
        <w:tc>
          <w:tcPr>
            <w:tcW w:w="2767" w:type="dxa"/>
          </w:tcPr>
          <w:p w:rsidR="009D3498" w:rsidRPr="00C140E0" w:rsidRDefault="009D3498" w:rsidP="004E78D7">
            <w:pPr>
              <w:spacing w:after="0"/>
              <w:rPr>
                <w:sz w:val="20"/>
                <w:szCs w:val="20"/>
                <w:lang w:val="sr-Cyrl-RS"/>
              </w:rPr>
            </w:pPr>
            <w:r w:rsidRPr="00C140E0">
              <w:rPr>
                <w:sz w:val="20"/>
                <w:szCs w:val="20"/>
                <w:lang w:val="sr-Cyrl-RS"/>
              </w:rPr>
              <w:t xml:space="preserve">комплетно </w:t>
            </w:r>
          </w:p>
        </w:tc>
        <w:tc>
          <w:tcPr>
            <w:tcW w:w="1531" w:type="dxa"/>
          </w:tcPr>
          <w:p w:rsidR="009D3498" w:rsidRPr="00C140E0" w:rsidRDefault="009D3498" w:rsidP="004E78D7">
            <w:pPr>
              <w:spacing w:after="0"/>
              <w:rPr>
                <w:sz w:val="20"/>
                <w:szCs w:val="20"/>
                <w:lang w:val="sr-Cyrl-RS"/>
              </w:rPr>
            </w:pPr>
            <w:r w:rsidRPr="00C140E0">
              <w:rPr>
                <w:sz w:val="20"/>
                <w:szCs w:val="20"/>
                <w:lang w:val="sr-Cyrl-RS"/>
              </w:rPr>
              <w:t>5.951</w:t>
            </w:r>
          </w:p>
        </w:tc>
      </w:tr>
      <w:tr w:rsidR="009D3498" w:rsidRPr="00C140E0" w:rsidTr="00632A81">
        <w:trPr>
          <w:trHeight w:val="246"/>
        </w:trPr>
        <w:tc>
          <w:tcPr>
            <w:tcW w:w="2767" w:type="dxa"/>
          </w:tcPr>
          <w:p w:rsidR="009D3498" w:rsidRPr="00C140E0" w:rsidRDefault="009D3498" w:rsidP="004E78D7">
            <w:pPr>
              <w:spacing w:after="0"/>
              <w:rPr>
                <w:sz w:val="20"/>
                <w:szCs w:val="20"/>
                <w:lang w:val="sr-Cyrl-RS"/>
              </w:rPr>
            </w:pPr>
            <w:r w:rsidRPr="00C140E0">
              <w:rPr>
                <w:sz w:val="20"/>
                <w:szCs w:val="20"/>
                <w:lang w:val="sr-Cyrl-RS"/>
              </w:rPr>
              <w:t xml:space="preserve">некомплетно </w:t>
            </w:r>
          </w:p>
        </w:tc>
        <w:tc>
          <w:tcPr>
            <w:tcW w:w="1531" w:type="dxa"/>
          </w:tcPr>
          <w:p w:rsidR="009D3498" w:rsidRPr="00C140E0" w:rsidRDefault="009D3498" w:rsidP="004E78D7">
            <w:pPr>
              <w:spacing w:after="0"/>
              <w:rPr>
                <w:sz w:val="20"/>
                <w:szCs w:val="20"/>
                <w:lang w:val="sr-Cyrl-RS"/>
              </w:rPr>
            </w:pPr>
            <w:r w:rsidRPr="00C140E0">
              <w:rPr>
                <w:sz w:val="20"/>
                <w:szCs w:val="20"/>
                <w:lang w:val="sr-Cyrl-RS"/>
              </w:rPr>
              <w:t>7.262</w:t>
            </w:r>
          </w:p>
        </w:tc>
      </w:tr>
      <w:tr w:rsidR="009D3498" w:rsidRPr="00C140E0" w:rsidTr="00632A81">
        <w:trPr>
          <w:trHeight w:val="246"/>
        </w:trPr>
        <w:tc>
          <w:tcPr>
            <w:tcW w:w="2767" w:type="dxa"/>
          </w:tcPr>
          <w:p w:rsidR="009D3498" w:rsidRPr="00C140E0" w:rsidRDefault="009D3498" w:rsidP="004E78D7">
            <w:pPr>
              <w:spacing w:after="0"/>
              <w:rPr>
                <w:sz w:val="20"/>
                <w:szCs w:val="20"/>
                <w:lang w:val="sr-Cyrl-RS"/>
              </w:rPr>
            </w:pPr>
            <w:r w:rsidRPr="00C140E0">
              <w:rPr>
                <w:sz w:val="20"/>
                <w:szCs w:val="20"/>
                <w:lang w:val="sr-Cyrl-RS"/>
              </w:rPr>
              <w:t xml:space="preserve">без вакцина </w:t>
            </w:r>
          </w:p>
        </w:tc>
        <w:tc>
          <w:tcPr>
            <w:tcW w:w="1531" w:type="dxa"/>
          </w:tcPr>
          <w:p w:rsidR="009D3498" w:rsidRPr="00C140E0" w:rsidRDefault="009D3498" w:rsidP="004E78D7">
            <w:pPr>
              <w:spacing w:after="0"/>
              <w:rPr>
                <w:sz w:val="20"/>
                <w:szCs w:val="20"/>
                <w:lang w:val="sr-Cyrl-RS"/>
              </w:rPr>
            </w:pPr>
            <w:r w:rsidRPr="00C140E0">
              <w:rPr>
                <w:sz w:val="20"/>
                <w:szCs w:val="20"/>
                <w:lang w:val="sr-Cyrl-RS"/>
              </w:rPr>
              <w:t>1.013</w:t>
            </w:r>
          </w:p>
        </w:tc>
      </w:tr>
      <w:tr w:rsidR="009D3498" w:rsidRPr="00C140E0" w:rsidTr="00632A81">
        <w:trPr>
          <w:trHeight w:val="246"/>
        </w:trPr>
        <w:tc>
          <w:tcPr>
            <w:tcW w:w="2767" w:type="dxa"/>
          </w:tcPr>
          <w:p w:rsidR="009D3498" w:rsidRPr="00C140E0" w:rsidRDefault="009D3498" w:rsidP="004E78D7">
            <w:pPr>
              <w:spacing w:after="0"/>
              <w:rPr>
                <w:sz w:val="20"/>
                <w:szCs w:val="20"/>
                <w:lang w:val="sr-Cyrl-RS"/>
              </w:rPr>
            </w:pPr>
            <w:r w:rsidRPr="00C140E0">
              <w:rPr>
                <w:sz w:val="20"/>
                <w:szCs w:val="20"/>
                <w:lang w:val="sr-Cyrl-RS"/>
              </w:rPr>
              <w:t xml:space="preserve">1-5 година </w:t>
            </w:r>
          </w:p>
        </w:tc>
        <w:tc>
          <w:tcPr>
            <w:tcW w:w="1531" w:type="dxa"/>
          </w:tcPr>
          <w:p w:rsidR="009D3498" w:rsidRPr="00C140E0" w:rsidRDefault="009D3498" w:rsidP="004E78D7">
            <w:pPr>
              <w:spacing w:after="0"/>
              <w:rPr>
                <w:sz w:val="20"/>
                <w:szCs w:val="20"/>
                <w:lang w:val="sr-Cyrl-RS"/>
              </w:rPr>
            </w:pPr>
            <w:r w:rsidRPr="00C140E0">
              <w:rPr>
                <w:sz w:val="20"/>
                <w:szCs w:val="20"/>
                <w:lang w:val="sr-Cyrl-RS"/>
              </w:rPr>
              <w:t>17.076</w:t>
            </w:r>
          </w:p>
        </w:tc>
      </w:tr>
      <w:tr w:rsidR="009D3498" w:rsidRPr="00C140E0" w:rsidTr="00632A81">
        <w:trPr>
          <w:trHeight w:val="246"/>
        </w:trPr>
        <w:tc>
          <w:tcPr>
            <w:tcW w:w="2767" w:type="dxa"/>
          </w:tcPr>
          <w:p w:rsidR="009D3498" w:rsidRPr="00C140E0" w:rsidRDefault="009D3498" w:rsidP="004E78D7">
            <w:pPr>
              <w:spacing w:after="0"/>
              <w:rPr>
                <w:sz w:val="20"/>
                <w:szCs w:val="20"/>
                <w:lang w:val="sr-Cyrl-RS"/>
              </w:rPr>
            </w:pPr>
            <w:r w:rsidRPr="00C140E0">
              <w:rPr>
                <w:sz w:val="20"/>
                <w:szCs w:val="20"/>
                <w:lang w:val="sr-Cyrl-RS"/>
              </w:rPr>
              <w:lastRenderedPageBreak/>
              <w:t xml:space="preserve">6-9 година </w:t>
            </w:r>
          </w:p>
        </w:tc>
        <w:tc>
          <w:tcPr>
            <w:tcW w:w="1531" w:type="dxa"/>
          </w:tcPr>
          <w:p w:rsidR="009D3498" w:rsidRPr="00C140E0" w:rsidRDefault="009D3498" w:rsidP="004E78D7">
            <w:pPr>
              <w:spacing w:after="0"/>
              <w:rPr>
                <w:sz w:val="20"/>
                <w:szCs w:val="20"/>
                <w:lang w:val="sr-Cyrl-RS"/>
              </w:rPr>
            </w:pPr>
            <w:r w:rsidRPr="00C140E0">
              <w:rPr>
                <w:sz w:val="20"/>
                <w:szCs w:val="20"/>
                <w:lang w:val="sr-Cyrl-RS"/>
              </w:rPr>
              <w:t>12.792</w:t>
            </w:r>
          </w:p>
        </w:tc>
      </w:tr>
      <w:tr w:rsidR="009D3498" w:rsidRPr="00C140E0" w:rsidTr="00632A81">
        <w:trPr>
          <w:trHeight w:val="239"/>
        </w:trPr>
        <w:tc>
          <w:tcPr>
            <w:tcW w:w="2767" w:type="dxa"/>
          </w:tcPr>
          <w:p w:rsidR="009D3498" w:rsidRPr="00C140E0" w:rsidRDefault="009D3498" w:rsidP="004E78D7">
            <w:pPr>
              <w:spacing w:after="0"/>
              <w:rPr>
                <w:sz w:val="20"/>
                <w:szCs w:val="20"/>
                <w:lang w:val="sr-Cyrl-RS"/>
              </w:rPr>
            </w:pPr>
            <w:r w:rsidRPr="00C140E0">
              <w:rPr>
                <w:sz w:val="20"/>
                <w:szCs w:val="20"/>
                <w:lang w:val="sr-Cyrl-RS"/>
              </w:rPr>
              <w:t xml:space="preserve">10-18 година </w:t>
            </w:r>
          </w:p>
        </w:tc>
        <w:tc>
          <w:tcPr>
            <w:tcW w:w="1531" w:type="dxa"/>
          </w:tcPr>
          <w:p w:rsidR="009D3498" w:rsidRPr="00C140E0" w:rsidRDefault="009D3498" w:rsidP="004E78D7">
            <w:pPr>
              <w:spacing w:after="0"/>
              <w:rPr>
                <w:sz w:val="20"/>
                <w:szCs w:val="20"/>
                <w:lang w:val="sr-Cyrl-RS"/>
              </w:rPr>
            </w:pPr>
            <w:r w:rsidRPr="00C140E0">
              <w:rPr>
                <w:sz w:val="20"/>
                <w:szCs w:val="20"/>
                <w:lang w:val="sr-Cyrl-RS"/>
              </w:rPr>
              <w:t>14.825</w:t>
            </w:r>
          </w:p>
        </w:tc>
      </w:tr>
      <w:tr w:rsidR="009D3498" w:rsidRPr="00C140E0" w:rsidTr="00632A81">
        <w:trPr>
          <w:trHeight w:val="246"/>
        </w:trPr>
        <w:tc>
          <w:tcPr>
            <w:tcW w:w="4298" w:type="dxa"/>
            <w:gridSpan w:val="2"/>
          </w:tcPr>
          <w:p w:rsidR="009D3498" w:rsidRPr="00C140E0" w:rsidRDefault="009D3498" w:rsidP="004E78D7">
            <w:pPr>
              <w:spacing w:after="0"/>
              <w:rPr>
                <w:sz w:val="20"/>
                <w:szCs w:val="20"/>
                <w:lang w:val="sr-Cyrl-RS"/>
              </w:rPr>
            </w:pPr>
            <w:r w:rsidRPr="00C140E0">
              <w:rPr>
                <w:i/>
                <w:sz w:val="20"/>
                <w:szCs w:val="20"/>
                <w:lang w:val="sr-Cyrl-RS"/>
              </w:rPr>
              <w:t>Лекар</w:t>
            </w:r>
          </w:p>
        </w:tc>
      </w:tr>
      <w:tr w:rsidR="009D3498" w:rsidRPr="00C140E0" w:rsidTr="00632A81">
        <w:trPr>
          <w:trHeight w:val="246"/>
        </w:trPr>
        <w:tc>
          <w:tcPr>
            <w:tcW w:w="2767" w:type="dxa"/>
          </w:tcPr>
          <w:p w:rsidR="009D3498" w:rsidRPr="00C140E0" w:rsidRDefault="009D3498" w:rsidP="004E78D7">
            <w:pPr>
              <w:spacing w:after="0"/>
              <w:rPr>
                <w:sz w:val="20"/>
                <w:szCs w:val="20"/>
                <w:lang w:val="sr-Cyrl-RS"/>
              </w:rPr>
            </w:pPr>
            <w:r w:rsidRPr="00C140E0">
              <w:rPr>
                <w:sz w:val="20"/>
                <w:szCs w:val="20"/>
                <w:lang w:val="sr-Cyrl-RS"/>
              </w:rPr>
              <w:t xml:space="preserve">изабран </w:t>
            </w:r>
          </w:p>
        </w:tc>
        <w:tc>
          <w:tcPr>
            <w:tcW w:w="1531" w:type="dxa"/>
          </w:tcPr>
          <w:p w:rsidR="009D3498" w:rsidRPr="00C140E0" w:rsidRDefault="009D3498" w:rsidP="004E78D7">
            <w:pPr>
              <w:spacing w:after="0"/>
              <w:rPr>
                <w:sz w:val="20"/>
                <w:szCs w:val="20"/>
                <w:lang w:val="sr-Cyrl-RS"/>
              </w:rPr>
            </w:pPr>
            <w:r w:rsidRPr="00C140E0">
              <w:rPr>
                <w:sz w:val="20"/>
                <w:szCs w:val="20"/>
                <w:lang w:val="sr-Cyrl-RS"/>
              </w:rPr>
              <w:t>35.593</w:t>
            </w:r>
          </w:p>
        </w:tc>
      </w:tr>
      <w:tr w:rsidR="009D3498" w:rsidRPr="00C140E0" w:rsidTr="00632A81">
        <w:trPr>
          <w:trHeight w:val="246"/>
        </w:trPr>
        <w:tc>
          <w:tcPr>
            <w:tcW w:w="2767" w:type="dxa"/>
          </w:tcPr>
          <w:p w:rsidR="009D3498" w:rsidRPr="00C140E0" w:rsidRDefault="009D3498" w:rsidP="004E78D7">
            <w:pPr>
              <w:spacing w:after="0"/>
              <w:rPr>
                <w:sz w:val="20"/>
                <w:szCs w:val="20"/>
                <w:lang w:val="sr-Cyrl-RS"/>
              </w:rPr>
            </w:pPr>
            <w:r w:rsidRPr="00C140E0">
              <w:rPr>
                <w:sz w:val="20"/>
                <w:szCs w:val="20"/>
                <w:lang w:val="sr-Cyrl-RS"/>
              </w:rPr>
              <w:t>није изабран</w:t>
            </w:r>
          </w:p>
        </w:tc>
        <w:tc>
          <w:tcPr>
            <w:tcW w:w="1531" w:type="dxa"/>
          </w:tcPr>
          <w:p w:rsidR="009D3498" w:rsidRPr="00C140E0" w:rsidRDefault="009D3498" w:rsidP="004E78D7">
            <w:pPr>
              <w:spacing w:after="0"/>
              <w:rPr>
                <w:sz w:val="20"/>
                <w:szCs w:val="20"/>
                <w:lang w:val="sr-Cyrl-RS"/>
              </w:rPr>
            </w:pPr>
            <w:r w:rsidRPr="00C140E0">
              <w:rPr>
                <w:sz w:val="20"/>
                <w:szCs w:val="20"/>
                <w:lang w:val="sr-Cyrl-RS"/>
              </w:rPr>
              <w:t>9.100</w:t>
            </w:r>
          </w:p>
        </w:tc>
      </w:tr>
      <w:tr w:rsidR="009D3498" w:rsidRPr="00C140E0" w:rsidTr="00632A81">
        <w:trPr>
          <w:trHeight w:val="246"/>
        </w:trPr>
        <w:tc>
          <w:tcPr>
            <w:tcW w:w="4298" w:type="dxa"/>
            <w:gridSpan w:val="2"/>
          </w:tcPr>
          <w:p w:rsidR="009D3498" w:rsidRPr="00C140E0" w:rsidRDefault="009D3498" w:rsidP="004E78D7">
            <w:pPr>
              <w:spacing w:after="0"/>
              <w:rPr>
                <w:i/>
                <w:sz w:val="20"/>
                <w:szCs w:val="20"/>
                <w:lang w:val="sr-Cyrl-RS"/>
              </w:rPr>
            </w:pPr>
            <w:r w:rsidRPr="00C140E0">
              <w:rPr>
                <w:i/>
                <w:sz w:val="20"/>
                <w:szCs w:val="20"/>
                <w:lang w:val="sr-Cyrl-RS"/>
              </w:rPr>
              <w:t>Вакцинција</w:t>
            </w:r>
          </w:p>
        </w:tc>
      </w:tr>
      <w:tr w:rsidR="009D3498" w:rsidRPr="00C140E0" w:rsidTr="00632A81">
        <w:trPr>
          <w:trHeight w:val="246"/>
        </w:trPr>
        <w:tc>
          <w:tcPr>
            <w:tcW w:w="2767" w:type="dxa"/>
          </w:tcPr>
          <w:p w:rsidR="009D3498" w:rsidRPr="00C140E0" w:rsidRDefault="009D3498" w:rsidP="004E78D7">
            <w:pPr>
              <w:spacing w:after="0"/>
              <w:rPr>
                <w:sz w:val="20"/>
                <w:szCs w:val="20"/>
                <w:lang w:val="sr-Cyrl-RS"/>
              </w:rPr>
            </w:pPr>
            <w:r w:rsidRPr="00C140E0">
              <w:rPr>
                <w:sz w:val="20"/>
                <w:szCs w:val="20"/>
                <w:lang w:val="sr-Cyrl-RS"/>
              </w:rPr>
              <w:t xml:space="preserve">комплетно </w:t>
            </w:r>
          </w:p>
        </w:tc>
        <w:tc>
          <w:tcPr>
            <w:tcW w:w="1531" w:type="dxa"/>
          </w:tcPr>
          <w:p w:rsidR="009D3498" w:rsidRPr="00C140E0" w:rsidRDefault="009D3498" w:rsidP="004E78D7">
            <w:pPr>
              <w:spacing w:after="0"/>
              <w:rPr>
                <w:sz w:val="20"/>
                <w:szCs w:val="20"/>
                <w:lang w:val="sr-Cyrl-RS"/>
              </w:rPr>
            </w:pPr>
            <w:r w:rsidRPr="00C140E0">
              <w:rPr>
                <w:sz w:val="20"/>
                <w:szCs w:val="20"/>
                <w:lang w:val="sr-Cyrl-RS"/>
              </w:rPr>
              <w:t>29.803</w:t>
            </w:r>
          </w:p>
        </w:tc>
      </w:tr>
      <w:tr w:rsidR="009D3498" w:rsidRPr="00C140E0" w:rsidTr="00632A81">
        <w:trPr>
          <w:trHeight w:val="239"/>
        </w:trPr>
        <w:tc>
          <w:tcPr>
            <w:tcW w:w="2767" w:type="dxa"/>
          </w:tcPr>
          <w:p w:rsidR="009D3498" w:rsidRPr="00C140E0" w:rsidRDefault="009D3498" w:rsidP="004E78D7">
            <w:pPr>
              <w:spacing w:after="0"/>
              <w:rPr>
                <w:sz w:val="20"/>
                <w:szCs w:val="20"/>
                <w:lang w:val="sr-Cyrl-RS"/>
              </w:rPr>
            </w:pPr>
            <w:r w:rsidRPr="00C140E0">
              <w:rPr>
                <w:sz w:val="20"/>
                <w:szCs w:val="20"/>
                <w:lang w:val="sr-Cyrl-RS"/>
              </w:rPr>
              <w:t xml:space="preserve">некомплетно </w:t>
            </w:r>
          </w:p>
        </w:tc>
        <w:tc>
          <w:tcPr>
            <w:tcW w:w="1531" w:type="dxa"/>
          </w:tcPr>
          <w:p w:rsidR="009D3498" w:rsidRPr="00C140E0" w:rsidRDefault="009D3498" w:rsidP="004E78D7">
            <w:pPr>
              <w:spacing w:after="0"/>
              <w:rPr>
                <w:sz w:val="20"/>
                <w:szCs w:val="20"/>
                <w:lang w:val="sr-Cyrl-RS"/>
              </w:rPr>
            </w:pPr>
            <w:r w:rsidRPr="00C140E0">
              <w:rPr>
                <w:sz w:val="20"/>
                <w:szCs w:val="20"/>
                <w:lang w:val="sr-Cyrl-RS"/>
              </w:rPr>
              <w:t>14.625</w:t>
            </w:r>
          </w:p>
        </w:tc>
      </w:tr>
      <w:tr w:rsidR="009D3498" w:rsidRPr="00C140E0" w:rsidTr="00632A81">
        <w:trPr>
          <w:trHeight w:val="246"/>
        </w:trPr>
        <w:tc>
          <w:tcPr>
            <w:tcW w:w="2767" w:type="dxa"/>
          </w:tcPr>
          <w:p w:rsidR="009D3498" w:rsidRPr="00C140E0" w:rsidRDefault="009D3498" w:rsidP="004E78D7">
            <w:pPr>
              <w:spacing w:after="0"/>
              <w:rPr>
                <w:sz w:val="20"/>
                <w:szCs w:val="20"/>
                <w:lang w:val="sr-Cyrl-RS"/>
              </w:rPr>
            </w:pPr>
            <w:r w:rsidRPr="00C140E0">
              <w:rPr>
                <w:sz w:val="20"/>
                <w:szCs w:val="20"/>
                <w:lang w:val="sr-Cyrl-RS"/>
              </w:rPr>
              <w:t xml:space="preserve">без вакцина </w:t>
            </w:r>
          </w:p>
        </w:tc>
        <w:tc>
          <w:tcPr>
            <w:tcW w:w="1531" w:type="dxa"/>
          </w:tcPr>
          <w:p w:rsidR="009D3498" w:rsidRPr="00C140E0" w:rsidRDefault="009D3498" w:rsidP="004E78D7">
            <w:pPr>
              <w:spacing w:after="0"/>
              <w:rPr>
                <w:sz w:val="20"/>
                <w:szCs w:val="20"/>
                <w:lang w:val="sr-Cyrl-RS"/>
              </w:rPr>
            </w:pPr>
            <w:r w:rsidRPr="00C140E0">
              <w:rPr>
                <w:sz w:val="20"/>
                <w:szCs w:val="20"/>
                <w:lang w:val="sr-Cyrl-RS"/>
              </w:rPr>
              <w:t>1.009</w:t>
            </w:r>
          </w:p>
        </w:tc>
      </w:tr>
      <w:tr w:rsidR="009D3498" w:rsidRPr="00C140E0" w:rsidTr="00632A81">
        <w:trPr>
          <w:trHeight w:val="246"/>
        </w:trPr>
        <w:tc>
          <w:tcPr>
            <w:tcW w:w="4298" w:type="dxa"/>
            <w:gridSpan w:val="2"/>
          </w:tcPr>
          <w:p w:rsidR="009D3498" w:rsidRPr="00C140E0" w:rsidRDefault="009D3498" w:rsidP="004E78D7">
            <w:pPr>
              <w:spacing w:after="0"/>
              <w:rPr>
                <w:i/>
                <w:sz w:val="20"/>
                <w:szCs w:val="20"/>
                <w:lang w:val="sr-Cyrl-RS"/>
              </w:rPr>
            </w:pPr>
            <w:r w:rsidRPr="00C140E0">
              <w:rPr>
                <w:i/>
                <w:sz w:val="20"/>
                <w:szCs w:val="20"/>
                <w:lang w:val="sr-Cyrl-RS"/>
              </w:rPr>
              <w:t>Дечји додатак</w:t>
            </w:r>
          </w:p>
        </w:tc>
      </w:tr>
      <w:tr w:rsidR="009D3498" w:rsidRPr="00C140E0" w:rsidTr="00632A81">
        <w:trPr>
          <w:trHeight w:val="246"/>
        </w:trPr>
        <w:tc>
          <w:tcPr>
            <w:tcW w:w="2767" w:type="dxa"/>
          </w:tcPr>
          <w:p w:rsidR="009D3498" w:rsidRPr="00C140E0" w:rsidRDefault="009D3498" w:rsidP="004E78D7">
            <w:pPr>
              <w:spacing w:after="0"/>
              <w:rPr>
                <w:sz w:val="20"/>
                <w:szCs w:val="20"/>
                <w:lang w:val="sr-Cyrl-RS"/>
              </w:rPr>
            </w:pPr>
            <w:r w:rsidRPr="00C140E0">
              <w:rPr>
                <w:sz w:val="20"/>
                <w:szCs w:val="20"/>
                <w:lang w:val="sr-Cyrl-RS"/>
              </w:rPr>
              <w:t xml:space="preserve">остварен </w:t>
            </w:r>
          </w:p>
        </w:tc>
        <w:tc>
          <w:tcPr>
            <w:tcW w:w="1531" w:type="dxa"/>
          </w:tcPr>
          <w:p w:rsidR="009D3498" w:rsidRPr="00C140E0" w:rsidRDefault="009D3498" w:rsidP="004E78D7">
            <w:pPr>
              <w:spacing w:after="0"/>
              <w:rPr>
                <w:sz w:val="20"/>
                <w:szCs w:val="20"/>
                <w:lang w:val="sr-Cyrl-RS"/>
              </w:rPr>
            </w:pPr>
            <w:r w:rsidRPr="00C140E0">
              <w:rPr>
                <w:sz w:val="20"/>
                <w:szCs w:val="20"/>
                <w:lang w:val="sr-Cyrl-RS"/>
              </w:rPr>
              <w:t>31.362</w:t>
            </w:r>
          </w:p>
        </w:tc>
      </w:tr>
      <w:tr w:rsidR="009D3498" w:rsidRPr="00C140E0" w:rsidTr="00632A81">
        <w:trPr>
          <w:trHeight w:val="246"/>
        </w:trPr>
        <w:tc>
          <w:tcPr>
            <w:tcW w:w="2767" w:type="dxa"/>
          </w:tcPr>
          <w:p w:rsidR="009D3498" w:rsidRPr="00C140E0" w:rsidRDefault="009D3498" w:rsidP="004E78D7">
            <w:pPr>
              <w:spacing w:after="0"/>
              <w:rPr>
                <w:sz w:val="20"/>
                <w:szCs w:val="20"/>
                <w:lang w:val="sr-Cyrl-RS"/>
              </w:rPr>
            </w:pPr>
            <w:r w:rsidRPr="00C140E0">
              <w:rPr>
                <w:sz w:val="20"/>
                <w:szCs w:val="20"/>
                <w:lang w:val="sr-Cyrl-RS"/>
              </w:rPr>
              <w:t>није ос</w:t>
            </w:r>
            <w:r w:rsidR="00AE4ACB">
              <w:rPr>
                <w:sz w:val="20"/>
                <w:szCs w:val="20"/>
                <w:lang w:val="sr-Cyrl-RS"/>
              </w:rPr>
              <w:t>т</w:t>
            </w:r>
            <w:r w:rsidRPr="00C140E0">
              <w:rPr>
                <w:sz w:val="20"/>
                <w:szCs w:val="20"/>
                <w:lang w:val="sr-Cyrl-RS"/>
              </w:rPr>
              <w:t xml:space="preserve">варен </w:t>
            </w:r>
          </w:p>
        </w:tc>
        <w:tc>
          <w:tcPr>
            <w:tcW w:w="1531" w:type="dxa"/>
          </w:tcPr>
          <w:p w:rsidR="009D3498" w:rsidRPr="00C140E0" w:rsidRDefault="009D3498" w:rsidP="004E78D7">
            <w:pPr>
              <w:spacing w:after="0"/>
              <w:rPr>
                <w:sz w:val="20"/>
                <w:szCs w:val="20"/>
                <w:lang w:val="sr-Cyrl-RS"/>
              </w:rPr>
            </w:pPr>
            <w:r w:rsidRPr="00C140E0">
              <w:rPr>
                <w:sz w:val="20"/>
                <w:szCs w:val="20"/>
                <w:lang w:val="sr-Cyrl-RS"/>
              </w:rPr>
              <w:t>11.619</w:t>
            </w:r>
          </w:p>
        </w:tc>
      </w:tr>
    </w:tbl>
    <w:p w:rsidR="00AA6B1B" w:rsidRPr="00C140E0" w:rsidRDefault="00AA6B1B" w:rsidP="009D3498">
      <w:pPr>
        <w:spacing w:after="0"/>
        <w:jc w:val="center"/>
        <w:rPr>
          <w:sz w:val="24"/>
          <w:szCs w:val="24"/>
          <w:lang w:val="sr-Cyrl-RS"/>
        </w:rPr>
      </w:pPr>
    </w:p>
    <w:p w:rsidR="002D75E5" w:rsidRPr="00C140E0" w:rsidRDefault="002D75E5" w:rsidP="002D75E5">
      <w:pPr>
        <w:spacing w:after="0"/>
        <w:ind w:firstLine="720"/>
        <w:jc w:val="both"/>
        <w:rPr>
          <w:sz w:val="24"/>
          <w:szCs w:val="24"/>
          <w:lang w:val="sr-Cyrl-RS"/>
        </w:rPr>
      </w:pPr>
      <w:r w:rsidRPr="00C140E0">
        <w:rPr>
          <w:sz w:val="24"/>
          <w:szCs w:val="24"/>
          <w:lang w:val="sr-Cyrl-RS"/>
        </w:rPr>
        <w:t>У ве</w:t>
      </w:r>
      <w:r w:rsidR="004B79F3" w:rsidRPr="00C140E0">
        <w:rPr>
          <w:sz w:val="24"/>
          <w:szCs w:val="24"/>
          <w:lang w:val="sr-Cyrl-RS"/>
        </w:rPr>
        <w:t>л</w:t>
      </w:r>
      <w:r w:rsidRPr="00C140E0">
        <w:rPr>
          <w:sz w:val="24"/>
          <w:szCs w:val="24"/>
          <w:lang w:val="sr-Cyrl-RS"/>
        </w:rPr>
        <w:t>иком бр</w:t>
      </w:r>
      <w:r w:rsidR="00B62317" w:rsidRPr="00C140E0">
        <w:rPr>
          <w:sz w:val="24"/>
          <w:szCs w:val="24"/>
          <w:lang w:val="sr-Cyrl-RS"/>
        </w:rPr>
        <w:t>о</w:t>
      </w:r>
      <w:r w:rsidRPr="00C140E0">
        <w:rPr>
          <w:sz w:val="24"/>
          <w:szCs w:val="24"/>
          <w:lang w:val="sr-Cyrl-RS"/>
        </w:rPr>
        <w:t>ју јединица локалне самоуправе организују се радионице које спроводе медијаторке у сарадњи са организацијама цивилног друштва, посебно на теме репродуктивног здравља и спречавања раних бракова и малолетничких трудноћа. Такође се и у домовима здравља периодично спроводе и различите активности и едукације у вези са имунизацијом и репродуктивним и сексуалним здрављем, заштитом од заразних болести, итд.</w:t>
      </w:r>
    </w:p>
    <w:p w:rsidR="009945EB" w:rsidRPr="00C140E0" w:rsidRDefault="0093694C" w:rsidP="0093694C">
      <w:pPr>
        <w:spacing w:after="0"/>
        <w:ind w:firstLine="720"/>
        <w:jc w:val="both"/>
        <w:rPr>
          <w:sz w:val="24"/>
          <w:szCs w:val="24"/>
          <w:lang w:val="sr-Cyrl-RS"/>
        </w:rPr>
      </w:pPr>
      <w:r w:rsidRPr="00C140E0">
        <w:rPr>
          <w:sz w:val="24"/>
          <w:szCs w:val="24"/>
          <w:lang w:val="sr-Cyrl-RS"/>
        </w:rPr>
        <w:t>Након избијања пандемије вируса</w:t>
      </w:r>
      <w:r w:rsidR="00F47B58" w:rsidRPr="00C140E0">
        <w:rPr>
          <w:sz w:val="24"/>
          <w:szCs w:val="24"/>
          <w:lang w:val="sr-Cyrl-RS"/>
        </w:rPr>
        <w:t xml:space="preserve"> </w:t>
      </w:r>
      <w:r w:rsidRPr="00C140E0">
        <w:rPr>
          <w:sz w:val="24"/>
          <w:szCs w:val="24"/>
          <w:lang w:val="sr-Cyrl-RS"/>
        </w:rPr>
        <w:t>КОВИД–19</w:t>
      </w:r>
      <w:r w:rsidR="00F47B58" w:rsidRPr="00C140E0">
        <w:rPr>
          <w:sz w:val="24"/>
          <w:szCs w:val="24"/>
          <w:lang w:val="sr-Cyrl-RS"/>
        </w:rPr>
        <w:t>, Министрство здравља је у сарадњи са УНИЦЕФ-ом и Асоцијациј</w:t>
      </w:r>
      <w:r w:rsidRPr="00C140E0">
        <w:rPr>
          <w:sz w:val="24"/>
          <w:szCs w:val="24"/>
          <w:lang w:val="sr-Cyrl-RS"/>
        </w:rPr>
        <w:t>ом</w:t>
      </w:r>
      <w:r w:rsidR="00F47B58" w:rsidRPr="00C140E0">
        <w:rPr>
          <w:sz w:val="24"/>
          <w:szCs w:val="24"/>
          <w:lang w:val="sr-Cyrl-RS"/>
        </w:rPr>
        <w:t xml:space="preserve"> здравствених медијаторки покренуло заједнички пројекат </w:t>
      </w:r>
      <w:r w:rsidRPr="00C140E0">
        <w:rPr>
          <w:sz w:val="24"/>
          <w:szCs w:val="24"/>
          <w:lang w:val="sr-Cyrl-RS"/>
        </w:rPr>
        <w:t>„</w:t>
      </w:r>
      <w:r w:rsidR="00F47B58" w:rsidRPr="00C140E0">
        <w:rPr>
          <w:sz w:val="24"/>
          <w:szCs w:val="24"/>
          <w:lang w:val="sr-Cyrl-RS"/>
        </w:rPr>
        <w:t xml:space="preserve">Здравље за све - </w:t>
      </w:r>
      <w:r w:rsidRPr="00C140E0">
        <w:rPr>
          <w:sz w:val="24"/>
          <w:szCs w:val="24"/>
          <w:lang w:val="sr-Cyrl-RS"/>
        </w:rPr>
        <w:t>у</w:t>
      </w:r>
      <w:r w:rsidR="00F47B58" w:rsidRPr="00C140E0">
        <w:rPr>
          <w:sz w:val="24"/>
          <w:szCs w:val="24"/>
          <w:lang w:val="sr-Cyrl-RS"/>
        </w:rPr>
        <w:t>напређење и подршка рада здравствених медијаторки са осетљивим и угроженим групама у ромским насељима у ванредној сит</w:t>
      </w:r>
      <w:r w:rsidRPr="00C140E0">
        <w:rPr>
          <w:sz w:val="24"/>
          <w:szCs w:val="24"/>
          <w:lang w:val="sr-Cyrl-RS"/>
        </w:rPr>
        <w:t>уацији - пандемија вируса КОВИД–</w:t>
      </w:r>
      <w:r w:rsidR="00F47B58" w:rsidRPr="00C140E0">
        <w:rPr>
          <w:sz w:val="24"/>
          <w:szCs w:val="24"/>
          <w:lang w:val="sr-Cyrl-RS"/>
        </w:rPr>
        <w:t>19</w:t>
      </w:r>
      <w:r w:rsidRPr="00C140E0">
        <w:rPr>
          <w:sz w:val="24"/>
          <w:szCs w:val="24"/>
          <w:lang w:val="sr-Cyrl-RS"/>
        </w:rPr>
        <w:t>“</w:t>
      </w:r>
      <w:r w:rsidR="00F47B58" w:rsidRPr="00C140E0">
        <w:rPr>
          <w:sz w:val="24"/>
          <w:szCs w:val="24"/>
          <w:lang w:val="sr-Cyrl-RS"/>
        </w:rPr>
        <w:t xml:space="preserve">. </w:t>
      </w:r>
      <w:r w:rsidRPr="00C140E0">
        <w:rPr>
          <w:sz w:val="24"/>
          <w:szCs w:val="24"/>
          <w:lang w:val="sr-Cyrl-RS"/>
        </w:rPr>
        <w:t xml:space="preserve">Током спровођења пројекта </w:t>
      </w:r>
      <w:r w:rsidR="00F47B58" w:rsidRPr="00C140E0">
        <w:rPr>
          <w:sz w:val="24"/>
          <w:szCs w:val="24"/>
          <w:lang w:val="sr-Cyrl-RS"/>
        </w:rPr>
        <w:t>у 2020. години</w:t>
      </w:r>
      <w:r w:rsidRPr="00C140E0">
        <w:rPr>
          <w:sz w:val="24"/>
          <w:szCs w:val="24"/>
          <w:lang w:val="sr-Cyrl-RS"/>
        </w:rPr>
        <w:t xml:space="preserve"> здравствене медијаторке су обавиле </w:t>
      </w:r>
      <w:r w:rsidR="00F47B58" w:rsidRPr="00C140E0">
        <w:rPr>
          <w:sz w:val="24"/>
          <w:szCs w:val="24"/>
          <w:lang w:val="sr-Cyrl-RS"/>
        </w:rPr>
        <w:t>више од 14</w:t>
      </w:r>
      <w:r w:rsidRPr="00C140E0">
        <w:rPr>
          <w:sz w:val="24"/>
          <w:szCs w:val="24"/>
          <w:lang w:val="sr-Cyrl-RS"/>
        </w:rPr>
        <w:t>.</w:t>
      </w:r>
      <w:r w:rsidR="00F47B58" w:rsidRPr="00C140E0">
        <w:rPr>
          <w:sz w:val="24"/>
          <w:szCs w:val="24"/>
          <w:lang w:val="sr-Cyrl-RS"/>
        </w:rPr>
        <w:t xml:space="preserve">000 позива </w:t>
      </w:r>
      <w:r w:rsidRPr="00C140E0">
        <w:rPr>
          <w:sz w:val="24"/>
          <w:szCs w:val="24"/>
          <w:lang w:val="sr-Cyrl-RS"/>
        </w:rPr>
        <w:t xml:space="preserve">ромским породицама, </w:t>
      </w:r>
      <w:r w:rsidR="00F47B58" w:rsidRPr="00C140E0">
        <w:rPr>
          <w:sz w:val="24"/>
          <w:szCs w:val="24"/>
          <w:lang w:val="sr-Cyrl-RS"/>
        </w:rPr>
        <w:t xml:space="preserve">у сарадњи са Црвеним крстом поделиле су пакете игара за децу и штампани материјал са </w:t>
      </w:r>
      <w:r w:rsidRPr="00C140E0">
        <w:rPr>
          <w:sz w:val="24"/>
          <w:szCs w:val="24"/>
          <w:lang w:val="sr-Cyrl-RS"/>
        </w:rPr>
        <w:t xml:space="preserve">објашњеним </w:t>
      </w:r>
      <w:r w:rsidR="00F47B58" w:rsidRPr="00C140E0">
        <w:rPr>
          <w:sz w:val="24"/>
          <w:szCs w:val="24"/>
          <w:lang w:val="sr-Cyrl-RS"/>
        </w:rPr>
        <w:t>начином превенције и поступањ</w:t>
      </w:r>
      <w:r w:rsidRPr="00C140E0">
        <w:rPr>
          <w:sz w:val="24"/>
          <w:szCs w:val="24"/>
          <w:lang w:val="sr-Cyrl-RS"/>
        </w:rPr>
        <w:t>а</w:t>
      </w:r>
      <w:r w:rsidR="00F47B58" w:rsidRPr="00C140E0">
        <w:rPr>
          <w:sz w:val="24"/>
          <w:szCs w:val="24"/>
          <w:lang w:val="sr-Cyrl-RS"/>
        </w:rPr>
        <w:t xml:space="preserve"> у време пандемије КОВИД -19</w:t>
      </w:r>
      <w:r w:rsidRPr="00C140E0">
        <w:rPr>
          <w:sz w:val="24"/>
          <w:szCs w:val="24"/>
          <w:lang w:val="sr-Cyrl-RS"/>
        </w:rPr>
        <w:t xml:space="preserve">, </w:t>
      </w:r>
      <w:r w:rsidR="00F47B58" w:rsidRPr="00C140E0">
        <w:rPr>
          <w:sz w:val="24"/>
          <w:szCs w:val="24"/>
          <w:lang w:val="sr-Cyrl-RS"/>
        </w:rPr>
        <w:t>остварен је контакт са 1</w:t>
      </w:r>
      <w:r w:rsidRPr="00C140E0">
        <w:rPr>
          <w:sz w:val="24"/>
          <w:szCs w:val="24"/>
          <w:lang w:val="sr-Cyrl-RS"/>
        </w:rPr>
        <w:t>.</w:t>
      </w:r>
      <w:r w:rsidR="00F47B58" w:rsidRPr="00C140E0">
        <w:rPr>
          <w:sz w:val="24"/>
          <w:szCs w:val="24"/>
          <w:lang w:val="sr-Cyrl-RS"/>
        </w:rPr>
        <w:t>108 трудница</w:t>
      </w:r>
      <w:r w:rsidRPr="00C140E0">
        <w:rPr>
          <w:sz w:val="24"/>
          <w:szCs w:val="24"/>
          <w:lang w:val="sr-Cyrl-RS"/>
        </w:rPr>
        <w:t xml:space="preserve">, </w:t>
      </w:r>
      <w:r w:rsidR="00F47B58" w:rsidRPr="00C140E0">
        <w:rPr>
          <w:sz w:val="24"/>
          <w:szCs w:val="24"/>
          <w:lang w:val="sr-Cyrl-RS"/>
        </w:rPr>
        <w:t>вакциниса</w:t>
      </w:r>
      <w:r w:rsidRPr="00C140E0">
        <w:rPr>
          <w:sz w:val="24"/>
          <w:szCs w:val="24"/>
          <w:lang w:val="sr-Cyrl-RS"/>
        </w:rPr>
        <w:t>н</w:t>
      </w:r>
      <w:r w:rsidR="00F47B58" w:rsidRPr="00C140E0">
        <w:rPr>
          <w:sz w:val="24"/>
          <w:szCs w:val="24"/>
          <w:lang w:val="sr-Cyrl-RS"/>
        </w:rPr>
        <w:t>о</w:t>
      </w:r>
      <w:r w:rsidRPr="00C140E0">
        <w:rPr>
          <w:sz w:val="24"/>
          <w:szCs w:val="24"/>
          <w:lang w:val="sr-Cyrl-RS"/>
        </w:rPr>
        <w:t xml:space="preserve"> је</w:t>
      </w:r>
      <w:r w:rsidR="00F47B58" w:rsidRPr="00C140E0">
        <w:rPr>
          <w:sz w:val="24"/>
          <w:szCs w:val="24"/>
          <w:lang w:val="sr-Cyrl-RS"/>
        </w:rPr>
        <w:t xml:space="preserve"> 1</w:t>
      </w:r>
      <w:r w:rsidRPr="00C140E0">
        <w:rPr>
          <w:sz w:val="24"/>
          <w:szCs w:val="24"/>
          <w:lang w:val="sr-Cyrl-RS"/>
        </w:rPr>
        <w:t>.</w:t>
      </w:r>
      <w:r w:rsidR="00F47B58" w:rsidRPr="00C140E0">
        <w:rPr>
          <w:sz w:val="24"/>
          <w:szCs w:val="24"/>
          <w:lang w:val="sr-Cyrl-RS"/>
        </w:rPr>
        <w:t>577 деце</w:t>
      </w:r>
      <w:r w:rsidRPr="00C140E0">
        <w:rPr>
          <w:sz w:val="24"/>
          <w:szCs w:val="24"/>
          <w:lang w:val="sr-Cyrl-RS"/>
        </w:rPr>
        <w:t xml:space="preserve">, а </w:t>
      </w:r>
      <w:r w:rsidR="00F47B58" w:rsidRPr="00C140E0">
        <w:rPr>
          <w:sz w:val="24"/>
          <w:szCs w:val="24"/>
          <w:lang w:val="sr-Cyrl-RS"/>
        </w:rPr>
        <w:t xml:space="preserve">преко 800 лица је упућено </w:t>
      </w:r>
      <w:r w:rsidRPr="00C140E0">
        <w:rPr>
          <w:sz w:val="24"/>
          <w:szCs w:val="24"/>
          <w:lang w:val="sr-Cyrl-RS"/>
        </w:rPr>
        <w:t>у</w:t>
      </w:r>
      <w:r w:rsidR="00F47B58" w:rsidRPr="00C140E0">
        <w:rPr>
          <w:sz w:val="24"/>
          <w:szCs w:val="24"/>
          <w:lang w:val="sr-Cyrl-RS"/>
        </w:rPr>
        <w:t xml:space="preserve"> КОВИД амбуланте</w:t>
      </w:r>
      <w:r w:rsidRPr="00C140E0">
        <w:rPr>
          <w:sz w:val="24"/>
          <w:szCs w:val="24"/>
          <w:lang w:val="sr-Cyrl-RS"/>
        </w:rPr>
        <w:t>. У 2021. години здравствене медијаторке су ангажоване на вакцинацији ромског становништва у подстандардним насељима од КОВИД-19 и у ту сврху су им обезбеђена возила за транспорт старијих који се отежано крећу.</w:t>
      </w:r>
    </w:p>
    <w:p w:rsidR="009945EB" w:rsidRPr="009945EB" w:rsidRDefault="0093694C" w:rsidP="004B79F3">
      <w:pPr>
        <w:spacing w:after="0"/>
        <w:ind w:firstLine="720"/>
        <w:jc w:val="both"/>
        <w:rPr>
          <w:sz w:val="24"/>
          <w:szCs w:val="24"/>
          <w:lang w:val="sr-Cyrl-RS"/>
        </w:rPr>
      </w:pPr>
      <w:r w:rsidRPr="00C140E0">
        <w:rPr>
          <w:sz w:val="24"/>
          <w:szCs w:val="24"/>
          <w:lang w:val="sr-Cyrl-RS"/>
        </w:rPr>
        <w:t>У току трајања пандемије п</w:t>
      </w:r>
      <w:r w:rsidR="00B00808" w:rsidRPr="00C140E0">
        <w:rPr>
          <w:sz w:val="24"/>
          <w:szCs w:val="24"/>
          <w:lang w:val="sr-Cyrl-RS"/>
        </w:rPr>
        <w:t>редставници Стручне службе Заштитника грађана организовали су посете ромским насељима.</w:t>
      </w:r>
      <w:r w:rsidR="00B00808" w:rsidRPr="00C140E0">
        <w:rPr>
          <w:rStyle w:val="FootnoteReference"/>
          <w:sz w:val="24"/>
          <w:szCs w:val="24"/>
          <w:lang w:val="sr-Cyrl-RS"/>
        </w:rPr>
        <w:footnoteReference w:id="10"/>
      </w:r>
      <w:r w:rsidR="00B00808" w:rsidRPr="00C140E0">
        <w:rPr>
          <w:sz w:val="24"/>
          <w:szCs w:val="24"/>
          <w:lang w:val="sr-Cyrl-RS"/>
        </w:rPr>
        <w:t xml:space="preserve"> Циљ посета је пре свега био да се радом на терену утврди какви су хигијенски услови у насељима, посебно за време трајања пандемије, приступ снабдевању водом и струјом, као и потребе становника за обезбеђивањем додатних мера помоћи у виду пакета и социјалних давања. На основу података прикупљених на терену, израђен је Посебан извештај Заштитника грађана са препорукама </w:t>
      </w:r>
      <w:r w:rsidR="00B00808" w:rsidRPr="00C140E0">
        <w:rPr>
          <w:sz w:val="24"/>
          <w:szCs w:val="24"/>
        </w:rPr>
        <w:t>„</w:t>
      </w:r>
      <w:r w:rsidR="00B00808" w:rsidRPr="00C140E0">
        <w:rPr>
          <w:sz w:val="24"/>
          <w:szCs w:val="24"/>
          <w:lang w:val="sr-Cyrl-RS"/>
        </w:rPr>
        <w:t>Услови у ромским насељима у ситуацији ванредног стања и примене мера заштите услед епидемије корона вируса</w:t>
      </w:r>
      <w:r w:rsidR="004B79F3" w:rsidRPr="00C140E0">
        <w:rPr>
          <w:sz w:val="24"/>
          <w:szCs w:val="24"/>
          <w:lang w:val="sr-Cyrl-RS"/>
        </w:rPr>
        <w:t>“.</w:t>
      </w:r>
      <w:r w:rsidR="00B00808" w:rsidRPr="00C140E0">
        <w:rPr>
          <w:rStyle w:val="FootnoteReference"/>
          <w:sz w:val="24"/>
          <w:szCs w:val="24"/>
          <w:lang w:val="sr-Cyrl-RS"/>
        </w:rPr>
        <w:footnoteReference w:id="11"/>
      </w:r>
      <w:r w:rsidR="00B00808" w:rsidRPr="005F6140">
        <w:rPr>
          <w:rFonts w:ascii="Book Antiqua" w:hAnsi="Book Antiqua" w:cs="Calibri"/>
          <w:lang w:val="sr-Cyrl-RS"/>
        </w:rPr>
        <w:t xml:space="preserve"> </w:t>
      </w:r>
    </w:p>
    <w:p w:rsidR="009945EB" w:rsidRPr="00A66C30" w:rsidRDefault="009945EB" w:rsidP="003B31D0">
      <w:pPr>
        <w:spacing w:after="0"/>
        <w:jc w:val="both"/>
        <w:rPr>
          <w:sz w:val="24"/>
          <w:szCs w:val="24"/>
          <w:highlight w:val="yellow"/>
          <w:lang w:val="sr-Cyrl-RS"/>
        </w:rPr>
      </w:pPr>
    </w:p>
    <w:p w:rsidR="003B31D0" w:rsidRPr="002A065E" w:rsidRDefault="003B31D0" w:rsidP="003B31D0">
      <w:pPr>
        <w:spacing w:after="0"/>
        <w:jc w:val="both"/>
        <w:rPr>
          <w:i/>
          <w:sz w:val="24"/>
          <w:szCs w:val="24"/>
          <w:lang w:val="sr-Cyrl-RS"/>
        </w:rPr>
      </w:pPr>
      <w:r w:rsidRPr="002A065E">
        <w:rPr>
          <w:i/>
          <w:sz w:val="24"/>
          <w:szCs w:val="24"/>
          <w:lang w:val="sr-Cyrl-RS"/>
        </w:rPr>
        <w:lastRenderedPageBreak/>
        <w:t>Активности у области образовања</w:t>
      </w:r>
    </w:p>
    <w:p w:rsidR="003B31D0" w:rsidRPr="002A065E" w:rsidRDefault="003B31D0" w:rsidP="003B31D0">
      <w:pPr>
        <w:spacing w:after="0"/>
        <w:jc w:val="both"/>
        <w:rPr>
          <w:sz w:val="24"/>
          <w:szCs w:val="24"/>
          <w:lang w:val="sr-Cyrl-RS"/>
        </w:rPr>
      </w:pPr>
    </w:p>
    <w:p w:rsidR="006904C2" w:rsidRPr="002A065E" w:rsidRDefault="006904C2" w:rsidP="006904C2">
      <w:pPr>
        <w:spacing w:after="0"/>
        <w:ind w:firstLine="720"/>
        <w:jc w:val="both"/>
        <w:rPr>
          <w:bCs/>
          <w:sz w:val="24"/>
          <w:szCs w:val="24"/>
          <w:lang w:val="sr-Cyrl-RS"/>
        </w:rPr>
      </w:pPr>
      <w:r w:rsidRPr="002A065E">
        <w:rPr>
          <w:bCs/>
          <w:sz w:val="24"/>
          <w:szCs w:val="24"/>
          <w:lang w:val="sr-Cyrl-RS"/>
        </w:rPr>
        <w:t>У циљу спречавања дискриминације и насиља у области образовања</w:t>
      </w:r>
      <w:r w:rsidRPr="002A065E">
        <w:t xml:space="preserve"> </w:t>
      </w:r>
      <w:r w:rsidRPr="002A065E">
        <w:rPr>
          <w:lang w:val="sr-Cyrl-RS"/>
        </w:rPr>
        <w:t>о</w:t>
      </w:r>
      <w:r w:rsidRPr="002A065E">
        <w:rPr>
          <w:bCs/>
          <w:sz w:val="24"/>
          <w:szCs w:val="24"/>
          <w:lang w:val="sr-Cyrl-RS"/>
        </w:rPr>
        <w:t xml:space="preserve">д 2011. године у Министарству просвете, науке и технолошког развоја  делује СОС телефон за пријаву насиља у школама (обучено 80 телефонских саветника) на који се, поред насиља, пријављују и случајеви дискриминације у образовању. Током школске 2016/17. године пријављено је 750 случајева дискриминације и насиља у образовно-васпитним установама, у школској 2017/18 – 820, школској 2018/19 - 890, а школској 2019/20 – 950 оваквих случајева. На тромесечном нивоу у просеку је било 150 пријава, од којих се 10% односи на случајеве дискриминације. Током пандемије </w:t>
      </w:r>
      <w:r w:rsidR="00B62317" w:rsidRPr="00B62317">
        <w:rPr>
          <w:bCs/>
          <w:sz w:val="24"/>
          <w:szCs w:val="24"/>
          <w:lang w:val="sr-Cyrl-RS"/>
        </w:rPr>
        <w:t xml:space="preserve">КОВИД-19 </w:t>
      </w:r>
      <w:r w:rsidRPr="002A065E">
        <w:rPr>
          <w:bCs/>
          <w:sz w:val="24"/>
          <w:szCs w:val="24"/>
          <w:lang w:val="sr-Cyrl-RS"/>
        </w:rPr>
        <w:t>овај СОС телефон је почео да пружа психо-социјалну подршку ученицима и родитељима.</w:t>
      </w:r>
    </w:p>
    <w:p w:rsidR="006904C2" w:rsidRPr="002A065E" w:rsidRDefault="006904C2" w:rsidP="006904C2">
      <w:pPr>
        <w:spacing w:after="0"/>
        <w:ind w:firstLine="720"/>
        <w:jc w:val="both"/>
        <w:rPr>
          <w:rStyle w:val="v2-clan-left-1"/>
          <w:bCs/>
          <w:sz w:val="24"/>
          <w:szCs w:val="24"/>
          <w:lang w:val="sr-Cyrl-RS"/>
        </w:rPr>
      </w:pPr>
      <w:r w:rsidRPr="002A065E">
        <w:rPr>
          <w:bCs/>
          <w:sz w:val="24"/>
          <w:szCs w:val="24"/>
          <w:lang w:val="sr-Cyrl-RS"/>
        </w:rPr>
        <w:t>Такође су у</w:t>
      </w:r>
      <w:r w:rsidRPr="002A065E">
        <w:rPr>
          <w:sz w:val="24"/>
          <w:szCs w:val="24"/>
          <w:lang w:val="sr-Cyrl-RS"/>
        </w:rPr>
        <w:t xml:space="preserve">својена два подзаконска акта: </w:t>
      </w:r>
      <w:r w:rsidRPr="002A065E">
        <w:rPr>
          <w:bCs/>
          <w:sz w:val="24"/>
          <w:szCs w:val="24"/>
          <w:lang w:val="sr-Cyrl-RS"/>
        </w:rPr>
        <w:t>Правилник о ближим критеријумима за препознавање облика дискриминације од стране запосленог, детета, ученика или трећег лица у установи образовања и васпитања</w:t>
      </w:r>
      <w:r w:rsidRPr="002A065E">
        <w:rPr>
          <w:rStyle w:val="FootnoteReference"/>
          <w:bCs/>
          <w:sz w:val="24"/>
          <w:szCs w:val="24"/>
          <w:lang w:val="sr-Cyrl-RS"/>
        </w:rPr>
        <w:footnoteReference w:id="12"/>
      </w:r>
      <w:r w:rsidRPr="002A065E">
        <w:rPr>
          <w:bCs/>
          <w:sz w:val="24"/>
          <w:szCs w:val="24"/>
          <w:lang w:val="sr-Cyrl-RS"/>
        </w:rPr>
        <w:t xml:space="preserve"> и </w:t>
      </w:r>
      <w:r w:rsidRPr="002A065E">
        <w:rPr>
          <w:rStyle w:val="v2-clan-left-1"/>
          <w:sz w:val="24"/>
          <w:szCs w:val="24"/>
          <w:lang w:val="sr-Cyrl-RS"/>
        </w:rPr>
        <w:t>Правилник о поступању установе у случају сумње или утврђеног дискриминаторног понашања и вређања угледа, части или достојанства личности</w:t>
      </w:r>
      <w:r w:rsidR="00747E7C">
        <w:rPr>
          <w:rStyle w:val="v2-clan-left-1"/>
          <w:sz w:val="24"/>
          <w:szCs w:val="24"/>
          <w:lang w:val="sr-Cyrl-RS"/>
        </w:rPr>
        <w:t>.</w:t>
      </w:r>
      <w:r w:rsidRPr="002A065E">
        <w:rPr>
          <w:rStyle w:val="FootnoteReference"/>
          <w:sz w:val="24"/>
          <w:szCs w:val="24"/>
          <w:lang w:val="sr-Cyrl-RS"/>
        </w:rPr>
        <w:footnoteReference w:id="13"/>
      </w:r>
      <w:r w:rsidRPr="002A065E">
        <w:rPr>
          <w:rStyle w:val="v2-clan-left-1"/>
          <w:sz w:val="24"/>
          <w:szCs w:val="24"/>
          <w:lang w:val="sr-Cyrl-RS"/>
        </w:rPr>
        <w:t xml:space="preserve"> </w:t>
      </w:r>
    </w:p>
    <w:p w:rsidR="006904C2" w:rsidRPr="002A065E" w:rsidRDefault="006904C2" w:rsidP="006904C2">
      <w:pPr>
        <w:spacing w:after="0"/>
        <w:ind w:firstLine="720"/>
        <w:jc w:val="both"/>
        <w:rPr>
          <w:sz w:val="24"/>
          <w:szCs w:val="24"/>
          <w:lang w:val="sr-Cyrl-RS"/>
        </w:rPr>
      </w:pPr>
      <w:r w:rsidRPr="002A065E">
        <w:rPr>
          <w:sz w:val="24"/>
          <w:szCs w:val="24"/>
          <w:lang w:val="sr-Cyrl-RS"/>
        </w:rPr>
        <w:t xml:space="preserve">Са циљем стручног усавршавања запослених у систему образовања и васпитања за примену Правилника о поступању установе у случају сумње или утврђеног дискриминаторног понашања одржана је обука за 30 просветних инспектора и саветника и онлајн обука за 300 наставника и стручних сарадника, просветних саветника и просветних инспектора. Од ступања на снагу Правилника о поступању установе 2018. године укупно је пријављено 30 случајева дискриминаторног понашања. Пријаве од стране родитеља су углавном пријаве које не подразумевају претпостављено или стварно лично својство које је кључно приликом одређивања дискриминаторног понашања. Установе углавном пријављују удруживање родитеља у циљу искључивања ученика којима је потребна додатна образовна подршка из одељења/школе. Део пријава (до 25%) носи лично својство – национална припадност. </w:t>
      </w:r>
    </w:p>
    <w:p w:rsidR="006904C2" w:rsidRPr="002A065E" w:rsidRDefault="006904C2" w:rsidP="002A065E">
      <w:pPr>
        <w:spacing w:after="0"/>
        <w:ind w:firstLine="720"/>
        <w:jc w:val="both"/>
        <w:rPr>
          <w:sz w:val="24"/>
          <w:szCs w:val="24"/>
          <w:lang w:val="sr-Cyrl-RS"/>
        </w:rPr>
      </w:pPr>
      <w:r w:rsidRPr="002A065E">
        <w:rPr>
          <w:sz w:val="24"/>
          <w:szCs w:val="24"/>
          <w:lang w:val="sr-Cyrl-RS"/>
        </w:rPr>
        <w:t xml:space="preserve">Осим тога, израђена је </w:t>
      </w:r>
      <w:r w:rsidR="00314A90" w:rsidRPr="002A065E">
        <w:rPr>
          <w:sz w:val="24"/>
          <w:szCs w:val="24"/>
          <w:lang w:val="sr-Cyrl-RS"/>
        </w:rPr>
        <w:t>приручник</w:t>
      </w:r>
      <w:r w:rsidRPr="002A065E">
        <w:rPr>
          <w:sz w:val="24"/>
          <w:szCs w:val="24"/>
          <w:lang w:val="sr-Cyrl-RS"/>
        </w:rPr>
        <w:t xml:space="preserve"> </w:t>
      </w:r>
      <w:r w:rsidR="00314A90" w:rsidRPr="002A065E">
        <w:rPr>
          <w:sz w:val="24"/>
          <w:szCs w:val="24"/>
          <w:lang w:val="sr-Cyrl-RS"/>
        </w:rPr>
        <w:t xml:space="preserve">– брошура </w:t>
      </w:r>
      <w:r w:rsidRPr="002A065E">
        <w:rPr>
          <w:sz w:val="24"/>
          <w:szCs w:val="24"/>
          <w:lang w:val="sr-Cyrl-RS"/>
        </w:rPr>
        <w:t xml:space="preserve">за родитеље </w:t>
      </w:r>
      <w:r w:rsidR="00314A90" w:rsidRPr="002A065E">
        <w:rPr>
          <w:sz w:val="24"/>
          <w:szCs w:val="24"/>
          <w:lang w:val="sr-Cyrl-RS"/>
        </w:rPr>
        <w:t>о превенцији, заштити</w:t>
      </w:r>
      <w:r w:rsidR="002A065E" w:rsidRPr="002A065E">
        <w:rPr>
          <w:sz w:val="24"/>
          <w:szCs w:val="24"/>
          <w:lang w:val="sr-Cyrl-RS"/>
        </w:rPr>
        <w:t xml:space="preserve"> </w:t>
      </w:r>
      <w:r w:rsidR="00314A90" w:rsidRPr="002A065E">
        <w:rPr>
          <w:sz w:val="24"/>
          <w:szCs w:val="24"/>
          <w:lang w:val="sr-Cyrl-RS"/>
        </w:rPr>
        <w:t>и поступање у случајевима</w:t>
      </w:r>
      <w:r w:rsidR="002A065E" w:rsidRPr="002A065E">
        <w:rPr>
          <w:sz w:val="24"/>
          <w:szCs w:val="24"/>
          <w:lang w:val="sr-Cyrl-RS"/>
        </w:rPr>
        <w:t xml:space="preserve"> </w:t>
      </w:r>
      <w:r w:rsidR="00314A90" w:rsidRPr="002A065E">
        <w:rPr>
          <w:sz w:val="24"/>
          <w:szCs w:val="24"/>
          <w:lang w:val="sr-Cyrl-RS"/>
        </w:rPr>
        <w:t>дискриминације</w:t>
      </w:r>
      <w:r w:rsidR="002A065E" w:rsidRPr="002A065E">
        <w:rPr>
          <w:sz w:val="24"/>
          <w:szCs w:val="24"/>
          <w:lang w:val="sr-Cyrl-RS"/>
        </w:rPr>
        <w:t xml:space="preserve"> </w:t>
      </w:r>
      <w:r w:rsidR="00314A90" w:rsidRPr="002A065E">
        <w:rPr>
          <w:sz w:val="24"/>
          <w:szCs w:val="24"/>
          <w:lang w:val="sr-Cyrl-RS"/>
        </w:rPr>
        <w:t>у образовању</w:t>
      </w:r>
      <w:r w:rsidRPr="002A065E">
        <w:rPr>
          <w:rStyle w:val="FootnoteReference"/>
          <w:sz w:val="24"/>
          <w:szCs w:val="24"/>
          <w:lang w:val="sr-Cyrl-RS"/>
        </w:rPr>
        <w:footnoteReference w:id="14"/>
      </w:r>
      <w:r w:rsidRPr="002A065E">
        <w:rPr>
          <w:sz w:val="24"/>
          <w:szCs w:val="24"/>
          <w:lang w:val="sr-Cyrl-RS"/>
        </w:rPr>
        <w:t xml:space="preserve"> и Водич кроз превенцију и одговор на дискриминацију за запослене у установама образовања и васпитања.</w:t>
      </w:r>
      <w:r w:rsidRPr="002A065E">
        <w:rPr>
          <w:rStyle w:val="FootnoteReference"/>
          <w:sz w:val="24"/>
          <w:szCs w:val="24"/>
          <w:lang w:val="sr-Cyrl-RS"/>
        </w:rPr>
        <w:footnoteReference w:id="15"/>
      </w:r>
      <w:r w:rsidRPr="002A065E">
        <w:rPr>
          <w:sz w:val="24"/>
          <w:szCs w:val="24"/>
          <w:lang w:val="sr-Cyrl-RS"/>
        </w:rPr>
        <w:t xml:space="preserve"> </w:t>
      </w:r>
    </w:p>
    <w:p w:rsidR="006904C2" w:rsidRPr="00864274" w:rsidRDefault="006904C2" w:rsidP="006904C2">
      <w:pPr>
        <w:spacing w:after="0"/>
        <w:ind w:firstLine="720"/>
        <w:jc w:val="both"/>
        <w:rPr>
          <w:sz w:val="24"/>
          <w:szCs w:val="24"/>
          <w:lang w:val="sr-Cyrl-RS"/>
        </w:rPr>
      </w:pPr>
      <w:r w:rsidRPr="00864274">
        <w:rPr>
          <w:sz w:val="24"/>
          <w:szCs w:val="24"/>
          <w:lang w:val="sr-Cyrl-RS"/>
        </w:rPr>
        <w:t>Повереник за заштиту равноправности је 2017. године објавио приручник „Превенција сегрегације, развој инклузивних уписних политика и десегрегација школа и одељења: међународна искуства и предлози за унапређење праксе у Србији“</w:t>
      </w:r>
      <w:r w:rsidR="004363CD">
        <w:rPr>
          <w:rStyle w:val="FootnoteReference"/>
          <w:sz w:val="24"/>
          <w:szCs w:val="24"/>
          <w:lang w:val="sr-Cyrl-RS"/>
        </w:rPr>
        <w:footnoteReference w:id="16"/>
      </w:r>
      <w:r w:rsidRPr="00864274">
        <w:rPr>
          <w:sz w:val="24"/>
          <w:szCs w:val="24"/>
          <w:lang w:val="sr-Cyrl-RS"/>
        </w:rPr>
        <w:t xml:space="preserve"> с циљем да омогући препознавање проблема сегрегације, али и да пружи преглед мера за превенцију, првенствено кроз развој инклузивног образовања. Приручник садржи, између осталог, компаративни приказ модела десегрегације у појединим европским земљама, као и конкретне предлоге за унапређење праксе у Србији.</w:t>
      </w:r>
    </w:p>
    <w:p w:rsidR="006904C2" w:rsidRPr="0083090D" w:rsidRDefault="006904C2" w:rsidP="0083090D">
      <w:pPr>
        <w:spacing w:after="0"/>
        <w:ind w:firstLine="720"/>
        <w:jc w:val="both"/>
        <w:rPr>
          <w:sz w:val="24"/>
          <w:szCs w:val="24"/>
          <w:lang w:val="sr-Cyrl-RS" w:bidi="th-TH"/>
        </w:rPr>
      </w:pPr>
      <w:r w:rsidRPr="00864274">
        <w:rPr>
          <w:sz w:val="24"/>
          <w:szCs w:val="24"/>
          <w:lang w:val="sr-Cyrl-RS" w:bidi="th-TH"/>
        </w:rPr>
        <w:t xml:space="preserve">У оквиру пројекта </w:t>
      </w:r>
      <w:r w:rsidRPr="00864274">
        <w:rPr>
          <w:sz w:val="24"/>
          <w:szCs w:val="24"/>
          <w:lang w:val="sr-Cyrl-RS"/>
        </w:rPr>
        <w:t xml:space="preserve">„Партнерство за праведно квалитетно образовање“ који реализује Министарство просвете у сарадњи са </w:t>
      </w:r>
      <w:r w:rsidRPr="00864274">
        <w:rPr>
          <w:sz w:val="24"/>
          <w:szCs w:val="24"/>
          <w:lang w:val="sr-Cyrl-RS" w:bidi="th-TH"/>
        </w:rPr>
        <w:t xml:space="preserve">Центром за интерактивну педагогију и </w:t>
      </w:r>
      <w:r w:rsidRPr="00864274">
        <w:rPr>
          <w:sz w:val="24"/>
          <w:szCs w:val="24"/>
          <w:lang w:val="sr-Cyrl-RS" w:bidi="th-TH"/>
        </w:rPr>
        <w:lastRenderedPageBreak/>
        <w:t xml:space="preserve">„Песталоци“ фондацијом (2020-2022) ради се на препознавању ризика од сегрегације у 10 основних школа. Активности су усмерене и на јачање сарадње на локалу, развијање уписне политике, као и на јачање капацитета локалних управа и школа, и унапређивање квалитета образовања. Обезбеђена је материјална и техничка подршка школама и ученицима за реализацију наставе на даљину (са посебним акцентом на ученике из осетљивих група), обуке за запослене, развијени су едукативни видео материјали за родитеље, а обезбеђени су и грантови за реализовање заједничких активности у којима учествују школе у ризику од сегрегације и партнерске школе. </w:t>
      </w:r>
      <w:r w:rsidR="002A065E" w:rsidRPr="00864274">
        <w:rPr>
          <w:sz w:val="24"/>
          <w:szCs w:val="24"/>
          <w:lang w:val="sr-Cyrl-RS" w:bidi="th-TH"/>
        </w:rPr>
        <w:t>У</w:t>
      </w:r>
      <w:r w:rsidRPr="00864274">
        <w:rPr>
          <w:sz w:val="24"/>
          <w:szCs w:val="24"/>
          <w:lang w:val="sr-Cyrl-RS" w:bidi="th-TH"/>
        </w:rPr>
        <w:t xml:space="preserve"> три локалне самоуправе започет је процес израде акционих планова за развијање уписних политика </w:t>
      </w:r>
      <w:r w:rsidR="002A065E" w:rsidRPr="00864274">
        <w:rPr>
          <w:sz w:val="24"/>
          <w:szCs w:val="24"/>
          <w:lang w:val="sr-Cyrl-RS" w:bidi="th-TH"/>
        </w:rPr>
        <w:t>у циљу</w:t>
      </w:r>
      <w:r w:rsidRPr="00864274">
        <w:rPr>
          <w:sz w:val="24"/>
          <w:szCs w:val="24"/>
          <w:lang w:val="sr-Cyrl-RS" w:bidi="th-TH"/>
        </w:rPr>
        <w:t xml:space="preserve"> превенциј</w:t>
      </w:r>
      <w:r w:rsidR="002A065E" w:rsidRPr="00864274">
        <w:rPr>
          <w:sz w:val="24"/>
          <w:szCs w:val="24"/>
          <w:lang w:val="sr-Cyrl-RS" w:bidi="th-TH"/>
        </w:rPr>
        <w:t>е</w:t>
      </w:r>
      <w:r w:rsidRPr="00864274">
        <w:rPr>
          <w:sz w:val="24"/>
          <w:szCs w:val="24"/>
          <w:lang w:val="sr-Cyrl-RS" w:bidi="th-TH"/>
        </w:rPr>
        <w:t xml:space="preserve"> сегрегациј</w:t>
      </w:r>
      <w:r w:rsidR="002A065E" w:rsidRPr="00864274">
        <w:rPr>
          <w:sz w:val="24"/>
          <w:szCs w:val="24"/>
          <w:lang w:val="sr-Cyrl-RS" w:bidi="th-TH"/>
        </w:rPr>
        <w:t>е</w:t>
      </w:r>
      <w:r w:rsidRPr="00864274">
        <w:rPr>
          <w:sz w:val="24"/>
          <w:szCs w:val="24"/>
          <w:lang w:val="sr-Cyrl-RS" w:bidi="th-TH"/>
        </w:rPr>
        <w:t xml:space="preserve">. У току је израда Водича за примену </w:t>
      </w:r>
      <w:r w:rsidRPr="00864274">
        <w:rPr>
          <w:iCs/>
          <w:sz w:val="24"/>
          <w:szCs w:val="24"/>
          <w:lang w:val="sr-Cyrl-RS" w:bidi="th-TH"/>
        </w:rPr>
        <w:t>Правилника о поступању установе у случају сумње или утврђеног дискриминаторног понашања и вређања угледа, части или достојанства личности</w:t>
      </w:r>
      <w:r w:rsidRPr="00864274">
        <w:rPr>
          <w:sz w:val="24"/>
          <w:szCs w:val="24"/>
          <w:lang w:val="sr-Cyrl-RS" w:bidi="th-TH"/>
        </w:rPr>
        <w:t xml:space="preserve">, </w:t>
      </w:r>
      <w:r w:rsidR="002A065E" w:rsidRPr="00864274">
        <w:rPr>
          <w:sz w:val="24"/>
          <w:szCs w:val="24"/>
          <w:lang w:val="sr-Cyrl-RS" w:bidi="th-TH"/>
        </w:rPr>
        <w:t>који посебну пажњу посвећује</w:t>
      </w:r>
      <w:r w:rsidRPr="00864274">
        <w:rPr>
          <w:sz w:val="24"/>
          <w:szCs w:val="24"/>
          <w:lang w:val="sr-Cyrl-RS" w:bidi="th-TH"/>
        </w:rPr>
        <w:t xml:space="preserve"> чланов</w:t>
      </w:r>
      <w:r w:rsidR="002A065E" w:rsidRPr="00864274">
        <w:rPr>
          <w:sz w:val="24"/>
          <w:szCs w:val="24"/>
          <w:lang w:val="sr-Cyrl-RS" w:bidi="th-TH"/>
        </w:rPr>
        <w:t>има</w:t>
      </w:r>
      <w:r w:rsidRPr="00864274">
        <w:rPr>
          <w:sz w:val="24"/>
          <w:szCs w:val="24"/>
          <w:lang w:val="sr-Cyrl-RS" w:bidi="th-TH"/>
        </w:rPr>
        <w:t xml:space="preserve"> Правилника који се односе на сегрегацију.</w:t>
      </w:r>
      <w:r w:rsidR="0083090D">
        <w:rPr>
          <w:sz w:val="24"/>
          <w:szCs w:val="24"/>
          <w:lang w:bidi="th-TH"/>
        </w:rPr>
        <w:t xml:space="preserve"> </w:t>
      </w:r>
      <w:r w:rsidR="0083090D" w:rsidRPr="0032712F">
        <w:rPr>
          <w:sz w:val="24"/>
          <w:szCs w:val="24"/>
          <w:lang w:val="sr-Cyrl-RS" w:bidi="th-TH"/>
        </w:rPr>
        <w:t xml:space="preserve">У овом контексту, посебно је важно истаћи да је изменама и допунама </w:t>
      </w:r>
      <w:r w:rsidR="0083090D" w:rsidRPr="0032712F">
        <w:rPr>
          <w:sz w:val="24"/>
          <w:szCs w:val="24"/>
          <w:lang w:bidi="th-TH"/>
        </w:rPr>
        <w:t>Закон</w:t>
      </w:r>
      <w:r w:rsidR="0083090D" w:rsidRPr="0032712F">
        <w:rPr>
          <w:sz w:val="24"/>
          <w:szCs w:val="24"/>
          <w:lang w:val="sr-Cyrl-RS" w:bidi="th-TH"/>
        </w:rPr>
        <w:t>а</w:t>
      </w:r>
      <w:r w:rsidR="0083090D" w:rsidRPr="0032712F">
        <w:rPr>
          <w:sz w:val="24"/>
          <w:szCs w:val="24"/>
          <w:lang w:bidi="th-TH"/>
        </w:rPr>
        <w:t xml:space="preserve"> о забрани дискриминације</w:t>
      </w:r>
      <w:r w:rsidR="0083090D" w:rsidRPr="0032712F">
        <w:rPr>
          <w:rStyle w:val="FootnoteReference"/>
          <w:sz w:val="24"/>
          <w:szCs w:val="24"/>
          <w:lang w:bidi="th-TH"/>
        </w:rPr>
        <w:footnoteReference w:id="17"/>
      </w:r>
      <w:r w:rsidR="0083090D" w:rsidRPr="0032712F">
        <w:rPr>
          <w:sz w:val="24"/>
          <w:szCs w:val="24"/>
          <w:lang w:val="sr-Cyrl-RS" w:bidi="th-TH"/>
        </w:rPr>
        <w:t xml:space="preserve"> од 20. маја 2021. године</w:t>
      </w:r>
      <w:r w:rsidR="0083090D" w:rsidRPr="0032712F">
        <w:rPr>
          <w:sz w:val="24"/>
          <w:szCs w:val="24"/>
          <w:lang w:bidi="th-TH"/>
        </w:rPr>
        <w:t xml:space="preserve">, </w:t>
      </w:r>
      <w:r w:rsidR="0083090D" w:rsidRPr="0032712F">
        <w:rPr>
          <w:sz w:val="24"/>
          <w:szCs w:val="24"/>
          <w:lang w:val="sr-Cyrl-RS" w:bidi="th-TH"/>
        </w:rPr>
        <w:t>у законски текст уведен појам сегрегације, о чему ће бити више речи у одговарајућим деловима овог извештаја.</w:t>
      </w:r>
      <w:r w:rsidR="0083090D">
        <w:rPr>
          <w:sz w:val="24"/>
          <w:szCs w:val="24"/>
          <w:lang w:val="sr-Cyrl-RS" w:bidi="th-TH"/>
        </w:rPr>
        <w:t xml:space="preserve"> </w:t>
      </w:r>
    </w:p>
    <w:p w:rsidR="00FD0EAF" w:rsidRPr="00A66C30" w:rsidRDefault="00FD0EAF" w:rsidP="006904C2">
      <w:pPr>
        <w:spacing w:after="0"/>
        <w:ind w:firstLine="720"/>
        <w:jc w:val="both"/>
        <w:rPr>
          <w:sz w:val="24"/>
          <w:szCs w:val="24"/>
          <w:highlight w:val="yellow"/>
          <w:lang w:val="sr-Cyrl-RS" w:bidi="th-TH"/>
        </w:rPr>
      </w:pPr>
      <w:r w:rsidRPr="00FD0EAF">
        <w:rPr>
          <w:sz w:val="24"/>
          <w:szCs w:val="24"/>
          <w:lang w:val="sr-Cyrl-RS" w:bidi="th-TH"/>
        </w:rPr>
        <w:t>Неке од примера добре праксе рада на локалу применио је и овај пројекат кроз успостављање локалних пројектних тимова и потписање меморандума о међусобној сарадњи</w:t>
      </w:r>
      <w:r w:rsidR="002A065E">
        <w:rPr>
          <w:sz w:val="24"/>
          <w:szCs w:val="24"/>
          <w:lang w:val="sr-Cyrl-RS" w:bidi="th-TH"/>
        </w:rPr>
        <w:t>.</w:t>
      </w:r>
      <w:r w:rsidRPr="00FD0EAF">
        <w:rPr>
          <w:sz w:val="24"/>
          <w:szCs w:val="24"/>
          <w:lang w:val="sr-Cyrl-RS" w:bidi="th-TH"/>
        </w:rPr>
        <w:t xml:space="preserve"> </w:t>
      </w:r>
      <w:r w:rsidR="002A065E">
        <w:rPr>
          <w:sz w:val="24"/>
          <w:szCs w:val="24"/>
          <w:lang w:val="sr-Cyrl-RS" w:bidi="th-TH"/>
        </w:rPr>
        <w:t>Р</w:t>
      </w:r>
      <w:r w:rsidRPr="00FD0EAF">
        <w:rPr>
          <w:sz w:val="24"/>
          <w:szCs w:val="24"/>
          <w:lang w:val="sr-Cyrl-RS" w:bidi="th-TH"/>
        </w:rPr>
        <w:t>еализоване су непосредне обуке и радни састанци са циљем разм</w:t>
      </w:r>
      <w:r w:rsidR="00E73C1F">
        <w:rPr>
          <w:sz w:val="24"/>
          <w:szCs w:val="24"/>
          <w:lang w:val="sr-Cyrl-RS" w:bidi="th-TH"/>
        </w:rPr>
        <w:t>е</w:t>
      </w:r>
      <w:r w:rsidRPr="00FD0EAF">
        <w:rPr>
          <w:sz w:val="24"/>
          <w:szCs w:val="24"/>
          <w:lang w:val="sr-Cyrl-RS" w:bidi="th-TH"/>
        </w:rPr>
        <w:t>не искустава. Важан корак ка елиминацији сегрегације су и развијени акциони планови за праведне уписне политике. За ученике из осетљивих група обезбеђена је додатна подршка у учењу кроз организовање допунских часова за надокнаду градива и помоћ у учењу. Школе кроз добијене финансијске грантове планирају и реализују низ заједничких активности у којима су учествовали ученици, наставници и родитељи. Поред запослених у школама који раде на јачању својих компетенција, подршку добијају и родитељи ромских ученика кроз панел дискусије о правима деце на образовање, препознавању и поступању у ситуацијама дискриминације. Снимљена су три промотивна филма у којима су представљене фокус школе, што је битно допринело промоцији школа и повећаном интересовању родитеља за упис деце у први разред. Пројектне активности су промовисане на друштвеним мрежама и локалним медијима. У школск</w:t>
      </w:r>
      <w:r w:rsidR="00C77214">
        <w:rPr>
          <w:sz w:val="24"/>
          <w:szCs w:val="24"/>
          <w:lang w:val="sr-Cyrl-RS" w:bidi="th-TH"/>
        </w:rPr>
        <w:t>ој</w:t>
      </w:r>
      <w:r w:rsidRPr="00FD0EAF">
        <w:rPr>
          <w:sz w:val="24"/>
          <w:szCs w:val="24"/>
          <w:lang w:val="sr-Cyrl-RS" w:bidi="th-TH"/>
        </w:rPr>
        <w:t xml:space="preserve"> 2021/22</w:t>
      </w:r>
      <w:r w:rsidR="00C77214">
        <w:rPr>
          <w:sz w:val="24"/>
          <w:szCs w:val="24"/>
          <w:lang w:val="sr-Cyrl-RS" w:bidi="th-TH"/>
        </w:rPr>
        <w:t>.</w:t>
      </w:r>
      <w:r w:rsidRPr="00FD0EAF">
        <w:rPr>
          <w:sz w:val="24"/>
          <w:szCs w:val="24"/>
          <w:lang w:val="sr-Cyrl-RS" w:bidi="th-TH"/>
        </w:rPr>
        <w:t xml:space="preserve"> уписано је за 10% више ученика у први разред у три фокус школе у односу на претходну школску годину.</w:t>
      </w:r>
    </w:p>
    <w:p w:rsidR="00D42966" w:rsidRPr="00864274" w:rsidRDefault="00864274" w:rsidP="00864274">
      <w:pPr>
        <w:spacing w:after="0"/>
        <w:ind w:firstLine="720"/>
        <w:jc w:val="both"/>
        <w:rPr>
          <w:rFonts w:eastAsia="Book Antiqua"/>
          <w:position w:val="-1"/>
          <w:sz w:val="24"/>
          <w:szCs w:val="24"/>
          <w:u w:val="single"/>
        </w:rPr>
      </w:pPr>
      <w:r w:rsidRPr="00D72E31">
        <w:rPr>
          <w:rFonts w:eastAsia="Times New Roman"/>
          <w:sz w:val="24"/>
          <w:szCs w:val="24"/>
          <w:lang w:val="sr-Cyrl-RS" w:eastAsia="sr-Cyrl-RS" w:bidi="sr-Cyrl-RS"/>
        </w:rPr>
        <w:t>За борбу против изостајања из школе и раног напуштања школовања међу ромском децом, кроз ширење и развој дугорочног коришћења услуга педагошких асистената</w:t>
      </w:r>
      <w:r w:rsidR="003A0777">
        <w:rPr>
          <w:rFonts w:eastAsia="Times New Roman"/>
          <w:sz w:val="24"/>
          <w:szCs w:val="24"/>
          <w:lang w:val="sr-Cyrl-RS" w:eastAsia="sr-Cyrl-RS" w:bidi="sr-Cyrl-RS"/>
        </w:rPr>
        <w:t>,</w:t>
      </w:r>
      <w:r w:rsidRPr="00D72E31">
        <w:rPr>
          <w:rFonts w:eastAsia="Times New Roman"/>
          <w:sz w:val="24"/>
          <w:szCs w:val="24"/>
          <w:lang w:val="sr-Cyrl-RS" w:eastAsia="sr-Cyrl-RS" w:bidi="sr-Cyrl-RS"/>
        </w:rPr>
        <w:t xml:space="preserve"> од посебног је значаја у</w:t>
      </w:r>
      <w:r w:rsidR="006904C2" w:rsidRPr="00D72E31">
        <w:rPr>
          <w:rFonts w:eastAsia="Times New Roman"/>
          <w:sz w:val="24"/>
          <w:szCs w:val="24"/>
          <w:lang w:val="sr-Cyrl-RS" w:eastAsia="sr-Cyrl-RS" w:bidi="sr-Cyrl-RS"/>
        </w:rPr>
        <w:t>свајање Правилника о педагошком и андрагошком асистенту</w:t>
      </w:r>
      <w:r w:rsidRPr="00D72E31">
        <w:rPr>
          <w:rFonts w:eastAsia="Times New Roman"/>
          <w:sz w:val="24"/>
          <w:szCs w:val="24"/>
          <w:lang w:val="sr-Cyrl-RS" w:eastAsia="sr-Cyrl-RS" w:bidi="sr-Cyrl-RS"/>
        </w:rPr>
        <w:t>.</w:t>
      </w:r>
      <w:r w:rsidR="006904C2" w:rsidRPr="00D72E31">
        <w:rPr>
          <w:rStyle w:val="FootnoteReference"/>
          <w:rFonts w:eastAsia="Times New Roman"/>
          <w:sz w:val="24"/>
          <w:szCs w:val="24"/>
          <w:lang w:val="sr-Cyrl-RS" w:eastAsia="sr-Cyrl-RS" w:bidi="sr-Cyrl-RS"/>
        </w:rPr>
        <w:footnoteReference w:id="18"/>
      </w:r>
      <w:r w:rsidR="006904C2" w:rsidRPr="00D72E31">
        <w:rPr>
          <w:rFonts w:eastAsia="Times New Roman"/>
          <w:sz w:val="24"/>
          <w:szCs w:val="24"/>
          <w:lang w:val="sr-Cyrl-RS" w:eastAsia="sr-Cyrl-RS" w:bidi="sr-Cyrl-RS"/>
        </w:rPr>
        <w:t xml:space="preserve"> </w:t>
      </w:r>
      <w:r w:rsidRPr="00D72E31">
        <w:rPr>
          <w:rFonts w:eastAsia="Times New Roman"/>
          <w:sz w:val="24"/>
          <w:szCs w:val="24"/>
          <w:lang w:val="sr-Cyrl-RS" w:eastAsia="sr-Cyrl-RS" w:bidi="sr-Cyrl-RS"/>
        </w:rPr>
        <w:t xml:space="preserve">Тим правилником </w:t>
      </w:r>
      <w:r w:rsidR="006904C2" w:rsidRPr="00D72E31">
        <w:rPr>
          <w:rFonts w:eastAsia="Times New Roman"/>
          <w:sz w:val="24"/>
          <w:szCs w:val="24"/>
          <w:lang w:val="sr-Cyrl-RS" w:eastAsia="sr-Cyrl-RS" w:bidi="sr-Cyrl-RS"/>
        </w:rPr>
        <w:t xml:space="preserve">дефинисано је ангажовање педагошких асистената у области пружања помоћи и додатне подршке групи деце и ученика ромске националности у предшколској установи и школи. Педагошки асистенти пружају подршку и наставницима, васпитачима и стручним сарадницима и родитељима. Школа може да ангажује педагошког асистента када има </w:t>
      </w:r>
      <w:r w:rsidR="006904C2" w:rsidRPr="00D72E31">
        <w:rPr>
          <w:rFonts w:eastAsia="Times New Roman"/>
          <w:bCs/>
          <w:sz w:val="24"/>
          <w:szCs w:val="24"/>
          <w:lang w:val="sr-Cyrl-RS" w:eastAsia="sr-Cyrl-RS" w:bidi="sr-Cyrl-RS"/>
        </w:rPr>
        <w:t>најмање 20 ученика</w:t>
      </w:r>
      <w:r w:rsidR="006904C2" w:rsidRPr="00D72E31">
        <w:rPr>
          <w:rFonts w:eastAsia="Times New Roman"/>
          <w:sz w:val="24"/>
          <w:szCs w:val="24"/>
          <w:lang w:val="sr-Cyrl-RS" w:eastAsia="sr-Cyrl-RS" w:bidi="sr-Cyrl-RS"/>
        </w:rPr>
        <w:t xml:space="preserve"> којима је потребна додатна подршка у образовању а пуну норму у раду остварује са 35 ученика ромске </w:t>
      </w:r>
      <w:r w:rsidR="006904C2" w:rsidRPr="00D72E31">
        <w:rPr>
          <w:rFonts w:eastAsia="Times New Roman"/>
          <w:sz w:val="24"/>
          <w:szCs w:val="24"/>
          <w:lang w:val="sr-Cyrl-RS" w:eastAsia="sr-Cyrl-RS" w:bidi="sr-Cyrl-RS"/>
        </w:rPr>
        <w:lastRenderedPageBreak/>
        <w:t xml:space="preserve">националне мањине. У школској 2020/21. години укупно је ангажовано 260 педагошких асистената, </w:t>
      </w:r>
      <w:r w:rsidRPr="00D72E31">
        <w:rPr>
          <w:rFonts w:eastAsia="Times New Roman"/>
          <w:sz w:val="24"/>
          <w:szCs w:val="24"/>
          <w:lang w:val="sr-Cyrl-RS" w:eastAsia="sr-Cyrl-RS" w:bidi="sr-Cyrl-RS"/>
        </w:rPr>
        <w:t xml:space="preserve">од чега се </w:t>
      </w:r>
      <w:r w:rsidR="006904C2" w:rsidRPr="00D72E31">
        <w:rPr>
          <w:rFonts w:eastAsia="Times New Roman"/>
          <w:sz w:val="24"/>
          <w:szCs w:val="24"/>
          <w:lang w:val="sr-Cyrl-RS" w:eastAsia="sr-Cyrl-RS" w:bidi="sr-Cyrl-RS"/>
        </w:rPr>
        <w:t xml:space="preserve">219 </w:t>
      </w:r>
      <w:r w:rsidRPr="00D72E31">
        <w:rPr>
          <w:rFonts w:eastAsia="Times New Roman"/>
          <w:sz w:val="24"/>
          <w:szCs w:val="24"/>
          <w:lang w:val="sr-Cyrl-RS" w:eastAsia="sr-Cyrl-RS" w:bidi="sr-Cyrl-RS"/>
        </w:rPr>
        <w:t>финансирало из буџета Републике Србије</w:t>
      </w:r>
      <w:r w:rsidR="006904C2" w:rsidRPr="00D72E31">
        <w:rPr>
          <w:rFonts w:eastAsia="Times New Roman"/>
          <w:sz w:val="24"/>
          <w:szCs w:val="24"/>
          <w:lang w:val="sr-Cyrl-RS" w:eastAsia="sr-Cyrl-RS" w:bidi="sr-Cyrl-RS"/>
        </w:rPr>
        <w:t>, док се 41 асистент финансира</w:t>
      </w:r>
      <w:r w:rsidRPr="00D72E31">
        <w:rPr>
          <w:rFonts w:eastAsia="Times New Roman"/>
          <w:sz w:val="24"/>
          <w:szCs w:val="24"/>
          <w:lang w:val="sr-Cyrl-RS" w:eastAsia="sr-Cyrl-RS" w:bidi="sr-Cyrl-RS"/>
        </w:rPr>
        <w:t>о</w:t>
      </w:r>
      <w:r w:rsidR="006904C2" w:rsidRPr="00D72E31">
        <w:rPr>
          <w:rFonts w:eastAsia="Times New Roman"/>
          <w:sz w:val="24"/>
          <w:szCs w:val="24"/>
          <w:lang w:val="sr-Cyrl-RS" w:eastAsia="sr-Cyrl-RS" w:bidi="sr-Cyrl-RS"/>
        </w:rPr>
        <w:t xml:space="preserve"> од стране локалне самоуправе.</w:t>
      </w:r>
      <w:r w:rsidR="006904C2" w:rsidRPr="00D72E31">
        <w:rPr>
          <w:rFonts w:eastAsia="Times New Roman"/>
          <w:b/>
          <w:bCs/>
          <w:sz w:val="24"/>
          <w:szCs w:val="24"/>
          <w:lang w:val="sr-Cyrl-RS" w:eastAsia="sr-Cyrl-RS" w:bidi="sr-Cyrl-RS"/>
        </w:rPr>
        <w:t xml:space="preserve"> </w:t>
      </w:r>
      <w:r w:rsidR="006904C2" w:rsidRPr="00D72E31">
        <w:rPr>
          <w:rFonts w:eastAsia="Times New Roman"/>
          <w:sz w:val="24"/>
          <w:szCs w:val="24"/>
          <w:lang w:val="sr-Cyrl-RS" w:eastAsia="sr-Cyrl-RS" w:bidi="sr-Cyrl-RS"/>
        </w:rPr>
        <w:t>У школској 2021/22. години настављ</w:t>
      </w:r>
      <w:r w:rsidRPr="00D72E31">
        <w:rPr>
          <w:rFonts w:eastAsia="Times New Roman"/>
          <w:sz w:val="24"/>
          <w:szCs w:val="24"/>
          <w:lang w:val="sr-Cyrl-RS" w:eastAsia="sr-Cyrl-RS" w:bidi="sr-Cyrl-RS"/>
        </w:rPr>
        <w:t>ено</w:t>
      </w:r>
      <w:r w:rsidR="006904C2" w:rsidRPr="00D72E31">
        <w:rPr>
          <w:rFonts w:eastAsia="Times New Roman"/>
          <w:sz w:val="24"/>
          <w:szCs w:val="24"/>
          <w:lang w:val="sr-Cyrl-RS" w:eastAsia="sr-Cyrl-RS" w:bidi="sr-Cyrl-RS"/>
        </w:rPr>
        <w:t xml:space="preserve"> </w:t>
      </w:r>
      <w:r w:rsidRPr="00D72E31">
        <w:rPr>
          <w:rFonts w:eastAsia="Times New Roman"/>
          <w:sz w:val="24"/>
          <w:szCs w:val="24"/>
          <w:lang w:val="sr-Cyrl-RS" w:eastAsia="sr-Cyrl-RS" w:bidi="sr-Cyrl-RS"/>
        </w:rPr>
        <w:t>ј</w:t>
      </w:r>
      <w:r w:rsidR="006904C2" w:rsidRPr="00D72E31">
        <w:rPr>
          <w:rFonts w:eastAsia="Times New Roman"/>
          <w:sz w:val="24"/>
          <w:szCs w:val="24"/>
          <w:lang w:val="sr-Cyrl-RS" w:eastAsia="sr-Cyrl-RS" w:bidi="sr-Cyrl-RS"/>
        </w:rPr>
        <w:t>е ширење мреже педагошких асистената</w:t>
      </w:r>
      <w:r w:rsidRPr="00D72E31">
        <w:rPr>
          <w:rFonts w:eastAsia="Times New Roman"/>
          <w:sz w:val="24"/>
          <w:szCs w:val="24"/>
          <w:lang w:val="sr-Cyrl-RS" w:eastAsia="sr-Cyrl-RS" w:bidi="sr-Cyrl-RS"/>
        </w:rPr>
        <w:t>.</w:t>
      </w:r>
      <w:r w:rsidR="006904C2" w:rsidRPr="00D72E31">
        <w:rPr>
          <w:rFonts w:eastAsia="Times New Roman"/>
          <w:sz w:val="24"/>
          <w:szCs w:val="24"/>
          <w:lang w:val="sr-Cyrl-RS" w:eastAsia="sr-Cyrl-RS" w:bidi="sr-Cyrl-RS"/>
        </w:rPr>
        <w:t xml:space="preserve"> </w:t>
      </w:r>
      <w:bookmarkStart w:id="5" w:name="_Hlk67041698"/>
      <w:r w:rsidRPr="00D72E31">
        <w:rPr>
          <w:rFonts w:eastAsia="Times New Roman"/>
          <w:bCs/>
          <w:iCs/>
          <w:sz w:val="24"/>
          <w:szCs w:val="24"/>
          <w:lang w:val="sr-Cyrl-RS"/>
        </w:rPr>
        <w:t xml:space="preserve">Из државног буџета </w:t>
      </w:r>
      <w:r w:rsidR="00D42966" w:rsidRPr="00D72E31">
        <w:rPr>
          <w:rFonts w:eastAsia="Book Antiqua"/>
          <w:position w:val="-1"/>
          <w:sz w:val="24"/>
          <w:szCs w:val="24"/>
        </w:rPr>
        <w:t>финансира</w:t>
      </w:r>
      <w:r w:rsidRPr="00D72E31">
        <w:rPr>
          <w:rFonts w:eastAsia="Book Antiqua"/>
          <w:position w:val="-1"/>
          <w:sz w:val="24"/>
          <w:szCs w:val="24"/>
          <w:lang w:val="sr-Cyrl-RS"/>
        </w:rPr>
        <w:t>ју</w:t>
      </w:r>
      <w:r w:rsidR="00D42966" w:rsidRPr="00D72E31">
        <w:rPr>
          <w:rFonts w:eastAsia="Book Antiqua"/>
          <w:position w:val="-1"/>
          <w:sz w:val="24"/>
          <w:szCs w:val="24"/>
        </w:rPr>
        <w:t xml:space="preserve"> се 232 педагошка асистента</w:t>
      </w:r>
      <w:r w:rsidR="00D72E31" w:rsidRPr="00D72E31">
        <w:rPr>
          <w:rFonts w:eastAsia="Book Antiqua"/>
          <w:position w:val="-1"/>
          <w:sz w:val="24"/>
          <w:szCs w:val="24"/>
          <w:lang w:val="sr-Cyrl-RS"/>
        </w:rPr>
        <w:t>, док ј</w:t>
      </w:r>
      <w:r w:rsidR="00D42966" w:rsidRPr="00D72E31">
        <w:rPr>
          <w:rFonts w:eastAsia="Book Antiqua"/>
          <w:position w:val="-1"/>
          <w:sz w:val="24"/>
          <w:szCs w:val="24"/>
        </w:rPr>
        <w:t>едан број асистената додатно ангажује локална самоуправа.</w:t>
      </w:r>
    </w:p>
    <w:bookmarkEnd w:id="5"/>
    <w:p w:rsidR="004365F7" w:rsidRDefault="006904C2" w:rsidP="006904C2">
      <w:pPr>
        <w:spacing w:after="0"/>
        <w:ind w:firstLine="720"/>
        <w:jc w:val="both"/>
        <w:rPr>
          <w:sz w:val="24"/>
          <w:szCs w:val="24"/>
          <w:lang w:val="sr-Cyrl-RS"/>
        </w:rPr>
      </w:pPr>
      <w:r w:rsidRPr="00A55255">
        <w:rPr>
          <w:sz w:val="24"/>
          <w:szCs w:val="24"/>
          <w:lang w:val="sr-Cyrl-RS"/>
        </w:rPr>
        <w:t xml:space="preserve">Мере за спречавање осипања из образовања </w:t>
      </w:r>
      <w:r w:rsidR="00D72E31" w:rsidRPr="00A55255">
        <w:rPr>
          <w:sz w:val="24"/>
          <w:szCs w:val="24"/>
          <w:lang w:val="sr-Cyrl-RS"/>
        </w:rPr>
        <w:t xml:space="preserve">предвиђене </w:t>
      </w:r>
      <w:r w:rsidRPr="00A55255">
        <w:rPr>
          <w:sz w:val="24"/>
          <w:szCs w:val="24"/>
          <w:lang w:val="sr-Cyrl-RS"/>
        </w:rPr>
        <w:t>су законск</w:t>
      </w:r>
      <w:r w:rsidR="00D72E31" w:rsidRPr="00A55255">
        <w:rPr>
          <w:sz w:val="24"/>
          <w:szCs w:val="24"/>
          <w:lang w:val="sr-Cyrl-RS"/>
        </w:rPr>
        <w:t>им и подзаконским актима и</w:t>
      </w:r>
      <w:r w:rsidRPr="00A55255">
        <w:rPr>
          <w:sz w:val="24"/>
          <w:szCs w:val="24"/>
          <w:lang w:val="sr-Cyrl-RS"/>
        </w:rPr>
        <w:t xml:space="preserve"> </w:t>
      </w:r>
      <w:r w:rsidR="00D72E31" w:rsidRPr="00A55255">
        <w:rPr>
          <w:sz w:val="24"/>
          <w:szCs w:val="24"/>
          <w:lang w:val="sr-Cyrl-RS"/>
        </w:rPr>
        <w:t xml:space="preserve">саставни </w:t>
      </w:r>
      <w:r w:rsidRPr="00A55255">
        <w:rPr>
          <w:sz w:val="24"/>
          <w:szCs w:val="24"/>
          <w:lang w:val="sr-Cyrl-RS"/>
        </w:rPr>
        <w:t xml:space="preserve">су </w:t>
      </w:r>
      <w:r w:rsidR="00D72E31" w:rsidRPr="00A55255">
        <w:rPr>
          <w:sz w:val="24"/>
          <w:szCs w:val="24"/>
          <w:lang w:val="sr-Cyrl-RS"/>
        </w:rPr>
        <w:t xml:space="preserve">део </w:t>
      </w:r>
      <w:r w:rsidRPr="00A55255">
        <w:rPr>
          <w:sz w:val="24"/>
          <w:szCs w:val="24"/>
          <w:lang w:val="sr-Cyrl-RS"/>
        </w:rPr>
        <w:t xml:space="preserve">праксе образовних установа. Свака основна и средња школа је у обавези да донесе и реализује план превенције осипања. Развијена је методологија за рану идентификацију ученика у ризику од осипања, а ученици у ризику од осипања су препознати као осетљива група која може остварити право на индивидуални образовни план (ИОП). Саставни део ИОП-а је и индивидуализовани план превенције раног напуштања школе. Прописан је приоритетни упис деце из осетљивих друштвених група у предшколско васпитање и образовање, субвенција трошкова боравка у вртићу за одређене категорије деце, као и обавезни и бесплатни припремни предшколски програм. Обезбеђен је бесплатан превоз за предшколце и ученике основних школа, обезбеђени су бесплатни уџбеници за ученике из осетљивих друштвених група (из породица које су примаоци социјалне помоћи, ученици који се образују по ИОП-у и треће дете у породици које је у образовању). </w:t>
      </w:r>
      <w:r w:rsidR="004365F7">
        <w:rPr>
          <w:sz w:val="24"/>
          <w:szCs w:val="24"/>
          <w:lang w:val="sr-Cyrl-RS"/>
        </w:rPr>
        <w:t>У последње три године а</w:t>
      </w:r>
      <w:r w:rsidRPr="00A55255">
        <w:rPr>
          <w:sz w:val="24"/>
          <w:szCs w:val="24"/>
          <w:lang w:val="sr-Cyrl-RS"/>
        </w:rPr>
        <w:t xml:space="preserve">кредитована су </w:t>
      </w:r>
      <w:r w:rsidR="004365F7">
        <w:rPr>
          <w:sz w:val="24"/>
          <w:szCs w:val="24"/>
          <w:lang w:val="sr-Cyrl-RS"/>
        </w:rPr>
        <w:t>43</w:t>
      </w:r>
      <w:r w:rsidRPr="00A55255">
        <w:rPr>
          <w:sz w:val="24"/>
          <w:szCs w:val="24"/>
          <w:lang w:val="sr-Cyrl-RS"/>
        </w:rPr>
        <w:t xml:space="preserve"> програма и спроведен</w:t>
      </w:r>
      <w:r w:rsidR="004365F7">
        <w:rPr>
          <w:sz w:val="24"/>
          <w:szCs w:val="24"/>
          <w:lang w:val="sr-Cyrl-RS"/>
        </w:rPr>
        <w:t>о је 309</w:t>
      </w:r>
      <w:r w:rsidRPr="00A55255">
        <w:rPr>
          <w:sz w:val="24"/>
          <w:szCs w:val="24"/>
          <w:lang w:val="sr-Cyrl-RS"/>
        </w:rPr>
        <w:t xml:space="preserve"> обук</w:t>
      </w:r>
      <w:r w:rsidR="004365F7">
        <w:rPr>
          <w:sz w:val="24"/>
          <w:szCs w:val="24"/>
          <w:lang w:val="sr-Cyrl-RS"/>
        </w:rPr>
        <w:t>а</w:t>
      </w:r>
      <w:r w:rsidRPr="00A55255">
        <w:rPr>
          <w:sz w:val="24"/>
          <w:szCs w:val="24"/>
          <w:lang w:val="sr-Cyrl-RS"/>
        </w:rPr>
        <w:t xml:space="preserve"> за јачање капацитета </w:t>
      </w:r>
      <w:r w:rsidR="004365F7">
        <w:rPr>
          <w:sz w:val="24"/>
          <w:szCs w:val="24"/>
          <w:lang w:val="sr-Cyrl-RS"/>
        </w:rPr>
        <w:t>око</w:t>
      </w:r>
      <w:r w:rsidRPr="00A55255">
        <w:rPr>
          <w:sz w:val="24"/>
          <w:szCs w:val="24"/>
          <w:lang w:val="sr-Cyrl-RS"/>
        </w:rPr>
        <w:t xml:space="preserve"> </w:t>
      </w:r>
      <w:r w:rsidR="004365F7">
        <w:rPr>
          <w:sz w:val="24"/>
          <w:szCs w:val="24"/>
          <w:lang w:val="sr-Cyrl-RS"/>
        </w:rPr>
        <w:t>8</w:t>
      </w:r>
      <w:r w:rsidRPr="00A55255">
        <w:rPr>
          <w:sz w:val="24"/>
          <w:szCs w:val="24"/>
          <w:lang w:val="sr-Cyrl-RS"/>
        </w:rPr>
        <w:t xml:space="preserve">.000 запослених у образовању за превенцију осипања и активности на укључивању и учешћу све деце и ученика кроз образовање. </w:t>
      </w:r>
      <w:r w:rsidR="004365F7" w:rsidRPr="004365F7">
        <w:rPr>
          <w:sz w:val="24"/>
          <w:szCs w:val="24"/>
          <w:lang w:val="sr-Cyrl-RS"/>
        </w:rPr>
        <w:t>Такође, реализован</w:t>
      </w:r>
      <w:r w:rsidR="00C77214">
        <w:rPr>
          <w:sz w:val="24"/>
          <w:szCs w:val="24"/>
          <w:lang w:val="sr-Cyrl-RS"/>
        </w:rPr>
        <w:t>е су</w:t>
      </w:r>
      <w:r w:rsidR="004365F7" w:rsidRPr="004365F7">
        <w:rPr>
          <w:sz w:val="24"/>
          <w:szCs w:val="24"/>
          <w:lang w:val="sr-Cyrl-RS"/>
        </w:rPr>
        <w:t xml:space="preserve"> 123 обук</w:t>
      </w:r>
      <w:r w:rsidR="00C77214">
        <w:rPr>
          <w:sz w:val="24"/>
          <w:szCs w:val="24"/>
          <w:lang w:val="sr-Cyrl-RS"/>
        </w:rPr>
        <w:t>е</w:t>
      </w:r>
      <w:r w:rsidR="004365F7" w:rsidRPr="004365F7">
        <w:rPr>
          <w:sz w:val="24"/>
          <w:szCs w:val="24"/>
          <w:lang w:val="sr-Cyrl-RS"/>
        </w:rPr>
        <w:t xml:space="preserve"> са листе обука од јавног интереса које је похађало 3</w:t>
      </w:r>
      <w:r w:rsidR="004365F7">
        <w:rPr>
          <w:sz w:val="24"/>
          <w:szCs w:val="24"/>
          <w:lang w:val="sr-Cyrl-RS"/>
        </w:rPr>
        <w:t>.</w:t>
      </w:r>
      <w:r w:rsidR="004365F7" w:rsidRPr="004365F7">
        <w:rPr>
          <w:sz w:val="24"/>
          <w:szCs w:val="24"/>
          <w:lang w:val="sr-Cyrl-RS"/>
        </w:rPr>
        <w:t>030 учесника.</w:t>
      </w:r>
    </w:p>
    <w:p w:rsidR="006904C2" w:rsidRDefault="006904C2" w:rsidP="006904C2">
      <w:pPr>
        <w:spacing w:after="0"/>
        <w:ind w:firstLine="720"/>
        <w:jc w:val="both"/>
        <w:rPr>
          <w:sz w:val="24"/>
          <w:szCs w:val="24"/>
          <w:lang w:val="sr-Cyrl-RS"/>
        </w:rPr>
      </w:pPr>
      <w:r w:rsidRPr="00A55255">
        <w:rPr>
          <w:sz w:val="24"/>
          <w:szCs w:val="24"/>
          <w:lang w:val="sr-Cyrl-RS"/>
        </w:rPr>
        <w:t>Резултат ових мера је повећање обухвата деце и ученика образовањем, повећање броја ученика из осетљивих група на вишим нивоима образовања, повећање ученик</w:t>
      </w:r>
      <w:r w:rsidR="00E73C1F">
        <w:rPr>
          <w:sz w:val="24"/>
          <w:szCs w:val="24"/>
          <w:lang w:val="sr-Cyrl-RS"/>
        </w:rPr>
        <w:t>а</w:t>
      </w:r>
      <w:r w:rsidRPr="00A55255">
        <w:rPr>
          <w:sz w:val="24"/>
          <w:szCs w:val="24"/>
          <w:lang w:val="sr-Cyrl-RS"/>
        </w:rPr>
        <w:t xml:space="preserve"> који се образују по ИОП-у у редовним школама уз тренд смањивања броја ученика у школама за ученике са сметњама у развоју и инвалидитетом. Током 2019. године преко 7.500 захтева за процен</w:t>
      </w:r>
      <w:r w:rsidR="00AE4ACB">
        <w:rPr>
          <w:sz w:val="24"/>
          <w:szCs w:val="24"/>
          <w:lang w:val="sr-Cyrl-RS"/>
        </w:rPr>
        <w:t>у</w:t>
      </w:r>
      <w:r w:rsidRPr="00A55255">
        <w:rPr>
          <w:sz w:val="24"/>
          <w:szCs w:val="24"/>
          <w:lang w:val="sr-Cyrl-RS"/>
        </w:rPr>
        <w:t xml:space="preserve"> потреба за додатном подршком је упућено интерресорним комисијама (у 2011. години је било 1.300 захтева). </w:t>
      </w:r>
      <w:r w:rsidR="00D72E31" w:rsidRPr="00A55255">
        <w:rPr>
          <w:sz w:val="24"/>
          <w:szCs w:val="24"/>
          <w:lang w:val="sr-Cyrl-RS"/>
        </w:rPr>
        <w:t>До краја 2021. године а</w:t>
      </w:r>
      <w:r w:rsidRPr="00A55255">
        <w:rPr>
          <w:sz w:val="24"/>
          <w:szCs w:val="24"/>
          <w:lang w:val="sr-Cyrl-RS"/>
        </w:rPr>
        <w:t xml:space="preserve">нгажовано је </w:t>
      </w:r>
      <w:r w:rsidR="00D72E31" w:rsidRPr="00A55255">
        <w:rPr>
          <w:sz w:val="24"/>
          <w:szCs w:val="24"/>
          <w:lang w:val="sr-Cyrl-RS"/>
        </w:rPr>
        <w:t xml:space="preserve">260 педагошких асистената, </w:t>
      </w:r>
      <w:r w:rsidRPr="00A55255">
        <w:rPr>
          <w:sz w:val="24"/>
          <w:szCs w:val="24"/>
          <w:lang w:val="sr-Cyrl-RS"/>
        </w:rPr>
        <w:t>преко 1.000 личних пратила</w:t>
      </w:r>
      <w:r w:rsidR="00D72E31" w:rsidRPr="00A55255">
        <w:rPr>
          <w:sz w:val="24"/>
          <w:szCs w:val="24"/>
          <w:lang w:val="sr-Cyrl-RS"/>
        </w:rPr>
        <w:t xml:space="preserve">ца, а </w:t>
      </w:r>
      <w:r w:rsidRPr="00A55255">
        <w:rPr>
          <w:sz w:val="24"/>
          <w:szCs w:val="24"/>
          <w:lang w:val="sr-Cyrl-RS"/>
        </w:rPr>
        <w:t>преко 2.000 ученика се образује по ИОП и добија подршку запослених из школа за ученике са сметњама у развоју</w:t>
      </w:r>
      <w:r w:rsidR="00D72E31" w:rsidRPr="00A55255">
        <w:rPr>
          <w:sz w:val="24"/>
          <w:szCs w:val="24"/>
          <w:lang w:val="sr-Cyrl-RS"/>
        </w:rPr>
        <w:t>.</w:t>
      </w:r>
    </w:p>
    <w:p w:rsidR="004365F7" w:rsidRPr="00A55255" w:rsidRDefault="004365F7" w:rsidP="006904C2">
      <w:pPr>
        <w:spacing w:after="0"/>
        <w:ind w:firstLine="720"/>
        <w:jc w:val="both"/>
        <w:rPr>
          <w:sz w:val="24"/>
          <w:szCs w:val="24"/>
          <w:lang w:val="sr-Cyrl-RS"/>
        </w:rPr>
      </w:pPr>
      <w:r w:rsidRPr="004365F7">
        <w:rPr>
          <w:sz w:val="24"/>
          <w:szCs w:val="24"/>
          <w:lang w:val="sr-Cyrl-RS"/>
        </w:rPr>
        <w:t xml:space="preserve">У 2021. години ангажовано је 37 саветника-спољних сарадника у области инклузије у образовању. Они сарађују са школским управама и пружају непосредну подршку </w:t>
      </w:r>
      <w:r>
        <w:rPr>
          <w:sz w:val="24"/>
          <w:szCs w:val="24"/>
          <w:lang w:val="sr-Cyrl-RS"/>
        </w:rPr>
        <w:t>предшколским установама</w:t>
      </w:r>
      <w:r w:rsidRPr="004365F7">
        <w:rPr>
          <w:sz w:val="24"/>
          <w:szCs w:val="24"/>
          <w:lang w:val="sr-Cyrl-RS"/>
        </w:rPr>
        <w:t xml:space="preserve"> и школама за унапређивањ</w:t>
      </w:r>
      <w:r w:rsidR="00E73C1F">
        <w:rPr>
          <w:sz w:val="24"/>
          <w:szCs w:val="24"/>
          <w:lang w:val="sr-Cyrl-RS"/>
        </w:rPr>
        <w:t>е</w:t>
      </w:r>
      <w:r w:rsidRPr="004365F7">
        <w:rPr>
          <w:sz w:val="24"/>
          <w:szCs w:val="24"/>
          <w:lang w:val="sr-Cyrl-RS"/>
        </w:rPr>
        <w:t xml:space="preserve"> квалитета образовања деце и ученике из осетљивих друштвених група и одрживе инклузије деце/ученика ромске националности у систему образовања, као и деце/ученик са сметњама у развоју и инвалидитетом.</w:t>
      </w:r>
    </w:p>
    <w:p w:rsidR="006904C2" w:rsidRPr="00A55255" w:rsidRDefault="00D81951" w:rsidP="006904C2">
      <w:pPr>
        <w:spacing w:after="0"/>
        <w:ind w:firstLine="720"/>
        <w:jc w:val="both"/>
        <w:rPr>
          <w:rFonts w:eastAsia="Times New Roman"/>
          <w:sz w:val="24"/>
          <w:szCs w:val="24"/>
          <w:lang w:val="sr-Cyrl-RS" w:eastAsia="en-GB"/>
        </w:rPr>
      </w:pPr>
      <w:r w:rsidRPr="00A55255">
        <w:rPr>
          <w:rFonts w:eastAsia="Times New Roman"/>
          <w:sz w:val="24"/>
          <w:szCs w:val="24"/>
          <w:lang w:val="sr-Cyrl-RS" w:eastAsia="en-GB"/>
        </w:rPr>
        <w:t>Н</w:t>
      </w:r>
      <w:r w:rsidR="006904C2" w:rsidRPr="00A55255">
        <w:rPr>
          <w:rFonts w:eastAsia="Times New Roman"/>
          <w:sz w:val="24"/>
          <w:szCs w:val="24"/>
          <w:lang w:val="sr-Cyrl-RS" w:eastAsia="en-GB"/>
        </w:rPr>
        <w:t>ово</w:t>
      </w:r>
      <w:r w:rsidRPr="00A55255">
        <w:rPr>
          <w:rFonts w:eastAsia="Times New Roman"/>
          <w:sz w:val="24"/>
          <w:szCs w:val="24"/>
          <w:lang w:val="sr-Cyrl-RS" w:eastAsia="en-GB"/>
        </w:rPr>
        <w:t>м Стратегијом</w:t>
      </w:r>
      <w:r w:rsidR="006904C2" w:rsidRPr="00A55255">
        <w:rPr>
          <w:rFonts w:eastAsia="Times New Roman"/>
          <w:sz w:val="24"/>
          <w:szCs w:val="24"/>
          <w:lang w:val="sr-Cyrl-RS" w:eastAsia="en-GB"/>
        </w:rPr>
        <w:t xml:space="preserve"> развоја образовања Републике Србије до 2030. године</w:t>
      </w:r>
      <w:r w:rsidR="006904C2" w:rsidRPr="00A55255">
        <w:rPr>
          <w:rStyle w:val="FootnoteReference"/>
          <w:rFonts w:eastAsia="Times New Roman"/>
          <w:sz w:val="24"/>
          <w:szCs w:val="24"/>
          <w:lang w:val="sr-Cyrl-RS" w:eastAsia="en-GB"/>
        </w:rPr>
        <w:footnoteReference w:id="19"/>
      </w:r>
      <w:r w:rsidRPr="00A55255">
        <w:rPr>
          <w:rFonts w:eastAsia="Times New Roman"/>
          <w:sz w:val="24"/>
          <w:szCs w:val="24"/>
          <w:lang w:val="sr-Cyrl-RS" w:eastAsia="en-GB"/>
        </w:rPr>
        <w:t xml:space="preserve"> и пратећи</w:t>
      </w:r>
      <w:r w:rsidR="006904C2" w:rsidRPr="00A55255">
        <w:rPr>
          <w:rFonts w:eastAsia="Times New Roman"/>
          <w:sz w:val="24"/>
          <w:szCs w:val="24"/>
          <w:lang w:val="sr-Cyrl-RS" w:eastAsia="en-GB"/>
        </w:rPr>
        <w:t>м Акцион</w:t>
      </w:r>
      <w:r w:rsidRPr="00A55255">
        <w:rPr>
          <w:rFonts w:eastAsia="Times New Roman"/>
          <w:sz w:val="24"/>
          <w:szCs w:val="24"/>
          <w:lang w:val="sr-Cyrl-RS" w:eastAsia="en-GB"/>
        </w:rPr>
        <w:t>и</w:t>
      </w:r>
      <w:r w:rsidR="006904C2" w:rsidRPr="00A55255">
        <w:rPr>
          <w:rFonts w:eastAsia="Times New Roman"/>
          <w:sz w:val="24"/>
          <w:szCs w:val="24"/>
          <w:lang w:val="sr-Cyrl-RS" w:eastAsia="en-GB"/>
        </w:rPr>
        <w:t>м план</w:t>
      </w:r>
      <w:r w:rsidRPr="00A55255">
        <w:rPr>
          <w:rFonts w:eastAsia="Times New Roman"/>
          <w:sz w:val="24"/>
          <w:szCs w:val="24"/>
          <w:lang w:val="sr-Cyrl-RS" w:eastAsia="en-GB"/>
        </w:rPr>
        <w:t>ом</w:t>
      </w:r>
      <w:r w:rsidR="006904C2" w:rsidRPr="00A55255">
        <w:rPr>
          <w:rFonts w:eastAsia="Times New Roman"/>
          <w:sz w:val="24"/>
          <w:szCs w:val="24"/>
          <w:lang w:val="sr-Cyrl-RS" w:eastAsia="en-GB"/>
        </w:rPr>
        <w:t xml:space="preserve"> </w:t>
      </w:r>
      <w:r w:rsidRPr="00A55255">
        <w:rPr>
          <w:rFonts w:eastAsia="Times New Roman"/>
          <w:sz w:val="24"/>
          <w:szCs w:val="24"/>
          <w:lang w:val="sr-Cyrl-RS" w:eastAsia="en-GB"/>
        </w:rPr>
        <w:t xml:space="preserve">предвиђен је </w:t>
      </w:r>
      <w:r w:rsidR="006904C2" w:rsidRPr="00A55255">
        <w:rPr>
          <w:rFonts w:eastAsia="Times New Roman"/>
          <w:sz w:val="24"/>
          <w:szCs w:val="24"/>
          <w:lang w:val="sr-Cyrl-RS" w:eastAsia="en-GB"/>
        </w:rPr>
        <w:t>настав</w:t>
      </w:r>
      <w:r w:rsidRPr="00A55255">
        <w:rPr>
          <w:rFonts w:eastAsia="Times New Roman"/>
          <w:sz w:val="24"/>
          <w:szCs w:val="24"/>
          <w:lang w:val="sr-Cyrl-RS" w:eastAsia="en-GB"/>
        </w:rPr>
        <w:t>ак рада</w:t>
      </w:r>
      <w:r w:rsidR="006904C2" w:rsidRPr="00A55255">
        <w:rPr>
          <w:rFonts w:eastAsia="Times New Roman"/>
          <w:sz w:val="24"/>
          <w:szCs w:val="24"/>
          <w:lang w:val="sr-Cyrl-RS" w:eastAsia="en-GB"/>
        </w:rPr>
        <w:t xml:space="preserve"> на унапређивању мера подршке у области спречавања осипања. Један од посебн</w:t>
      </w:r>
      <w:r w:rsidRPr="00A55255">
        <w:rPr>
          <w:rFonts w:eastAsia="Times New Roman"/>
          <w:sz w:val="24"/>
          <w:szCs w:val="24"/>
          <w:lang w:val="sr-Cyrl-RS" w:eastAsia="en-GB"/>
        </w:rPr>
        <w:t>их циљева А</w:t>
      </w:r>
      <w:r w:rsidR="00C77214">
        <w:rPr>
          <w:rFonts w:eastAsia="Times New Roman"/>
          <w:sz w:val="24"/>
          <w:szCs w:val="24"/>
          <w:lang w:val="sr-Cyrl-RS" w:eastAsia="en-GB"/>
        </w:rPr>
        <w:t>кционог плана</w:t>
      </w:r>
      <w:r w:rsidRPr="00A55255">
        <w:rPr>
          <w:rFonts w:eastAsia="Times New Roman"/>
          <w:sz w:val="24"/>
          <w:szCs w:val="24"/>
          <w:lang w:val="sr-Cyrl-RS" w:eastAsia="en-GB"/>
        </w:rPr>
        <w:t xml:space="preserve"> за период 2021-23</w:t>
      </w:r>
      <w:r w:rsidR="00C77214">
        <w:rPr>
          <w:rFonts w:eastAsia="Times New Roman"/>
          <w:sz w:val="24"/>
          <w:szCs w:val="24"/>
          <w:lang w:val="sr-Cyrl-RS" w:eastAsia="en-GB"/>
        </w:rPr>
        <w:t>.</w:t>
      </w:r>
      <w:r w:rsidRPr="00A55255">
        <w:rPr>
          <w:rFonts w:eastAsia="Times New Roman"/>
          <w:sz w:val="24"/>
          <w:szCs w:val="24"/>
          <w:lang w:val="sr-Cyrl-RS" w:eastAsia="en-GB"/>
        </w:rPr>
        <w:t xml:space="preserve"> </w:t>
      </w:r>
      <w:r w:rsidR="006904C2" w:rsidRPr="00A55255">
        <w:rPr>
          <w:rFonts w:eastAsia="Times New Roman"/>
          <w:sz w:val="24"/>
          <w:szCs w:val="24"/>
          <w:lang w:val="sr-Cyrl-RS" w:eastAsia="en-GB"/>
        </w:rPr>
        <w:t>односи</w:t>
      </w:r>
      <w:r w:rsidR="003A0777">
        <w:rPr>
          <w:rFonts w:eastAsia="Times New Roman"/>
          <w:sz w:val="24"/>
          <w:szCs w:val="24"/>
          <w:lang w:val="sr-Cyrl-RS" w:eastAsia="en-GB"/>
        </w:rPr>
        <w:t xml:space="preserve"> се</w:t>
      </w:r>
      <w:r w:rsidR="006904C2" w:rsidRPr="00A55255">
        <w:rPr>
          <w:rFonts w:eastAsia="Times New Roman"/>
          <w:sz w:val="24"/>
          <w:szCs w:val="24"/>
          <w:lang w:val="sr-Cyrl-RS" w:eastAsia="en-GB"/>
        </w:rPr>
        <w:t xml:space="preserve"> на унапређење доступности, праведности и отворености доуниверз</w:t>
      </w:r>
      <w:r w:rsidRPr="00A55255">
        <w:rPr>
          <w:rFonts w:eastAsia="Times New Roman"/>
          <w:sz w:val="24"/>
          <w:szCs w:val="24"/>
          <w:lang w:val="sr-Cyrl-RS" w:eastAsia="en-GB"/>
        </w:rPr>
        <w:t>итетског образовања и васпитања</w:t>
      </w:r>
      <w:r w:rsidR="006904C2" w:rsidRPr="00A55255">
        <w:rPr>
          <w:rFonts w:eastAsia="Times New Roman"/>
          <w:sz w:val="24"/>
          <w:szCs w:val="24"/>
          <w:lang w:val="sr-Cyrl-RS" w:eastAsia="en-GB"/>
        </w:rPr>
        <w:t xml:space="preserve">. </w:t>
      </w:r>
    </w:p>
    <w:p w:rsidR="006904C2" w:rsidRPr="00A55255" w:rsidRDefault="006904C2" w:rsidP="006904C2">
      <w:pPr>
        <w:spacing w:after="0"/>
        <w:ind w:firstLine="720"/>
        <w:jc w:val="both"/>
        <w:rPr>
          <w:rFonts w:eastAsia="Times New Roman"/>
          <w:sz w:val="24"/>
          <w:szCs w:val="24"/>
          <w:lang w:val="sr-Cyrl-RS" w:eastAsia="en-GB"/>
        </w:rPr>
      </w:pPr>
      <w:r w:rsidRPr="00A55255">
        <w:rPr>
          <w:rFonts w:eastAsia="Times New Roman"/>
          <w:sz w:val="24"/>
          <w:szCs w:val="24"/>
          <w:lang w:val="sr-Cyrl-RS" w:eastAsia="en-GB"/>
        </w:rPr>
        <w:lastRenderedPageBreak/>
        <w:t xml:space="preserve">Посебно важну улогу у спречавању осипања и раног напуштања образовања има успостављање Јединственог информационог система просвете (ЈИСП) који обједињује податке из области образовања. ЈИСП-ом се уводи Јединствени образовни број ЈОБ, који прати његовог носиоца кроз све нивое формалног образовања и васпитања и кроз неформално образовање и представља кључ за повезивање свих података о детету, ученику, студенту, као и одраслом, полазнику и кандидату. </w:t>
      </w:r>
    </w:p>
    <w:p w:rsidR="00341D03" w:rsidRPr="00A55255" w:rsidRDefault="00341D03" w:rsidP="00A55255">
      <w:pPr>
        <w:spacing w:after="0"/>
        <w:ind w:firstLine="720"/>
        <w:jc w:val="both"/>
        <w:rPr>
          <w:rFonts w:eastAsia="Book Antiqua"/>
          <w:position w:val="-1"/>
          <w:sz w:val="24"/>
          <w:szCs w:val="24"/>
          <w:lang w:val="sr-Cyrl-RS"/>
        </w:rPr>
      </w:pPr>
      <w:r w:rsidRPr="00430C16">
        <w:rPr>
          <w:rFonts w:eastAsia="Noto Sans CJK SC"/>
          <w:kern w:val="2"/>
          <w:sz w:val="24"/>
          <w:szCs w:val="24"/>
          <w:lang w:eastAsia="zh-CN" w:bidi="hi-IN"/>
        </w:rPr>
        <w:t xml:space="preserve">Ефекти мера подршке </w:t>
      </w:r>
      <w:r w:rsidR="00430C16">
        <w:rPr>
          <w:rFonts w:eastAsia="Noto Sans CJK SC"/>
          <w:kern w:val="2"/>
          <w:sz w:val="24"/>
          <w:szCs w:val="24"/>
          <w:lang w:val="sr-Cyrl-RS" w:eastAsia="zh-CN" w:bidi="hi-IN"/>
        </w:rPr>
        <w:t>з</w:t>
      </w:r>
      <w:r w:rsidRPr="00430C16">
        <w:rPr>
          <w:rFonts w:eastAsia="Noto Sans CJK SC"/>
          <w:kern w:val="2"/>
          <w:sz w:val="24"/>
          <w:szCs w:val="24"/>
          <w:lang w:eastAsia="zh-CN" w:bidi="hi-IN"/>
        </w:rPr>
        <w:t xml:space="preserve">а унапређивање образовања ученика ромске националности </w:t>
      </w:r>
      <w:r w:rsidR="00430C16">
        <w:rPr>
          <w:rFonts w:eastAsia="Noto Sans CJK SC"/>
          <w:kern w:val="2"/>
          <w:sz w:val="24"/>
          <w:szCs w:val="24"/>
          <w:lang w:val="sr-Cyrl-RS" w:eastAsia="zh-CN" w:bidi="hi-IN"/>
        </w:rPr>
        <w:t xml:space="preserve">могу се сагледати на основу података добијених </w:t>
      </w:r>
      <w:r w:rsidRPr="00430C16">
        <w:rPr>
          <w:rFonts w:eastAsia="Noto Sans CJK SC"/>
          <w:kern w:val="2"/>
          <w:sz w:val="24"/>
          <w:szCs w:val="24"/>
          <w:lang w:eastAsia="zh-CN" w:bidi="hi-IN"/>
        </w:rPr>
        <w:t>нов</w:t>
      </w:r>
      <w:r w:rsidR="00430C16">
        <w:rPr>
          <w:rFonts w:eastAsia="Noto Sans CJK SC"/>
          <w:kern w:val="2"/>
          <w:sz w:val="24"/>
          <w:szCs w:val="24"/>
          <w:lang w:val="sr-Cyrl-RS" w:eastAsia="zh-CN" w:bidi="hi-IN"/>
        </w:rPr>
        <w:t>и</w:t>
      </w:r>
      <w:r w:rsidRPr="00430C16">
        <w:rPr>
          <w:rFonts w:eastAsia="Noto Sans CJK SC"/>
          <w:kern w:val="2"/>
          <w:sz w:val="24"/>
          <w:szCs w:val="24"/>
          <w:lang w:eastAsia="zh-CN" w:bidi="hi-IN"/>
        </w:rPr>
        <w:t xml:space="preserve">м </w:t>
      </w:r>
      <w:r w:rsidR="00430C16" w:rsidRPr="00430C16">
        <w:rPr>
          <w:rFonts w:eastAsia="Book Antiqua"/>
          <w:position w:val="-1"/>
          <w:sz w:val="24"/>
          <w:szCs w:val="24"/>
        </w:rPr>
        <w:t>MICS</w:t>
      </w:r>
      <w:r w:rsidRPr="00430C16">
        <w:rPr>
          <w:rFonts w:eastAsia="Book Antiqua"/>
          <w:position w:val="-1"/>
          <w:sz w:val="24"/>
          <w:szCs w:val="24"/>
        </w:rPr>
        <w:t xml:space="preserve"> 6 истраживањ</w:t>
      </w:r>
      <w:r w:rsidR="00430C16">
        <w:rPr>
          <w:rFonts w:eastAsia="Book Antiqua"/>
          <w:position w:val="-1"/>
          <w:sz w:val="24"/>
          <w:szCs w:val="24"/>
          <w:lang w:val="sr-Cyrl-RS"/>
        </w:rPr>
        <w:t xml:space="preserve">ем из 2019. године. Према тим подацима, </w:t>
      </w:r>
      <w:r w:rsidRPr="00430C16">
        <w:rPr>
          <w:rFonts w:eastAsia="Book Antiqua"/>
          <w:position w:val="-1"/>
          <w:sz w:val="24"/>
          <w:szCs w:val="24"/>
        </w:rPr>
        <w:t xml:space="preserve">7,4% </w:t>
      </w:r>
      <w:r w:rsidR="00430C16">
        <w:rPr>
          <w:rFonts w:eastAsia="Book Antiqua"/>
          <w:position w:val="-1"/>
          <w:sz w:val="24"/>
          <w:szCs w:val="24"/>
          <w:lang w:val="sr-Cyrl-RS"/>
        </w:rPr>
        <w:t xml:space="preserve">од укупног броја </w:t>
      </w:r>
      <w:r w:rsidRPr="00430C16">
        <w:rPr>
          <w:rFonts w:eastAsia="Book Antiqua"/>
          <w:position w:val="-1"/>
          <w:sz w:val="24"/>
          <w:szCs w:val="24"/>
        </w:rPr>
        <w:t xml:space="preserve">деце до 5 година </w:t>
      </w:r>
      <w:r w:rsidR="00430C16">
        <w:rPr>
          <w:rFonts w:eastAsia="Book Antiqua"/>
          <w:position w:val="-1"/>
          <w:sz w:val="24"/>
          <w:szCs w:val="24"/>
          <w:lang w:val="sr-Cyrl-RS"/>
        </w:rPr>
        <w:t xml:space="preserve">која </w:t>
      </w:r>
      <w:r w:rsidRPr="00430C16">
        <w:rPr>
          <w:rFonts w:eastAsia="Book Antiqua"/>
          <w:position w:val="-1"/>
          <w:sz w:val="24"/>
          <w:szCs w:val="24"/>
        </w:rPr>
        <w:t xml:space="preserve">похађају </w:t>
      </w:r>
      <w:r w:rsidR="00430C16">
        <w:rPr>
          <w:rFonts w:eastAsia="Book Antiqua"/>
          <w:position w:val="-1"/>
          <w:sz w:val="24"/>
          <w:szCs w:val="24"/>
          <w:lang w:val="sr-Cyrl-RS"/>
        </w:rPr>
        <w:t xml:space="preserve">предшколско васпитање и образовање су </w:t>
      </w:r>
      <w:r w:rsidR="00430C16" w:rsidRPr="00430C16">
        <w:rPr>
          <w:rFonts w:eastAsia="Book Antiqua"/>
          <w:position w:val="-1"/>
          <w:sz w:val="24"/>
          <w:szCs w:val="24"/>
        </w:rPr>
        <w:t>ромске</w:t>
      </w:r>
      <w:r w:rsidR="00430C16">
        <w:rPr>
          <w:rFonts w:eastAsia="Book Antiqua"/>
          <w:position w:val="-1"/>
          <w:sz w:val="24"/>
          <w:szCs w:val="24"/>
          <w:lang w:val="sr-Cyrl-RS"/>
        </w:rPr>
        <w:t xml:space="preserve"> националности</w:t>
      </w:r>
      <w:r w:rsidRPr="00430C16">
        <w:rPr>
          <w:rFonts w:eastAsia="Book Antiqua"/>
          <w:position w:val="-1"/>
          <w:sz w:val="24"/>
          <w:szCs w:val="24"/>
        </w:rPr>
        <w:t xml:space="preserve"> (51</w:t>
      </w:r>
      <w:r w:rsidR="00430C16">
        <w:rPr>
          <w:rFonts w:eastAsia="Book Antiqua"/>
          <w:position w:val="-1"/>
          <w:sz w:val="24"/>
          <w:szCs w:val="24"/>
          <w:lang w:val="sr-Cyrl-RS"/>
        </w:rPr>
        <w:t>% дечаци</w:t>
      </w:r>
      <w:r w:rsidRPr="00430C16">
        <w:rPr>
          <w:rFonts w:eastAsia="Book Antiqua"/>
          <w:position w:val="-1"/>
          <w:sz w:val="24"/>
          <w:szCs w:val="24"/>
        </w:rPr>
        <w:t>, 49</w:t>
      </w:r>
      <w:r w:rsidR="00430C16">
        <w:rPr>
          <w:rFonts w:eastAsia="Book Antiqua"/>
          <w:position w:val="-1"/>
          <w:sz w:val="24"/>
          <w:szCs w:val="24"/>
          <w:lang w:val="sr-Cyrl-RS"/>
        </w:rPr>
        <w:t>% девојчице</w:t>
      </w:r>
      <w:r w:rsidRPr="00430C16">
        <w:rPr>
          <w:rFonts w:eastAsia="Book Antiqua"/>
          <w:position w:val="-1"/>
          <w:sz w:val="24"/>
          <w:szCs w:val="24"/>
        </w:rPr>
        <w:t>)</w:t>
      </w:r>
      <w:r w:rsidR="00430C16">
        <w:rPr>
          <w:rFonts w:eastAsia="Book Antiqua"/>
          <w:position w:val="-1"/>
          <w:sz w:val="24"/>
          <w:szCs w:val="24"/>
          <w:lang w:val="sr-Cyrl-RS"/>
        </w:rPr>
        <w:t xml:space="preserve">. Од укупног броја деце ромске националности узраста од 5,5 до 6,5 година, </w:t>
      </w:r>
      <w:r w:rsidRPr="00430C16">
        <w:rPr>
          <w:rFonts w:eastAsia="Book Antiqua"/>
          <w:position w:val="-1"/>
          <w:sz w:val="24"/>
          <w:szCs w:val="24"/>
        </w:rPr>
        <w:t xml:space="preserve">80% похађа </w:t>
      </w:r>
      <w:r w:rsidR="00430C16">
        <w:rPr>
          <w:rFonts w:eastAsia="Book Antiqua"/>
          <w:position w:val="-1"/>
          <w:sz w:val="24"/>
          <w:szCs w:val="24"/>
          <w:lang w:val="sr-Cyrl-RS"/>
        </w:rPr>
        <w:t>п</w:t>
      </w:r>
      <w:r w:rsidRPr="00430C16">
        <w:rPr>
          <w:rFonts w:eastAsia="Book Antiqua"/>
          <w:position w:val="-1"/>
          <w:sz w:val="24"/>
          <w:szCs w:val="24"/>
        </w:rPr>
        <w:t>рипремни предшколски програм (52</w:t>
      </w:r>
      <w:r w:rsidR="00430C16">
        <w:rPr>
          <w:rFonts w:eastAsia="Book Antiqua"/>
          <w:position w:val="-1"/>
          <w:sz w:val="24"/>
          <w:szCs w:val="24"/>
          <w:lang w:val="sr-Cyrl-RS"/>
        </w:rPr>
        <w:t>% дечаци</w:t>
      </w:r>
      <w:r w:rsidR="00430C16" w:rsidRPr="00430C16">
        <w:rPr>
          <w:rFonts w:eastAsia="Book Antiqua"/>
          <w:position w:val="-1"/>
          <w:sz w:val="24"/>
          <w:szCs w:val="24"/>
        </w:rPr>
        <w:t>, 4</w:t>
      </w:r>
      <w:r w:rsidR="00430C16">
        <w:rPr>
          <w:rFonts w:eastAsia="Book Antiqua"/>
          <w:position w:val="-1"/>
          <w:sz w:val="24"/>
          <w:szCs w:val="24"/>
          <w:lang w:val="sr-Cyrl-RS"/>
        </w:rPr>
        <w:t xml:space="preserve">8% девојчице), што чини </w:t>
      </w:r>
      <w:r w:rsidR="00430C16">
        <w:rPr>
          <w:rFonts w:eastAsia="Book Antiqua"/>
          <w:position w:val="-1"/>
          <w:sz w:val="24"/>
          <w:szCs w:val="24"/>
        </w:rPr>
        <w:t xml:space="preserve">повећање за 20% у односу на претходно истраживање. </w:t>
      </w:r>
      <w:r w:rsidR="00430C16">
        <w:rPr>
          <w:rFonts w:eastAsia="Book Antiqua"/>
          <w:position w:val="-1"/>
          <w:sz w:val="24"/>
          <w:szCs w:val="24"/>
          <w:lang w:val="sr-Cyrl-RS"/>
        </w:rPr>
        <w:t xml:space="preserve">Према истом истраживању, </w:t>
      </w:r>
      <w:r w:rsidRPr="00430C16">
        <w:rPr>
          <w:rFonts w:eastAsia="Book Antiqua"/>
          <w:position w:val="-1"/>
          <w:sz w:val="24"/>
          <w:szCs w:val="24"/>
        </w:rPr>
        <w:t xml:space="preserve">85,4% </w:t>
      </w:r>
      <w:r w:rsidR="00A55255">
        <w:rPr>
          <w:rFonts w:eastAsia="Book Antiqua"/>
          <w:position w:val="-1"/>
          <w:sz w:val="24"/>
          <w:szCs w:val="24"/>
          <w:lang w:val="sr-Cyrl-RS"/>
        </w:rPr>
        <w:t xml:space="preserve">од укупног броја </w:t>
      </w:r>
      <w:r w:rsidRPr="00430C16">
        <w:rPr>
          <w:rFonts w:eastAsia="Book Antiqua"/>
          <w:position w:val="-1"/>
          <w:sz w:val="24"/>
          <w:szCs w:val="24"/>
        </w:rPr>
        <w:t xml:space="preserve">ромске деце уписује </w:t>
      </w:r>
      <w:r w:rsidR="00A55255">
        <w:rPr>
          <w:rFonts w:eastAsia="Book Antiqua"/>
          <w:position w:val="-1"/>
          <w:sz w:val="24"/>
          <w:szCs w:val="24"/>
          <w:lang w:val="sr-Cyrl-RS"/>
        </w:rPr>
        <w:t>основну школу</w:t>
      </w:r>
      <w:r w:rsidRPr="00430C16">
        <w:rPr>
          <w:rFonts w:eastAsia="Book Antiqua"/>
          <w:position w:val="-1"/>
          <w:sz w:val="24"/>
          <w:szCs w:val="24"/>
        </w:rPr>
        <w:t xml:space="preserve">  (49%</w:t>
      </w:r>
      <w:r w:rsidR="00A55255">
        <w:rPr>
          <w:rFonts w:eastAsia="Book Antiqua"/>
          <w:position w:val="-1"/>
          <w:sz w:val="24"/>
          <w:szCs w:val="24"/>
          <w:lang w:val="sr-Cyrl-RS"/>
        </w:rPr>
        <w:t xml:space="preserve"> дечаци</w:t>
      </w:r>
      <w:r w:rsidRPr="00430C16">
        <w:rPr>
          <w:rFonts w:eastAsia="Book Antiqua"/>
          <w:position w:val="-1"/>
          <w:sz w:val="24"/>
          <w:szCs w:val="24"/>
        </w:rPr>
        <w:t>,</w:t>
      </w:r>
      <w:r w:rsidR="00A55255">
        <w:rPr>
          <w:rFonts w:eastAsia="Book Antiqua"/>
          <w:position w:val="-1"/>
          <w:sz w:val="24"/>
          <w:szCs w:val="24"/>
          <w:lang w:val="sr-Cyrl-RS"/>
        </w:rPr>
        <w:t xml:space="preserve"> </w:t>
      </w:r>
      <w:r w:rsidRPr="00430C16">
        <w:rPr>
          <w:rFonts w:eastAsia="Book Antiqua"/>
          <w:position w:val="-1"/>
          <w:sz w:val="24"/>
          <w:szCs w:val="24"/>
        </w:rPr>
        <w:t>51%</w:t>
      </w:r>
      <w:r w:rsidR="00A55255">
        <w:rPr>
          <w:rFonts w:eastAsia="Book Antiqua"/>
          <w:position w:val="-1"/>
          <w:sz w:val="24"/>
          <w:szCs w:val="24"/>
          <w:lang w:val="sr-Cyrl-RS"/>
        </w:rPr>
        <w:t xml:space="preserve">  девојчице</w:t>
      </w:r>
      <w:r w:rsidRPr="00430C16">
        <w:rPr>
          <w:rFonts w:eastAsia="Book Antiqua"/>
          <w:position w:val="-1"/>
          <w:sz w:val="24"/>
          <w:szCs w:val="24"/>
        </w:rPr>
        <w:t xml:space="preserve">), </w:t>
      </w:r>
      <w:r w:rsidR="00A55255">
        <w:rPr>
          <w:rFonts w:eastAsia="Book Antiqua"/>
          <w:position w:val="-1"/>
          <w:sz w:val="24"/>
          <w:szCs w:val="24"/>
          <w:lang w:val="sr-Cyrl-RS"/>
        </w:rPr>
        <w:t xml:space="preserve">што је </w:t>
      </w:r>
      <w:r w:rsidR="00A55255">
        <w:rPr>
          <w:rFonts w:eastAsia="Book Antiqua"/>
          <w:position w:val="-1"/>
          <w:sz w:val="24"/>
          <w:szCs w:val="24"/>
        </w:rPr>
        <w:t xml:space="preserve">повећање за 15%. </w:t>
      </w:r>
      <w:r w:rsidRPr="00430C16">
        <w:rPr>
          <w:rFonts w:eastAsia="Book Antiqua"/>
          <w:position w:val="-1"/>
          <w:sz w:val="24"/>
          <w:szCs w:val="24"/>
        </w:rPr>
        <w:t xml:space="preserve">Бруто стопа завршавања </w:t>
      </w:r>
      <w:r w:rsidR="00A55255">
        <w:rPr>
          <w:rFonts w:eastAsia="Book Antiqua"/>
          <w:position w:val="-1"/>
          <w:sz w:val="24"/>
          <w:szCs w:val="24"/>
          <w:lang w:val="sr-Cyrl-RS"/>
        </w:rPr>
        <w:t>основне школе је</w:t>
      </w:r>
      <w:r w:rsidRPr="00430C16">
        <w:rPr>
          <w:rFonts w:eastAsia="Book Antiqua"/>
          <w:position w:val="-1"/>
          <w:sz w:val="24"/>
          <w:szCs w:val="24"/>
        </w:rPr>
        <w:t xml:space="preserve"> 64%</w:t>
      </w:r>
      <w:r w:rsidR="00A55255">
        <w:rPr>
          <w:rFonts w:eastAsia="Book Antiqua"/>
          <w:position w:val="-1"/>
          <w:sz w:val="24"/>
          <w:szCs w:val="24"/>
          <w:lang w:val="sr-Cyrl-RS"/>
        </w:rPr>
        <w:t xml:space="preserve">, што значи да </w:t>
      </w:r>
      <w:r w:rsidRPr="00430C16">
        <w:rPr>
          <w:rFonts w:eastAsia="Book Antiqua"/>
          <w:position w:val="-1"/>
          <w:sz w:val="24"/>
          <w:szCs w:val="24"/>
        </w:rPr>
        <w:t xml:space="preserve">је дроп-оут </w:t>
      </w:r>
      <w:r w:rsidR="00A55255" w:rsidRPr="00A55255">
        <w:rPr>
          <w:rFonts w:eastAsia="Book Antiqua"/>
          <w:position w:val="-1"/>
          <w:sz w:val="24"/>
          <w:szCs w:val="24"/>
        </w:rPr>
        <w:t xml:space="preserve">смањен </w:t>
      </w:r>
      <w:r w:rsidRPr="00430C16">
        <w:rPr>
          <w:rFonts w:eastAsia="Book Antiqua"/>
          <w:position w:val="-1"/>
          <w:sz w:val="24"/>
          <w:szCs w:val="24"/>
        </w:rPr>
        <w:t>за 7%</w:t>
      </w:r>
      <w:r w:rsidR="00A55255">
        <w:rPr>
          <w:rFonts w:eastAsia="Book Antiqua"/>
          <w:position w:val="-1"/>
          <w:sz w:val="24"/>
          <w:szCs w:val="24"/>
          <w:lang w:val="sr-Cyrl-RS"/>
        </w:rPr>
        <w:t xml:space="preserve">. </w:t>
      </w:r>
      <w:r w:rsidRPr="00430C16">
        <w:rPr>
          <w:rFonts w:eastAsia="Book Antiqua"/>
          <w:position w:val="-1"/>
          <w:sz w:val="24"/>
          <w:szCs w:val="24"/>
        </w:rPr>
        <w:t xml:space="preserve">Стопа преласка у средњу школу за ромске ученике износи 52,6%, док стопа завршавања </w:t>
      </w:r>
      <w:r w:rsidR="00A55255">
        <w:rPr>
          <w:rFonts w:eastAsia="Book Antiqua"/>
          <w:position w:val="-1"/>
          <w:sz w:val="24"/>
          <w:szCs w:val="24"/>
          <w:lang w:val="sr-Cyrl-RS"/>
        </w:rPr>
        <w:t>средње школе</w:t>
      </w:r>
      <w:r w:rsidRPr="00430C16">
        <w:rPr>
          <w:rFonts w:eastAsia="Book Antiqua"/>
          <w:position w:val="-1"/>
          <w:sz w:val="24"/>
          <w:szCs w:val="24"/>
        </w:rPr>
        <w:t xml:space="preserve"> износи 61%</w:t>
      </w:r>
      <w:r w:rsidR="00A55255">
        <w:rPr>
          <w:rFonts w:eastAsia="Book Antiqua"/>
          <w:position w:val="-1"/>
          <w:sz w:val="24"/>
          <w:szCs w:val="24"/>
          <w:lang w:val="sr-Cyrl-RS"/>
        </w:rPr>
        <w:t>, што је</w:t>
      </w:r>
      <w:r w:rsidRPr="00430C16">
        <w:rPr>
          <w:rFonts w:eastAsia="Book Antiqua"/>
          <w:position w:val="-1"/>
          <w:sz w:val="24"/>
          <w:szCs w:val="24"/>
        </w:rPr>
        <w:t xml:space="preserve"> повећање за 20%</w:t>
      </w:r>
      <w:r w:rsidR="00A55255">
        <w:rPr>
          <w:rFonts w:eastAsia="Book Antiqua"/>
          <w:position w:val="-1"/>
          <w:sz w:val="24"/>
          <w:szCs w:val="24"/>
          <w:lang w:val="sr-Cyrl-RS"/>
        </w:rPr>
        <w:t xml:space="preserve">. Посебно је важно указати на податак из истог истраживања према коме је број </w:t>
      </w:r>
      <w:r w:rsidRPr="00430C16">
        <w:rPr>
          <w:rFonts w:eastAsia="Book Antiqua"/>
          <w:position w:val="-1"/>
          <w:sz w:val="24"/>
          <w:szCs w:val="24"/>
        </w:rPr>
        <w:t xml:space="preserve">ромских девојчица у </w:t>
      </w:r>
      <w:r w:rsidR="00A55255">
        <w:rPr>
          <w:rFonts w:eastAsia="Book Antiqua"/>
          <w:position w:val="-1"/>
          <w:sz w:val="24"/>
          <w:szCs w:val="24"/>
          <w:lang w:val="sr-Cyrl-RS"/>
        </w:rPr>
        <w:t>средњој школи</w:t>
      </w:r>
      <w:r w:rsidRPr="00430C16">
        <w:rPr>
          <w:rFonts w:eastAsia="Book Antiqua"/>
          <w:position w:val="-1"/>
          <w:sz w:val="24"/>
          <w:szCs w:val="24"/>
        </w:rPr>
        <w:t xml:space="preserve"> повећа</w:t>
      </w:r>
      <w:r w:rsidR="00A55255">
        <w:rPr>
          <w:rFonts w:eastAsia="Book Antiqua"/>
          <w:position w:val="-1"/>
          <w:sz w:val="24"/>
          <w:szCs w:val="24"/>
          <w:lang w:val="sr-Cyrl-RS"/>
        </w:rPr>
        <w:t>н</w:t>
      </w:r>
      <w:r w:rsidRPr="00430C16">
        <w:rPr>
          <w:rFonts w:eastAsia="Book Antiqua"/>
          <w:position w:val="-1"/>
          <w:sz w:val="24"/>
          <w:szCs w:val="24"/>
        </w:rPr>
        <w:t xml:space="preserve"> за 12%</w:t>
      </w:r>
      <w:r w:rsidR="00A55255">
        <w:rPr>
          <w:rFonts w:eastAsia="Book Antiqua"/>
          <w:position w:val="-1"/>
          <w:sz w:val="24"/>
          <w:szCs w:val="24"/>
          <w:lang w:val="sr-Cyrl-RS"/>
        </w:rPr>
        <w:t>.</w:t>
      </w:r>
    </w:p>
    <w:p w:rsidR="006904C2" w:rsidRDefault="00A55255" w:rsidP="006904C2">
      <w:pPr>
        <w:autoSpaceDE w:val="0"/>
        <w:autoSpaceDN w:val="0"/>
        <w:adjustRightInd w:val="0"/>
        <w:spacing w:after="0"/>
        <w:ind w:firstLine="720"/>
        <w:jc w:val="both"/>
        <w:rPr>
          <w:rFonts w:eastAsia="Times New Roman"/>
          <w:sz w:val="24"/>
          <w:szCs w:val="24"/>
          <w:lang w:val="sr-Cyrl-RS"/>
        </w:rPr>
      </w:pPr>
      <w:r w:rsidRPr="00FB4104">
        <w:rPr>
          <w:rFonts w:eastAsia="Times New Roman"/>
          <w:sz w:val="24"/>
          <w:szCs w:val="24"/>
          <w:lang w:val="sr-Cyrl-RS"/>
        </w:rPr>
        <w:t>Описаном унапређењу значајно је допринео и пројекат Министарства</w:t>
      </w:r>
      <w:r w:rsidR="006904C2" w:rsidRPr="00FB4104">
        <w:rPr>
          <w:rFonts w:eastAsia="Times New Roman"/>
          <w:sz w:val="24"/>
          <w:szCs w:val="24"/>
          <w:lang w:val="sr-Cyrl-RS"/>
        </w:rPr>
        <w:t xml:space="preserve"> просвете </w:t>
      </w:r>
      <w:r w:rsidRPr="00FB4104">
        <w:rPr>
          <w:rFonts w:eastAsia="Times New Roman"/>
          <w:sz w:val="24"/>
          <w:szCs w:val="24"/>
          <w:lang w:val="sr-Cyrl-RS"/>
        </w:rPr>
        <w:t xml:space="preserve">науке и технолошког развоја </w:t>
      </w:r>
      <w:r w:rsidR="006904C2" w:rsidRPr="00FB4104">
        <w:rPr>
          <w:rFonts w:eastAsia="Times New Roman"/>
          <w:sz w:val="24"/>
          <w:szCs w:val="24"/>
          <w:lang w:val="sr-Cyrl-RS"/>
        </w:rPr>
        <w:t xml:space="preserve">„ЕУ подршка ромским ученицима за наставак средњошколског образовања” који је усмерен јачање капацитета образовног система у циљу развоја и спровођења ефикасног стипендирања и менторске подршке ученицима средњих школа ромске националности. Само стипендирање ученика је један од мотивационих фактора редовног похађања наставе и улагања напора да се одржи или побољша школски успех. У оквиру овог пројекта креирано је Упутство за спречавање раног напуштања образовања са препорукама и предлозима мера за превенцију осипања коју је припремио Завод за вредновање квалитета образовања и васпитања. Упутству је претходила квалитативна анализа ефеката до сада предузетих мера подршке ученицима ромске националности у области спречавања напуштања образовања и већег процента завршавања основне и средње школе. </w:t>
      </w:r>
      <w:r w:rsidR="00FB4104" w:rsidRPr="00FB4104">
        <w:rPr>
          <w:rFonts w:eastAsia="Times New Roman"/>
          <w:sz w:val="24"/>
          <w:szCs w:val="24"/>
          <w:lang w:val="sr-Cyrl-RS"/>
        </w:rPr>
        <w:t>Приказ броја стипендираних ученика и проценат напуштања средњих школа по школским годинама</w:t>
      </w:r>
      <w:r w:rsidR="00FB4104">
        <w:rPr>
          <w:rFonts w:eastAsia="Times New Roman"/>
          <w:sz w:val="24"/>
          <w:szCs w:val="24"/>
          <w:lang w:val="sr-Cyrl-RS"/>
        </w:rPr>
        <w:t xml:space="preserve"> у извештајном периоду дат је у доњој табели.</w:t>
      </w:r>
    </w:p>
    <w:p w:rsidR="00FB4104" w:rsidRDefault="00FB4104" w:rsidP="006904C2">
      <w:pPr>
        <w:autoSpaceDE w:val="0"/>
        <w:autoSpaceDN w:val="0"/>
        <w:adjustRightInd w:val="0"/>
        <w:spacing w:after="0"/>
        <w:ind w:firstLine="720"/>
        <w:jc w:val="both"/>
        <w:rPr>
          <w:rFonts w:eastAsia="Times New Roman"/>
          <w:sz w:val="24"/>
          <w:szCs w:val="24"/>
          <w:lang w:val="sr-Cyrl-RS"/>
        </w:rPr>
      </w:pPr>
    </w:p>
    <w:tbl>
      <w:tblPr>
        <w:tblStyle w:val="TableGrid"/>
        <w:tblW w:w="0" w:type="auto"/>
        <w:tblLook w:val="04A0" w:firstRow="1" w:lastRow="0" w:firstColumn="1" w:lastColumn="0" w:noHBand="0" w:noVBand="1"/>
      </w:tblPr>
      <w:tblGrid>
        <w:gridCol w:w="2254"/>
        <w:gridCol w:w="2254"/>
        <w:gridCol w:w="2254"/>
        <w:gridCol w:w="2254"/>
      </w:tblGrid>
      <w:tr w:rsidR="00FB4104" w:rsidRPr="003E414B" w:rsidTr="00FB4104">
        <w:tc>
          <w:tcPr>
            <w:tcW w:w="2254" w:type="dxa"/>
          </w:tcPr>
          <w:p w:rsidR="00FB4104" w:rsidRPr="003E414B" w:rsidRDefault="00FB4104" w:rsidP="00FB4104">
            <w:pPr>
              <w:spacing w:after="0"/>
              <w:jc w:val="center"/>
              <w:rPr>
                <w:rFonts w:eastAsia="Times New Roman"/>
                <w:b/>
                <w:bCs/>
                <w:iCs/>
                <w:sz w:val="20"/>
                <w:szCs w:val="20"/>
                <w:lang w:val="sr-Cyrl-RS"/>
              </w:rPr>
            </w:pPr>
            <w:r w:rsidRPr="003E414B">
              <w:rPr>
                <w:rFonts w:eastAsia="Times New Roman"/>
                <w:b/>
                <w:bCs/>
                <w:iCs/>
                <w:sz w:val="20"/>
                <w:szCs w:val="20"/>
                <w:lang w:val="sr-Cyrl-RS"/>
              </w:rPr>
              <w:t>Школска година</w:t>
            </w:r>
          </w:p>
        </w:tc>
        <w:tc>
          <w:tcPr>
            <w:tcW w:w="2254" w:type="dxa"/>
          </w:tcPr>
          <w:p w:rsidR="00FB4104" w:rsidRPr="003E414B" w:rsidRDefault="00FB4104" w:rsidP="00FB4104">
            <w:pPr>
              <w:spacing w:after="0"/>
              <w:jc w:val="center"/>
              <w:rPr>
                <w:rFonts w:eastAsia="Times New Roman"/>
                <w:b/>
                <w:bCs/>
                <w:iCs/>
                <w:sz w:val="20"/>
                <w:szCs w:val="20"/>
                <w:lang w:val="sr-Cyrl-RS"/>
              </w:rPr>
            </w:pPr>
            <w:r w:rsidRPr="003E414B">
              <w:rPr>
                <w:rFonts w:eastAsia="Times New Roman"/>
                <w:b/>
                <w:iCs/>
                <w:sz w:val="20"/>
                <w:szCs w:val="20"/>
                <w:lang w:val="sr-Cyrl-RS"/>
              </w:rPr>
              <w:t>2017/18.</w:t>
            </w:r>
          </w:p>
        </w:tc>
        <w:tc>
          <w:tcPr>
            <w:tcW w:w="2254" w:type="dxa"/>
          </w:tcPr>
          <w:p w:rsidR="00FB4104" w:rsidRPr="003E414B" w:rsidRDefault="00FB4104" w:rsidP="00FB4104">
            <w:pPr>
              <w:spacing w:after="0"/>
              <w:jc w:val="center"/>
              <w:rPr>
                <w:rFonts w:eastAsia="Times New Roman"/>
                <w:b/>
                <w:bCs/>
                <w:iCs/>
                <w:sz w:val="20"/>
                <w:szCs w:val="20"/>
                <w:lang w:val="sr-Cyrl-RS"/>
              </w:rPr>
            </w:pPr>
            <w:r w:rsidRPr="003E414B">
              <w:rPr>
                <w:rFonts w:eastAsia="Times New Roman"/>
                <w:b/>
                <w:iCs/>
                <w:sz w:val="20"/>
                <w:szCs w:val="20"/>
                <w:lang w:val="sr-Cyrl-RS"/>
              </w:rPr>
              <w:t>2018/19.</w:t>
            </w:r>
          </w:p>
        </w:tc>
        <w:tc>
          <w:tcPr>
            <w:tcW w:w="2254" w:type="dxa"/>
          </w:tcPr>
          <w:p w:rsidR="00FB4104" w:rsidRPr="003E414B" w:rsidRDefault="00FB4104" w:rsidP="00FB4104">
            <w:pPr>
              <w:spacing w:after="0"/>
              <w:jc w:val="center"/>
              <w:rPr>
                <w:rFonts w:eastAsia="Times New Roman"/>
                <w:b/>
                <w:bCs/>
                <w:iCs/>
                <w:sz w:val="20"/>
                <w:szCs w:val="20"/>
                <w:lang w:val="sr-Cyrl-RS"/>
              </w:rPr>
            </w:pPr>
            <w:r w:rsidRPr="003E414B">
              <w:rPr>
                <w:rFonts w:eastAsia="Times New Roman"/>
                <w:b/>
                <w:iCs/>
                <w:sz w:val="20"/>
                <w:szCs w:val="20"/>
                <w:lang w:val="sr-Cyrl-RS"/>
              </w:rPr>
              <w:t>2019/20.</w:t>
            </w:r>
          </w:p>
        </w:tc>
      </w:tr>
      <w:tr w:rsidR="00FB4104" w:rsidRPr="003E414B" w:rsidTr="00FB4104">
        <w:tc>
          <w:tcPr>
            <w:tcW w:w="2254" w:type="dxa"/>
          </w:tcPr>
          <w:p w:rsidR="00FB4104" w:rsidRPr="003E414B" w:rsidRDefault="00FB4104" w:rsidP="00FB4104">
            <w:pPr>
              <w:spacing w:after="0"/>
              <w:rPr>
                <w:rFonts w:eastAsia="Times New Roman"/>
                <w:bCs/>
                <w:iCs/>
                <w:sz w:val="20"/>
                <w:szCs w:val="20"/>
                <w:lang w:val="sr-Cyrl-RS"/>
              </w:rPr>
            </w:pPr>
            <w:r w:rsidRPr="003E414B">
              <w:rPr>
                <w:rFonts w:eastAsia="Times New Roman"/>
                <w:bCs/>
                <w:iCs/>
                <w:sz w:val="20"/>
                <w:szCs w:val="20"/>
                <w:lang w:val="sr-Cyrl-RS"/>
              </w:rPr>
              <w:t>Проценат напуштања средње школе</w:t>
            </w:r>
          </w:p>
        </w:tc>
        <w:tc>
          <w:tcPr>
            <w:tcW w:w="2254" w:type="dxa"/>
          </w:tcPr>
          <w:p w:rsidR="00FB4104" w:rsidRPr="003E414B" w:rsidRDefault="00FB4104" w:rsidP="00FB4104">
            <w:pPr>
              <w:spacing w:after="0"/>
              <w:jc w:val="center"/>
              <w:rPr>
                <w:rFonts w:eastAsia="Times New Roman"/>
                <w:iCs/>
                <w:sz w:val="20"/>
                <w:szCs w:val="20"/>
                <w:lang w:val="sr-Cyrl-RS"/>
              </w:rPr>
            </w:pPr>
            <w:r w:rsidRPr="003E414B">
              <w:rPr>
                <w:rFonts w:eastAsia="Times New Roman"/>
                <w:iCs/>
                <w:sz w:val="20"/>
                <w:szCs w:val="20"/>
                <w:lang w:val="sr-Cyrl-RS"/>
              </w:rPr>
              <w:t>2,4%</w:t>
            </w:r>
          </w:p>
        </w:tc>
        <w:tc>
          <w:tcPr>
            <w:tcW w:w="2254" w:type="dxa"/>
          </w:tcPr>
          <w:p w:rsidR="00FB4104" w:rsidRPr="003E414B" w:rsidRDefault="00FB4104" w:rsidP="00FB4104">
            <w:pPr>
              <w:spacing w:after="0"/>
              <w:jc w:val="center"/>
              <w:rPr>
                <w:rFonts w:eastAsia="Times New Roman"/>
                <w:iCs/>
                <w:sz w:val="20"/>
                <w:szCs w:val="20"/>
                <w:lang w:val="sr-Cyrl-RS"/>
              </w:rPr>
            </w:pPr>
            <w:r w:rsidRPr="003E414B">
              <w:rPr>
                <w:rFonts w:eastAsia="Times New Roman"/>
                <w:iCs/>
                <w:sz w:val="20"/>
                <w:szCs w:val="20"/>
                <w:lang w:val="sr-Cyrl-RS"/>
              </w:rPr>
              <w:t>3,5</w:t>
            </w:r>
          </w:p>
        </w:tc>
        <w:tc>
          <w:tcPr>
            <w:tcW w:w="2254" w:type="dxa"/>
          </w:tcPr>
          <w:p w:rsidR="00FB4104" w:rsidRPr="003E414B" w:rsidRDefault="00FB4104" w:rsidP="00FB4104">
            <w:pPr>
              <w:spacing w:after="0"/>
              <w:jc w:val="center"/>
              <w:rPr>
                <w:rFonts w:eastAsia="Times New Roman"/>
                <w:iCs/>
                <w:sz w:val="20"/>
                <w:szCs w:val="20"/>
                <w:lang w:val="sr-Cyrl-RS"/>
              </w:rPr>
            </w:pPr>
            <w:r w:rsidRPr="003E414B">
              <w:rPr>
                <w:rFonts w:eastAsia="Times New Roman"/>
                <w:iCs/>
                <w:sz w:val="20"/>
                <w:szCs w:val="20"/>
                <w:lang w:val="sr-Cyrl-RS"/>
              </w:rPr>
              <w:t>2,3%</w:t>
            </w:r>
          </w:p>
        </w:tc>
      </w:tr>
      <w:tr w:rsidR="00FB4104" w:rsidRPr="003E414B" w:rsidTr="00FB4104">
        <w:tc>
          <w:tcPr>
            <w:tcW w:w="2254" w:type="dxa"/>
          </w:tcPr>
          <w:p w:rsidR="00FB4104" w:rsidRPr="003E414B" w:rsidRDefault="00FB4104" w:rsidP="00FB4104">
            <w:pPr>
              <w:spacing w:after="0"/>
              <w:rPr>
                <w:rFonts w:eastAsia="Times New Roman"/>
                <w:bCs/>
                <w:iCs/>
                <w:sz w:val="20"/>
                <w:szCs w:val="20"/>
                <w:lang w:val="sr-Cyrl-RS"/>
              </w:rPr>
            </w:pPr>
            <w:r w:rsidRPr="003E414B">
              <w:rPr>
                <w:rFonts w:eastAsia="Times New Roman"/>
                <w:bCs/>
                <w:iCs/>
                <w:sz w:val="20"/>
                <w:szCs w:val="20"/>
                <w:lang w:val="sr-Cyrl-RS"/>
              </w:rPr>
              <w:t>Број стипендираних ученика</w:t>
            </w:r>
          </w:p>
        </w:tc>
        <w:tc>
          <w:tcPr>
            <w:tcW w:w="2254" w:type="dxa"/>
          </w:tcPr>
          <w:p w:rsidR="00FB4104" w:rsidRPr="003E414B" w:rsidRDefault="00FB4104" w:rsidP="00FB4104">
            <w:pPr>
              <w:spacing w:after="0"/>
              <w:jc w:val="center"/>
              <w:rPr>
                <w:rFonts w:eastAsia="Times New Roman"/>
                <w:iCs/>
                <w:sz w:val="20"/>
                <w:szCs w:val="20"/>
                <w:lang w:val="sr-Cyrl-RS"/>
              </w:rPr>
            </w:pPr>
            <w:r w:rsidRPr="003E414B">
              <w:rPr>
                <w:rFonts w:eastAsia="Times New Roman"/>
                <w:iCs/>
                <w:sz w:val="20"/>
                <w:szCs w:val="20"/>
                <w:lang w:val="sr-Cyrl-RS"/>
              </w:rPr>
              <w:t>500</w:t>
            </w:r>
          </w:p>
        </w:tc>
        <w:tc>
          <w:tcPr>
            <w:tcW w:w="2254" w:type="dxa"/>
          </w:tcPr>
          <w:p w:rsidR="00FB4104" w:rsidRPr="003E414B" w:rsidRDefault="00FB4104" w:rsidP="00FB4104">
            <w:pPr>
              <w:spacing w:after="0"/>
              <w:jc w:val="center"/>
              <w:rPr>
                <w:rFonts w:eastAsia="Times New Roman"/>
                <w:iCs/>
                <w:sz w:val="20"/>
                <w:szCs w:val="20"/>
                <w:lang w:val="sr-Cyrl-RS"/>
              </w:rPr>
            </w:pPr>
            <w:r w:rsidRPr="003E414B">
              <w:rPr>
                <w:rFonts w:eastAsia="Times New Roman"/>
                <w:iCs/>
                <w:sz w:val="20"/>
                <w:szCs w:val="20"/>
                <w:lang w:val="sr-Cyrl-RS"/>
              </w:rPr>
              <w:t>312</w:t>
            </w:r>
          </w:p>
        </w:tc>
        <w:tc>
          <w:tcPr>
            <w:tcW w:w="2254" w:type="dxa"/>
          </w:tcPr>
          <w:p w:rsidR="00FB4104" w:rsidRPr="003E414B" w:rsidRDefault="00FB4104" w:rsidP="00FB4104">
            <w:pPr>
              <w:spacing w:after="0"/>
              <w:jc w:val="center"/>
              <w:rPr>
                <w:rFonts w:eastAsia="Times New Roman"/>
                <w:iCs/>
                <w:sz w:val="20"/>
                <w:szCs w:val="20"/>
                <w:lang w:val="sr-Cyrl-RS"/>
              </w:rPr>
            </w:pPr>
            <w:r w:rsidRPr="003E414B">
              <w:rPr>
                <w:rFonts w:eastAsia="Times New Roman"/>
                <w:iCs/>
                <w:sz w:val="20"/>
                <w:szCs w:val="20"/>
                <w:lang w:val="sr-Cyrl-RS"/>
              </w:rPr>
              <w:t>503</w:t>
            </w:r>
          </w:p>
        </w:tc>
      </w:tr>
    </w:tbl>
    <w:p w:rsidR="00FB4104" w:rsidRPr="002D21CB" w:rsidRDefault="00FB4104" w:rsidP="006904C2">
      <w:pPr>
        <w:spacing w:after="0"/>
        <w:ind w:firstLine="720"/>
        <w:jc w:val="both"/>
        <w:rPr>
          <w:bCs/>
          <w:sz w:val="24"/>
          <w:szCs w:val="24"/>
          <w:lang w:val="sr-Cyrl-RS"/>
        </w:rPr>
      </w:pPr>
    </w:p>
    <w:p w:rsidR="006904C2" w:rsidRPr="002D21CB" w:rsidRDefault="006904C2" w:rsidP="006904C2">
      <w:pPr>
        <w:spacing w:after="0"/>
        <w:ind w:firstLine="720"/>
        <w:jc w:val="both"/>
        <w:rPr>
          <w:bCs/>
          <w:sz w:val="24"/>
          <w:szCs w:val="24"/>
          <w:lang w:val="sr-Cyrl-RS"/>
        </w:rPr>
      </w:pPr>
      <w:r w:rsidRPr="002D21CB">
        <w:rPr>
          <w:bCs/>
          <w:sz w:val="24"/>
          <w:szCs w:val="24"/>
          <w:lang w:val="sr-Cyrl-RS"/>
        </w:rPr>
        <w:t>Наведени подаци указују да је проценат напуштања средње школе у опадању, као и да су системске мере подршке у образовању дале резултате кроз већу мотивацију стипендираних ученика за рад, учење и одлазак у школу, као и жељу за наставком образовања.</w:t>
      </w:r>
      <w:r w:rsidR="00237DA9" w:rsidRPr="002D21CB">
        <w:rPr>
          <w:bCs/>
          <w:sz w:val="24"/>
          <w:szCs w:val="24"/>
          <w:lang w:val="sr-Cyrl-RS"/>
        </w:rPr>
        <w:t xml:space="preserve"> Имајући то у виду, број додељених, односно одобрених стипендија у </w:t>
      </w:r>
      <w:r w:rsidR="00237DA9" w:rsidRPr="002D21CB">
        <w:rPr>
          <w:bCs/>
          <w:sz w:val="24"/>
          <w:szCs w:val="24"/>
          <w:lang w:val="sr-Cyrl-RS"/>
        </w:rPr>
        <w:lastRenderedPageBreak/>
        <w:t xml:space="preserve">школским годинама 2020/21. и 2021/22. значајно </w:t>
      </w:r>
      <w:r w:rsidR="003A0777">
        <w:rPr>
          <w:bCs/>
          <w:sz w:val="24"/>
          <w:szCs w:val="24"/>
          <w:lang w:val="sr-Cyrl-RS"/>
        </w:rPr>
        <w:t xml:space="preserve">је </w:t>
      </w:r>
      <w:r w:rsidR="00237DA9" w:rsidRPr="002D21CB">
        <w:rPr>
          <w:bCs/>
          <w:sz w:val="24"/>
          <w:szCs w:val="24"/>
          <w:lang w:val="sr-Cyrl-RS"/>
        </w:rPr>
        <w:t>повећан (1.213 у 2020/21. години, односно 1.114 у 2021/22).</w:t>
      </w:r>
      <w:r w:rsidR="00237DA9" w:rsidRPr="002D21CB">
        <w:t xml:space="preserve"> </w:t>
      </w:r>
      <w:r w:rsidR="00237DA9" w:rsidRPr="002D21CB">
        <w:rPr>
          <w:bCs/>
          <w:sz w:val="24"/>
          <w:szCs w:val="24"/>
          <w:lang w:val="sr-Cyrl-RS"/>
        </w:rPr>
        <w:t>Месечни износ стипендије је 5.400,00 динара (46 евра) и исплаћује се у 10 једнаких месечних рата.</w:t>
      </w:r>
    </w:p>
    <w:p w:rsidR="003E654C" w:rsidRPr="005249B1" w:rsidRDefault="00FB4104" w:rsidP="005249B1">
      <w:pPr>
        <w:spacing w:after="0"/>
        <w:ind w:firstLine="720"/>
        <w:jc w:val="both"/>
        <w:rPr>
          <w:sz w:val="24"/>
          <w:szCs w:val="24"/>
          <w:lang w:val="sr-Cyrl-RS"/>
        </w:rPr>
      </w:pPr>
      <w:r w:rsidRPr="005249B1">
        <w:rPr>
          <w:sz w:val="24"/>
          <w:szCs w:val="24"/>
          <w:lang w:val="sr-Cyrl-RS"/>
        </w:rPr>
        <w:t>Осим стипендирања, у извештајном периоду н</w:t>
      </w:r>
      <w:r w:rsidR="006904C2" w:rsidRPr="005249B1">
        <w:rPr>
          <w:sz w:val="24"/>
          <w:szCs w:val="24"/>
          <w:lang w:val="sr-Cyrl-RS"/>
        </w:rPr>
        <w:t xml:space="preserve">астављено је са </w:t>
      </w:r>
      <w:r w:rsidRPr="005249B1">
        <w:rPr>
          <w:sz w:val="24"/>
          <w:szCs w:val="24"/>
          <w:lang w:val="sr-Cyrl-RS"/>
        </w:rPr>
        <w:t>спровођењем осталих</w:t>
      </w:r>
      <w:r w:rsidR="006904C2" w:rsidRPr="005249B1">
        <w:rPr>
          <w:sz w:val="24"/>
          <w:szCs w:val="24"/>
          <w:lang w:val="sr-Cyrl-RS"/>
        </w:rPr>
        <w:t xml:space="preserve"> мера подршке</w:t>
      </w:r>
      <w:r w:rsidRPr="005249B1">
        <w:rPr>
          <w:sz w:val="24"/>
          <w:szCs w:val="24"/>
          <w:lang w:val="sr-Cyrl-RS"/>
        </w:rPr>
        <w:t>,</w:t>
      </w:r>
      <w:r w:rsidR="006904C2" w:rsidRPr="005249B1">
        <w:rPr>
          <w:sz w:val="24"/>
          <w:szCs w:val="24"/>
          <w:lang w:val="sr-Cyrl-RS"/>
        </w:rPr>
        <w:t xml:space="preserve"> као што су афирмативни упис у предшколске установе, могућност уписа у основне школе и без докумената, као и мере афирмативне акције уписа у средње школе. </w:t>
      </w:r>
      <w:r w:rsidR="00237DA9" w:rsidRPr="005249B1">
        <w:rPr>
          <w:sz w:val="24"/>
          <w:szCs w:val="24"/>
          <w:lang w:val="sr-Cyrl-RS"/>
        </w:rPr>
        <w:t xml:space="preserve">Доња табела садржи податке о броју и полној структури ученика ромске националности уписаних </w:t>
      </w:r>
      <w:r w:rsidR="002D21CB" w:rsidRPr="005249B1">
        <w:rPr>
          <w:sz w:val="24"/>
          <w:szCs w:val="24"/>
          <w:lang w:val="sr-Cyrl-RS"/>
        </w:rPr>
        <w:t xml:space="preserve">у средње школе </w:t>
      </w:r>
      <w:r w:rsidR="00237DA9" w:rsidRPr="005249B1">
        <w:rPr>
          <w:sz w:val="24"/>
          <w:szCs w:val="24"/>
          <w:lang w:val="sr-Cyrl-RS"/>
        </w:rPr>
        <w:t>применом афирмативних мера</w:t>
      </w:r>
      <w:r w:rsidR="006904C2" w:rsidRPr="005249B1">
        <w:rPr>
          <w:sz w:val="24"/>
          <w:szCs w:val="24"/>
          <w:lang w:val="sr-Cyrl-RS"/>
        </w:rPr>
        <w:t xml:space="preserve">. </w:t>
      </w:r>
    </w:p>
    <w:p w:rsidR="003E654C" w:rsidRDefault="003E654C" w:rsidP="005249B1">
      <w:pPr>
        <w:spacing w:after="0"/>
        <w:rPr>
          <w:highlight w:val="yellow"/>
          <w:lang w:val="sr-Cyrl-RS"/>
        </w:rPr>
      </w:pPr>
    </w:p>
    <w:tbl>
      <w:tblPr>
        <w:tblW w:w="8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6"/>
        <w:gridCol w:w="2925"/>
        <w:gridCol w:w="3026"/>
      </w:tblGrid>
      <w:tr w:rsidR="003E654C" w:rsidRPr="003E654C" w:rsidTr="005249B1">
        <w:trPr>
          <w:trHeight w:val="292"/>
        </w:trPr>
        <w:tc>
          <w:tcPr>
            <w:tcW w:w="3046" w:type="dxa"/>
            <w:shd w:val="clear" w:color="auto" w:fill="auto"/>
          </w:tcPr>
          <w:p w:rsidR="003E654C" w:rsidRPr="003E654C" w:rsidRDefault="003E654C" w:rsidP="005249B1">
            <w:pPr>
              <w:spacing w:after="0"/>
              <w:jc w:val="center"/>
              <w:rPr>
                <w:rFonts w:eastAsia="Book Antiqua"/>
                <w:position w:val="-1"/>
                <w:sz w:val="20"/>
                <w:szCs w:val="20"/>
              </w:rPr>
            </w:pPr>
            <w:r w:rsidRPr="003E654C">
              <w:rPr>
                <w:rFonts w:eastAsia="Book Antiqua"/>
                <w:b/>
                <w:position w:val="-1"/>
                <w:sz w:val="20"/>
                <w:szCs w:val="20"/>
              </w:rPr>
              <w:t>Школска година</w:t>
            </w:r>
          </w:p>
        </w:tc>
        <w:tc>
          <w:tcPr>
            <w:tcW w:w="2925" w:type="dxa"/>
            <w:shd w:val="clear" w:color="auto" w:fill="auto"/>
          </w:tcPr>
          <w:p w:rsidR="003E654C" w:rsidRPr="003E654C" w:rsidRDefault="003E654C" w:rsidP="005249B1">
            <w:pPr>
              <w:spacing w:after="0"/>
              <w:jc w:val="center"/>
              <w:rPr>
                <w:rFonts w:eastAsia="Book Antiqua"/>
                <w:position w:val="-1"/>
                <w:sz w:val="20"/>
                <w:szCs w:val="20"/>
              </w:rPr>
            </w:pPr>
            <w:r w:rsidRPr="003E654C">
              <w:rPr>
                <w:rFonts w:eastAsia="Book Antiqua"/>
                <w:b/>
                <w:position w:val="-1"/>
                <w:sz w:val="20"/>
                <w:szCs w:val="20"/>
              </w:rPr>
              <w:t>Број уписаних</w:t>
            </w:r>
          </w:p>
        </w:tc>
        <w:tc>
          <w:tcPr>
            <w:tcW w:w="3026" w:type="dxa"/>
            <w:shd w:val="clear" w:color="auto" w:fill="auto"/>
          </w:tcPr>
          <w:p w:rsidR="003E654C" w:rsidRPr="003E654C" w:rsidRDefault="003E654C" w:rsidP="005249B1">
            <w:pPr>
              <w:spacing w:after="0"/>
              <w:jc w:val="center"/>
              <w:rPr>
                <w:rFonts w:eastAsia="Book Antiqua"/>
                <w:position w:val="-1"/>
                <w:sz w:val="20"/>
                <w:szCs w:val="20"/>
              </w:rPr>
            </w:pPr>
            <w:r w:rsidRPr="003E654C">
              <w:rPr>
                <w:rFonts w:eastAsia="Book Antiqua"/>
                <w:b/>
                <w:position w:val="-1"/>
                <w:sz w:val="20"/>
                <w:szCs w:val="20"/>
              </w:rPr>
              <w:t>% девојчица</w:t>
            </w:r>
          </w:p>
        </w:tc>
      </w:tr>
      <w:tr w:rsidR="003E654C" w:rsidRPr="003E654C" w:rsidTr="005249B1">
        <w:trPr>
          <w:trHeight w:val="292"/>
        </w:trPr>
        <w:tc>
          <w:tcPr>
            <w:tcW w:w="3046" w:type="dxa"/>
            <w:shd w:val="clear" w:color="auto" w:fill="auto"/>
          </w:tcPr>
          <w:p w:rsidR="003E654C" w:rsidRPr="003E654C" w:rsidRDefault="003E654C" w:rsidP="005249B1">
            <w:pPr>
              <w:spacing w:after="0"/>
              <w:jc w:val="center"/>
              <w:rPr>
                <w:rFonts w:eastAsia="Book Antiqua"/>
                <w:position w:val="-1"/>
                <w:sz w:val="20"/>
                <w:szCs w:val="20"/>
              </w:rPr>
            </w:pPr>
            <w:r w:rsidRPr="003E654C">
              <w:rPr>
                <w:rFonts w:eastAsia="Book Antiqua"/>
                <w:position w:val="-1"/>
                <w:sz w:val="20"/>
                <w:szCs w:val="20"/>
              </w:rPr>
              <w:t>2016/17</w:t>
            </w:r>
          </w:p>
        </w:tc>
        <w:tc>
          <w:tcPr>
            <w:tcW w:w="2925" w:type="dxa"/>
            <w:shd w:val="clear" w:color="auto" w:fill="auto"/>
          </w:tcPr>
          <w:p w:rsidR="003E654C" w:rsidRPr="003E654C" w:rsidRDefault="003E654C" w:rsidP="005249B1">
            <w:pPr>
              <w:spacing w:after="0"/>
              <w:jc w:val="center"/>
              <w:rPr>
                <w:rFonts w:eastAsia="Book Antiqua"/>
                <w:position w:val="-1"/>
                <w:sz w:val="20"/>
                <w:szCs w:val="20"/>
              </w:rPr>
            </w:pPr>
            <w:r w:rsidRPr="003E654C">
              <w:rPr>
                <w:rFonts w:eastAsia="Book Antiqua"/>
                <w:position w:val="-1"/>
                <w:sz w:val="20"/>
                <w:szCs w:val="20"/>
              </w:rPr>
              <w:t>1</w:t>
            </w:r>
            <w:r w:rsidR="003A0777">
              <w:rPr>
                <w:rFonts w:eastAsia="Book Antiqua"/>
                <w:position w:val="-1"/>
                <w:sz w:val="20"/>
                <w:szCs w:val="20"/>
                <w:lang w:val="sr-Cyrl-RS"/>
              </w:rPr>
              <w:t>.</w:t>
            </w:r>
            <w:r w:rsidRPr="003E654C">
              <w:rPr>
                <w:rFonts w:eastAsia="Book Antiqua"/>
                <w:position w:val="-1"/>
                <w:sz w:val="20"/>
                <w:szCs w:val="20"/>
              </w:rPr>
              <w:t>713</w:t>
            </w:r>
          </w:p>
        </w:tc>
        <w:tc>
          <w:tcPr>
            <w:tcW w:w="3026" w:type="dxa"/>
            <w:shd w:val="clear" w:color="auto" w:fill="auto"/>
          </w:tcPr>
          <w:p w:rsidR="003E654C" w:rsidRPr="003E654C" w:rsidRDefault="003E654C" w:rsidP="005249B1">
            <w:pPr>
              <w:spacing w:after="0"/>
              <w:jc w:val="center"/>
              <w:rPr>
                <w:rFonts w:eastAsia="Book Antiqua"/>
                <w:position w:val="-1"/>
                <w:sz w:val="20"/>
                <w:szCs w:val="20"/>
              </w:rPr>
            </w:pPr>
            <w:r w:rsidRPr="003E654C">
              <w:rPr>
                <w:rFonts w:eastAsia="Book Antiqua"/>
                <w:position w:val="-1"/>
                <w:sz w:val="20"/>
                <w:szCs w:val="20"/>
              </w:rPr>
              <w:t>52%</w:t>
            </w:r>
          </w:p>
        </w:tc>
      </w:tr>
      <w:tr w:rsidR="003E654C" w:rsidRPr="003E654C" w:rsidTr="005249B1">
        <w:trPr>
          <w:trHeight w:val="292"/>
        </w:trPr>
        <w:tc>
          <w:tcPr>
            <w:tcW w:w="3046" w:type="dxa"/>
            <w:shd w:val="clear" w:color="auto" w:fill="auto"/>
          </w:tcPr>
          <w:p w:rsidR="003E654C" w:rsidRPr="003E654C" w:rsidRDefault="003E654C" w:rsidP="005249B1">
            <w:pPr>
              <w:spacing w:after="0"/>
              <w:jc w:val="center"/>
              <w:rPr>
                <w:rFonts w:eastAsia="Book Antiqua"/>
                <w:position w:val="-1"/>
                <w:sz w:val="20"/>
                <w:szCs w:val="20"/>
              </w:rPr>
            </w:pPr>
            <w:r w:rsidRPr="003E654C">
              <w:rPr>
                <w:rFonts w:eastAsia="Book Antiqua"/>
                <w:position w:val="-1"/>
                <w:sz w:val="20"/>
                <w:szCs w:val="20"/>
              </w:rPr>
              <w:t>2017/18</w:t>
            </w:r>
          </w:p>
        </w:tc>
        <w:tc>
          <w:tcPr>
            <w:tcW w:w="2925" w:type="dxa"/>
            <w:shd w:val="clear" w:color="auto" w:fill="auto"/>
          </w:tcPr>
          <w:p w:rsidR="003E654C" w:rsidRPr="003E654C" w:rsidRDefault="003E654C" w:rsidP="005249B1">
            <w:pPr>
              <w:spacing w:after="0"/>
              <w:jc w:val="center"/>
              <w:rPr>
                <w:rFonts w:eastAsia="Book Antiqua"/>
                <w:position w:val="-1"/>
                <w:sz w:val="20"/>
                <w:szCs w:val="20"/>
              </w:rPr>
            </w:pPr>
            <w:r w:rsidRPr="003E654C">
              <w:rPr>
                <w:rFonts w:eastAsia="Book Antiqua"/>
                <w:position w:val="-1"/>
                <w:sz w:val="20"/>
                <w:szCs w:val="20"/>
              </w:rPr>
              <w:t>1</w:t>
            </w:r>
            <w:r w:rsidR="003A0777">
              <w:rPr>
                <w:rFonts w:eastAsia="Book Antiqua"/>
                <w:position w:val="-1"/>
                <w:sz w:val="20"/>
                <w:szCs w:val="20"/>
                <w:lang w:val="sr-Cyrl-RS"/>
              </w:rPr>
              <w:t>.</w:t>
            </w:r>
            <w:r w:rsidRPr="003E654C">
              <w:rPr>
                <w:rFonts w:eastAsia="Book Antiqua"/>
                <w:position w:val="-1"/>
                <w:sz w:val="20"/>
                <w:szCs w:val="20"/>
              </w:rPr>
              <w:t>696</w:t>
            </w:r>
          </w:p>
        </w:tc>
        <w:tc>
          <w:tcPr>
            <w:tcW w:w="3026" w:type="dxa"/>
            <w:shd w:val="clear" w:color="auto" w:fill="auto"/>
          </w:tcPr>
          <w:p w:rsidR="003E654C" w:rsidRPr="003E654C" w:rsidRDefault="003E654C" w:rsidP="005249B1">
            <w:pPr>
              <w:spacing w:after="0"/>
              <w:jc w:val="center"/>
              <w:rPr>
                <w:rFonts w:eastAsia="Book Antiqua"/>
                <w:position w:val="-1"/>
                <w:sz w:val="20"/>
                <w:szCs w:val="20"/>
              </w:rPr>
            </w:pPr>
            <w:r w:rsidRPr="003E654C">
              <w:rPr>
                <w:rFonts w:eastAsia="Book Antiqua"/>
                <w:position w:val="-1"/>
                <w:sz w:val="20"/>
                <w:szCs w:val="20"/>
              </w:rPr>
              <w:t>52%</w:t>
            </w:r>
          </w:p>
        </w:tc>
      </w:tr>
      <w:tr w:rsidR="003E654C" w:rsidRPr="003E654C" w:rsidTr="005249B1">
        <w:trPr>
          <w:trHeight w:val="292"/>
        </w:trPr>
        <w:tc>
          <w:tcPr>
            <w:tcW w:w="3046" w:type="dxa"/>
            <w:shd w:val="clear" w:color="auto" w:fill="auto"/>
          </w:tcPr>
          <w:p w:rsidR="003E654C" w:rsidRPr="003E654C" w:rsidRDefault="003E654C" w:rsidP="005249B1">
            <w:pPr>
              <w:spacing w:after="0"/>
              <w:jc w:val="center"/>
              <w:rPr>
                <w:rFonts w:eastAsia="Book Antiqua"/>
                <w:position w:val="-1"/>
                <w:sz w:val="20"/>
                <w:szCs w:val="20"/>
              </w:rPr>
            </w:pPr>
            <w:r w:rsidRPr="003E654C">
              <w:rPr>
                <w:rFonts w:eastAsia="Book Antiqua"/>
                <w:position w:val="-1"/>
                <w:sz w:val="20"/>
                <w:szCs w:val="20"/>
              </w:rPr>
              <w:t>2018/19</w:t>
            </w:r>
          </w:p>
        </w:tc>
        <w:tc>
          <w:tcPr>
            <w:tcW w:w="2925" w:type="dxa"/>
            <w:shd w:val="clear" w:color="auto" w:fill="auto"/>
          </w:tcPr>
          <w:p w:rsidR="003E654C" w:rsidRPr="003E654C" w:rsidRDefault="003E654C" w:rsidP="005249B1">
            <w:pPr>
              <w:spacing w:after="0"/>
              <w:jc w:val="center"/>
              <w:rPr>
                <w:rFonts w:eastAsia="Book Antiqua"/>
                <w:position w:val="-1"/>
                <w:sz w:val="20"/>
                <w:szCs w:val="20"/>
              </w:rPr>
            </w:pPr>
            <w:r w:rsidRPr="003E654C">
              <w:rPr>
                <w:rFonts w:eastAsia="Book Antiqua"/>
                <w:position w:val="-1"/>
                <w:sz w:val="20"/>
                <w:szCs w:val="20"/>
              </w:rPr>
              <w:t>2</w:t>
            </w:r>
            <w:r w:rsidR="003A0777">
              <w:rPr>
                <w:rFonts w:eastAsia="Book Antiqua"/>
                <w:position w:val="-1"/>
                <w:sz w:val="20"/>
                <w:szCs w:val="20"/>
                <w:lang w:val="sr-Cyrl-RS"/>
              </w:rPr>
              <w:t>.</w:t>
            </w:r>
            <w:r w:rsidRPr="003E654C">
              <w:rPr>
                <w:rFonts w:eastAsia="Book Antiqua"/>
                <w:position w:val="-1"/>
                <w:sz w:val="20"/>
                <w:szCs w:val="20"/>
              </w:rPr>
              <w:t>220</w:t>
            </w:r>
          </w:p>
        </w:tc>
        <w:tc>
          <w:tcPr>
            <w:tcW w:w="3026" w:type="dxa"/>
            <w:shd w:val="clear" w:color="auto" w:fill="auto"/>
          </w:tcPr>
          <w:p w:rsidR="003E654C" w:rsidRPr="003E654C" w:rsidRDefault="003E654C" w:rsidP="005249B1">
            <w:pPr>
              <w:spacing w:after="0"/>
              <w:jc w:val="center"/>
              <w:rPr>
                <w:rFonts w:eastAsia="Book Antiqua"/>
                <w:position w:val="-1"/>
                <w:sz w:val="20"/>
                <w:szCs w:val="20"/>
              </w:rPr>
            </w:pPr>
            <w:r w:rsidRPr="003E654C">
              <w:rPr>
                <w:rFonts w:eastAsia="Book Antiqua"/>
                <w:position w:val="-1"/>
                <w:sz w:val="20"/>
                <w:szCs w:val="20"/>
              </w:rPr>
              <w:t>56%</w:t>
            </w:r>
          </w:p>
        </w:tc>
      </w:tr>
      <w:tr w:rsidR="003E654C" w:rsidRPr="003E654C" w:rsidTr="005249B1">
        <w:trPr>
          <w:trHeight w:val="292"/>
        </w:trPr>
        <w:tc>
          <w:tcPr>
            <w:tcW w:w="3046" w:type="dxa"/>
            <w:shd w:val="clear" w:color="auto" w:fill="auto"/>
          </w:tcPr>
          <w:p w:rsidR="003E654C" w:rsidRPr="003E654C" w:rsidRDefault="003E654C" w:rsidP="005249B1">
            <w:pPr>
              <w:spacing w:after="0"/>
              <w:jc w:val="center"/>
              <w:rPr>
                <w:rFonts w:eastAsia="Book Antiqua"/>
                <w:position w:val="-1"/>
                <w:sz w:val="20"/>
                <w:szCs w:val="20"/>
              </w:rPr>
            </w:pPr>
            <w:r w:rsidRPr="003E654C">
              <w:rPr>
                <w:rFonts w:eastAsia="Book Antiqua"/>
                <w:position w:val="-1"/>
                <w:sz w:val="20"/>
                <w:szCs w:val="20"/>
              </w:rPr>
              <w:t>2019/20</w:t>
            </w:r>
          </w:p>
        </w:tc>
        <w:tc>
          <w:tcPr>
            <w:tcW w:w="2925" w:type="dxa"/>
            <w:shd w:val="clear" w:color="auto" w:fill="auto"/>
          </w:tcPr>
          <w:p w:rsidR="003E654C" w:rsidRPr="003E654C" w:rsidRDefault="003E654C" w:rsidP="005249B1">
            <w:pPr>
              <w:spacing w:after="0"/>
              <w:jc w:val="center"/>
              <w:rPr>
                <w:rFonts w:eastAsia="Book Antiqua"/>
                <w:position w:val="-1"/>
                <w:sz w:val="20"/>
                <w:szCs w:val="20"/>
              </w:rPr>
            </w:pPr>
            <w:r w:rsidRPr="003E654C">
              <w:rPr>
                <w:rFonts w:eastAsia="Book Antiqua"/>
                <w:position w:val="-1"/>
                <w:sz w:val="20"/>
                <w:szCs w:val="20"/>
              </w:rPr>
              <w:t>2</w:t>
            </w:r>
            <w:r w:rsidR="003A0777">
              <w:rPr>
                <w:rFonts w:eastAsia="Book Antiqua"/>
                <w:position w:val="-1"/>
                <w:sz w:val="20"/>
                <w:szCs w:val="20"/>
                <w:lang w:val="sr-Cyrl-RS"/>
              </w:rPr>
              <w:t>.</w:t>
            </w:r>
            <w:r w:rsidRPr="003E654C">
              <w:rPr>
                <w:rFonts w:eastAsia="Book Antiqua"/>
                <w:position w:val="-1"/>
                <w:sz w:val="20"/>
                <w:szCs w:val="20"/>
              </w:rPr>
              <w:t>209</w:t>
            </w:r>
          </w:p>
        </w:tc>
        <w:tc>
          <w:tcPr>
            <w:tcW w:w="3026" w:type="dxa"/>
            <w:shd w:val="clear" w:color="auto" w:fill="auto"/>
          </w:tcPr>
          <w:p w:rsidR="003E654C" w:rsidRPr="003E654C" w:rsidRDefault="003E654C" w:rsidP="005249B1">
            <w:pPr>
              <w:spacing w:after="0"/>
              <w:jc w:val="center"/>
              <w:rPr>
                <w:rFonts w:eastAsia="Book Antiqua"/>
                <w:position w:val="-1"/>
                <w:sz w:val="20"/>
                <w:szCs w:val="20"/>
              </w:rPr>
            </w:pPr>
            <w:r w:rsidRPr="003E654C">
              <w:rPr>
                <w:rFonts w:eastAsia="Book Antiqua"/>
                <w:position w:val="-1"/>
                <w:sz w:val="20"/>
                <w:szCs w:val="20"/>
              </w:rPr>
              <w:t>57%</w:t>
            </w:r>
          </w:p>
        </w:tc>
      </w:tr>
      <w:tr w:rsidR="003E654C" w:rsidRPr="003E654C" w:rsidTr="005249B1">
        <w:trPr>
          <w:trHeight w:val="302"/>
        </w:trPr>
        <w:tc>
          <w:tcPr>
            <w:tcW w:w="3046" w:type="dxa"/>
            <w:shd w:val="clear" w:color="auto" w:fill="auto"/>
          </w:tcPr>
          <w:p w:rsidR="003E654C" w:rsidRPr="003E654C" w:rsidRDefault="003E654C" w:rsidP="005249B1">
            <w:pPr>
              <w:spacing w:after="0"/>
              <w:jc w:val="center"/>
              <w:rPr>
                <w:rFonts w:eastAsia="Book Antiqua"/>
                <w:position w:val="-1"/>
                <w:sz w:val="20"/>
                <w:szCs w:val="20"/>
              </w:rPr>
            </w:pPr>
            <w:r w:rsidRPr="003E654C">
              <w:rPr>
                <w:rFonts w:eastAsia="Book Antiqua"/>
                <w:position w:val="-1"/>
                <w:sz w:val="20"/>
                <w:szCs w:val="20"/>
              </w:rPr>
              <w:t>2020/21</w:t>
            </w:r>
          </w:p>
        </w:tc>
        <w:tc>
          <w:tcPr>
            <w:tcW w:w="2925" w:type="dxa"/>
            <w:shd w:val="clear" w:color="auto" w:fill="auto"/>
          </w:tcPr>
          <w:p w:rsidR="003E654C" w:rsidRPr="003E654C" w:rsidRDefault="003E654C" w:rsidP="005249B1">
            <w:pPr>
              <w:spacing w:after="0"/>
              <w:jc w:val="center"/>
              <w:rPr>
                <w:rFonts w:eastAsia="Book Antiqua"/>
                <w:position w:val="-1"/>
                <w:sz w:val="20"/>
                <w:szCs w:val="20"/>
              </w:rPr>
            </w:pPr>
            <w:r w:rsidRPr="003E654C">
              <w:rPr>
                <w:rFonts w:eastAsia="Book Antiqua"/>
                <w:position w:val="-1"/>
                <w:sz w:val="20"/>
                <w:szCs w:val="20"/>
              </w:rPr>
              <w:t>1</w:t>
            </w:r>
            <w:r w:rsidR="003A0777">
              <w:rPr>
                <w:rFonts w:eastAsia="Book Antiqua"/>
                <w:position w:val="-1"/>
                <w:sz w:val="20"/>
                <w:szCs w:val="20"/>
                <w:lang w:val="sr-Cyrl-RS"/>
              </w:rPr>
              <w:t>.</w:t>
            </w:r>
            <w:r w:rsidRPr="003E654C">
              <w:rPr>
                <w:rFonts w:eastAsia="Book Antiqua"/>
                <w:position w:val="-1"/>
                <w:sz w:val="20"/>
                <w:szCs w:val="20"/>
              </w:rPr>
              <w:t>894</w:t>
            </w:r>
          </w:p>
        </w:tc>
        <w:tc>
          <w:tcPr>
            <w:tcW w:w="3026" w:type="dxa"/>
            <w:shd w:val="clear" w:color="auto" w:fill="auto"/>
          </w:tcPr>
          <w:p w:rsidR="003E654C" w:rsidRPr="003E654C" w:rsidRDefault="003E654C" w:rsidP="005249B1">
            <w:pPr>
              <w:spacing w:after="0"/>
              <w:jc w:val="center"/>
              <w:rPr>
                <w:rFonts w:eastAsia="Book Antiqua"/>
                <w:position w:val="-1"/>
                <w:sz w:val="20"/>
                <w:szCs w:val="20"/>
              </w:rPr>
            </w:pPr>
            <w:r w:rsidRPr="003E654C">
              <w:rPr>
                <w:rFonts w:eastAsia="Book Antiqua"/>
                <w:position w:val="-1"/>
                <w:sz w:val="20"/>
                <w:szCs w:val="20"/>
              </w:rPr>
              <w:t>56%</w:t>
            </w:r>
          </w:p>
        </w:tc>
      </w:tr>
    </w:tbl>
    <w:p w:rsidR="003E654C" w:rsidRDefault="003E654C" w:rsidP="006904C2">
      <w:pPr>
        <w:spacing w:after="0"/>
        <w:ind w:firstLine="720"/>
        <w:jc w:val="both"/>
        <w:rPr>
          <w:sz w:val="24"/>
          <w:szCs w:val="24"/>
          <w:highlight w:val="yellow"/>
          <w:lang w:val="sr-Cyrl-RS"/>
        </w:rPr>
      </w:pPr>
    </w:p>
    <w:p w:rsidR="00CA6B98" w:rsidRDefault="00CA6B98" w:rsidP="00CA6B98">
      <w:pPr>
        <w:spacing w:after="0"/>
        <w:ind w:firstLine="720"/>
        <w:jc w:val="both"/>
        <w:rPr>
          <w:sz w:val="24"/>
          <w:szCs w:val="24"/>
          <w:lang w:val="sr-Cyrl-RS"/>
        </w:rPr>
      </w:pPr>
      <w:r>
        <w:rPr>
          <w:sz w:val="24"/>
          <w:szCs w:val="24"/>
          <w:lang w:val="sr-Cyrl-RS"/>
        </w:rPr>
        <w:t>Посебне мере у корист ученика ромске националности предузете су за време трајања пандемије болести КОВИД-19 када се изводила настава</w:t>
      </w:r>
      <w:r w:rsidRPr="00CA6B98">
        <w:rPr>
          <w:sz w:val="24"/>
          <w:szCs w:val="24"/>
          <w:lang w:val="sr-Cyrl-RS"/>
        </w:rPr>
        <w:t xml:space="preserve"> </w:t>
      </w:r>
      <w:r>
        <w:rPr>
          <w:sz w:val="24"/>
          <w:szCs w:val="24"/>
          <w:lang w:val="sr-Cyrl-RS"/>
        </w:rPr>
        <w:t xml:space="preserve">на даљину. </w:t>
      </w:r>
      <w:r w:rsidRPr="00CA6B98">
        <w:rPr>
          <w:sz w:val="24"/>
          <w:szCs w:val="24"/>
          <w:lang w:val="sr-Cyrl-RS"/>
        </w:rPr>
        <w:t xml:space="preserve">Кроз пројекат </w:t>
      </w:r>
      <w:r>
        <w:rPr>
          <w:sz w:val="24"/>
          <w:szCs w:val="24"/>
          <w:lang w:val="sr-Cyrl-RS"/>
        </w:rPr>
        <w:t>„</w:t>
      </w:r>
      <w:r w:rsidRPr="00CA6B98">
        <w:rPr>
          <w:sz w:val="24"/>
          <w:szCs w:val="24"/>
          <w:lang w:val="sr-Cyrl-RS"/>
        </w:rPr>
        <w:t>Премошћавање дигиталног јаза за најугроженију децу</w:t>
      </w:r>
      <w:r>
        <w:rPr>
          <w:sz w:val="24"/>
          <w:szCs w:val="24"/>
          <w:lang w:val="sr-Cyrl-RS"/>
        </w:rPr>
        <w:t>“</w:t>
      </w:r>
      <w:r w:rsidRPr="00CA6B98">
        <w:rPr>
          <w:sz w:val="24"/>
          <w:szCs w:val="24"/>
          <w:lang w:val="sr-Cyrl-RS"/>
        </w:rPr>
        <w:t xml:space="preserve"> који </w:t>
      </w:r>
      <w:r>
        <w:rPr>
          <w:sz w:val="24"/>
          <w:szCs w:val="24"/>
          <w:lang w:val="sr-Cyrl-RS"/>
        </w:rPr>
        <w:t xml:space="preserve">су </w:t>
      </w:r>
      <w:r w:rsidRPr="00CA6B98">
        <w:rPr>
          <w:sz w:val="24"/>
          <w:szCs w:val="24"/>
          <w:lang w:val="sr-Cyrl-RS"/>
        </w:rPr>
        <w:t>реализ</w:t>
      </w:r>
      <w:r>
        <w:rPr>
          <w:sz w:val="24"/>
          <w:szCs w:val="24"/>
          <w:lang w:val="sr-Cyrl-RS"/>
        </w:rPr>
        <w:t xml:space="preserve">овали </w:t>
      </w:r>
      <w:r w:rsidRPr="00CA6B98">
        <w:rPr>
          <w:sz w:val="24"/>
          <w:szCs w:val="24"/>
          <w:lang w:val="sr-Cyrl-RS"/>
        </w:rPr>
        <w:t xml:space="preserve"> </w:t>
      </w:r>
      <w:r>
        <w:rPr>
          <w:sz w:val="24"/>
          <w:szCs w:val="24"/>
          <w:lang w:val="sr-Cyrl-RS"/>
        </w:rPr>
        <w:t xml:space="preserve">Министарство просвете, науке и технолошког развоја </w:t>
      </w:r>
      <w:r w:rsidRPr="00CA6B98">
        <w:rPr>
          <w:sz w:val="24"/>
          <w:szCs w:val="24"/>
          <w:lang w:val="sr-Cyrl-RS"/>
        </w:rPr>
        <w:t>и УНИЦЕФ уз финансијску подршку ЕУ</w:t>
      </w:r>
      <w:r>
        <w:rPr>
          <w:sz w:val="24"/>
          <w:szCs w:val="24"/>
          <w:lang w:val="sr-Cyrl-RS"/>
        </w:rPr>
        <w:t xml:space="preserve"> </w:t>
      </w:r>
      <w:r w:rsidRPr="00CA6B98">
        <w:rPr>
          <w:sz w:val="24"/>
          <w:szCs w:val="24"/>
          <w:lang w:val="sr-Cyrl-RS"/>
        </w:rPr>
        <w:t>обезбеђено је преко 2</w:t>
      </w:r>
      <w:r>
        <w:rPr>
          <w:sz w:val="24"/>
          <w:szCs w:val="24"/>
          <w:lang w:val="sr-Cyrl-RS"/>
        </w:rPr>
        <w:t>.</w:t>
      </w:r>
      <w:r w:rsidRPr="00CA6B98">
        <w:rPr>
          <w:sz w:val="24"/>
          <w:szCs w:val="24"/>
          <w:lang w:val="sr-Cyrl-RS"/>
        </w:rPr>
        <w:t xml:space="preserve">000 ИТ уређаја за 30 најугроженијих школа у којима се образују ромски ученици, донирано је 250 лаптопова за све ромске педагошке асистенте у Србији, </w:t>
      </w:r>
      <w:r>
        <w:rPr>
          <w:sz w:val="24"/>
          <w:szCs w:val="24"/>
          <w:lang w:val="sr-Cyrl-RS"/>
        </w:rPr>
        <w:t>а обезбеђена су</w:t>
      </w:r>
      <w:r w:rsidRPr="00CA6B98">
        <w:rPr>
          <w:sz w:val="24"/>
          <w:szCs w:val="24"/>
          <w:lang w:val="sr-Cyrl-RS"/>
        </w:rPr>
        <w:t xml:space="preserve"> и неповратна средства за школе за формирање </w:t>
      </w:r>
      <w:r w:rsidR="00C77214">
        <w:rPr>
          <w:sz w:val="24"/>
          <w:szCs w:val="24"/>
          <w:lang w:val="sr-Cyrl-RS"/>
        </w:rPr>
        <w:t>к</w:t>
      </w:r>
      <w:r w:rsidRPr="00CA6B98">
        <w:rPr>
          <w:sz w:val="24"/>
          <w:szCs w:val="24"/>
          <w:lang w:val="sr-Cyrl-RS"/>
        </w:rPr>
        <w:t xml:space="preserve">лубова за учење у којима се обезбеђују услови за онлајн учење за ученике који немају те услове </w:t>
      </w:r>
      <w:r>
        <w:rPr>
          <w:sz w:val="24"/>
          <w:szCs w:val="24"/>
          <w:lang w:val="sr-Cyrl-RS"/>
        </w:rPr>
        <w:t xml:space="preserve">у </w:t>
      </w:r>
      <w:r w:rsidRPr="00CA6B98">
        <w:rPr>
          <w:sz w:val="24"/>
          <w:szCs w:val="24"/>
          <w:lang w:val="sr-Cyrl-RS"/>
        </w:rPr>
        <w:t>кући. Укупан број ученика који су обухваћени активностима је 3</w:t>
      </w:r>
      <w:r>
        <w:rPr>
          <w:sz w:val="24"/>
          <w:szCs w:val="24"/>
          <w:lang w:val="sr-Cyrl-RS"/>
        </w:rPr>
        <w:t>.</w:t>
      </w:r>
      <w:r w:rsidRPr="00CA6B98">
        <w:rPr>
          <w:sz w:val="24"/>
          <w:szCs w:val="24"/>
          <w:lang w:val="sr-Cyrl-RS"/>
        </w:rPr>
        <w:t>111</w:t>
      </w:r>
      <w:r>
        <w:rPr>
          <w:sz w:val="24"/>
          <w:szCs w:val="24"/>
          <w:lang w:val="sr-Cyrl-RS"/>
        </w:rPr>
        <w:t>,</w:t>
      </w:r>
      <w:r w:rsidRPr="00CA6B98">
        <w:rPr>
          <w:sz w:val="24"/>
          <w:szCs w:val="24"/>
          <w:lang w:val="sr-Cyrl-RS"/>
        </w:rPr>
        <w:t xml:space="preserve"> односно 15% од укупног броја ученика из 30 школа које су у пројекту. Од укупног број ученика који су идентификовани као ученици којима је најпотребнија додатна подршка у учењу кроз клуб за учење, више од половине чине ученици ромске националности. Укупно је 490 ученика добило таблет рачунаре за коришћење код куће. </w:t>
      </w:r>
      <w:r w:rsidR="00C00395">
        <w:rPr>
          <w:sz w:val="24"/>
          <w:szCs w:val="24"/>
          <w:lang w:val="sr-Cyrl-RS"/>
        </w:rPr>
        <w:t>У овом контексту</w:t>
      </w:r>
      <w:r w:rsidRPr="00CA6B98">
        <w:rPr>
          <w:sz w:val="24"/>
          <w:szCs w:val="24"/>
          <w:lang w:val="sr-Cyrl-RS"/>
        </w:rPr>
        <w:t xml:space="preserve"> наводимо </w:t>
      </w:r>
      <w:r w:rsidR="00C00395">
        <w:rPr>
          <w:sz w:val="24"/>
          <w:szCs w:val="24"/>
          <w:lang w:val="sr-Cyrl-RS"/>
        </w:rPr>
        <w:t xml:space="preserve">и </w:t>
      </w:r>
      <w:r w:rsidRPr="00CA6B98">
        <w:rPr>
          <w:sz w:val="24"/>
          <w:szCs w:val="24"/>
          <w:lang w:val="sr-Cyrl-RS"/>
        </w:rPr>
        <w:t>истраживање спроведено у периоду ванредног стања под називом „Праћење начина учешћа и процеса учења ученика из осетљивих група током остваривања образовно-васпитног рада учењем на даљину“</w:t>
      </w:r>
      <w:r w:rsidR="00C00395">
        <w:rPr>
          <w:sz w:val="24"/>
          <w:szCs w:val="24"/>
          <w:lang w:val="sr-Cyrl-RS"/>
        </w:rPr>
        <w:t>.</w:t>
      </w:r>
      <w:r w:rsidR="00C00395">
        <w:rPr>
          <w:rStyle w:val="FootnoteReference"/>
          <w:sz w:val="24"/>
          <w:szCs w:val="24"/>
          <w:lang w:val="sr-Cyrl-RS"/>
        </w:rPr>
        <w:footnoteReference w:id="20"/>
      </w:r>
      <w:r w:rsidRPr="00CA6B98">
        <w:rPr>
          <w:sz w:val="24"/>
          <w:szCs w:val="24"/>
          <w:lang w:val="sr-Cyrl-RS"/>
        </w:rPr>
        <w:t xml:space="preserve"> </w:t>
      </w:r>
    </w:p>
    <w:p w:rsidR="006904C2" w:rsidRPr="002D21CB" w:rsidRDefault="006904C2" w:rsidP="006904C2">
      <w:pPr>
        <w:spacing w:after="0"/>
        <w:ind w:firstLine="720"/>
        <w:jc w:val="both"/>
        <w:rPr>
          <w:sz w:val="24"/>
          <w:szCs w:val="24"/>
          <w:lang w:val="sr-Cyrl-RS"/>
        </w:rPr>
      </w:pPr>
      <w:r w:rsidRPr="002D21CB">
        <w:rPr>
          <w:sz w:val="24"/>
          <w:szCs w:val="24"/>
          <w:lang w:val="sr-Cyrl-RS"/>
        </w:rPr>
        <w:t xml:space="preserve">У </w:t>
      </w:r>
      <w:r w:rsidR="002D21CB" w:rsidRPr="002D21CB">
        <w:rPr>
          <w:sz w:val="24"/>
          <w:szCs w:val="24"/>
          <w:lang w:val="sr-Cyrl-RS"/>
        </w:rPr>
        <w:t xml:space="preserve">извештајном </w:t>
      </w:r>
      <w:r w:rsidRPr="002D21CB">
        <w:rPr>
          <w:sz w:val="24"/>
          <w:szCs w:val="24"/>
          <w:lang w:val="sr-Cyrl-RS"/>
        </w:rPr>
        <w:t xml:space="preserve">периоду </w:t>
      </w:r>
      <w:r w:rsidR="002D21CB" w:rsidRPr="002D21CB">
        <w:rPr>
          <w:sz w:val="24"/>
          <w:szCs w:val="24"/>
          <w:lang w:val="sr-Cyrl-RS"/>
        </w:rPr>
        <w:t xml:space="preserve">спроведен је одређени број пројеката који су, између осталог, имали за циљ смањење напуштања школовања од стране деце ромске националности. Тако је </w:t>
      </w:r>
      <w:r w:rsidRPr="002D21CB">
        <w:rPr>
          <w:sz w:val="24"/>
          <w:szCs w:val="24"/>
          <w:lang w:val="sr-Cyrl-RS"/>
        </w:rPr>
        <w:t>од јуна 2017. до јуна 2019. године Министарство за рад, запошљавање, борачка и социјална питања било корисничка институција грант шеме „Развој ефикасних услуга у области образовања и социјалне заштите на локалном нивоу“ ИПА 2013, у оквиру које је 30 корисника грантова спроводило пројекте у одређеним општинама. Један од лотова ове грант шеме односио се на превенцију раног напуштања школе и осипања из система образовања, унутар кога су се спроводила четири пројекта, од којих су у два пројекта циљна група били Роми.</w:t>
      </w:r>
    </w:p>
    <w:p w:rsidR="006904C2" w:rsidRPr="002D21CB" w:rsidRDefault="006904C2" w:rsidP="006904C2">
      <w:pPr>
        <w:spacing w:after="0"/>
        <w:ind w:firstLine="720"/>
        <w:jc w:val="both"/>
        <w:rPr>
          <w:sz w:val="24"/>
          <w:szCs w:val="24"/>
          <w:lang w:val="sr-Cyrl-RS"/>
        </w:rPr>
      </w:pPr>
      <w:r w:rsidRPr="002D21CB">
        <w:rPr>
          <w:sz w:val="24"/>
          <w:szCs w:val="24"/>
          <w:lang w:val="sr-Cyrl-RS"/>
        </w:rPr>
        <w:lastRenderedPageBreak/>
        <w:t xml:space="preserve">Пројекат „Међусекторски механизам за спречавање прекида школовања и смањење раног напуштања школе у општини Звездара“ спроводила је градска општина Звездара уз помоћ Националног савета ромске националне мањине. Реализоване активности пројекта које су утицале на подизање квалитета живота ромске популације, а посебно деце школског узраста у поменутој општини односиле су се на формирање Међусекторског тима за развој и праћење спровођења мера подршке за децу ромске националности, родитеље и ромску заједницу, организовање индивидуалних часова допунске наставе за децу ромске националности која су напустила образовање и ону која су у ризику од превременог напуштања школовања (за 62 деце ромске националности је израђен индивидуални план подршке), организовање мера економске подршке за родитеље деце ромске националности која су напустила школовање и која су у ризику од напуштања и организовање обука о одговорном родитељству, организовање обуке за подизање свести о важности образовања за родитеље у ромским насељима на општини Звездара (34 родитеља је примило школске материјале за децу, 15 родитеља је похађало обуке за занате, 41 родитељ је похађао обуку о одговорном родитељству), израда и примена софтвера за систем за рано препознавање и превенцију за ученике који су у ризику од раног напуштања школовања и обука за запослене у основним школама у општини Звездара, опремање школе за образовање одраслих у Орловском насељу. Укупна вредност пројекта износила је 137.620,00 евра, од чега је 10% издвојено је из </w:t>
      </w:r>
      <w:r w:rsidR="00F12175">
        <w:rPr>
          <w:sz w:val="24"/>
          <w:szCs w:val="24"/>
          <w:lang w:val="sr-Cyrl-RS"/>
        </w:rPr>
        <w:t>б</w:t>
      </w:r>
      <w:r w:rsidRPr="002D21CB">
        <w:rPr>
          <w:sz w:val="24"/>
          <w:szCs w:val="24"/>
          <w:lang w:val="sr-Cyrl-RS"/>
        </w:rPr>
        <w:t xml:space="preserve">уџета Републике Србије на основу националног кофинансирања. </w:t>
      </w:r>
    </w:p>
    <w:p w:rsidR="006904C2" w:rsidRDefault="006904C2" w:rsidP="006904C2">
      <w:pPr>
        <w:spacing w:after="0"/>
        <w:ind w:firstLine="720"/>
        <w:jc w:val="both"/>
        <w:rPr>
          <w:sz w:val="24"/>
          <w:szCs w:val="24"/>
          <w:lang w:val="sr-Cyrl-RS"/>
        </w:rPr>
      </w:pPr>
      <w:r w:rsidRPr="002D21CB">
        <w:rPr>
          <w:sz w:val="24"/>
          <w:szCs w:val="24"/>
          <w:lang w:val="sr-Cyrl-RS"/>
        </w:rPr>
        <w:t>Пројекат „Предшколско васпитање и образовање у функцији превенције раног напуштања система образовања и јачања образовних постигнућа ромских ученика у Новом Саду“ спров</w:t>
      </w:r>
      <w:r w:rsidR="00AE4ACB">
        <w:rPr>
          <w:sz w:val="24"/>
          <w:szCs w:val="24"/>
          <w:lang w:val="sr-Cyrl-RS"/>
        </w:rPr>
        <w:t>ед</w:t>
      </w:r>
      <w:r w:rsidRPr="002D21CB">
        <w:rPr>
          <w:sz w:val="24"/>
          <w:szCs w:val="24"/>
          <w:lang w:val="sr-Cyrl-RS"/>
        </w:rPr>
        <w:t xml:space="preserve">ен је у партнерству Центра за производњу знања и вештина, Центра за социјални рада града Новог Сада и предшколске установе „Радосно детињство“ из Новог Сада. Реализоване активности на пројекту које су допринеле смањењу неједнакости и ојачале образовну и социјалну инклузију првенствено Рома у </w:t>
      </w:r>
      <w:r w:rsidR="00F12175">
        <w:rPr>
          <w:sz w:val="24"/>
          <w:szCs w:val="24"/>
          <w:lang w:val="sr-Cyrl-RS"/>
        </w:rPr>
        <w:t>Новом</w:t>
      </w:r>
      <w:r w:rsidRPr="002D21CB">
        <w:rPr>
          <w:sz w:val="24"/>
          <w:szCs w:val="24"/>
          <w:lang w:val="sr-Cyrl-RS"/>
        </w:rPr>
        <w:t xml:space="preserve"> Сад</w:t>
      </w:r>
      <w:r w:rsidR="00F12175">
        <w:rPr>
          <w:sz w:val="24"/>
          <w:szCs w:val="24"/>
          <w:lang w:val="sr-Cyrl-RS"/>
        </w:rPr>
        <w:t>у</w:t>
      </w:r>
      <w:r w:rsidRPr="002D21CB">
        <w:rPr>
          <w:sz w:val="24"/>
          <w:szCs w:val="24"/>
          <w:lang w:val="sr-Cyrl-RS"/>
        </w:rPr>
        <w:t xml:space="preserve"> су: теренски рад који је обухват</w:t>
      </w:r>
      <w:r w:rsidR="002D21CB" w:rsidRPr="002D21CB">
        <w:rPr>
          <w:sz w:val="24"/>
          <w:szCs w:val="24"/>
          <w:lang w:val="sr-Cyrl-RS"/>
        </w:rPr>
        <w:t>и</w:t>
      </w:r>
      <w:r w:rsidRPr="002D21CB">
        <w:rPr>
          <w:sz w:val="24"/>
          <w:szCs w:val="24"/>
          <w:lang w:val="sr-Cyrl-RS"/>
        </w:rPr>
        <w:t>о 988 посет</w:t>
      </w:r>
      <w:r w:rsidR="002D21CB" w:rsidRPr="002D21CB">
        <w:rPr>
          <w:sz w:val="24"/>
          <w:szCs w:val="24"/>
          <w:lang w:val="sr-Cyrl-RS"/>
        </w:rPr>
        <w:t>а</w:t>
      </w:r>
      <w:r w:rsidRPr="002D21CB">
        <w:rPr>
          <w:sz w:val="24"/>
          <w:szCs w:val="24"/>
          <w:lang w:val="sr-Cyrl-RS"/>
        </w:rPr>
        <w:t xml:space="preserve"> породицама и 269 радионица са децом, материјалн</w:t>
      </w:r>
      <w:r w:rsidR="002D21CB" w:rsidRPr="002D21CB">
        <w:rPr>
          <w:sz w:val="24"/>
          <w:szCs w:val="24"/>
          <w:lang w:val="sr-Cyrl-RS"/>
        </w:rPr>
        <w:t>а</w:t>
      </w:r>
      <w:r w:rsidRPr="002D21CB">
        <w:rPr>
          <w:sz w:val="24"/>
          <w:szCs w:val="24"/>
          <w:lang w:val="sr-Cyrl-RS"/>
        </w:rPr>
        <w:t xml:space="preserve"> и друга подршка деци и породицама (118 родитеља укључено у радионице за јачање родитељских вештина и компетенција), упис деце у предшколске установе (у оквиру пројеката уписано 15 деце - 7 девојчица и 8 дечака), формирање школских тимова за превенцију напуштања школовања, развијање школских акционих планова, имплементација мера подршке у школама, материјална подршка породицама ученика, укључивање међусекторских мера у локалним политикама, зарад подизања квалитета живота припадника ромске националности. Укупна вредност пројекта износила је 167.818,80 евра, од чега је 10% издвојено из </w:t>
      </w:r>
      <w:r w:rsidR="00E73C1F">
        <w:rPr>
          <w:sz w:val="24"/>
          <w:szCs w:val="24"/>
          <w:lang w:val="sr-Cyrl-RS"/>
        </w:rPr>
        <w:t>б</w:t>
      </w:r>
      <w:r w:rsidRPr="002D21CB">
        <w:rPr>
          <w:sz w:val="24"/>
          <w:szCs w:val="24"/>
          <w:lang w:val="sr-Cyrl-RS"/>
        </w:rPr>
        <w:t>уџета Републике Србије на основу националног кофинансирања.</w:t>
      </w:r>
    </w:p>
    <w:p w:rsidR="003B31D0" w:rsidRDefault="003B31D0" w:rsidP="003B31D0">
      <w:pPr>
        <w:spacing w:after="0"/>
        <w:jc w:val="both"/>
        <w:rPr>
          <w:sz w:val="24"/>
          <w:szCs w:val="24"/>
          <w:lang w:val="sr-Cyrl-RS"/>
        </w:rPr>
      </w:pPr>
    </w:p>
    <w:p w:rsidR="003B31D0" w:rsidRPr="0043699C" w:rsidRDefault="003B31D0" w:rsidP="003B31D0">
      <w:pPr>
        <w:spacing w:after="0"/>
        <w:jc w:val="both"/>
        <w:rPr>
          <w:i/>
          <w:sz w:val="24"/>
          <w:szCs w:val="24"/>
          <w:lang w:val="sr-Cyrl-RS"/>
        </w:rPr>
      </w:pPr>
      <w:r w:rsidRPr="0043699C">
        <w:rPr>
          <w:i/>
          <w:sz w:val="24"/>
          <w:szCs w:val="24"/>
          <w:lang w:val="sr-Cyrl-RS"/>
        </w:rPr>
        <w:t xml:space="preserve">Активности у области </w:t>
      </w:r>
      <w:r>
        <w:rPr>
          <w:i/>
          <w:sz w:val="24"/>
          <w:szCs w:val="24"/>
          <w:lang w:val="sr-Cyrl-RS"/>
        </w:rPr>
        <w:t>запошљавања</w:t>
      </w:r>
    </w:p>
    <w:p w:rsidR="003B31D0" w:rsidRPr="00546A37" w:rsidRDefault="003B31D0" w:rsidP="003B31D0">
      <w:pPr>
        <w:spacing w:after="0"/>
        <w:jc w:val="both"/>
        <w:rPr>
          <w:sz w:val="24"/>
          <w:szCs w:val="24"/>
          <w:lang w:val="sr-Cyrl-RS"/>
        </w:rPr>
      </w:pPr>
    </w:p>
    <w:p w:rsidR="006904C2" w:rsidRDefault="006904C2" w:rsidP="009D6E0F">
      <w:pPr>
        <w:spacing w:after="0"/>
        <w:ind w:firstLine="720"/>
        <w:jc w:val="both"/>
        <w:rPr>
          <w:sz w:val="24"/>
          <w:szCs w:val="24"/>
          <w:lang w:val="sr-Cyrl-RS"/>
        </w:rPr>
      </w:pPr>
      <w:r w:rsidRPr="005972D4">
        <w:rPr>
          <w:sz w:val="24"/>
          <w:szCs w:val="24"/>
          <w:lang w:val="sr-Cyrl-RS"/>
        </w:rPr>
        <w:t>У складу са Законом о раду</w:t>
      </w:r>
      <w:r>
        <w:rPr>
          <w:rStyle w:val="FootnoteReference"/>
          <w:sz w:val="24"/>
          <w:szCs w:val="24"/>
          <w:lang w:val="sr-Cyrl-RS"/>
        </w:rPr>
        <w:footnoteReference w:id="21"/>
      </w:r>
      <w:r w:rsidRPr="005972D4">
        <w:rPr>
          <w:sz w:val="24"/>
          <w:szCs w:val="24"/>
          <w:lang w:val="sr-Cyrl-RS"/>
        </w:rPr>
        <w:t xml:space="preserve">, стављање лица у неповољнији положај у односу на друго лице с обзиром на неко лично својство (пол, рођење, језик, расу, боју коже, </w:t>
      </w:r>
      <w:r w:rsidRPr="005972D4">
        <w:rPr>
          <w:sz w:val="24"/>
          <w:szCs w:val="24"/>
          <w:lang w:val="sr-Cyrl-RS"/>
        </w:rPr>
        <w:lastRenderedPageBreak/>
        <w:t xml:space="preserve">старост, трудноћу и др.), односно карактеристику која није релевантна за обављање одређеног посла, сматра се дискриминацијом у области рада. </w:t>
      </w:r>
    </w:p>
    <w:p w:rsidR="00306AEF" w:rsidRDefault="00306AEF" w:rsidP="00306AEF">
      <w:pPr>
        <w:spacing w:after="0"/>
        <w:ind w:firstLine="720"/>
        <w:jc w:val="both"/>
        <w:rPr>
          <w:sz w:val="24"/>
          <w:szCs w:val="24"/>
          <w:lang w:val="sr-Cyrl-RS"/>
        </w:rPr>
      </w:pPr>
      <w:r w:rsidRPr="00306AEF">
        <w:rPr>
          <w:sz w:val="24"/>
          <w:szCs w:val="24"/>
          <w:lang w:val="sr-Cyrl-RS"/>
        </w:rPr>
        <w:t>Владе Републике Србије усвојила је 1. априла 2021. године Програм промоције развоја ромског предузетништва. Циљ Програма је подстицање развоја предузетништва Рома и Ромкиња како би се унапредили услови за креирање запошљавања и побољшање економског положаја Рома и Ромкиња. Средства за реализацију Програма обезбеђена су у буџету Републике Србије, у укупном износу од 120.000.000,00 динара и намењена су  за  давање гаранција за кредите одобрене од стране партнерске банке, која ће у сврху  обезбеђивања наплате кредита користити одређене инструменте обезбеђења наплате потраживања. Програм спроводи Агенција за осигурање и финансирање извоза.</w:t>
      </w:r>
      <w:r>
        <w:rPr>
          <w:sz w:val="24"/>
          <w:szCs w:val="24"/>
          <w:lang w:val="sr-Cyrl-RS"/>
        </w:rPr>
        <w:t xml:space="preserve"> </w:t>
      </w:r>
      <w:r w:rsidRPr="00306AEF">
        <w:rPr>
          <w:sz w:val="24"/>
          <w:szCs w:val="24"/>
          <w:lang w:val="sr-Cyrl-RS"/>
        </w:rPr>
        <w:t>Развој предузетништва ромског становништва, кроз оснивање нових привредних субјеката, подршку већ постојећим предузећима и радњама, као и подстицање појединаца да легализују већ постојећу привредну активност коју обављају у тзв. сивој зони, представљају начин унапређивања социо-економског положаја припадника ромске националне мањине.</w:t>
      </w:r>
      <w:r>
        <w:rPr>
          <w:sz w:val="24"/>
          <w:szCs w:val="24"/>
          <w:lang w:val="sr-Cyrl-RS"/>
        </w:rPr>
        <w:t xml:space="preserve"> </w:t>
      </w:r>
      <w:r w:rsidRPr="00306AEF">
        <w:rPr>
          <w:sz w:val="24"/>
          <w:szCs w:val="24"/>
          <w:lang w:val="sr-Cyrl-RS"/>
        </w:rPr>
        <w:t xml:space="preserve">Потенцијални корисници програма ће поред свих других расположивих видова информисања бити у прилици да се упознају са садржајем програма преко изабране банке, која ће користити своје искуство у раду са почетницима у бизнису и социјалном предузетништву, </w:t>
      </w:r>
      <w:r w:rsidR="008F0CFA">
        <w:rPr>
          <w:sz w:val="24"/>
          <w:szCs w:val="24"/>
          <w:lang w:val="sr-Cyrl-RS"/>
        </w:rPr>
        <w:t>али</w:t>
      </w:r>
      <w:r w:rsidRPr="00306AEF">
        <w:rPr>
          <w:sz w:val="24"/>
          <w:szCs w:val="24"/>
          <w:lang w:val="sr-Cyrl-RS"/>
        </w:rPr>
        <w:t xml:space="preserve"> и преко Удружења ромских предузетника које ће им представити расположиве могућности програма и омогућити лакше укључивање у његову реализацију.</w:t>
      </w:r>
    </w:p>
    <w:p w:rsidR="009D6E0F" w:rsidRPr="009D6E0F" w:rsidRDefault="009D6E0F" w:rsidP="009D6E0F">
      <w:pPr>
        <w:spacing w:after="0"/>
        <w:ind w:firstLine="720"/>
        <w:jc w:val="both"/>
        <w:rPr>
          <w:sz w:val="24"/>
          <w:szCs w:val="24"/>
          <w:lang w:val="sr-Cyrl-RS"/>
        </w:rPr>
      </w:pPr>
      <w:r w:rsidRPr="009D6E0F">
        <w:rPr>
          <w:sz w:val="24"/>
          <w:szCs w:val="24"/>
          <w:lang w:val="sr-Cyrl-RS"/>
        </w:rPr>
        <w:t>Национална служба за запошљавање, као носилац послова запошљавања, своје активности спроводи у складу са Законом о запошљавању и осигурању за случај незапослености</w:t>
      </w:r>
      <w:r w:rsidR="00125CC3">
        <w:rPr>
          <w:sz w:val="24"/>
          <w:szCs w:val="24"/>
          <w:lang w:val="sr-Cyrl-RS"/>
        </w:rPr>
        <w:t>,</w:t>
      </w:r>
      <w:r>
        <w:rPr>
          <w:rStyle w:val="FootnoteReference"/>
          <w:sz w:val="24"/>
          <w:szCs w:val="24"/>
          <w:lang w:val="sr-Cyrl-RS"/>
        </w:rPr>
        <w:footnoteReference w:id="22"/>
      </w:r>
      <w:r w:rsidR="00125CC3">
        <w:rPr>
          <w:sz w:val="24"/>
          <w:szCs w:val="24"/>
          <w:lang w:val="sr-Cyrl-RS"/>
        </w:rPr>
        <w:t xml:space="preserve"> </w:t>
      </w:r>
      <w:r w:rsidRPr="009D6E0F">
        <w:rPr>
          <w:sz w:val="24"/>
          <w:szCs w:val="24"/>
          <w:lang w:val="sr-Cyrl-RS"/>
        </w:rPr>
        <w:t>који се заснива на начелима забране дискриминације као и афирмативне акције усмерене према теже запошљивим незапосленим лицима. Један од задатака политике запошљавања је планирање системских предуслова за политику једнаких могућности на приступ тржишту рада. Стратегијом запошљавања у Републици Србији за период од 2021. до 2026. године</w:t>
      </w:r>
      <w:r w:rsidR="00125CC3">
        <w:rPr>
          <w:rStyle w:val="FootnoteReference"/>
          <w:sz w:val="24"/>
          <w:szCs w:val="24"/>
          <w:lang w:val="sr-Cyrl-RS"/>
        </w:rPr>
        <w:footnoteReference w:id="23"/>
      </w:r>
      <w:r w:rsidRPr="009D6E0F">
        <w:rPr>
          <w:sz w:val="24"/>
          <w:szCs w:val="24"/>
          <w:lang w:val="sr-Cyrl-RS"/>
        </w:rPr>
        <w:t xml:space="preserve"> дефинисани су општи и посебни циљеви, као и мере за постизање циљева и утврђени правци развоја политике запошљавања у наредном шестогодишњем периоду. Акциони  план за период од 2021. до 2023. годинe за спровођење </w:t>
      </w:r>
      <w:r w:rsidR="00125CC3">
        <w:rPr>
          <w:sz w:val="24"/>
          <w:szCs w:val="24"/>
          <w:lang w:val="sr-Cyrl-RS"/>
        </w:rPr>
        <w:t>ове с</w:t>
      </w:r>
      <w:r w:rsidRPr="009D6E0F">
        <w:rPr>
          <w:sz w:val="24"/>
          <w:szCs w:val="24"/>
          <w:lang w:val="sr-Cyrl-RS"/>
        </w:rPr>
        <w:t>тратегије представља документ јавне политике који је донет ради операционализације и остваривањ</w:t>
      </w:r>
      <w:r w:rsidR="00AE4ACB">
        <w:rPr>
          <w:sz w:val="24"/>
          <w:szCs w:val="24"/>
          <w:lang w:val="sr-Cyrl-RS"/>
        </w:rPr>
        <w:t>а</w:t>
      </w:r>
      <w:r w:rsidRPr="009D6E0F">
        <w:rPr>
          <w:sz w:val="24"/>
          <w:szCs w:val="24"/>
          <w:lang w:val="sr-Cyrl-RS"/>
        </w:rPr>
        <w:t xml:space="preserve"> општег и посебних циљева Стартегије. </w:t>
      </w:r>
    </w:p>
    <w:p w:rsidR="009D6E0F" w:rsidRPr="009D6E0F" w:rsidRDefault="009D6E0F" w:rsidP="009D6E0F">
      <w:pPr>
        <w:spacing w:after="0"/>
        <w:ind w:firstLine="720"/>
        <w:jc w:val="both"/>
        <w:rPr>
          <w:sz w:val="24"/>
          <w:szCs w:val="24"/>
          <w:lang w:val="sr-Cyrl-RS"/>
        </w:rPr>
      </w:pPr>
      <w:r w:rsidRPr="009D6E0F">
        <w:rPr>
          <w:sz w:val="24"/>
          <w:szCs w:val="24"/>
          <w:lang w:val="sr-Cyrl-RS"/>
        </w:rPr>
        <w:t xml:space="preserve">Мере активне политике запошљавања које спроводи Национална служба креирају се на основу сагледаних потреба и кретања на тржишту рада, као и стања на евиденцији тражилаца запослења и континуирано се иновирају и допуњују. </w:t>
      </w:r>
      <w:r w:rsidR="00125CC3">
        <w:rPr>
          <w:sz w:val="24"/>
          <w:szCs w:val="24"/>
          <w:lang w:val="sr-Cyrl-RS"/>
        </w:rPr>
        <w:t>Мере</w:t>
      </w:r>
      <w:r w:rsidRPr="009D6E0F">
        <w:rPr>
          <w:sz w:val="24"/>
          <w:szCs w:val="24"/>
          <w:lang w:val="sr-Cyrl-RS"/>
        </w:rPr>
        <w:t xml:space="preserve"> имају за циљ подстицање запошљавања лица из категорије теже запошљивих која имају приоритет приликом укључивања у мере. У процесу рада са тражиоцима запослења спроводи се индивидуални приступ.  Мере или програми у које ће се лице укључити, пре свега зависе од његових потреба за пружањем помоћи од стране Националне службе у тражењу посла и потреба тржишта рада, а утврђују се Индивидуланим планом запошљавања.</w:t>
      </w:r>
    </w:p>
    <w:p w:rsidR="009D6E0F" w:rsidRPr="009D6E0F" w:rsidRDefault="009D6E0F" w:rsidP="009D6E0F">
      <w:pPr>
        <w:spacing w:after="0"/>
        <w:ind w:firstLine="720"/>
        <w:jc w:val="both"/>
        <w:rPr>
          <w:sz w:val="24"/>
          <w:szCs w:val="24"/>
          <w:lang w:val="sr-Cyrl-RS"/>
        </w:rPr>
      </w:pPr>
      <w:r w:rsidRPr="009D6E0F">
        <w:rPr>
          <w:sz w:val="24"/>
          <w:szCs w:val="24"/>
          <w:lang w:val="sr-Cyrl-RS"/>
        </w:rPr>
        <w:lastRenderedPageBreak/>
        <w:t>У раду са послодавцима се спроводе активности које се тичу стручне подршке приликом избора лица у складу са захтеваним кадровским потребама послодавца, као и финансијске мере подршке усмерене на подстицање запошљавања лица првенствено из категорије теже запошљивих лица.</w:t>
      </w:r>
    </w:p>
    <w:p w:rsidR="009D6E0F" w:rsidRPr="009D6E0F" w:rsidRDefault="009D6E0F" w:rsidP="009D6E0F">
      <w:pPr>
        <w:spacing w:after="0"/>
        <w:ind w:firstLine="720"/>
        <w:jc w:val="both"/>
        <w:rPr>
          <w:sz w:val="24"/>
          <w:szCs w:val="24"/>
          <w:lang w:val="sr-Cyrl-RS"/>
        </w:rPr>
      </w:pPr>
      <w:r w:rsidRPr="009D6E0F">
        <w:rPr>
          <w:sz w:val="24"/>
          <w:szCs w:val="24"/>
          <w:lang w:val="sr-Cyrl-RS"/>
        </w:rPr>
        <w:t>Припадници ромске националне мањине су препознати као категорија теже запошљивих лица</w:t>
      </w:r>
      <w:r w:rsidR="00125CC3">
        <w:rPr>
          <w:sz w:val="24"/>
          <w:szCs w:val="24"/>
          <w:lang w:val="sr-Cyrl-RS"/>
        </w:rPr>
        <w:t>,</w:t>
      </w:r>
      <w:r w:rsidRPr="009D6E0F">
        <w:rPr>
          <w:sz w:val="24"/>
          <w:szCs w:val="24"/>
          <w:lang w:val="sr-Cyrl-RS"/>
        </w:rPr>
        <w:t xml:space="preserve"> с обзиром </w:t>
      </w:r>
      <w:r w:rsidR="00125CC3">
        <w:rPr>
          <w:sz w:val="24"/>
          <w:szCs w:val="24"/>
          <w:lang w:val="sr-Cyrl-RS"/>
        </w:rPr>
        <w:t xml:space="preserve">на то </w:t>
      </w:r>
      <w:r w:rsidRPr="009D6E0F">
        <w:rPr>
          <w:sz w:val="24"/>
          <w:szCs w:val="24"/>
          <w:lang w:val="sr-Cyrl-RS"/>
        </w:rPr>
        <w:t>да се суочавају са отежаном запошљивошћу и приступу тржишту рада из више разлога</w:t>
      </w:r>
      <w:r w:rsidR="00125CC3">
        <w:rPr>
          <w:sz w:val="24"/>
          <w:szCs w:val="24"/>
          <w:lang w:val="sr-Cyrl-RS"/>
        </w:rPr>
        <w:t>,</w:t>
      </w:r>
      <w:r w:rsidRPr="009D6E0F">
        <w:rPr>
          <w:sz w:val="24"/>
          <w:szCs w:val="24"/>
          <w:lang w:val="sr-Cyrl-RS"/>
        </w:rPr>
        <w:t xml:space="preserve"> од којих се као кључни препознају: неповољна образовна структура, недостатак радног искуства, знања и вештина, често ниска мотивисаност за укључивање у формално тржиште рада, дискриминација и стереотипи када је у питању њихово запошљавање. Стратешким докуменатима из области запошљавања утврђене су активности и мере за побољшање положаја незапослених Рома и Ромкиња на тржишту рада кроз координисано деловање како би се у крајњем исходу унапредио њихов неповољан социо-економски положај, као и спровођење одговарајућих активности с обзиром на отежану запошљивост услед различитих фактора. </w:t>
      </w:r>
    </w:p>
    <w:p w:rsidR="009D6E0F" w:rsidRPr="009D6E0F" w:rsidRDefault="009D6E0F" w:rsidP="009D6E0F">
      <w:pPr>
        <w:spacing w:after="0"/>
        <w:ind w:firstLine="720"/>
        <w:jc w:val="both"/>
        <w:rPr>
          <w:sz w:val="24"/>
          <w:szCs w:val="24"/>
          <w:lang w:val="sr-Cyrl-RS"/>
        </w:rPr>
      </w:pPr>
      <w:r w:rsidRPr="009D6E0F">
        <w:rPr>
          <w:sz w:val="24"/>
          <w:szCs w:val="24"/>
          <w:lang w:val="sr-Cyrl-RS"/>
        </w:rPr>
        <w:t xml:space="preserve">Неповољна образовна структура Рома </w:t>
      </w:r>
      <w:r w:rsidR="00AE4ACB">
        <w:rPr>
          <w:sz w:val="24"/>
          <w:szCs w:val="24"/>
          <w:lang w:val="sr-Cyrl-RS"/>
        </w:rPr>
        <w:t xml:space="preserve">и </w:t>
      </w:r>
      <w:r w:rsidRPr="009D6E0F">
        <w:rPr>
          <w:sz w:val="24"/>
          <w:szCs w:val="24"/>
          <w:lang w:val="sr-Cyrl-RS"/>
        </w:rPr>
        <w:t>Ромкиња се директно одражава на отежану проходност на тржишту рада и на запошљавање. Национална служба за запошљавање је</w:t>
      </w:r>
      <w:r w:rsidR="00AE4ACB">
        <w:rPr>
          <w:sz w:val="24"/>
          <w:szCs w:val="24"/>
          <w:lang w:val="sr-Cyrl-RS"/>
        </w:rPr>
        <w:t>,</w:t>
      </w:r>
      <w:r w:rsidRPr="009D6E0F">
        <w:rPr>
          <w:sz w:val="24"/>
          <w:szCs w:val="24"/>
          <w:lang w:val="sr-Cyrl-RS"/>
        </w:rPr>
        <w:t xml:space="preserve"> између осталих препрека са којима се Роми и Ромкиње суочавају у погледу запошљавања</w:t>
      </w:r>
      <w:r w:rsidR="00AE4ACB">
        <w:rPr>
          <w:sz w:val="24"/>
          <w:szCs w:val="24"/>
          <w:lang w:val="sr-Cyrl-RS"/>
        </w:rPr>
        <w:t>,</w:t>
      </w:r>
      <w:r w:rsidRPr="009D6E0F">
        <w:rPr>
          <w:sz w:val="24"/>
          <w:szCs w:val="24"/>
          <w:lang w:val="sr-Cyrl-RS"/>
        </w:rPr>
        <w:t xml:space="preserve"> препознала овај проблем и посредством мера активне политике запошљавања делује у правцу ублажавања постојећег стања. Укључивањем у програме функционалног основног образовања и у програме обуке за стицање практичних знања за обављање конкретних послова у значајној мери се допринело побољшању њихове запошљивости. Имајући у виду да тражење посла захтева спремност и мотивацију лица за предузимање активности у тражењу посла, један од праваца деловања подразумева и укључивање у обуке за активно тражење посла и радионице за јачање мотивације и самопоуздања на том плану. Активности Националне службе су усмерене и на овај сегмент подршке у раду са Ромима и Ромкињама укључивањем у различите обуке и радионице, како би се ублажиле  препреке на путу њихове интеграције на тржиштe рада и у погледу запошљавања. Национална служба за запошљавање кроз финансијске подстицаје послодавцима у виду субвенција подстиче запошљавање лица ромске националности. За подстицање самозапошљавања Рома и Ромкиња Национална служба обезбе</w:t>
      </w:r>
      <w:r w:rsidR="00125CC3">
        <w:rPr>
          <w:sz w:val="24"/>
          <w:szCs w:val="24"/>
          <w:lang w:val="sr-Cyrl-RS"/>
        </w:rPr>
        <w:t>ђује</w:t>
      </w:r>
      <w:r w:rsidRPr="009D6E0F">
        <w:rPr>
          <w:sz w:val="24"/>
          <w:szCs w:val="24"/>
          <w:lang w:val="sr-Cyrl-RS"/>
        </w:rPr>
        <w:t xml:space="preserve"> средства у виду субвенције, као и обуку за развој предузетништва на којој се лица информишу и стичу знања која су им потребна у вођењу сопственог бизниса.</w:t>
      </w:r>
    </w:p>
    <w:p w:rsidR="00D74DAF" w:rsidRPr="00FD2A09" w:rsidRDefault="00D74DAF" w:rsidP="00FD2A09">
      <w:pPr>
        <w:shd w:val="clear" w:color="auto" w:fill="FFFFFF"/>
        <w:spacing w:after="0"/>
        <w:ind w:firstLine="720"/>
        <w:jc w:val="both"/>
        <w:rPr>
          <w:sz w:val="24"/>
          <w:szCs w:val="24"/>
          <w:lang w:val="sr-Cyrl-RS"/>
        </w:rPr>
      </w:pPr>
      <w:r w:rsidRPr="00FD2A09">
        <w:rPr>
          <w:sz w:val="24"/>
          <w:szCs w:val="24"/>
          <w:lang w:val="sr-Cyrl-RS"/>
        </w:rPr>
        <w:t xml:space="preserve">Национална служба за запошљавање води евиденцију и о незапосленим лицима - лицима од 15 година живота до испуњавања услова за пензију, односно најкасније до 65 година живота, која су способна и одмах спремна да раде, која нису засновала радни однос или на други начин остварила право на рад, а која се воде на евиденцији незапослених и активно траже запослење. </w:t>
      </w:r>
    </w:p>
    <w:p w:rsidR="00D74DAF" w:rsidRPr="00FD2A09" w:rsidRDefault="00D74DAF" w:rsidP="00FD2A09">
      <w:pPr>
        <w:spacing w:after="0"/>
        <w:jc w:val="both"/>
        <w:rPr>
          <w:bCs/>
          <w:sz w:val="24"/>
          <w:szCs w:val="24"/>
          <w:lang w:val="sr-Cyrl-CS"/>
        </w:rPr>
      </w:pPr>
      <w:r w:rsidRPr="00FD2A09">
        <w:rPr>
          <w:bCs/>
          <w:sz w:val="24"/>
          <w:szCs w:val="24"/>
          <w:lang w:val="sr-Cyrl-CS"/>
        </w:rPr>
        <w:tab/>
      </w:r>
      <w:r w:rsidR="00FD2A09">
        <w:rPr>
          <w:bCs/>
          <w:sz w:val="24"/>
          <w:szCs w:val="24"/>
          <w:lang w:val="sr-Cyrl-CS"/>
        </w:rPr>
        <w:t>П</w:t>
      </w:r>
      <w:r w:rsidRPr="00FD2A09">
        <w:rPr>
          <w:bCs/>
          <w:sz w:val="24"/>
          <w:szCs w:val="24"/>
          <w:lang w:val="sr-Cyrl-CS"/>
        </w:rPr>
        <w:t xml:space="preserve">ријављивање лица на евиденцију </w:t>
      </w:r>
      <w:r w:rsidRPr="00FD2A09">
        <w:rPr>
          <w:sz w:val="24"/>
          <w:szCs w:val="24"/>
          <w:lang w:val="sr-Cyrl-RS"/>
        </w:rPr>
        <w:t>Националне службе за запошљавање</w:t>
      </w:r>
      <w:r w:rsidRPr="00FD2A09">
        <w:rPr>
          <w:bCs/>
          <w:sz w:val="24"/>
          <w:szCs w:val="24"/>
          <w:lang w:val="sr-Cyrl-CS"/>
        </w:rPr>
        <w:t>, односно начин вођења евиденције и садржај података о лицу дефинисан</w:t>
      </w:r>
      <w:r w:rsidR="00FD2A09">
        <w:rPr>
          <w:bCs/>
          <w:sz w:val="24"/>
          <w:szCs w:val="24"/>
          <w:lang w:val="sr-Cyrl-CS"/>
        </w:rPr>
        <w:t>и су</w:t>
      </w:r>
      <w:r w:rsidRPr="00FD2A09">
        <w:rPr>
          <w:bCs/>
          <w:sz w:val="24"/>
          <w:szCs w:val="24"/>
          <w:lang w:val="sr-Cyrl-CS"/>
        </w:rPr>
        <w:t xml:space="preserve"> Законом о запошљавању и осигурању за случај незапослености и Правилником о ближој садржини података и начину вођења евиденције у области запошљавања.</w:t>
      </w:r>
      <w:r w:rsidR="00FD2A09">
        <w:rPr>
          <w:rStyle w:val="FootnoteReference"/>
          <w:bCs/>
          <w:sz w:val="24"/>
          <w:szCs w:val="24"/>
          <w:lang w:val="sr-Cyrl-CS"/>
        </w:rPr>
        <w:footnoteReference w:id="24"/>
      </w:r>
      <w:r w:rsidRPr="00FD2A09">
        <w:rPr>
          <w:bCs/>
          <w:sz w:val="24"/>
          <w:szCs w:val="24"/>
          <w:lang w:val="sr-Cyrl-CS"/>
        </w:rPr>
        <w:t xml:space="preserve"> Националност или </w:t>
      </w:r>
      <w:r w:rsidRPr="00FD2A09">
        <w:rPr>
          <w:bCs/>
          <w:sz w:val="24"/>
          <w:szCs w:val="24"/>
          <w:lang w:val="sr-Cyrl-CS"/>
        </w:rPr>
        <w:lastRenderedPageBreak/>
        <w:t>етничка припадност је само један од личних података предвиђених чланом 5. наведеног Правилника. Податак се евидентира на основу изјаве лица, односно изјашњавање није обавезно, имајући у виду законске одредбе које се односе на забрану дискриминације приликом тражења посла и запошљавања.</w:t>
      </w:r>
    </w:p>
    <w:p w:rsidR="00D74DAF" w:rsidRPr="00FD2A09" w:rsidRDefault="00D74DAF" w:rsidP="00FD2A09">
      <w:pPr>
        <w:spacing w:after="0"/>
        <w:ind w:firstLine="720"/>
        <w:jc w:val="both"/>
        <w:rPr>
          <w:sz w:val="24"/>
          <w:szCs w:val="24"/>
          <w:lang w:val="sr-Cyrl-RS"/>
        </w:rPr>
      </w:pPr>
      <w:r w:rsidRPr="00FD2A09">
        <w:rPr>
          <w:sz w:val="24"/>
          <w:szCs w:val="24"/>
          <w:lang w:val="sr-Cyrl-RS"/>
        </w:rPr>
        <w:t>Са стањем на дан 3</w:t>
      </w:r>
      <w:r w:rsidRPr="00FD2A09">
        <w:rPr>
          <w:sz w:val="24"/>
          <w:szCs w:val="24"/>
        </w:rPr>
        <w:t>1</w:t>
      </w:r>
      <w:r w:rsidRPr="00FD2A09">
        <w:rPr>
          <w:sz w:val="24"/>
          <w:szCs w:val="24"/>
          <w:lang w:val="sr-Cyrl-RS"/>
        </w:rPr>
        <w:t>. децембар 2021. године, на евиденцији незапослених Националн</w:t>
      </w:r>
      <w:r w:rsidR="00FD2A09">
        <w:rPr>
          <w:sz w:val="24"/>
          <w:szCs w:val="24"/>
          <w:lang w:val="sr-Cyrl-RS"/>
        </w:rPr>
        <w:t>е</w:t>
      </w:r>
      <w:r w:rsidRPr="00FD2A09">
        <w:rPr>
          <w:sz w:val="24"/>
          <w:szCs w:val="24"/>
          <w:lang w:val="sr-Cyrl-RS"/>
        </w:rPr>
        <w:t xml:space="preserve"> служб</w:t>
      </w:r>
      <w:r w:rsidR="00FD2A09">
        <w:rPr>
          <w:sz w:val="24"/>
          <w:szCs w:val="24"/>
          <w:lang w:val="sr-Cyrl-RS"/>
        </w:rPr>
        <w:t>е</w:t>
      </w:r>
      <w:r w:rsidRPr="00FD2A09">
        <w:rPr>
          <w:sz w:val="24"/>
          <w:szCs w:val="24"/>
          <w:lang w:val="sr-Cyrl-RS"/>
        </w:rPr>
        <w:t xml:space="preserve"> за запошљавање налазило се 28.041</w:t>
      </w:r>
      <w:r w:rsidR="007E21DE">
        <w:rPr>
          <w:sz w:val="24"/>
          <w:szCs w:val="24"/>
          <w:lang w:val="sr-Cyrl-RS"/>
        </w:rPr>
        <w:t xml:space="preserve"> </w:t>
      </w:r>
      <w:r w:rsidR="007E21DE" w:rsidRPr="00FD2A09">
        <w:rPr>
          <w:sz w:val="24"/>
          <w:szCs w:val="24"/>
          <w:lang w:val="sr-Cyrl-RS"/>
        </w:rPr>
        <w:t>лица</w:t>
      </w:r>
      <w:r w:rsidRPr="00FD2A09">
        <w:rPr>
          <w:sz w:val="24"/>
          <w:szCs w:val="24"/>
          <w:lang w:val="sr-Cyrl-RS"/>
        </w:rPr>
        <w:t xml:space="preserve"> (14.258 жена) која су се изјаснила као припадни</w:t>
      </w:r>
      <w:r w:rsidR="00FD2A09">
        <w:rPr>
          <w:sz w:val="24"/>
          <w:szCs w:val="24"/>
          <w:lang w:val="sr-Cyrl-RS"/>
        </w:rPr>
        <w:t>ци</w:t>
      </w:r>
      <w:r w:rsidRPr="00FD2A09">
        <w:rPr>
          <w:sz w:val="24"/>
          <w:szCs w:val="24"/>
          <w:lang w:val="sr-Cyrl-RS"/>
        </w:rPr>
        <w:t xml:space="preserve"> ромске националне мањине, што представља удео од 5,87% у укупној регистрованој незапослености.</w:t>
      </w:r>
      <w:r w:rsidR="007E21DE">
        <w:rPr>
          <w:sz w:val="24"/>
          <w:szCs w:val="24"/>
          <w:lang w:val="sr-Cyrl-RS"/>
        </w:rPr>
        <w:t xml:space="preserve"> </w:t>
      </w:r>
    </w:p>
    <w:p w:rsidR="00D74DAF" w:rsidRPr="00FD2A09" w:rsidRDefault="00D74DAF" w:rsidP="00FD2A09">
      <w:pPr>
        <w:spacing w:after="0"/>
        <w:ind w:firstLine="720"/>
        <w:jc w:val="both"/>
        <w:rPr>
          <w:sz w:val="24"/>
          <w:szCs w:val="24"/>
          <w:lang w:val="sr-Cyrl-RS"/>
        </w:rPr>
      </w:pPr>
      <w:r w:rsidRPr="00FD2A09">
        <w:rPr>
          <w:sz w:val="24"/>
          <w:szCs w:val="24"/>
          <w:lang w:val="sr-Cyrl-RS"/>
        </w:rPr>
        <w:t>Посматрано према годинама старости, млади до 30 година старости чине 27,38% укупне регистроване незапослености Рома/Ромкиња, док је удео старијих од 50 година 24,89%, што је повољније у односу на карактеристике укупне регистроване незапослености.</w:t>
      </w:r>
    </w:p>
    <w:p w:rsidR="00D74DAF" w:rsidRPr="00FD2A09" w:rsidRDefault="00D74DAF" w:rsidP="00FD2A09">
      <w:pPr>
        <w:spacing w:after="0"/>
        <w:ind w:firstLine="720"/>
        <w:jc w:val="both"/>
        <w:rPr>
          <w:sz w:val="24"/>
          <w:szCs w:val="24"/>
          <w:lang w:val="sr-Cyrl-RS"/>
        </w:rPr>
      </w:pPr>
      <w:r w:rsidRPr="00FD2A09">
        <w:rPr>
          <w:sz w:val="24"/>
          <w:szCs w:val="24"/>
          <w:lang w:val="sr-Cyrl-RS"/>
        </w:rPr>
        <w:t>Посматрано према нивоу образовања, лица без квалификација или са ниским нивоом образовања чине 89,33% укупне регистроване незапослености Рома/Ромкиња, 9,99% чине лица са средњим образовањем, док удео Рома/Ромкиња са високим образ</w:t>
      </w:r>
      <w:r w:rsidR="007E21DE">
        <w:rPr>
          <w:sz w:val="24"/>
          <w:szCs w:val="24"/>
          <w:lang w:val="sr-Cyrl-RS"/>
        </w:rPr>
        <w:t>овањем износи 0,68%</w:t>
      </w:r>
      <w:r w:rsidRPr="00FD2A09">
        <w:rPr>
          <w:sz w:val="24"/>
          <w:szCs w:val="24"/>
          <w:lang w:val="sr-Cyrl-RS"/>
        </w:rPr>
        <w:t>.</w:t>
      </w:r>
      <w:r w:rsidRPr="00FD2A09">
        <w:rPr>
          <w:sz w:val="24"/>
          <w:szCs w:val="24"/>
        </w:rPr>
        <w:t xml:space="preserve"> </w:t>
      </w:r>
      <w:r w:rsidRPr="00FD2A09">
        <w:rPr>
          <w:sz w:val="24"/>
          <w:szCs w:val="24"/>
          <w:lang w:val="sr-Cyrl-RS"/>
        </w:rPr>
        <w:t>Изразито неповољна образовна структура незапослених Рома/Ромкиња утиче на проходност ка мерама активне политике запошљавања из система додатног образовања и обуке којима се стичу додатна знања, вештине и компетенције (посебно када су у питању мере код којих је као полазна основа неопходна завршена средња школа), али и на заинтересованост послодаваца за запошљавање лица из ове категорије и врсту послова на којима се запошљавају. Из наведених разлога, незапослени Роми/Ромкиње имају приоритет или повољније услове за укључивање у мере из система додатног образовања и обуке, као и мер</w:t>
      </w:r>
      <w:r w:rsidR="00FD2A09">
        <w:rPr>
          <w:sz w:val="24"/>
          <w:szCs w:val="24"/>
          <w:lang w:val="sr-Cyrl-RS"/>
        </w:rPr>
        <w:t>е</w:t>
      </w:r>
      <w:r w:rsidRPr="00FD2A09">
        <w:rPr>
          <w:sz w:val="24"/>
          <w:szCs w:val="24"/>
          <w:lang w:val="sr-Cyrl-RS"/>
        </w:rPr>
        <w:t xml:space="preserve"> које се односе на подршку запошљавању или самозапошљавању. </w:t>
      </w:r>
    </w:p>
    <w:p w:rsidR="00D74DAF" w:rsidRPr="00FD2A09" w:rsidRDefault="00D74DAF" w:rsidP="00FD2A09">
      <w:pPr>
        <w:spacing w:after="0"/>
        <w:jc w:val="both"/>
        <w:rPr>
          <w:sz w:val="24"/>
          <w:szCs w:val="24"/>
          <w:lang w:val="sr-Cyrl-RS"/>
        </w:rPr>
      </w:pPr>
    </w:p>
    <w:p w:rsidR="00D74DAF" w:rsidRPr="00FD2A09" w:rsidRDefault="00D74DAF" w:rsidP="00FD2A09">
      <w:pPr>
        <w:shd w:val="clear" w:color="auto" w:fill="FFFFFF"/>
        <w:spacing w:after="0"/>
        <w:jc w:val="center"/>
        <w:rPr>
          <w:i/>
          <w:sz w:val="18"/>
          <w:szCs w:val="18"/>
          <w:lang w:val="sr-Cyrl-RS"/>
        </w:rPr>
      </w:pPr>
      <w:r w:rsidRPr="00FD2A09">
        <w:rPr>
          <w:i/>
          <w:sz w:val="18"/>
          <w:szCs w:val="18"/>
          <w:lang w:val="sr-Cyrl-RS"/>
        </w:rPr>
        <w:t>Образовна структура регистроване незапослености Рома/Ромкиња</w:t>
      </w:r>
    </w:p>
    <w:p w:rsidR="00D74DAF" w:rsidRPr="00FD2A09" w:rsidRDefault="00D74DAF" w:rsidP="00FD2A09">
      <w:pPr>
        <w:shd w:val="clear" w:color="auto" w:fill="FFFFFF"/>
        <w:spacing w:after="0"/>
        <w:ind w:firstLine="720"/>
        <w:jc w:val="center"/>
        <w:rPr>
          <w:i/>
          <w:sz w:val="18"/>
          <w:szCs w:val="18"/>
          <w:lang w:val="sr-Cyrl-RS"/>
        </w:rPr>
      </w:pPr>
      <w:r w:rsidRPr="00FD2A09">
        <w:rPr>
          <w:i/>
          <w:sz w:val="18"/>
          <w:szCs w:val="18"/>
          <w:lang w:val="sr-Cyrl-RS"/>
        </w:rPr>
        <w:t>децембар 2021. године (апсолутни број)</w:t>
      </w:r>
    </w:p>
    <w:p w:rsidR="00D74DAF" w:rsidRPr="00A07943" w:rsidRDefault="00D74DAF" w:rsidP="00D74DAF">
      <w:pPr>
        <w:jc w:val="center"/>
        <w:rPr>
          <w:lang w:val="sr-Cyrl-RS"/>
        </w:rPr>
      </w:pPr>
      <w:r w:rsidRPr="00A07943">
        <w:rPr>
          <w:noProof/>
          <w:lang w:val="en-US"/>
        </w:rPr>
        <w:drawing>
          <wp:inline distT="0" distB="0" distL="0" distR="0" wp14:anchorId="5444FA69" wp14:editId="75477492">
            <wp:extent cx="4508500" cy="2228850"/>
            <wp:effectExtent l="0" t="0" r="63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4DAF" w:rsidRPr="00FD2A09" w:rsidRDefault="00D74DAF" w:rsidP="00FD2A09">
      <w:pPr>
        <w:spacing w:after="0"/>
        <w:ind w:firstLine="720"/>
        <w:rPr>
          <w:i/>
          <w:sz w:val="18"/>
          <w:szCs w:val="18"/>
          <w:lang w:val="sr-Cyrl-RS"/>
        </w:rPr>
      </w:pPr>
      <w:r w:rsidRPr="00FD2A09">
        <w:rPr>
          <w:sz w:val="18"/>
          <w:szCs w:val="18"/>
          <w:lang w:val="sr-Cyrl-RS"/>
        </w:rPr>
        <w:tab/>
      </w:r>
      <w:r w:rsidRPr="00FD2A09">
        <w:rPr>
          <w:i/>
          <w:sz w:val="18"/>
          <w:szCs w:val="18"/>
          <w:lang w:val="sr-Cyrl-RS"/>
        </w:rPr>
        <w:t>Извор: Национална служба за запошљавање</w:t>
      </w:r>
    </w:p>
    <w:p w:rsidR="00FD2A09" w:rsidRPr="00FD2A09" w:rsidRDefault="00FD2A09" w:rsidP="00FD2A09">
      <w:pPr>
        <w:spacing w:after="0"/>
        <w:ind w:firstLine="720"/>
        <w:jc w:val="both"/>
        <w:rPr>
          <w:sz w:val="24"/>
          <w:szCs w:val="24"/>
          <w:lang w:val="sr-Cyrl-RS"/>
        </w:rPr>
      </w:pPr>
    </w:p>
    <w:p w:rsidR="00D74DAF" w:rsidRPr="00FD2A09" w:rsidRDefault="00D74DAF" w:rsidP="00FD2A09">
      <w:pPr>
        <w:spacing w:after="0"/>
        <w:ind w:firstLine="720"/>
        <w:jc w:val="both"/>
        <w:rPr>
          <w:sz w:val="24"/>
          <w:szCs w:val="24"/>
          <w:lang w:val="sr-Cyrl-RS"/>
        </w:rPr>
      </w:pPr>
      <w:r w:rsidRPr="00FD2A09">
        <w:rPr>
          <w:sz w:val="24"/>
          <w:szCs w:val="24"/>
          <w:lang w:val="sr-Cyrl-RS"/>
        </w:rPr>
        <w:t>Посматрано према дужини тражења посла, дугорочно незапослени (лица која посао траже дуже од 12 месеци) чине 68,01% укупне регистроване незапослености Рома/Ромкиња.</w:t>
      </w:r>
    </w:p>
    <w:p w:rsidR="00D74DAF" w:rsidRPr="00FD2A09" w:rsidRDefault="00D74DAF" w:rsidP="00FD2A09">
      <w:pPr>
        <w:spacing w:after="0"/>
        <w:ind w:firstLine="720"/>
        <w:jc w:val="both"/>
        <w:rPr>
          <w:sz w:val="24"/>
          <w:szCs w:val="24"/>
        </w:rPr>
      </w:pPr>
      <w:r w:rsidRPr="00FD2A09">
        <w:rPr>
          <w:sz w:val="24"/>
          <w:szCs w:val="24"/>
          <w:lang w:val="sr-Cyrl-RS"/>
        </w:rPr>
        <w:lastRenderedPageBreak/>
        <w:t>У складу са Акционим планом за период од 2021. до 2023. године за спровођење Стратегије запошљавања, у периоду јануар-децембар 2021. године, услуге/мере из система активног тражења посла (сајмови запошљавања, клуб за тражење посла, обука за активно тражење посла, тренинг самоефикасности, радионица за превладавање стреса услед губитка посла и едукативне услуге у Пословном центру) користило је 3.436 незапослених Рома (1.597 Ромкиња).</w:t>
      </w:r>
      <w:r w:rsidRPr="00FD2A09">
        <w:rPr>
          <w:sz w:val="24"/>
          <w:szCs w:val="24"/>
        </w:rPr>
        <w:t xml:space="preserve"> </w:t>
      </w:r>
    </w:p>
    <w:p w:rsidR="00D74DAF" w:rsidRPr="00FD2A09" w:rsidRDefault="00D74DAF" w:rsidP="00FD2A09">
      <w:pPr>
        <w:spacing w:after="0"/>
        <w:ind w:firstLine="720"/>
        <w:jc w:val="both"/>
        <w:rPr>
          <w:sz w:val="24"/>
          <w:szCs w:val="24"/>
          <w:lang w:val="sr-Cyrl-RS"/>
        </w:rPr>
      </w:pPr>
      <w:r w:rsidRPr="00FD2A09">
        <w:rPr>
          <w:sz w:val="24"/>
          <w:szCs w:val="24"/>
          <w:lang w:val="sr-Cyrl-RS"/>
        </w:rPr>
        <w:t>Такође, информативно-саветодавне услуге у Пословном центру користил</w:t>
      </w:r>
      <w:r w:rsidR="00FD2A09" w:rsidRPr="00FD2A09">
        <w:rPr>
          <w:sz w:val="24"/>
          <w:szCs w:val="24"/>
          <w:lang w:val="sr-Cyrl-RS"/>
        </w:rPr>
        <w:t>а</w:t>
      </w:r>
      <w:r w:rsidRPr="00FD2A09">
        <w:rPr>
          <w:sz w:val="24"/>
          <w:szCs w:val="24"/>
          <w:lang w:val="sr-Cyrl-RS"/>
        </w:rPr>
        <w:t xml:space="preserve"> </w:t>
      </w:r>
      <w:r w:rsidR="00FD2A09" w:rsidRPr="00FD2A09">
        <w:rPr>
          <w:sz w:val="24"/>
          <w:szCs w:val="24"/>
          <w:lang w:val="sr-Cyrl-RS"/>
        </w:rPr>
        <w:t>су</w:t>
      </w:r>
      <w:r w:rsidRPr="00FD2A09">
        <w:rPr>
          <w:sz w:val="24"/>
          <w:szCs w:val="24"/>
          <w:lang w:val="sr-Cyrl-RS"/>
        </w:rPr>
        <w:t xml:space="preserve"> 823 Рома (328 Ромкиња), док је услугама информисања и саветовања о могућностима за развој каријере и селекције обухваћено 399 Рома (238 Ромкиња).</w:t>
      </w:r>
    </w:p>
    <w:p w:rsidR="00D74DAF" w:rsidRPr="00A07943" w:rsidRDefault="00D74DAF" w:rsidP="00FD2A09">
      <w:pPr>
        <w:spacing w:after="0"/>
        <w:ind w:firstLine="720"/>
        <w:contextualSpacing/>
        <w:jc w:val="both"/>
        <w:rPr>
          <w:lang w:val="sr-Cyrl-RS"/>
        </w:rPr>
      </w:pPr>
    </w:p>
    <w:tbl>
      <w:tblPr>
        <w:tblStyle w:val="TableGrid"/>
        <w:tblW w:w="0" w:type="auto"/>
        <w:tblLook w:val="04A0" w:firstRow="1" w:lastRow="0" w:firstColumn="1" w:lastColumn="0" w:noHBand="0" w:noVBand="1"/>
      </w:tblPr>
      <w:tblGrid>
        <w:gridCol w:w="5792"/>
        <w:gridCol w:w="1635"/>
        <w:gridCol w:w="1589"/>
      </w:tblGrid>
      <w:tr w:rsidR="00D74DAF" w:rsidRPr="00A07943" w:rsidTr="00FD2A09">
        <w:tc>
          <w:tcPr>
            <w:tcW w:w="5824" w:type="dxa"/>
            <w:vMerge w:val="restart"/>
            <w:shd w:val="clear" w:color="auto" w:fill="auto"/>
            <w:vAlign w:val="center"/>
          </w:tcPr>
          <w:p w:rsidR="00D74DAF" w:rsidRPr="00A07943" w:rsidRDefault="00D74DAF" w:rsidP="00FD2A09">
            <w:pPr>
              <w:spacing w:after="0"/>
              <w:jc w:val="center"/>
              <w:rPr>
                <w:b/>
                <w:sz w:val="20"/>
                <w:lang w:val="sr-Cyrl-RS"/>
              </w:rPr>
            </w:pPr>
            <w:r w:rsidRPr="00A07943">
              <w:rPr>
                <w:b/>
                <w:sz w:val="20"/>
                <w:lang w:val="sr-Cyrl-RS"/>
              </w:rPr>
              <w:t>МЕРА АКТИВНЕ ПОЛИТИКЕ ЗАПОШЉАВАЊА</w:t>
            </w:r>
          </w:p>
        </w:tc>
        <w:tc>
          <w:tcPr>
            <w:tcW w:w="3238" w:type="dxa"/>
            <w:gridSpan w:val="2"/>
            <w:shd w:val="clear" w:color="auto" w:fill="auto"/>
            <w:vAlign w:val="center"/>
          </w:tcPr>
          <w:p w:rsidR="00D74DAF" w:rsidRPr="00A07943" w:rsidRDefault="00D74DAF" w:rsidP="00FD2A09">
            <w:pPr>
              <w:spacing w:after="0"/>
              <w:jc w:val="center"/>
              <w:rPr>
                <w:b/>
                <w:sz w:val="20"/>
                <w:lang w:val="sr-Cyrl-RS"/>
              </w:rPr>
            </w:pPr>
            <w:r w:rsidRPr="00A07943">
              <w:rPr>
                <w:b/>
                <w:sz w:val="20"/>
                <w:lang w:val="sr-Cyrl-RS"/>
              </w:rPr>
              <w:t>Број незапослених Рома/Ромкиња укључених у мере АПЗ у 2021. години</w:t>
            </w:r>
          </w:p>
        </w:tc>
      </w:tr>
      <w:tr w:rsidR="00D74DAF" w:rsidRPr="00A07943" w:rsidTr="00FD2A09">
        <w:tc>
          <w:tcPr>
            <w:tcW w:w="5824" w:type="dxa"/>
            <w:vMerge/>
            <w:shd w:val="clear" w:color="auto" w:fill="auto"/>
            <w:vAlign w:val="center"/>
          </w:tcPr>
          <w:p w:rsidR="00D74DAF" w:rsidRPr="00A07943" w:rsidRDefault="00D74DAF" w:rsidP="00FD2A09">
            <w:pPr>
              <w:spacing w:after="0"/>
              <w:jc w:val="center"/>
              <w:rPr>
                <w:b/>
                <w:sz w:val="20"/>
                <w:lang w:val="sr-Cyrl-RS"/>
              </w:rPr>
            </w:pPr>
          </w:p>
        </w:tc>
        <w:tc>
          <w:tcPr>
            <w:tcW w:w="1641" w:type="dxa"/>
            <w:shd w:val="clear" w:color="auto" w:fill="auto"/>
            <w:vAlign w:val="center"/>
          </w:tcPr>
          <w:p w:rsidR="00D74DAF" w:rsidRPr="00A07943" w:rsidRDefault="00D74DAF" w:rsidP="00FD2A09">
            <w:pPr>
              <w:spacing w:after="0"/>
              <w:jc w:val="center"/>
              <w:rPr>
                <w:b/>
                <w:i/>
                <w:sz w:val="20"/>
                <w:lang w:val="sr-Cyrl-RS"/>
              </w:rPr>
            </w:pPr>
            <w:r w:rsidRPr="00A07943">
              <w:rPr>
                <w:b/>
                <w:i/>
                <w:sz w:val="20"/>
                <w:lang w:val="sr-Cyrl-RS"/>
              </w:rPr>
              <w:t>Укупно</w:t>
            </w:r>
          </w:p>
        </w:tc>
        <w:tc>
          <w:tcPr>
            <w:tcW w:w="1597" w:type="dxa"/>
            <w:shd w:val="clear" w:color="auto" w:fill="auto"/>
            <w:vAlign w:val="center"/>
          </w:tcPr>
          <w:p w:rsidR="00D74DAF" w:rsidRPr="00A07943" w:rsidRDefault="00D74DAF" w:rsidP="00FD2A09">
            <w:pPr>
              <w:spacing w:after="0"/>
              <w:jc w:val="center"/>
              <w:rPr>
                <w:b/>
                <w:i/>
                <w:sz w:val="20"/>
                <w:lang w:val="sr-Cyrl-RS"/>
              </w:rPr>
            </w:pPr>
            <w:r w:rsidRPr="00A07943">
              <w:rPr>
                <w:b/>
                <w:i/>
                <w:sz w:val="20"/>
                <w:lang w:val="sr-Cyrl-RS"/>
              </w:rPr>
              <w:t>Жене</w:t>
            </w:r>
          </w:p>
        </w:tc>
      </w:tr>
      <w:tr w:rsidR="00D74DAF" w:rsidRPr="00A07943" w:rsidTr="00FD2A09">
        <w:tc>
          <w:tcPr>
            <w:tcW w:w="5824" w:type="dxa"/>
            <w:shd w:val="clear" w:color="auto" w:fill="auto"/>
            <w:vAlign w:val="center"/>
          </w:tcPr>
          <w:p w:rsidR="00D74DAF" w:rsidRPr="00A07943" w:rsidRDefault="00D74DAF" w:rsidP="00FD2A09">
            <w:pPr>
              <w:spacing w:after="0"/>
              <w:jc w:val="center"/>
              <w:rPr>
                <w:b/>
                <w:i/>
                <w:sz w:val="20"/>
                <w:lang w:val="sr-Cyrl-RS"/>
              </w:rPr>
            </w:pPr>
            <w:r w:rsidRPr="00A07943">
              <w:rPr>
                <w:b/>
                <w:i/>
                <w:sz w:val="20"/>
                <w:lang w:val="sr-Cyrl-RS"/>
              </w:rPr>
              <w:t>Мере активног тражења посла</w:t>
            </w:r>
          </w:p>
        </w:tc>
        <w:tc>
          <w:tcPr>
            <w:tcW w:w="1641" w:type="dxa"/>
            <w:shd w:val="clear" w:color="auto" w:fill="auto"/>
            <w:vAlign w:val="center"/>
          </w:tcPr>
          <w:p w:rsidR="00D74DAF" w:rsidRPr="00A07943" w:rsidRDefault="00D74DAF" w:rsidP="00FD2A09">
            <w:pPr>
              <w:spacing w:after="0"/>
              <w:jc w:val="center"/>
              <w:rPr>
                <w:b/>
                <w:i/>
                <w:sz w:val="20"/>
                <w:lang w:val="sr-Cyrl-RS"/>
              </w:rPr>
            </w:pPr>
            <w:r w:rsidRPr="00A07943">
              <w:rPr>
                <w:b/>
                <w:i/>
                <w:sz w:val="20"/>
                <w:lang w:val="sr-Cyrl-RS"/>
              </w:rPr>
              <w:t>3.436</w:t>
            </w:r>
          </w:p>
        </w:tc>
        <w:tc>
          <w:tcPr>
            <w:tcW w:w="1597" w:type="dxa"/>
            <w:shd w:val="clear" w:color="auto" w:fill="auto"/>
            <w:vAlign w:val="center"/>
          </w:tcPr>
          <w:p w:rsidR="00D74DAF" w:rsidRPr="00A07943" w:rsidRDefault="00D74DAF" w:rsidP="00FD2A09">
            <w:pPr>
              <w:spacing w:after="0"/>
              <w:jc w:val="center"/>
              <w:rPr>
                <w:b/>
                <w:i/>
                <w:sz w:val="20"/>
                <w:lang w:val="sr-Cyrl-RS"/>
              </w:rPr>
            </w:pPr>
            <w:r w:rsidRPr="00A07943">
              <w:rPr>
                <w:b/>
                <w:i/>
                <w:sz w:val="20"/>
                <w:lang w:val="sr-Cyrl-RS"/>
              </w:rPr>
              <w:t>1.597</w:t>
            </w:r>
          </w:p>
        </w:tc>
      </w:tr>
      <w:tr w:rsidR="00D74DAF" w:rsidRPr="00A07943" w:rsidTr="00FD2A09">
        <w:tc>
          <w:tcPr>
            <w:tcW w:w="5824" w:type="dxa"/>
            <w:shd w:val="clear" w:color="auto" w:fill="auto"/>
            <w:vAlign w:val="center"/>
          </w:tcPr>
          <w:p w:rsidR="00D74DAF" w:rsidRPr="00A07943" w:rsidRDefault="00D74DAF" w:rsidP="00FD2A09">
            <w:pPr>
              <w:spacing w:after="0"/>
              <w:jc w:val="center"/>
              <w:rPr>
                <w:i/>
                <w:sz w:val="20"/>
                <w:lang w:val="sr-Cyrl-RS"/>
              </w:rPr>
            </w:pPr>
            <w:r w:rsidRPr="00A07943">
              <w:rPr>
                <w:i/>
                <w:sz w:val="20"/>
                <w:lang w:val="sr-Cyrl-RS"/>
              </w:rPr>
              <w:t>Обука за активно тражење посла</w:t>
            </w:r>
          </w:p>
        </w:tc>
        <w:tc>
          <w:tcPr>
            <w:tcW w:w="1641" w:type="dxa"/>
            <w:shd w:val="clear" w:color="auto" w:fill="auto"/>
            <w:vAlign w:val="center"/>
          </w:tcPr>
          <w:p w:rsidR="00D74DAF" w:rsidRPr="00A07943" w:rsidRDefault="00D74DAF" w:rsidP="00FD2A09">
            <w:pPr>
              <w:spacing w:after="0"/>
              <w:jc w:val="center"/>
              <w:rPr>
                <w:i/>
                <w:sz w:val="20"/>
                <w:lang w:val="sr-Cyrl-RS"/>
              </w:rPr>
            </w:pPr>
            <w:r w:rsidRPr="00A07943">
              <w:rPr>
                <w:i/>
                <w:sz w:val="20"/>
                <w:lang w:val="sr-Cyrl-RS"/>
              </w:rPr>
              <w:t>2.291</w:t>
            </w:r>
          </w:p>
        </w:tc>
        <w:tc>
          <w:tcPr>
            <w:tcW w:w="1597" w:type="dxa"/>
            <w:shd w:val="clear" w:color="auto" w:fill="auto"/>
            <w:vAlign w:val="center"/>
          </w:tcPr>
          <w:p w:rsidR="00D74DAF" w:rsidRPr="00A07943" w:rsidRDefault="00D74DAF" w:rsidP="00FD2A09">
            <w:pPr>
              <w:spacing w:after="0"/>
              <w:jc w:val="center"/>
              <w:rPr>
                <w:i/>
                <w:sz w:val="20"/>
                <w:lang w:val="sr-Cyrl-RS"/>
              </w:rPr>
            </w:pPr>
            <w:r w:rsidRPr="00A07943">
              <w:rPr>
                <w:i/>
                <w:sz w:val="20"/>
                <w:lang w:val="sr-Cyrl-RS"/>
              </w:rPr>
              <w:t>1.114</w:t>
            </w:r>
          </w:p>
        </w:tc>
      </w:tr>
      <w:tr w:rsidR="00D74DAF" w:rsidRPr="00A07943" w:rsidTr="00FD2A09">
        <w:tc>
          <w:tcPr>
            <w:tcW w:w="5824" w:type="dxa"/>
            <w:shd w:val="clear" w:color="auto" w:fill="auto"/>
            <w:vAlign w:val="center"/>
          </w:tcPr>
          <w:p w:rsidR="00D74DAF" w:rsidRPr="00A07943" w:rsidRDefault="00D74DAF" w:rsidP="00FD2A09">
            <w:pPr>
              <w:spacing w:after="0"/>
              <w:jc w:val="center"/>
              <w:rPr>
                <w:i/>
                <w:sz w:val="20"/>
                <w:lang w:val="sr-Cyrl-RS"/>
              </w:rPr>
            </w:pPr>
            <w:r w:rsidRPr="00A07943">
              <w:rPr>
                <w:i/>
                <w:sz w:val="20"/>
                <w:lang w:val="sr-Cyrl-RS"/>
              </w:rPr>
              <w:t>Тренинг самоефикасности</w:t>
            </w:r>
          </w:p>
        </w:tc>
        <w:tc>
          <w:tcPr>
            <w:tcW w:w="1641" w:type="dxa"/>
            <w:shd w:val="clear" w:color="auto" w:fill="auto"/>
            <w:vAlign w:val="center"/>
          </w:tcPr>
          <w:p w:rsidR="00D74DAF" w:rsidRPr="00A07943" w:rsidRDefault="00D74DAF" w:rsidP="00FD2A09">
            <w:pPr>
              <w:spacing w:after="0"/>
              <w:jc w:val="center"/>
              <w:rPr>
                <w:i/>
                <w:sz w:val="20"/>
                <w:lang w:val="sr-Cyrl-RS"/>
              </w:rPr>
            </w:pPr>
            <w:r w:rsidRPr="00A07943">
              <w:rPr>
                <w:i/>
                <w:sz w:val="20"/>
                <w:lang w:val="sr-Cyrl-RS"/>
              </w:rPr>
              <w:t>58</w:t>
            </w:r>
          </w:p>
        </w:tc>
        <w:tc>
          <w:tcPr>
            <w:tcW w:w="1597" w:type="dxa"/>
            <w:shd w:val="clear" w:color="auto" w:fill="auto"/>
            <w:vAlign w:val="center"/>
          </w:tcPr>
          <w:p w:rsidR="00D74DAF" w:rsidRPr="00A07943" w:rsidRDefault="00D74DAF" w:rsidP="00FD2A09">
            <w:pPr>
              <w:spacing w:after="0"/>
              <w:jc w:val="center"/>
              <w:rPr>
                <w:i/>
                <w:sz w:val="20"/>
                <w:lang w:val="sr-Cyrl-RS"/>
              </w:rPr>
            </w:pPr>
            <w:r w:rsidRPr="00A07943">
              <w:rPr>
                <w:i/>
                <w:sz w:val="20"/>
                <w:lang w:val="sr-Cyrl-RS"/>
              </w:rPr>
              <w:t>33</w:t>
            </w:r>
          </w:p>
        </w:tc>
      </w:tr>
      <w:tr w:rsidR="00D74DAF" w:rsidRPr="00A07943" w:rsidTr="00FD2A09">
        <w:tc>
          <w:tcPr>
            <w:tcW w:w="5824" w:type="dxa"/>
            <w:shd w:val="clear" w:color="auto" w:fill="auto"/>
            <w:vAlign w:val="center"/>
          </w:tcPr>
          <w:p w:rsidR="00D74DAF" w:rsidRPr="00A07943" w:rsidRDefault="00D74DAF" w:rsidP="00FD2A09">
            <w:pPr>
              <w:spacing w:after="0"/>
              <w:jc w:val="center"/>
              <w:rPr>
                <w:i/>
                <w:sz w:val="20"/>
                <w:lang w:val="sr-Cyrl-RS"/>
              </w:rPr>
            </w:pPr>
            <w:r w:rsidRPr="00A07943">
              <w:rPr>
                <w:i/>
                <w:sz w:val="20"/>
                <w:lang w:val="sr-Cyrl-RS"/>
              </w:rPr>
              <w:t>Клуб за тражење посла</w:t>
            </w:r>
          </w:p>
        </w:tc>
        <w:tc>
          <w:tcPr>
            <w:tcW w:w="1641" w:type="dxa"/>
            <w:shd w:val="clear" w:color="auto" w:fill="auto"/>
            <w:vAlign w:val="center"/>
          </w:tcPr>
          <w:p w:rsidR="00D74DAF" w:rsidRPr="00A07943" w:rsidRDefault="00D74DAF" w:rsidP="00FD2A09">
            <w:pPr>
              <w:spacing w:after="0"/>
              <w:jc w:val="center"/>
              <w:rPr>
                <w:i/>
                <w:sz w:val="20"/>
                <w:lang w:val="sr-Cyrl-RS"/>
              </w:rPr>
            </w:pPr>
            <w:r w:rsidRPr="00A07943">
              <w:rPr>
                <w:i/>
                <w:sz w:val="20"/>
                <w:lang w:val="sr-Cyrl-RS"/>
              </w:rPr>
              <w:t>75</w:t>
            </w:r>
          </w:p>
        </w:tc>
        <w:tc>
          <w:tcPr>
            <w:tcW w:w="1597" w:type="dxa"/>
            <w:shd w:val="clear" w:color="auto" w:fill="auto"/>
            <w:vAlign w:val="center"/>
          </w:tcPr>
          <w:p w:rsidR="00D74DAF" w:rsidRPr="00A07943" w:rsidRDefault="00D74DAF" w:rsidP="00FD2A09">
            <w:pPr>
              <w:spacing w:after="0"/>
              <w:jc w:val="center"/>
              <w:rPr>
                <w:i/>
                <w:sz w:val="20"/>
                <w:lang w:val="sr-Cyrl-RS"/>
              </w:rPr>
            </w:pPr>
            <w:r w:rsidRPr="00A07943">
              <w:rPr>
                <w:i/>
                <w:sz w:val="20"/>
                <w:lang w:val="sr-Cyrl-RS"/>
              </w:rPr>
              <w:t>36</w:t>
            </w:r>
          </w:p>
        </w:tc>
      </w:tr>
      <w:tr w:rsidR="00D74DAF" w:rsidRPr="00A07943" w:rsidTr="00FD2A09">
        <w:tc>
          <w:tcPr>
            <w:tcW w:w="5824" w:type="dxa"/>
            <w:shd w:val="clear" w:color="auto" w:fill="auto"/>
            <w:vAlign w:val="center"/>
          </w:tcPr>
          <w:p w:rsidR="00D74DAF" w:rsidRPr="00A07943" w:rsidRDefault="00D74DAF" w:rsidP="00FD2A09">
            <w:pPr>
              <w:spacing w:after="0"/>
              <w:jc w:val="center"/>
              <w:rPr>
                <w:i/>
                <w:sz w:val="20"/>
                <w:lang w:val="sr-Cyrl-RS"/>
              </w:rPr>
            </w:pPr>
            <w:r w:rsidRPr="00A07943">
              <w:rPr>
                <w:i/>
                <w:sz w:val="20"/>
                <w:lang w:val="sr-Cyrl-RS"/>
              </w:rPr>
              <w:t>Сајам запошљавања</w:t>
            </w:r>
          </w:p>
        </w:tc>
        <w:tc>
          <w:tcPr>
            <w:tcW w:w="1641" w:type="dxa"/>
            <w:shd w:val="clear" w:color="auto" w:fill="auto"/>
            <w:vAlign w:val="center"/>
          </w:tcPr>
          <w:p w:rsidR="00D74DAF" w:rsidRPr="00A07943" w:rsidRDefault="00D74DAF" w:rsidP="00FD2A09">
            <w:pPr>
              <w:spacing w:after="0"/>
              <w:jc w:val="center"/>
              <w:rPr>
                <w:i/>
                <w:sz w:val="20"/>
                <w:lang w:val="sr-Cyrl-RS"/>
              </w:rPr>
            </w:pPr>
            <w:r w:rsidRPr="00A07943">
              <w:rPr>
                <w:i/>
                <w:sz w:val="20"/>
                <w:lang w:val="sr-Cyrl-RS"/>
              </w:rPr>
              <w:t>333</w:t>
            </w:r>
          </w:p>
        </w:tc>
        <w:tc>
          <w:tcPr>
            <w:tcW w:w="1597" w:type="dxa"/>
            <w:shd w:val="clear" w:color="auto" w:fill="auto"/>
            <w:vAlign w:val="center"/>
          </w:tcPr>
          <w:p w:rsidR="00D74DAF" w:rsidRPr="00A07943" w:rsidRDefault="00D74DAF" w:rsidP="00FD2A09">
            <w:pPr>
              <w:spacing w:after="0"/>
              <w:jc w:val="center"/>
              <w:rPr>
                <w:i/>
                <w:sz w:val="20"/>
                <w:lang w:val="sr-Cyrl-RS"/>
              </w:rPr>
            </w:pPr>
            <w:r w:rsidRPr="00A07943">
              <w:rPr>
                <w:i/>
                <w:sz w:val="20"/>
                <w:lang w:val="sr-Cyrl-RS"/>
              </w:rPr>
              <w:t>152</w:t>
            </w:r>
          </w:p>
        </w:tc>
      </w:tr>
      <w:tr w:rsidR="00D74DAF" w:rsidRPr="00A07943" w:rsidTr="00FD2A09">
        <w:tc>
          <w:tcPr>
            <w:tcW w:w="5824" w:type="dxa"/>
            <w:shd w:val="clear" w:color="auto" w:fill="auto"/>
            <w:vAlign w:val="center"/>
          </w:tcPr>
          <w:p w:rsidR="00D74DAF" w:rsidRPr="00A07943" w:rsidRDefault="00D74DAF" w:rsidP="00FD2A09">
            <w:pPr>
              <w:spacing w:after="0"/>
              <w:jc w:val="center"/>
              <w:rPr>
                <w:i/>
                <w:sz w:val="20"/>
                <w:lang w:val="sr-Cyrl-RS"/>
              </w:rPr>
            </w:pPr>
            <w:r w:rsidRPr="00A07943">
              <w:rPr>
                <w:i/>
                <w:sz w:val="20"/>
                <w:lang w:val="sr-Cyrl-RS"/>
              </w:rPr>
              <w:t>Радионица за превладавање стреса услед губитка посла</w:t>
            </w:r>
          </w:p>
        </w:tc>
        <w:tc>
          <w:tcPr>
            <w:tcW w:w="1641" w:type="dxa"/>
            <w:shd w:val="clear" w:color="auto" w:fill="auto"/>
            <w:vAlign w:val="center"/>
          </w:tcPr>
          <w:p w:rsidR="00D74DAF" w:rsidRPr="00A07943" w:rsidRDefault="00D74DAF" w:rsidP="00FD2A09">
            <w:pPr>
              <w:spacing w:after="0"/>
              <w:jc w:val="center"/>
              <w:rPr>
                <w:i/>
                <w:sz w:val="20"/>
                <w:lang w:val="sr-Cyrl-RS"/>
              </w:rPr>
            </w:pPr>
            <w:r w:rsidRPr="00A07943">
              <w:rPr>
                <w:i/>
                <w:sz w:val="20"/>
                <w:lang w:val="sr-Cyrl-RS"/>
              </w:rPr>
              <w:t>6</w:t>
            </w:r>
          </w:p>
        </w:tc>
        <w:tc>
          <w:tcPr>
            <w:tcW w:w="1597" w:type="dxa"/>
            <w:shd w:val="clear" w:color="auto" w:fill="auto"/>
            <w:vAlign w:val="center"/>
          </w:tcPr>
          <w:p w:rsidR="00D74DAF" w:rsidRPr="00A07943" w:rsidRDefault="00D74DAF" w:rsidP="00FD2A09">
            <w:pPr>
              <w:spacing w:after="0"/>
              <w:jc w:val="center"/>
              <w:rPr>
                <w:i/>
                <w:sz w:val="20"/>
                <w:lang w:val="sr-Cyrl-RS"/>
              </w:rPr>
            </w:pPr>
            <w:r w:rsidRPr="00A07943">
              <w:rPr>
                <w:i/>
                <w:sz w:val="20"/>
                <w:lang w:val="sr-Cyrl-RS"/>
              </w:rPr>
              <w:t>3</w:t>
            </w:r>
          </w:p>
        </w:tc>
      </w:tr>
      <w:tr w:rsidR="00D74DAF" w:rsidRPr="00A07943" w:rsidTr="00FD2A09">
        <w:tc>
          <w:tcPr>
            <w:tcW w:w="5824" w:type="dxa"/>
            <w:shd w:val="clear" w:color="auto" w:fill="auto"/>
            <w:vAlign w:val="center"/>
          </w:tcPr>
          <w:p w:rsidR="00D74DAF" w:rsidRPr="00A07943" w:rsidRDefault="00D74DAF" w:rsidP="00FD2A09">
            <w:pPr>
              <w:spacing w:after="0"/>
              <w:jc w:val="center"/>
              <w:rPr>
                <w:i/>
                <w:sz w:val="20"/>
                <w:lang w:val="sr-Cyrl-RS"/>
              </w:rPr>
            </w:pPr>
            <w:r w:rsidRPr="00A07943">
              <w:rPr>
                <w:i/>
                <w:sz w:val="20"/>
                <w:lang w:val="sr-Cyrl-RS"/>
              </w:rPr>
              <w:t>Обука за развој предузетништва</w:t>
            </w:r>
          </w:p>
        </w:tc>
        <w:tc>
          <w:tcPr>
            <w:tcW w:w="1641" w:type="dxa"/>
            <w:shd w:val="clear" w:color="auto" w:fill="auto"/>
            <w:vAlign w:val="center"/>
          </w:tcPr>
          <w:p w:rsidR="00D74DAF" w:rsidRPr="00A07943" w:rsidRDefault="00D74DAF" w:rsidP="00FD2A09">
            <w:pPr>
              <w:spacing w:after="0"/>
              <w:jc w:val="center"/>
              <w:rPr>
                <w:i/>
                <w:sz w:val="20"/>
                <w:lang w:val="sr-Cyrl-RS"/>
              </w:rPr>
            </w:pPr>
            <w:r w:rsidRPr="00A07943">
              <w:rPr>
                <w:i/>
                <w:sz w:val="20"/>
                <w:lang w:val="sr-Cyrl-RS"/>
              </w:rPr>
              <w:t>673</w:t>
            </w:r>
          </w:p>
        </w:tc>
        <w:tc>
          <w:tcPr>
            <w:tcW w:w="1597" w:type="dxa"/>
            <w:shd w:val="clear" w:color="auto" w:fill="auto"/>
            <w:vAlign w:val="center"/>
          </w:tcPr>
          <w:p w:rsidR="00D74DAF" w:rsidRPr="00A07943" w:rsidRDefault="00D74DAF" w:rsidP="00FD2A09">
            <w:pPr>
              <w:spacing w:after="0"/>
              <w:jc w:val="center"/>
              <w:rPr>
                <w:i/>
                <w:sz w:val="20"/>
                <w:lang w:val="sr-Cyrl-RS"/>
              </w:rPr>
            </w:pPr>
            <w:r w:rsidRPr="00A07943">
              <w:rPr>
                <w:i/>
                <w:sz w:val="20"/>
                <w:lang w:val="sr-Cyrl-RS"/>
              </w:rPr>
              <w:t>259</w:t>
            </w:r>
          </w:p>
        </w:tc>
      </w:tr>
      <w:tr w:rsidR="00D74DAF" w:rsidRPr="00A07943" w:rsidTr="00FD2A09">
        <w:tc>
          <w:tcPr>
            <w:tcW w:w="5824" w:type="dxa"/>
            <w:shd w:val="clear" w:color="auto" w:fill="auto"/>
            <w:vAlign w:val="center"/>
          </w:tcPr>
          <w:p w:rsidR="00D74DAF" w:rsidRPr="00A07943" w:rsidRDefault="00D74DAF" w:rsidP="00FD2A09">
            <w:pPr>
              <w:spacing w:after="0"/>
              <w:jc w:val="center"/>
              <w:rPr>
                <w:b/>
                <w:sz w:val="20"/>
                <w:lang w:val="sr-Cyrl-RS"/>
              </w:rPr>
            </w:pPr>
            <w:r w:rsidRPr="00A07943">
              <w:rPr>
                <w:b/>
                <w:sz w:val="20"/>
                <w:lang w:val="sr-Cyrl-RS"/>
              </w:rPr>
              <w:t>Додатно образовање и обука</w:t>
            </w:r>
          </w:p>
        </w:tc>
        <w:tc>
          <w:tcPr>
            <w:tcW w:w="1641" w:type="dxa"/>
            <w:shd w:val="clear" w:color="auto" w:fill="auto"/>
            <w:vAlign w:val="center"/>
          </w:tcPr>
          <w:p w:rsidR="00D74DAF" w:rsidRPr="00A07943" w:rsidRDefault="00D74DAF" w:rsidP="00FD2A09">
            <w:pPr>
              <w:spacing w:after="0"/>
              <w:jc w:val="center"/>
              <w:rPr>
                <w:b/>
                <w:sz w:val="20"/>
                <w:lang w:val="sr-Cyrl-RS"/>
              </w:rPr>
            </w:pPr>
            <w:r w:rsidRPr="00A07943">
              <w:rPr>
                <w:b/>
                <w:sz w:val="20"/>
                <w:lang w:val="sr-Cyrl-RS"/>
              </w:rPr>
              <w:t>812</w:t>
            </w:r>
          </w:p>
        </w:tc>
        <w:tc>
          <w:tcPr>
            <w:tcW w:w="1597" w:type="dxa"/>
            <w:shd w:val="clear" w:color="auto" w:fill="auto"/>
            <w:vAlign w:val="center"/>
          </w:tcPr>
          <w:p w:rsidR="00D74DAF" w:rsidRPr="00A07943" w:rsidRDefault="00D74DAF" w:rsidP="00FD2A09">
            <w:pPr>
              <w:spacing w:after="0"/>
              <w:jc w:val="center"/>
              <w:rPr>
                <w:b/>
                <w:sz w:val="20"/>
                <w:lang w:val="sr-Cyrl-RS"/>
              </w:rPr>
            </w:pPr>
            <w:r w:rsidRPr="00A07943">
              <w:rPr>
                <w:b/>
                <w:sz w:val="20"/>
                <w:lang w:val="sr-Cyrl-RS"/>
              </w:rPr>
              <w:t>491</w:t>
            </w:r>
          </w:p>
        </w:tc>
      </w:tr>
      <w:tr w:rsidR="00D74DAF" w:rsidRPr="00A07943" w:rsidTr="00FD2A09">
        <w:tc>
          <w:tcPr>
            <w:tcW w:w="5824" w:type="dxa"/>
            <w:shd w:val="clear" w:color="auto" w:fill="auto"/>
            <w:vAlign w:val="center"/>
          </w:tcPr>
          <w:p w:rsidR="00D74DAF" w:rsidRPr="00A07943" w:rsidRDefault="00D74DAF" w:rsidP="00FD2A09">
            <w:pPr>
              <w:spacing w:after="0"/>
              <w:jc w:val="center"/>
              <w:rPr>
                <w:sz w:val="20"/>
                <w:lang w:val="sr-Cyrl-RS"/>
              </w:rPr>
            </w:pPr>
            <w:r w:rsidRPr="00A07943">
              <w:rPr>
                <w:sz w:val="20"/>
                <w:lang w:val="sr-Cyrl-RS"/>
              </w:rPr>
              <w:t>Стручна пракса</w:t>
            </w:r>
          </w:p>
        </w:tc>
        <w:tc>
          <w:tcPr>
            <w:tcW w:w="1641" w:type="dxa"/>
            <w:shd w:val="clear" w:color="auto" w:fill="auto"/>
            <w:vAlign w:val="center"/>
          </w:tcPr>
          <w:p w:rsidR="00D74DAF" w:rsidRPr="00A07943" w:rsidRDefault="00D74DAF" w:rsidP="00FD2A09">
            <w:pPr>
              <w:spacing w:after="0"/>
              <w:jc w:val="center"/>
              <w:rPr>
                <w:sz w:val="20"/>
                <w:lang w:val="sr-Cyrl-RS"/>
              </w:rPr>
            </w:pPr>
            <w:r w:rsidRPr="00A07943">
              <w:rPr>
                <w:sz w:val="20"/>
                <w:lang w:val="sr-Cyrl-RS"/>
              </w:rPr>
              <w:t>8</w:t>
            </w:r>
          </w:p>
        </w:tc>
        <w:tc>
          <w:tcPr>
            <w:tcW w:w="1597" w:type="dxa"/>
            <w:shd w:val="clear" w:color="auto" w:fill="auto"/>
            <w:vAlign w:val="center"/>
          </w:tcPr>
          <w:p w:rsidR="00D74DAF" w:rsidRPr="00A07943" w:rsidRDefault="00D74DAF" w:rsidP="00FD2A09">
            <w:pPr>
              <w:spacing w:after="0"/>
              <w:jc w:val="center"/>
              <w:rPr>
                <w:sz w:val="20"/>
                <w:lang w:val="sr-Cyrl-RS"/>
              </w:rPr>
            </w:pPr>
            <w:r w:rsidRPr="00A07943">
              <w:rPr>
                <w:sz w:val="20"/>
                <w:lang w:val="sr-Cyrl-RS"/>
              </w:rPr>
              <w:t>5</w:t>
            </w:r>
          </w:p>
        </w:tc>
      </w:tr>
      <w:tr w:rsidR="00D74DAF" w:rsidRPr="00A07943" w:rsidTr="00FD2A09">
        <w:tc>
          <w:tcPr>
            <w:tcW w:w="5824" w:type="dxa"/>
            <w:shd w:val="clear" w:color="auto" w:fill="auto"/>
            <w:vAlign w:val="center"/>
          </w:tcPr>
          <w:p w:rsidR="00D74DAF" w:rsidRPr="00A07943" w:rsidRDefault="00D74DAF" w:rsidP="00FD2A09">
            <w:pPr>
              <w:spacing w:after="0"/>
              <w:jc w:val="center"/>
              <w:rPr>
                <w:sz w:val="20"/>
                <w:lang w:val="sr-Cyrl-RS"/>
              </w:rPr>
            </w:pPr>
            <w:r w:rsidRPr="00A07943">
              <w:rPr>
                <w:sz w:val="20"/>
                <w:lang w:val="sr-Cyrl-RS"/>
              </w:rPr>
              <w:t>Приправништво за младе са виском образовањем</w:t>
            </w:r>
          </w:p>
        </w:tc>
        <w:tc>
          <w:tcPr>
            <w:tcW w:w="1641" w:type="dxa"/>
            <w:shd w:val="clear" w:color="auto" w:fill="auto"/>
            <w:vAlign w:val="center"/>
          </w:tcPr>
          <w:p w:rsidR="00D74DAF" w:rsidRPr="00A07943" w:rsidRDefault="00D74DAF" w:rsidP="00FD2A09">
            <w:pPr>
              <w:spacing w:after="0"/>
              <w:jc w:val="center"/>
              <w:rPr>
                <w:sz w:val="20"/>
                <w:lang w:val="sr-Cyrl-RS"/>
              </w:rPr>
            </w:pPr>
            <w:r w:rsidRPr="00A07943">
              <w:rPr>
                <w:sz w:val="20"/>
                <w:lang w:val="sr-Cyrl-RS"/>
              </w:rPr>
              <w:t>39</w:t>
            </w:r>
          </w:p>
        </w:tc>
        <w:tc>
          <w:tcPr>
            <w:tcW w:w="1597" w:type="dxa"/>
            <w:shd w:val="clear" w:color="auto" w:fill="auto"/>
            <w:vAlign w:val="center"/>
          </w:tcPr>
          <w:p w:rsidR="00D74DAF" w:rsidRPr="00A07943" w:rsidRDefault="00D74DAF" w:rsidP="00FD2A09">
            <w:pPr>
              <w:spacing w:after="0"/>
              <w:jc w:val="center"/>
              <w:rPr>
                <w:sz w:val="20"/>
                <w:lang w:val="sr-Cyrl-RS"/>
              </w:rPr>
            </w:pPr>
            <w:r w:rsidRPr="00A07943">
              <w:rPr>
                <w:sz w:val="20"/>
                <w:lang w:val="sr-Cyrl-RS"/>
              </w:rPr>
              <w:t>21</w:t>
            </w:r>
          </w:p>
        </w:tc>
      </w:tr>
      <w:tr w:rsidR="00D74DAF" w:rsidRPr="00A07943" w:rsidTr="00FD2A09">
        <w:tc>
          <w:tcPr>
            <w:tcW w:w="5824" w:type="dxa"/>
            <w:shd w:val="clear" w:color="auto" w:fill="auto"/>
            <w:vAlign w:val="center"/>
          </w:tcPr>
          <w:p w:rsidR="00D74DAF" w:rsidRPr="00A07943" w:rsidRDefault="00D74DAF" w:rsidP="00FD2A09">
            <w:pPr>
              <w:spacing w:after="0"/>
              <w:jc w:val="center"/>
              <w:rPr>
                <w:sz w:val="20"/>
                <w:lang w:val="sr-Cyrl-RS"/>
              </w:rPr>
            </w:pPr>
            <w:r w:rsidRPr="00A07943">
              <w:rPr>
                <w:sz w:val="20"/>
                <w:lang w:val="sr-Cyrl-RS"/>
              </w:rPr>
              <w:t>Приправништво за незапослене са средњим образовањем</w:t>
            </w:r>
          </w:p>
        </w:tc>
        <w:tc>
          <w:tcPr>
            <w:tcW w:w="1641" w:type="dxa"/>
            <w:shd w:val="clear" w:color="auto" w:fill="auto"/>
            <w:vAlign w:val="center"/>
          </w:tcPr>
          <w:p w:rsidR="00D74DAF" w:rsidRPr="00A07943" w:rsidRDefault="00D74DAF" w:rsidP="00FD2A09">
            <w:pPr>
              <w:spacing w:after="0"/>
              <w:jc w:val="center"/>
              <w:rPr>
                <w:sz w:val="20"/>
                <w:lang w:val="sr-Cyrl-RS"/>
              </w:rPr>
            </w:pPr>
            <w:r w:rsidRPr="00A07943">
              <w:rPr>
                <w:sz w:val="20"/>
                <w:lang w:val="sr-Cyrl-RS"/>
              </w:rPr>
              <w:t>47</w:t>
            </w:r>
          </w:p>
        </w:tc>
        <w:tc>
          <w:tcPr>
            <w:tcW w:w="1597" w:type="dxa"/>
            <w:shd w:val="clear" w:color="auto" w:fill="auto"/>
            <w:vAlign w:val="center"/>
          </w:tcPr>
          <w:p w:rsidR="00D74DAF" w:rsidRPr="00A07943" w:rsidRDefault="00D74DAF" w:rsidP="00FD2A09">
            <w:pPr>
              <w:spacing w:after="0"/>
              <w:jc w:val="center"/>
              <w:rPr>
                <w:sz w:val="20"/>
                <w:lang w:val="sr-Cyrl-RS"/>
              </w:rPr>
            </w:pPr>
            <w:r w:rsidRPr="00A07943">
              <w:rPr>
                <w:sz w:val="20"/>
                <w:lang w:val="sr-Cyrl-RS"/>
              </w:rPr>
              <w:t>26</w:t>
            </w:r>
          </w:p>
        </w:tc>
      </w:tr>
      <w:tr w:rsidR="00D74DAF" w:rsidRPr="00A07943" w:rsidTr="00FD2A09">
        <w:tc>
          <w:tcPr>
            <w:tcW w:w="5824" w:type="dxa"/>
            <w:shd w:val="clear" w:color="auto" w:fill="auto"/>
            <w:vAlign w:val="center"/>
          </w:tcPr>
          <w:p w:rsidR="00D74DAF" w:rsidRPr="00A07943" w:rsidRDefault="00D74DAF" w:rsidP="00FD2A09">
            <w:pPr>
              <w:spacing w:after="0"/>
              <w:jc w:val="center"/>
              <w:rPr>
                <w:sz w:val="20"/>
                <w:lang w:val="sr-Cyrl-RS"/>
              </w:rPr>
            </w:pPr>
            <w:r w:rsidRPr="00A07943">
              <w:rPr>
                <w:sz w:val="20"/>
                <w:lang w:val="sr-Cyrl-RS"/>
              </w:rPr>
              <w:t>Стицање практичних знања</w:t>
            </w:r>
          </w:p>
        </w:tc>
        <w:tc>
          <w:tcPr>
            <w:tcW w:w="1641" w:type="dxa"/>
            <w:shd w:val="clear" w:color="auto" w:fill="auto"/>
            <w:vAlign w:val="center"/>
          </w:tcPr>
          <w:p w:rsidR="00D74DAF" w:rsidRPr="00A07943" w:rsidRDefault="00D74DAF" w:rsidP="00FD2A09">
            <w:pPr>
              <w:spacing w:after="0"/>
              <w:jc w:val="center"/>
              <w:rPr>
                <w:sz w:val="20"/>
                <w:lang w:val="sr-Cyrl-RS"/>
              </w:rPr>
            </w:pPr>
            <w:r w:rsidRPr="00A07943">
              <w:rPr>
                <w:sz w:val="20"/>
                <w:lang w:val="sr-Cyrl-RS"/>
              </w:rPr>
              <w:t>20</w:t>
            </w:r>
          </w:p>
        </w:tc>
        <w:tc>
          <w:tcPr>
            <w:tcW w:w="1597" w:type="dxa"/>
            <w:shd w:val="clear" w:color="auto" w:fill="auto"/>
            <w:vAlign w:val="center"/>
          </w:tcPr>
          <w:p w:rsidR="00D74DAF" w:rsidRPr="00A07943" w:rsidRDefault="00D74DAF" w:rsidP="00FD2A09">
            <w:pPr>
              <w:spacing w:after="0"/>
              <w:jc w:val="center"/>
              <w:rPr>
                <w:sz w:val="20"/>
                <w:lang w:val="sr-Cyrl-RS"/>
              </w:rPr>
            </w:pPr>
            <w:r w:rsidRPr="00A07943">
              <w:rPr>
                <w:sz w:val="20"/>
                <w:lang w:val="sr-Cyrl-RS"/>
              </w:rPr>
              <w:t>9</w:t>
            </w:r>
          </w:p>
        </w:tc>
      </w:tr>
      <w:tr w:rsidR="00D74DAF" w:rsidRPr="00A07943" w:rsidTr="00FD2A09">
        <w:tc>
          <w:tcPr>
            <w:tcW w:w="5824" w:type="dxa"/>
            <w:shd w:val="clear" w:color="auto" w:fill="auto"/>
            <w:vAlign w:val="center"/>
          </w:tcPr>
          <w:p w:rsidR="00D74DAF" w:rsidRPr="00A07943" w:rsidRDefault="00D74DAF" w:rsidP="00FD2A09">
            <w:pPr>
              <w:spacing w:after="0"/>
              <w:jc w:val="center"/>
              <w:rPr>
                <w:sz w:val="20"/>
                <w:lang w:val="sr-Cyrl-RS"/>
              </w:rPr>
            </w:pPr>
            <w:r w:rsidRPr="00A07943">
              <w:rPr>
                <w:sz w:val="20"/>
                <w:lang w:val="sr-Cyrl-RS"/>
              </w:rPr>
              <w:t>Обука за тржиште рада</w:t>
            </w:r>
          </w:p>
        </w:tc>
        <w:tc>
          <w:tcPr>
            <w:tcW w:w="1641" w:type="dxa"/>
            <w:shd w:val="clear" w:color="auto" w:fill="auto"/>
            <w:vAlign w:val="center"/>
          </w:tcPr>
          <w:p w:rsidR="00D74DAF" w:rsidRPr="00A07943" w:rsidRDefault="00D74DAF" w:rsidP="00FD2A09">
            <w:pPr>
              <w:spacing w:after="0"/>
              <w:jc w:val="center"/>
              <w:rPr>
                <w:sz w:val="20"/>
                <w:lang w:val="sr-Cyrl-RS"/>
              </w:rPr>
            </w:pPr>
            <w:r w:rsidRPr="00A07943">
              <w:rPr>
                <w:sz w:val="20"/>
                <w:lang w:val="sr-Cyrl-RS"/>
              </w:rPr>
              <w:t>14</w:t>
            </w:r>
          </w:p>
        </w:tc>
        <w:tc>
          <w:tcPr>
            <w:tcW w:w="1597" w:type="dxa"/>
            <w:shd w:val="clear" w:color="auto" w:fill="auto"/>
            <w:vAlign w:val="center"/>
          </w:tcPr>
          <w:p w:rsidR="00D74DAF" w:rsidRPr="00A07943" w:rsidRDefault="00D74DAF" w:rsidP="00FD2A09">
            <w:pPr>
              <w:spacing w:after="0"/>
              <w:jc w:val="center"/>
              <w:rPr>
                <w:sz w:val="20"/>
                <w:lang w:val="sr-Cyrl-RS"/>
              </w:rPr>
            </w:pPr>
            <w:r w:rsidRPr="00A07943">
              <w:rPr>
                <w:sz w:val="20"/>
                <w:lang w:val="sr-Cyrl-RS"/>
              </w:rPr>
              <w:t>5</w:t>
            </w:r>
          </w:p>
        </w:tc>
      </w:tr>
      <w:tr w:rsidR="00D74DAF" w:rsidRPr="00A07943" w:rsidTr="00FD2A09">
        <w:tc>
          <w:tcPr>
            <w:tcW w:w="5824" w:type="dxa"/>
            <w:shd w:val="clear" w:color="auto" w:fill="auto"/>
            <w:vAlign w:val="center"/>
          </w:tcPr>
          <w:p w:rsidR="00D74DAF" w:rsidRPr="00A07943" w:rsidRDefault="00D74DAF" w:rsidP="00FD2A09">
            <w:pPr>
              <w:spacing w:after="0"/>
              <w:jc w:val="center"/>
              <w:rPr>
                <w:sz w:val="20"/>
                <w:lang w:val="sr-Cyrl-RS"/>
              </w:rPr>
            </w:pPr>
            <w:r w:rsidRPr="00A07943">
              <w:rPr>
                <w:sz w:val="20"/>
                <w:lang w:val="sr-Cyrl-RS"/>
              </w:rPr>
              <w:t>Обука на захтев послодавца – за незапослене</w:t>
            </w:r>
          </w:p>
        </w:tc>
        <w:tc>
          <w:tcPr>
            <w:tcW w:w="1641" w:type="dxa"/>
            <w:shd w:val="clear" w:color="auto" w:fill="auto"/>
            <w:vAlign w:val="center"/>
          </w:tcPr>
          <w:p w:rsidR="00D74DAF" w:rsidRPr="00A07943" w:rsidRDefault="00D74DAF" w:rsidP="00FD2A09">
            <w:pPr>
              <w:spacing w:after="0"/>
              <w:jc w:val="center"/>
              <w:rPr>
                <w:sz w:val="20"/>
                <w:lang w:val="sr-Cyrl-RS"/>
              </w:rPr>
            </w:pPr>
            <w:r w:rsidRPr="00A07943">
              <w:rPr>
                <w:sz w:val="20"/>
                <w:lang w:val="sr-Cyrl-RS"/>
              </w:rPr>
              <w:t>13</w:t>
            </w:r>
          </w:p>
        </w:tc>
        <w:tc>
          <w:tcPr>
            <w:tcW w:w="1597" w:type="dxa"/>
            <w:shd w:val="clear" w:color="auto" w:fill="auto"/>
            <w:vAlign w:val="center"/>
          </w:tcPr>
          <w:p w:rsidR="00D74DAF" w:rsidRPr="00A07943" w:rsidRDefault="00D74DAF" w:rsidP="00FD2A09">
            <w:pPr>
              <w:spacing w:after="0"/>
              <w:jc w:val="center"/>
              <w:rPr>
                <w:sz w:val="20"/>
                <w:lang w:val="sr-Cyrl-RS"/>
              </w:rPr>
            </w:pPr>
            <w:r w:rsidRPr="00A07943">
              <w:rPr>
                <w:sz w:val="20"/>
                <w:lang w:val="sr-Cyrl-RS"/>
              </w:rPr>
              <w:t>8</w:t>
            </w:r>
          </w:p>
        </w:tc>
      </w:tr>
      <w:tr w:rsidR="00D74DAF" w:rsidRPr="00A07943" w:rsidTr="00FD2A09">
        <w:tc>
          <w:tcPr>
            <w:tcW w:w="5824" w:type="dxa"/>
            <w:shd w:val="clear" w:color="auto" w:fill="auto"/>
            <w:vAlign w:val="center"/>
          </w:tcPr>
          <w:p w:rsidR="00D74DAF" w:rsidRPr="00A07943" w:rsidRDefault="00D74DAF" w:rsidP="00FD2A09">
            <w:pPr>
              <w:spacing w:after="0"/>
              <w:jc w:val="center"/>
              <w:rPr>
                <w:sz w:val="20"/>
                <w:lang w:val="sr-Cyrl-RS"/>
              </w:rPr>
            </w:pPr>
            <w:r w:rsidRPr="00A07943">
              <w:rPr>
                <w:sz w:val="20"/>
                <w:lang w:val="sr-Cyrl-RS"/>
              </w:rPr>
              <w:t>ФООО</w:t>
            </w:r>
          </w:p>
        </w:tc>
        <w:tc>
          <w:tcPr>
            <w:tcW w:w="1641" w:type="dxa"/>
            <w:shd w:val="clear" w:color="auto" w:fill="auto"/>
            <w:vAlign w:val="center"/>
          </w:tcPr>
          <w:p w:rsidR="00D74DAF" w:rsidRPr="00A07943" w:rsidRDefault="00D74DAF" w:rsidP="00FD2A09">
            <w:pPr>
              <w:spacing w:after="0"/>
              <w:jc w:val="center"/>
              <w:rPr>
                <w:sz w:val="20"/>
                <w:lang w:val="sr-Cyrl-RS"/>
              </w:rPr>
            </w:pPr>
            <w:r w:rsidRPr="00A07943">
              <w:rPr>
                <w:sz w:val="20"/>
                <w:lang w:val="sr-Cyrl-RS"/>
              </w:rPr>
              <w:t>635</w:t>
            </w:r>
          </w:p>
        </w:tc>
        <w:tc>
          <w:tcPr>
            <w:tcW w:w="1597" w:type="dxa"/>
            <w:shd w:val="clear" w:color="auto" w:fill="auto"/>
            <w:vAlign w:val="center"/>
          </w:tcPr>
          <w:p w:rsidR="00D74DAF" w:rsidRPr="00A07943" w:rsidRDefault="00D74DAF" w:rsidP="00FD2A09">
            <w:pPr>
              <w:spacing w:after="0"/>
              <w:jc w:val="center"/>
              <w:rPr>
                <w:sz w:val="20"/>
                <w:lang w:val="sr-Cyrl-RS"/>
              </w:rPr>
            </w:pPr>
            <w:r w:rsidRPr="00A07943">
              <w:rPr>
                <w:sz w:val="20"/>
                <w:lang w:val="sr-Cyrl-RS"/>
              </w:rPr>
              <w:t>395</w:t>
            </w:r>
          </w:p>
        </w:tc>
      </w:tr>
      <w:tr w:rsidR="00D74DAF" w:rsidRPr="00A07943" w:rsidTr="00FD2A09">
        <w:tc>
          <w:tcPr>
            <w:tcW w:w="5824" w:type="dxa"/>
            <w:shd w:val="clear" w:color="auto" w:fill="auto"/>
            <w:vAlign w:val="center"/>
          </w:tcPr>
          <w:p w:rsidR="00D74DAF" w:rsidRPr="00A07943" w:rsidRDefault="00D74DAF" w:rsidP="00FD2A09">
            <w:pPr>
              <w:spacing w:after="0"/>
              <w:jc w:val="center"/>
              <w:rPr>
                <w:b/>
                <w:i/>
                <w:sz w:val="20"/>
                <w:lang w:val="sr-Cyrl-RS"/>
              </w:rPr>
            </w:pPr>
            <w:r w:rsidRPr="00A07943">
              <w:rPr>
                <w:b/>
                <w:i/>
                <w:sz w:val="20"/>
                <w:lang w:val="sr-Cyrl-RS"/>
              </w:rPr>
              <w:t>Моја прва плата</w:t>
            </w:r>
          </w:p>
        </w:tc>
        <w:tc>
          <w:tcPr>
            <w:tcW w:w="1641" w:type="dxa"/>
            <w:shd w:val="clear" w:color="auto" w:fill="auto"/>
            <w:vAlign w:val="center"/>
          </w:tcPr>
          <w:p w:rsidR="00D74DAF" w:rsidRPr="00A07943" w:rsidRDefault="00D74DAF" w:rsidP="00FD2A09">
            <w:pPr>
              <w:spacing w:after="0"/>
              <w:jc w:val="center"/>
              <w:rPr>
                <w:b/>
                <w:i/>
                <w:sz w:val="20"/>
                <w:lang w:val="sr-Cyrl-RS"/>
              </w:rPr>
            </w:pPr>
            <w:r w:rsidRPr="00A07943">
              <w:rPr>
                <w:b/>
                <w:i/>
                <w:sz w:val="20"/>
                <w:lang w:val="sr-Cyrl-RS"/>
              </w:rPr>
              <w:t>36</w:t>
            </w:r>
          </w:p>
        </w:tc>
        <w:tc>
          <w:tcPr>
            <w:tcW w:w="1597" w:type="dxa"/>
            <w:shd w:val="clear" w:color="auto" w:fill="auto"/>
            <w:vAlign w:val="center"/>
          </w:tcPr>
          <w:p w:rsidR="00D74DAF" w:rsidRPr="00A07943" w:rsidRDefault="00D74DAF" w:rsidP="00FD2A09">
            <w:pPr>
              <w:spacing w:after="0"/>
              <w:jc w:val="center"/>
              <w:rPr>
                <w:b/>
                <w:i/>
                <w:sz w:val="20"/>
                <w:lang w:val="sr-Cyrl-RS"/>
              </w:rPr>
            </w:pPr>
            <w:r w:rsidRPr="00A07943">
              <w:rPr>
                <w:b/>
                <w:i/>
                <w:sz w:val="20"/>
                <w:lang w:val="sr-Cyrl-RS"/>
              </w:rPr>
              <w:t>22</w:t>
            </w:r>
          </w:p>
        </w:tc>
      </w:tr>
      <w:tr w:rsidR="00D74DAF" w:rsidRPr="00A07943" w:rsidTr="00FD2A09">
        <w:tc>
          <w:tcPr>
            <w:tcW w:w="5824" w:type="dxa"/>
            <w:shd w:val="clear" w:color="auto" w:fill="auto"/>
            <w:vAlign w:val="center"/>
          </w:tcPr>
          <w:p w:rsidR="00D74DAF" w:rsidRPr="00A07943" w:rsidRDefault="00D74DAF" w:rsidP="00FD2A09">
            <w:pPr>
              <w:spacing w:after="0"/>
              <w:jc w:val="center"/>
              <w:rPr>
                <w:b/>
                <w:sz w:val="20"/>
                <w:lang w:val="sr-Cyrl-RS"/>
              </w:rPr>
            </w:pPr>
            <w:r w:rsidRPr="00A07943">
              <w:rPr>
                <w:b/>
                <w:sz w:val="20"/>
                <w:lang w:val="sr-Cyrl-RS"/>
              </w:rPr>
              <w:t>Подстицаји послодавцима за запошљавање</w:t>
            </w:r>
          </w:p>
        </w:tc>
        <w:tc>
          <w:tcPr>
            <w:tcW w:w="1641" w:type="dxa"/>
            <w:shd w:val="clear" w:color="auto" w:fill="auto"/>
            <w:vAlign w:val="center"/>
          </w:tcPr>
          <w:p w:rsidR="00D74DAF" w:rsidRPr="00A07943" w:rsidRDefault="00D74DAF" w:rsidP="00FD2A09">
            <w:pPr>
              <w:spacing w:after="0"/>
              <w:jc w:val="center"/>
              <w:rPr>
                <w:b/>
                <w:sz w:val="20"/>
                <w:lang w:val="sr-Cyrl-RS"/>
              </w:rPr>
            </w:pPr>
            <w:r w:rsidRPr="00A07943">
              <w:rPr>
                <w:b/>
                <w:sz w:val="20"/>
                <w:lang w:val="sr-Cyrl-RS"/>
              </w:rPr>
              <w:t>880</w:t>
            </w:r>
          </w:p>
        </w:tc>
        <w:tc>
          <w:tcPr>
            <w:tcW w:w="1597" w:type="dxa"/>
            <w:shd w:val="clear" w:color="auto" w:fill="auto"/>
            <w:vAlign w:val="center"/>
          </w:tcPr>
          <w:p w:rsidR="00D74DAF" w:rsidRPr="00A07943" w:rsidRDefault="00D74DAF" w:rsidP="00FD2A09">
            <w:pPr>
              <w:spacing w:after="0"/>
              <w:jc w:val="center"/>
              <w:rPr>
                <w:b/>
                <w:sz w:val="20"/>
                <w:lang w:val="sr-Cyrl-RS"/>
              </w:rPr>
            </w:pPr>
            <w:r w:rsidRPr="00A07943">
              <w:rPr>
                <w:b/>
                <w:sz w:val="20"/>
                <w:lang w:val="sr-Cyrl-RS"/>
              </w:rPr>
              <w:t>360</w:t>
            </w:r>
          </w:p>
        </w:tc>
      </w:tr>
      <w:tr w:rsidR="00D74DAF" w:rsidRPr="00A07943" w:rsidTr="00FD2A09">
        <w:tc>
          <w:tcPr>
            <w:tcW w:w="5824" w:type="dxa"/>
            <w:shd w:val="clear" w:color="auto" w:fill="auto"/>
            <w:vAlign w:val="center"/>
          </w:tcPr>
          <w:p w:rsidR="00D74DAF" w:rsidRPr="00A07943" w:rsidRDefault="00D74DAF" w:rsidP="00FD2A09">
            <w:pPr>
              <w:spacing w:after="0"/>
              <w:jc w:val="center"/>
              <w:rPr>
                <w:sz w:val="20"/>
                <w:lang w:val="sr-Cyrl-RS"/>
              </w:rPr>
            </w:pPr>
            <w:r w:rsidRPr="00A07943">
              <w:rPr>
                <w:sz w:val="20"/>
                <w:lang w:val="sr-Cyrl-RS"/>
              </w:rPr>
              <w:t>Субвенција за самозапошљавање</w:t>
            </w:r>
          </w:p>
        </w:tc>
        <w:tc>
          <w:tcPr>
            <w:tcW w:w="1641" w:type="dxa"/>
            <w:shd w:val="clear" w:color="auto" w:fill="auto"/>
            <w:vAlign w:val="center"/>
          </w:tcPr>
          <w:p w:rsidR="00D74DAF" w:rsidRPr="00A07943" w:rsidRDefault="00D74DAF" w:rsidP="00FD2A09">
            <w:pPr>
              <w:spacing w:after="0"/>
              <w:jc w:val="center"/>
              <w:rPr>
                <w:sz w:val="20"/>
                <w:lang w:val="sr-Cyrl-RS"/>
              </w:rPr>
            </w:pPr>
            <w:r w:rsidRPr="00A07943">
              <w:rPr>
                <w:sz w:val="20"/>
                <w:lang w:val="sr-Cyrl-RS"/>
              </w:rPr>
              <w:t>435</w:t>
            </w:r>
          </w:p>
        </w:tc>
        <w:tc>
          <w:tcPr>
            <w:tcW w:w="1597" w:type="dxa"/>
            <w:shd w:val="clear" w:color="auto" w:fill="auto"/>
            <w:vAlign w:val="center"/>
          </w:tcPr>
          <w:p w:rsidR="00D74DAF" w:rsidRPr="00A07943" w:rsidRDefault="00D74DAF" w:rsidP="00FD2A09">
            <w:pPr>
              <w:spacing w:after="0"/>
              <w:jc w:val="center"/>
              <w:rPr>
                <w:sz w:val="20"/>
                <w:lang w:val="sr-Cyrl-RS"/>
              </w:rPr>
            </w:pPr>
            <w:r w:rsidRPr="00A07943">
              <w:rPr>
                <w:sz w:val="20"/>
                <w:lang w:val="sr-Cyrl-RS"/>
              </w:rPr>
              <w:t>178</w:t>
            </w:r>
          </w:p>
        </w:tc>
      </w:tr>
      <w:tr w:rsidR="00D74DAF" w:rsidRPr="00A07943" w:rsidTr="00FD2A09">
        <w:tc>
          <w:tcPr>
            <w:tcW w:w="5824" w:type="dxa"/>
            <w:shd w:val="clear" w:color="auto" w:fill="auto"/>
            <w:vAlign w:val="center"/>
          </w:tcPr>
          <w:p w:rsidR="00D74DAF" w:rsidRPr="00A07943" w:rsidRDefault="00D74DAF" w:rsidP="00FD2A09">
            <w:pPr>
              <w:spacing w:after="0"/>
              <w:jc w:val="center"/>
              <w:rPr>
                <w:sz w:val="20"/>
                <w:lang w:val="sr-Cyrl-RS"/>
              </w:rPr>
            </w:pPr>
            <w:r w:rsidRPr="00A07943">
              <w:rPr>
                <w:sz w:val="20"/>
                <w:lang w:val="sr-Cyrl-RS"/>
              </w:rPr>
              <w:t>Субвенција за запошљавање незапослених из категорије теже запошљивих</w:t>
            </w:r>
          </w:p>
        </w:tc>
        <w:tc>
          <w:tcPr>
            <w:tcW w:w="1641" w:type="dxa"/>
            <w:shd w:val="clear" w:color="auto" w:fill="auto"/>
            <w:vAlign w:val="center"/>
          </w:tcPr>
          <w:p w:rsidR="00D74DAF" w:rsidRPr="00A07943" w:rsidRDefault="00D74DAF" w:rsidP="00FD2A09">
            <w:pPr>
              <w:spacing w:after="0"/>
              <w:jc w:val="center"/>
              <w:rPr>
                <w:sz w:val="20"/>
                <w:lang w:val="sr-Cyrl-RS"/>
              </w:rPr>
            </w:pPr>
            <w:r w:rsidRPr="00A07943">
              <w:rPr>
                <w:sz w:val="20"/>
                <w:lang w:val="sr-Cyrl-RS"/>
              </w:rPr>
              <w:t>440</w:t>
            </w:r>
          </w:p>
        </w:tc>
        <w:tc>
          <w:tcPr>
            <w:tcW w:w="1597" w:type="dxa"/>
            <w:shd w:val="clear" w:color="auto" w:fill="auto"/>
            <w:vAlign w:val="center"/>
          </w:tcPr>
          <w:p w:rsidR="00D74DAF" w:rsidRPr="00A07943" w:rsidRDefault="00D74DAF" w:rsidP="00FD2A09">
            <w:pPr>
              <w:spacing w:after="0"/>
              <w:jc w:val="center"/>
              <w:rPr>
                <w:sz w:val="20"/>
                <w:lang w:val="sr-Cyrl-RS"/>
              </w:rPr>
            </w:pPr>
            <w:r w:rsidRPr="00A07943">
              <w:rPr>
                <w:sz w:val="20"/>
                <w:lang w:val="sr-Cyrl-RS"/>
              </w:rPr>
              <w:t>179</w:t>
            </w:r>
          </w:p>
        </w:tc>
      </w:tr>
      <w:tr w:rsidR="00D74DAF" w:rsidRPr="00A07943" w:rsidTr="00FD2A09">
        <w:tc>
          <w:tcPr>
            <w:tcW w:w="5824" w:type="dxa"/>
            <w:shd w:val="clear" w:color="auto" w:fill="auto"/>
            <w:vAlign w:val="center"/>
          </w:tcPr>
          <w:p w:rsidR="00D74DAF" w:rsidRPr="00A07943" w:rsidRDefault="00D74DAF" w:rsidP="00FD2A09">
            <w:pPr>
              <w:spacing w:after="0"/>
              <w:jc w:val="center"/>
              <w:rPr>
                <w:sz w:val="20"/>
                <w:lang w:val="sr-Cyrl-RS"/>
              </w:rPr>
            </w:pPr>
            <w:r w:rsidRPr="00A07943">
              <w:rPr>
                <w:sz w:val="20"/>
                <w:lang w:val="sr-Cyrl-RS"/>
              </w:rPr>
              <w:t>Субвенција зараде ОСИ без радног искуства</w:t>
            </w:r>
          </w:p>
        </w:tc>
        <w:tc>
          <w:tcPr>
            <w:tcW w:w="1641" w:type="dxa"/>
            <w:shd w:val="clear" w:color="auto" w:fill="auto"/>
            <w:vAlign w:val="center"/>
          </w:tcPr>
          <w:p w:rsidR="00D74DAF" w:rsidRPr="00A07943" w:rsidRDefault="00D74DAF" w:rsidP="00FD2A09">
            <w:pPr>
              <w:spacing w:after="0"/>
              <w:jc w:val="center"/>
              <w:rPr>
                <w:sz w:val="20"/>
                <w:lang w:val="sr-Cyrl-RS"/>
              </w:rPr>
            </w:pPr>
            <w:r w:rsidRPr="00A07943">
              <w:rPr>
                <w:sz w:val="20"/>
                <w:lang w:val="sr-Cyrl-RS"/>
              </w:rPr>
              <w:t>5</w:t>
            </w:r>
          </w:p>
        </w:tc>
        <w:tc>
          <w:tcPr>
            <w:tcW w:w="1597" w:type="dxa"/>
            <w:shd w:val="clear" w:color="auto" w:fill="auto"/>
            <w:vAlign w:val="center"/>
          </w:tcPr>
          <w:p w:rsidR="00D74DAF" w:rsidRPr="00A07943" w:rsidRDefault="00D74DAF" w:rsidP="00FD2A09">
            <w:pPr>
              <w:spacing w:after="0"/>
              <w:jc w:val="center"/>
              <w:rPr>
                <w:sz w:val="20"/>
                <w:lang w:val="sr-Cyrl-RS"/>
              </w:rPr>
            </w:pPr>
            <w:r w:rsidRPr="00A07943">
              <w:rPr>
                <w:sz w:val="20"/>
                <w:lang w:val="sr-Cyrl-RS"/>
              </w:rPr>
              <w:t>3</w:t>
            </w:r>
          </w:p>
        </w:tc>
      </w:tr>
      <w:tr w:rsidR="00D74DAF" w:rsidRPr="00A07943" w:rsidTr="00FD2A09">
        <w:tc>
          <w:tcPr>
            <w:tcW w:w="5824" w:type="dxa"/>
            <w:shd w:val="clear" w:color="auto" w:fill="auto"/>
            <w:vAlign w:val="center"/>
          </w:tcPr>
          <w:p w:rsidR="00D74DAF" w:rsidRPr="00A07943" w:rsidRDefault="00D74DAF" w:rsidP="00FD2A09">
            <w:pPr>
              <w:spacing w:after="0"/>
              <w:jc w:val="center"/>
              <w:rPr>
                <w:b/>
                <w:sz w:val="20"/>
                <w:lang w:val="sr-Cyrl-RS"/>
              </w:rPr>
            </w:pPr>
            <w:r w:rsidRPr="00A07943">
              <w:rPr>
                <w:b/>
                <w:sz w:val="20"/>
                <w:lang w:val="sr-Cyrl-RS"/>
              </w:rPr>
              <w:t>Јавни радови</w:t>
            </w:r>
          </w:p>
        </w:tc>
        <w:tc>
          <w:tcPr>
            <w:tcW w:w="1641" w:type="dxa"/>
            <w:shd w:val="clear" w:color="auto" w:fill="auto"/>
            <w:vAlign w:val="center"/>
          </w:tcPr>
          <w:p w:rsidR="00D74DAF" w:rsidRPr="00A07943" w:rsidRDefault="00D74DAF" w:rsidP="00FD2A09">
            <w:pPr>
              <w:spacing w:after="0"/>
              <w:jc w:val="center"/>
              <w:rPr>
                <w:b/>
                <w:sz w:val="20"/>
                <w:lang w:val="sr-Cyrl-RS"/>
              </w:rPr>
            </w:pPr>
            <w:r w:rsidRPr="00A07943">
              <w:rPr>
                <w:b/>
                <w:sz w:val="20"/>
                <w:lang w:val="sr-Cyrl-RS"/>
              </w:rPr>
              <w:t>446</w:t>
            </w:r>
          </w:p>
        </w:tc>
        <w:tc>
          <w:tcPr>
            <w:tcW w:w="1597" w:type="dxa"/>
            <w:shd w:val="clear" w:color="auto" w:fill="auto"/>
            <w:vAlign w:val="center"/>
          </w:tcPr>
          <w:p w:rsidR="00D74DAF" w:rsidRPr="00A07943" w:rsidRDefault="00D74DAF" w:rsidP="00FD2A09">
            <w:pPr>
              <w:spacing w:after="0"/>
              <w:jc w:val="center"/>
              <w:rPr>
                <w:b/>
                <w:sz w:val="20"/>
                <w:lang w:val="sr-Cyrl-RS"/>
              </w:rPr>
            </w:pPr>
            <w:r w:rsidRPr="00A07943">
              <w:rPr>
                <w:b/>
                <w:sz w:val="20"/>
                <w:lang w:val="sr-Cyrl-RS"/>
              </w:rPr>
              <w:t>193</w:t>
            </w:r>
          </w:p>
        </w:tc>
      </w:tr>
      <w:tr w:rsidR="00D74DAF" w:rsidRPr="00A07943" w:rsidTr="00FD2A09">
        <w:tc>
          <w:tcPr>
            <w:tcW w:w="5824" w:type="dxa"/>
            <w:shd w:val="clear" w:color="auto" w:fill="auto"/>
            <w:vAlign w:val="center"/>
          </w:tcPr>
          <w:p w:rsidR="00D74DAF" w:rsidRPr="00A07943" w:rsidRDefault="00D74DAF" w:rsidP="00FD2A09">
            <w:pPr>
              <w:spacing w:after="0"/>
              <w:jc w:val="center"/>
              <w:rPr>
                <w:b/>
                <w:sz w:val="20"/>
                <w:lang w:val="sr-Cyrl-RS"/>
              </w:rPr>
            </w:pPr>
            <w:r w:rsidRPr="00A07943">
              <w:rPr>
                <w:b/>
                <w:sz w:val="20"/>
                <w:lang w:val="sr-Cyrl-RS"/>
              </w:rPr>
              <w:t>УКУПНО</w:t>
            </w:r>
          </w:p>
        </w:tc>
        <w:tc>
          <w:tcPr>
            <w:tcW w:w="1641" w:type="dxa"/>
            <w:shd w:val="clear" w:color="auto" w:fill="auto"/>
            <w:vAlign w:val="center"/>
          </w:tcPr>
          <w:p w:rsidR="00D74DAF" w:rsidRPr="00A07943" w:rsidRDefault="00D74DAF" w:rsidP="00FD2A09">
            <w:pPr>
              <w:spacing w:after="0"/>
              <w:jc w:val="center"/>
              <w:rPr>
                <w:b/>
                <w:sz w:val="20"/>
                <w:lang w:val="sr-Cyrl-RS"/>
              </w:rPr>
            </w:pPr>
            <w:r w:rsidRPr="00A07943">
              <w:rPr>
                <w:b/>
                <w:sz w:val="20"/>
                <w:lang w:val="sr-Cyrl-RS"/>
              </w:rPr>
              <w:t>5.574</w:t>
            </w:r>
          </w:p>
        </w:tc>
        <w:tc>
          <w:tcPr>
            <w:tcW w:w="1597" w:type="dxa"/>
            <w:shd w:val="clear" w:color="auto" w:fill="auto"/>
            <w:vAlign w:val="center"/>
          </w:tcPr>
          <w:p w:rsidR="00D74DAF" w:rsidRPr="00A07943" w:rsidRDefault="00D74DAF" w:rsidP="00FD2A09">
            <w:pPr>
              <w:spacing w:after="0"/>
              <w:jc w:val="center"/>
              <w:rPr>
                <w:b/>
                <w:sz w:val="20"/>
                <w:lang w:val="sr-Cyrl-RS"/>
              </w:rPr>
            </w:pPr>
            <w:r w:rsidRPr="00A07943">
              <w:rPr>
                <w:b/>
                <w:sz w:val="20"/>
                <w:lang w:val="sr-Cyrl-RS"/>
              </w:rPr>
              <w:t>2.641</w:t>
            </w:r>
          </w:p>
        </w:tc>
      </w:tr>
    </w:tbl>
    <w:p w:rsidR="00D74DAF" w:rsidRPr="00FD2A09" w:rsidRDefault="00D74DAF" w:rsidP="00FD2A09">
      <w:pPr>
        <w:ind w:firstLine="720"/>
        <w:contextualSpacing/>
        <w:jc w:val="both"/>
        <w:rPr>
          <w:sz w:val="24"/>
          <w:szCs w:val="24"/>
          <w:lang w:val="sr-Cyrl-RS"/>
        </w:rPr>
      </w:pPr>
    </w:p>
    <w:p w:rsidR="00D74DAF" w:rsidRPr="00FD2A09" w:rsidRDefault="00D74DAF" w:rsidP="00FD2A09">
      <w:pPr>
        <w:contextualSpacing/>
        <w:jc w:val="both"/>
        <w:rPr>
          <w:sz w:val="24"/>
          <w:szCs w:val="24"/>
          <w:lang w:val="sr-Cyrl-RS"/>
        </w:rPr>
      </w:pPr>
      <w:r w:rsidRPr="00FD2A09">
        <w:rPr>
          <w:sz w:val="24"/>
          <w:szCs w:val="24"/>
          <w:lang w:val="sr-Cyrl-RS"/>
        </w:rPr>
        <w:tab/>
        <w:t>У финансијск</w:t>
      </w:r>
      <w:r w:rsidR="008F0CFA">
        <w:rPr>
          <w:sz w:val="24"/>
          <w:szCs w:val="24"/>
          <w:lang w:val="sr-Cyrl-RS"/>
        </w:rPr>
        <w:t>е</w:t>
      </w:r>
      <w:r w:rsidRPr="00FD2A09">
        <w:rPr>
          <w:sz w:val="24"/>
          <w:szCs w:val="24"/>
          <w:lang w:val="sr-Cyrl-RS"/>
        </w:rPr>
        <w:t xml:space="preserve"> мер</w:t>
      </w:r>
      <w:r w:rsidR="008F0CFA">
        <w:rPr>
          <w:sz w:val="24"/>
          <w:szCs w:val="24"/>
          <w:lang w:val="sr-Cyrl-RS"/>
        </w:rPr>
        <w:t>е</w:t>
      </w:r>
      <w:r w:rsidRPr="00FD2A09">
        <w:rPr>
          <w:sz w:val="24"/>
          <w:szCs w:val="24"/>
          <w:lang w:val="sr-Cyrl-RS"/>
        </w:rPr>
        <w:t xml:space="preserve"> активне политике запошљавања укључено је 2.138 Рома (1.044 Ромкиње), тако да је укупан обухват незапослених Рома/Ромкиња мерама из система активне политике запошљавања у 2021. години 5.574 Рома (2.641 Ромкиња).</w:t>
      </w:r>
      <w:r w:rsidRPr="00FD2A09">
        <w:rPr>
          <w:sz w:val="24"/>
          <w:szCs w:val="24"/>
          <w:lang w:val="sr-Cyrl-RS"/>
        </w:rPr>
        <w:tab/>
        <w:t>Кроз реализацију локалних планских докумената из области запошљавања, који су током 2021. године реализовани по модалитету техничке подршке, у мере активне политике запошљавања укључено је додатних 135 Рома (57 Ромкиња).</w:t>
      </w:r>
    </w:p>
    <w:p w:rsidR="00D74DAF" w:rsidRDefault="00D74DAF" w:rsidP="003B31D0">
      <w:pPr>
        <w:spacing w:after="0"/>
        <w:jc w:val="both"/>
        <w:rPr>
          <w:sz w:val="24"/>
          <w:szCs w:val="24"/>
          <w:lang w:val="sr-Cyrl-RS"/>
        </w:rPr>
      </w:pPr>
    </w:p>
    <w:p w:rsidR="00F12175" w:rsidRDefault="00F12175" w:rsidP="003B31D0">
      <w:pPr>
        <w:spacing w:after="0"/>
        <w:jc w:val="both"/>
        <w:rPr>
          <w:i/>
          <w:sz w:val="24"/>
          <w:szCs w:val="24"/>
          <w:lang w:val="sr-Cyrl-RS"/>
        </w:rPr>
      </w:pPr>
    </w:p>
    <w:p w:rsidR="00F12175" w:rsidRDefault="00F12175" w:rsidP="003B31D0">
      <w:pPr>
        <w:spacing w:after="0"/>
        <w:jc w:val="both"/>
        <w:rPr>
          <w:i/>
          <w:sz w:val="24"/>
          <w:szCs w:val="24"/>
          <w:lang w:val="sr-Cyrl-RS"/>
        </w:rPr>
      </w:pPr>
    </w:p>
    <w:p w:rsidR="003B31D0" w:rsidRPr="0043699C" w:rsidRDefault="003B31D0" w:rsidP="003B31D0">
      <w:pPr>
        <w:spacing w:after="0"/>
        <w:jc w:val="both"/>
        <w:rPr>
          <w:i/>
          <w:sz w:val="24"/>
          <w:szCs w:val="24"/>
          <w:lang w:val="sr-Cyrl-RS"/>
        </w:rPr>
      </w:pPr>
      <w:r w:rsidRPr="0043699C">
        <w:rPr>
          <w:i/>
          <w:sz w:val="24"/>
          <w:szCs w:val="24"/>
          <w:lang w:val="sr-Cyrl-RS"/>
        </w:rPr>
        <w:lastRenderedPageBreak/>
        <w:t xml:space="preserve">Активности у области </w:t>
      </w:r>
      <w:r>
        <w:rPr>
          <w:i/>
          <w:sz w:val="24"/>
          <w:szCs w:val="24"/>
          <w:lang w:val="sr-Cyrl-RS"/>
        </w:rPr>
        <w:t>социјалне заштите</w:t>
      </w:r>
    </w:p>
    <w:p w:rsidR="003B31D0" w:rsidRDefault="003B31D0" w:rsidP="003B31D0">
      <w:pPr>
        <w:spacing w:after="0"/>
        <w:jc w:val="both"/>
        <w:rPr>
          <w:sz w:val="24"/>
          <w:szCs w:val="24"/>
          <w:lang w:val="sr-Cyrl-RS"/>
        </w:rPr>
      </w:pPr>
    </w:p>
    <w:p w:rsidR="006904C2" w:rsidRPr="001B6FC9" w:rsidRDefault="006904C2" w:rsidP="006904C2">
      <w:pPr>
        <w:spacing w:after="0"/>
        <w:ind w:firstLine="720"/>
        <w:jc w:val="both"/>
        <w:rPr>
          <w:sz w:val="24"/>
          <w:szCs w:val="24"/>
          <w:lang w:val="sr-Cyrl-RS"/>
        </w:rPr>
      </w:pPr>
      <w:r>
        <w:rPr>
          <w:sz w:val="24"/>
          <w:szCs w:val="24"/>
          <w:lang w:val="sr-Cyrl-RS"/>
        </w:rPr>
        <w:t xml:space="preserve">И </w:t>
      </w:r>
      <w:r w:rsidRPr="00457C39">
        <w:rPr>
          <w:sz w:val="24"/>
          <w:szCs w:val="24"/>
          <w:lang w:val="sr-Cyrl-RS"/>
        </w:rPr>
        <w:t xml:space="preserve">у области социјалне заштите </w:t>
      </w:r>
      <w:r>
        <w:rPr>
          <w:sz w:val="24"/>
          <w:szCs w:val="24"/>
          <w:lang w:val="sr-Cyrl-RS"/>
        </w:rPr>
        <w:t>п</w:t>
      </w:r>
      <w:r w:rsidRPr="001B6FC9">
        <w:rPr>
          <w:sz w:val="24"/>
          <w:szCs w:val="24"/>
          <w:lang w:val="sr-Cyrl-RS"/>
        </w:rPr>
        <w:t>равни акти обезбеђују забрану дискриминације</w:t>
      </w:r>
      <w:r>
        <w:rPr>
          <w:sz w:val="24"/>
          <w:szCs w:val="24"/>
          <w:lang w:val="sr-Cyrl-RS"/>
        </w:rPr>
        <w:t>,</w:t>
      </w:r>
      <w:r w:rsidRPr="001B6FC9">
        <w:rPr>
          <w:sz w:val="24"/>
          <w:szCs w:val="24"/>
          <w:lang w:val="sr-Cyrl-RS"/>
        </w:rPr>
        <w:t xml:space="preserve"> па је тако Законом о социјалној заштити</w:t>
      </w:r>
      <w:r>
        <w:rPr>
          <w:rStyle w:val="FootnoteReference"/>
          <w:sz w:val="24"/>
          <w:szCs w:val="24"/>
          <w:lang w:val="sr-Cyrl-RS"/>
        </w:rPr>
        <w:footnoteReference w:id="25"/>
      </w:r>
      <w:r w:rsidRPr="001B6FC9">
        <w:rPr>
          <w:sz w:val="24"/>
          <w:szCs w:val="24"/>
          <w:lang w:val="sr-Cyrl-RS"/>
        </w:rPr>
        <w:t xml:space="preserve"> обезбеђена забрана дискриминације корисника социјалне заштите </w:t>
      </w:r>
      <w:r w:rsidR="007E21DE">
        <w:rPr>
          <w:sz w:val="24"/>
          <w:szCs w:val="24"/>
          <w:lang w:val="sr-Cyrl-RS"/>
        </w:rPr>
        <w:t xml:space="preserve">и </w:t>
      </w:r>
      <w:r w:rsidRPr="001B6FC9">
        <w:rPr>
          <w:sz w:val="24"/>
          <w:szCs w:val="24"/>
          <w:lang w:val="sr-Cyrl-RS"/>
        </w:rPr>
        <w:t xml:space="preserve">по основу </w:t>
      </w:r>
      <w:r w:rsidR="007E21DE">
        <w:rPr>
          <w:sz w:val="24"/>
          <w:szCs w:val="24"/>
          <w:lang w:val="sr-Cyrl-RS"/>
        </w:rPr>
        <w:t xml:space="preserve">националне припадности и </w:t>
      </w:r>
      <w:r w:rsidRPr="001B6FC9">
        <w:rPr>
          <w:sz w:val="24"/>
          <w:szCs w:val="24"/>
          <w:lang w:val="sr-Cyrl-RS"/>
        </w:rPr>
        <w:t xml:space="preserve">језика, </w:t>
      </w:r>
      <w:r>
        <w:rPr>
          <w:sz w:val="24"/>
          <w:szCs w:val="24"/>
          <w:lang w:val="sr-Cyrl-RS"/>
        </w:rPr>
        <w:t>а</w:t>
      </w:r>
      <w:r w:rsidRPr="001B6FC9">
        <w:rPr>
          <w:sz w:val="24"/>
          <w:szCs w:val="24"/>
          <w:lang w:val="sr-Cyrl-RS"/>
        </w:rPr>
        <w:t xml:space="preserve"> услуге социјалне заштите организују се на начин који обезбеђује њихову физичку, географску и економску доступност, уз уважавање културолошких и других различитости. </w:t>
      </w:r>
    </w:p>
    <w:p w:rsidR="006904C2" w:rsidRPr="001B6FC9" w:rsidRDefault="006904C2" w:rsidP="006904C2">
      <w:pPr>
        <w:spacing w:after="0"/>
        <w:ind w:firstLine="720"/>
        <w:jc w:val="both"/>
        <w:rPr>
          <w:sz w:val="24"/>
          <w:szCs w:val="24"/>
          <w:lang w:val="sr-Cyrl-RS"/>
        </w:rPr>
      </w:pPr>
      <w:r w:rsidRPr="001B6FC9">
        <w:rPr>
          <w:sz w:val="24"/>
          <w:szCs w:val="24"/>
          <w:lang w:val="sr-Cyrl-RS"/>
        </w:rPr>
        <w:t>Правилником о организацији, нормативима и стандардима рада центра за социјални рад</w:t>
      </w:r>
      <w:r>
        <w:rPr>
          <w:rStyle w:val="FootnoteReference"/>
          <w:sz w:val="24"/>
          <w:szCs w:val="24"/>
          <w:lang w:val="sr-Cyrl-RS"/>
        </w:rPr>
        <w:footnoteReference w:id="26"/>
      </w:r>
      <w:r w:rsidRPr="001B6FC9">
        <w:rPr>
          <w:sz w:val="24"/>
          <w:szCs w:val="24"/>
          <w:lang w:val="sr-Cyrl-RS"/>
        </w:rPr>
        <w:t xml:space="preserve"> прописано је поштовање људских права и достојанства корисника и заштита од дискриминације. Наиме, центар за социјални рад је дужан да заступа интересе и права корисника и да обезбеди једнак приступ услугама за које је надлежан свим грађанима, независно од етничких, културних, верских, родн</w:t>
      </w:r>
      <w:r w:rsidR="007E21DE">
        <w:rPr>
          <w:sz w:val="24"/>
          <w:szCs w:val="24"/>
          <w:lang w:val="sr-Cyrl-RS"/>
        </w:rPr>
        <w:t>их или социо-економских разлика</w:t>
      </w:r>
      <w:r w:rsidRPr="001B6FC9">
        <w:rPr>
          <w:sz w:val="24"/>
          <w:szCs w:val="24"/>
          <w:lang w:val="sr-Cyrl-RS"/>
        </w:rPr>
        <w:t xml:space="preserve">.  </w:t>
      </w:r>
    </w:p>
    <w:p w:rsidR="006904C2" w:rsidRPr="001B6FC9" w:rsidRDefault="006904C2" w:rsidP="009C33CF">
      <w:pPr>
        <w:spacing w:after="0"/>
        <w:ind w:firstLine="720"/>
        <w:jc w:val="both"/>
        <w:rPr>
          <w:sz w:val="24"/>
          <w:szCs w:val="24"/>
          <w:lang w:val="sr-Cyrl-RS"/>
        </w:rPr>
      </w:pPr>
      <w:r w:rsidRPr="001B6FC9">
        <w:rPr>
          <w:sz w:val="24"/>
          <w:szCs w:val="24"/>
          <w:lang w:val="sr-Cyrl-RS"/>
        </w:rPr>
        <w:t>Запослени у социјалној заштити дужни су да доследно примењују наведене прописе и на тај начин обезбеде заштиту од дискриминације у овој области. Понашање супротно наведеним одредбама исходовало би губитком лиценце за рад.</w:t>
      </w:r>
      <w:r w:rsidR="009C33CF">
        <w:rPr>
          <w:sz w:val="24"/>
          <w:szCs w:val="24"/>
          <w:lang w:val="sr-Cyrl-RS"/>
        </w:rPr>
        <w:t xml:space="preserve"> </w:t>
      </w:r>
      <w:r w:rsidR="009C33CF" w:rsidRPr="009C33CF">
        <w:rPr>
          <w:sz w:val="24"/>
          <w:szCs w:val="24"/>
          <w:lang w:val="sr-Cyrl-RS"/>
        </w:rPr>
        <w:t>Према Закону о социјалној заштити корисник који није задовољан пруженом услугом, поступком или понашањем пружаоца услуге може поднети притужбу надлежном органу</w:t>
      </w:r>
      <w:r w:rsidR="009C33CF">
        <w:rPr>
          <w:sz w:val="24"/>
          <w:szCs w:val="24"/>
          <w:lang w:val="sr-Cyrl-RS"/>
        </w:rPr>
        <w:t>, а п</w:t>
      </w:r>
      <w:r w:rsidR="009C33CF" w:rsidRPr="009C33CF">
        <w:rPr>
          <w:sz w:val="24"/>
          <w:szCs w:val="24"/>
          <w:lang w:val="sr-Cyrl-RS"/>
        </w:rPr>
        <w:t>ритужб</w:t>
      </w:r>
      <w:r w:rsidR="009C33CF">
        <w:rPr>
          <w:sz w:val="24"/>
          <w:szCs w:val="24"/>
          <w:lang w:val="sr-Cyrl-RS"/>
        </w:rPr>
        <w:t>а</w:t>
      </w:r>
      <w:r w:rsidR="009C33CF" w:rsidRPr="009C33CF">
        <w:rPr>
          <w:sz w:val="24"/>
          <w:szCs w:val="24"/>
          <w:lang w:val="sr-Cyrl-RS"/>
        </w:rPr>
        <w:t xml:space="preserve"> због дискриминације </w:t>
      </w:r>
      <w:r w:rsidR="009C33CF">
        <w:rPr>
          <w:sz w:val="24"/>
          <w:szCs w:val="24"/>
          <w:lang w:val="sr-Cyrl-RS"/>
        </w:rPr>
        <w:t xml:space="preserve">може се поднети </w:t>
      </w:r>
      <w:r w:rsidR="009C33CF" w:rsidRPr="009C33CF">
        <w:rPr>
          <w:sz w:val="24"/>
          <w:szCs w:val="24"/>
          <w:lang w:val="sr-Cyrl-RS"/>
        </w:rPr>
        <w:t>Поверенику за заштиту равноправности</w:t>
      </w:r>
      <w:r w:rsidR="009C33CF">
        <w:rPr>
          <w:sz w:val="24"/>
          <w:szCs w:val="24"/>
          <w:lang w:val="sr-Cyrl-RS"/>
        </w:rPr>
        <w:t>.</w:t>
      </w:r>
      <w:r w:rsidR="009C33CF" w:rsidRPr="009C33CF">
        <w:rPr>
          <w:sz w:val="24"/>
          <w:szCs w:val="24"/>
          <w:lang w:val="sr-Cyrl-RS"/>
        </w:rPr>
        <w:t xml:space="preserve"> </w:t>
      </w:r>
    </w:p>
    <w:p w:rsidR="006904C2" w:rsidRPr="001B6FC9" w:rsidRDefault="009C33CF" w:rsidP="006904C2">
      <w:pPr>
        <w:spacing w:after="0"/>
        <w:ind w:firstLine="720"/>
        <w:jc w:val="both"/>
        <w:rPr>
          <w:sz w:val="24"/>
          <w:szCs w:val="24"/>
          <w:lang w:val="sr-Cyrl-RS"/>
        </w:rPr>
      </w:pPr>
      <w:r>
        <w:rPr>
          <w:sz w:val="24"/>
          <w:szCs w:val="24"/>
          <w:lang w:val="sr-Cyrl-RS"/>
        </w:rPr>
        <w:t xml:space="preserve">У складу са поменутим прописима, </w:t>
      </w:r>
      <w:r w:rsidR="006904C2" w:rsidRPr="001B6FC9">
        <w:rPr>
          <w:sz w:val="24"/>
          <w:szCs w:val="24"/>
          <w:lang w:val="sr-Cyrl-RS"/>
        </w:rPr>
        <w:t>предвиђ</w:t>
      </w:r>
      <w:r>
        <w:rPr>
          <w:sz w:val="24"/>
          <w:szCs w:val="24"/>
          <w:lang w:val="sr-Cyrl-RS"/>
        </w:rPr>
        <w:t xml:space="preserve">ена је и </w:t>
      </w:r>
      <w:r w:rsidR="006904C2" w:rsidRPr="001B6FC9">
        <w:rPr>
          <w:sz w:val="24"/>
          <w:szCs w:val="24"/>
          <w:lang w:val="sr-Cyrl-RS"/>
        </w:rPr>
        <w:t>обавез</w:t>
      </w:r>
      <w:r>
        <w:rPr>
          <w:sz w:val="24"/>
          <w:szCs w:val="24"/>
          <w:lang w:val="sr-Cyrl-RS"/>
        </w:rPr>
        <w:t>а</w:t>
      </w:r>
      <w:r w:rsidR="006904C2" w:rsidRPr="001B6FC9">
        <w:rPr>
          <w:sz w:val="24"/>
          <w:szCs w:val="24"/>
          <w:lang w:val="sr-Cyrl-RS"/>
        </w:rPr>
        <w:t xml:space="preserve"> </w:t>
      </w:r>
      <w:r w:rsidR="006904C2">
        <w:rPr>
          <w:sz w:val="24"/>
          <w:szCs w:val="24"/>
          <w:lang w:val="sr-Cyrl-RS"/>
        </w:rPr>
        <w:t>центара</w:t>
      </w:r>
      <w:r w:rsidR="006904C2" w:rsidRPr="001B6FC9">
        <w:rPr>
          <w:sz w:val="24"/>
          <w:szCs w:val="24"/>
          <w:lang w:val="sr-Cyrl-RS"/>
        </w:rPr>
        <w:t xml:space="preserve"> да информишу јавност на територији припадајуће јединице локалне самоуправе о својим законским обавезама и мандату, као и о доступним услугама и програмима, путем медија, јавних предавања, презентација и другим одговарајућим каналима. У истом правилнику прецизирано је да се доступност услуга </w:t>
      </w:r>
      <w:r w:rsidR="006904C2">
        <w:rPr>
          <w:sz w:val="24"/>
          <w:szCs w:val="24"/>
          <w:lang w:val="sr-Cyrl-RS"/>
        </w:rPr>
        <w:t xml:space="preserve">центара </w:t>
      </w:r>
      <w:r w:rsidR="006904C2" w:rsidRPr="001B6FC9">
        <w:rPr>
          <w:sz w:val="24"/>
          <w:szCs w:val="24"/>
          <w:lang w:val="sr-Cyrl-RS"/>
        </w:rPr>
        <w:t xml:space="preserve">обезбеђује кроз: а) координацију активности са другим јавним органима, хуманитарним организацијама, цивилним удружењима и другим организацијама у локалној заједници, б) пружање информација јавности о програмима и услугама које пружа </w:t>
      </w:r>
      <w:r w:rsidR="006904C2">
        <w:rPr>
          <w:sz w:val="24"/>
          <w:szCs w:val="24"/>
          <w:lang w:val="sr-Cyrl-RS"/>
        </w:rPr>
        <w:t>центар</w:t>
      </w:r>
      <w:r w:rsidR="006904C2" w:rsidRPr="001B6FC9">
        <w:rPr>
          <w:sz w:val="24"/>
          <w:szCs w:val="24"/>
          <w:lang w:val="sr-Cyrl-RS"/>
        </w:rPr>
        <w:t xml:space="preserve"> као и о другим правима и обавезама у складу са законом путем медија, јавних предавања, презентација, брошура и на друге начине, в) постављање контакт адресе и броја телефона </w:t>
      </w:r>
      <w:r w:rsidR="006904C2">
        <w:rPr>
          <w:sz w:val="24"/>
          <w:szCs w:val="24"/>
          <w:lang w:val="sr-Cyrl-RS"/>
        </w:rPr>
        <w:t>центра</w:t>
      </w:r>
      <w:r w:rsidR="006904C2" w:rsidRPr="001B6FC9">
        <w:rPr>
          <w:sz w:val="24"/>
          <w:szCs w:val="24"/>
          <w:lang w:val="sr-Cyrl-RS"/>
        </w:rPr>
        <w:t xml:space="preserve"> на одговарајућа јавна места и институције у заједници (зграда локалне самоуправе, дом здравља, служба за запошљавање, локални медији</w:t>
      </w:r>
      <w:r w:rsidR="00117B1E">
        <w:rPr>
          <w:sz w:val="24"/>
          <w:szCs w:val="24"/>
        </w:rPr>
        <w:t>,</w:t>
      </w:r>
      <w:r w:rsidR="006904C2" w:rsidRPr="001B6FC9">
        <w:rPr>
          <w:sz w:val="24"/>
          <w:szCs w:val="24"/>
          <w:lang w:val="sr-Cyrl-RS"/>
        </w:rPr>
        <w:t xml:space="preserve"> итд.</w:t>
      </w:r>
      <w:r w:rsidR="006904C2">
        <w:rPr>
          <w:sz w:val="24"/>
          <w:szCs w:val="24"/>
          <w:lang w:val="sr-Cyrl-RS"/>
        </w:rPr>
        <w:t>)</w:t>
      </w:r>
      <w:r w:rsidR="006904C2" w:rsidRPr="001B6FC9">
        <w:rPr>
          <w:sz w:val="24"/>
          <w:szCs w:val="24"/>
          <w:lang w:val="sr-Cyrl-RS"/>
        </w:rPr>
        <w:t>, г) успостављање подручних канцеларија у удаљеним местима, д)</w:t>
      </w:r>
      <w:r w:rsidR="006904C2">
        <w:rPr>
          <w:sz w:val="24"/>
          <w:szCs w:val="24"/>
          <w:lang w:val="sr-Cyrl-RS"/>
        </w:rPr>
        <w:t xml:space="preserve"> </w:t>
      </w:r>
      <w:r w:rsidR="006904C2" w:rsidRPr="001B6FC9">
        <w:rPr>
          <w:sz w:val="24"/>
          <w:szCs w:val="24"/>
          <w:lang w:val="sr-Cyrl-RS"/>
        </w:rPr>
        <w:t>друге одговарајуће начине.</w:t>
      </w:r>
    </w:p>
    <w:p w:rsidR="009C33CF" w:rsidRDefault="006904C2" w:rsidP="009C33CF">
      <w:pPr>
        <w:spacing w:after="0"/>
        <w:ind w:firstLine="720"/>
        <w:jc w:val="both"/>
        <w:rPr>
          <w:sz w:val="24"/>
          <w:szCs w:val="24"/>
          <w:lang w:val="sr-Cyrl-RS"/>
        </w:rPr>
      </w:pPr>
      <w:r w:rsidRPr="001B6FC9">
        <w:rPr>
          <w:sz w:val="24"/>
          <w:szCs w:val="24"/>
          <w:lang w:val="sr-Cyrl-RS"/>
        </w:rPr>
        <w:t>Центри за социјални рад, у оквиру својих редовних делатности</w:t>
      </w:r>
      <w:r w:rsidR="00117B1E">
        <w:rPr>
          <w:sz w:val="24"/>
          <w:szCs w:val="24"/>
        </w:rPr>
        <w:t>,</w:t>
      </w:r>
      <w:r w:rsidRPr="001B6FC9">
        <w:rPr>
          <w:sz w:val="24"/>
          <w:szCs w:val="24"/>
          <w:lang w:val="sr-Cyrl-RS"/>
        </w:rPr>
        <w:t xml:space="preserve"> промовишу у локалној заједници услуге и права из социјалне заштите. Промоција приступа социјалним правима и услугама реализује се и кроз обуке стручњака центара за социјални рад, на начин да се подиже ниво свести стручњака и унапређују њихове компетенције. </w:t>
      </w:r>
    </w:p>
    <w:p w:rsidR="009C33CF" w:rsidRPr="009C33CF" w:rsidRDefault="009C33CF" w:rsidP="009C33CF">
      <w:pPr>
        <w:spacing w:after="0"/>
        <w:ind w:firstLine="720"/>
        <w:jc w:val="both"/>
        <w:rPr>
          <w:sz w:val="24"/>
          <w:szCs w:val="24"/>
          <w:lang w:val="sr-Cyrl-RS"/>
        </w:rPr>
      </w:pPr>
      <w:r w:rsidRPr="00426CDD">
        <w:rPr>
          <w:bCs/>
          <w:sz w:val="24"/>
          <w:szCs w:val="24"/>
          <w:lang w:val="sr-Cyrl-RS"/>
        </w:rPr>
        <w:t xml:space="preserve">Обуке стручних радника запослених у установама социјалне заштите спроводе се континуирано кроз акредитоване програме обука. Одређен број програма обуке садржајно је усмерен управо на рад са ромском популацијом. У Републичком заводу за социјалну заштиту акредитован је програм обуке под називом </w:t>
      </w:r>
      <w:r w:rsidRPr="00D04EEF">
        <w:rPr>
          <w:bCs/>
          <w:sz w:val="24"/>
          <w:szCs w:val="24"/>
          <w:lang w:val="sr-Cyrl-RS"/>
        </w:rPr>
        <w:t xml:space="preserve">„Подршка унапређењу </w:t>
      </w:r>
      <w:r w:rsidRPr="00D04EEF">
        <w:rPr>
          <w:bCs/>
          <w:sz w:val="24"/>
          <w:szCs w:val="24"/>
          <w:lang w:val="sr-Cyrl-RS"/>
        </w:rPr>
        <w:lastRenderedPageBreak/>
        <w:t>положаја Ромкиња“</w:t>
      </w:r>
      <w:r w:rsidRPr="00426CDD">
        <w:rPr>
          <w:bCs/>
          <w:sz w:val="24"/>
          <w:szCs w:val="24"/>
          <w:lang w:val="sr-Cyrl-RS"/>
        </w:rPr>
        <w:t xml:space="preserve"> који се између осталог бави и специфичностима у приступу услугама, проблемима корисница у приступу услугама, проблемима стручњака у контакту са корисницама и начинима њиховог превазилажења. Програм је намењен стручним радницима и сарадницима у установама социјалне заштите, правосуђу, тужилаштву, образовним и здравственим установама, локалној самоуправи и </w:t>
      </w:r>
      <w:r>
        <w:rPr>
          <w:bCs/>
          <w:sz w:val="24"/>
          <w:szCs w:val="24"/>
          <w:lang w:val="sr-Cyrl-RS"/>
        </w:rPr>
        <w:t>организацијама цивилног друштва</w:t>
      </w:r>
      <w:r w:rsidRPr="00426CDD">
        <w:rPr>
          <w:bCs/>
          <w:sz w:val="24"/>
          <w:szCs w:val="24"/>
          <w:lang w:val="sr-Cyrl-RS"/>
        </w:rPr>
        <w:t xml:space="preserve"> које су пружаоци социјалних услуга женама и вишеструко маргинализованим групама. Крајњи корисници програма обуке су Ромкиње, кориснице социјалне заштите.</w:t>
      </w:r>
      <w:r w:rsidRPr="00426CDD">
        <w:rPr>
          <w:sz w:val="24"/>
          <w:szCs w:val="24"/>
          <w:lang w:val="ru-RU"/>
        </w:rPr>
        <w:t xml:space="preserve"> </w:t>
      </w:r>
    </w:p>
    <w:p w:rsidR="009C33CF" w:rsidRPr="0017336C" w:rsidRDefault="009C33CF" w:rsidP="0017336C">
      <w:pPr>
        <w:spacing w:after="0"/>
        <w:ind w:firstLine="720"/>
        <w:jc w:val="both"/>
        <w:rPr>
          <w:sz w:val="24"/>
          <w:szCs w:val="24"/>
        </w:rPr>
      </w:pPr>
      <w:r w:rsidRPr="0017336C">
        <w:rPr>
          <w:sz w:val="24"/>
          <w:szCs w:val="24"/>
        </w:rPr>
        <w:t>Систем социјалне заштите посвећен је и активном обучавању својих кадрова у погледу стицања знања o препознавању дискриминације и о мерама које стручни радници у установама социјалне заштите могу предузети у случајевима дискриминације корисника по различитим основама. До сада је акредитовано више програма обука који у свом фокусу имају поштовање људских права, антидискриминацију као и злостављање и занемаривање и кроз које су стручни радници едуковани за препознавање и реаговање у оваквим ситуацијама. На тај начин подиже се и ниво свести стручњака о присутности дискриминације и насиља у друштву и унапређују њихове компетенције за реализацију активности и мера које су им на располагању у заштити корисника.</w:t>
      </w:r>
    </w:p>
    <w:p w:rsidR="009C33CF" w:rsidRPr="0017336C" w:rsidRDefault="009C33CF" w:rsidP="0017336C">
      <w:pPr>
        <w:tabs>
          <w:tab w:val="left" w:pos="720"/>
        </w:tabs>
        <w:spacing w:after="0"/>
        <w:jc w:val="both"/>
        <w:rPr>
          <w:rFonts w:eastAsia="Times New Roman"/>
          <w:sz w:val="24"/>
          <w:szCs w:val="24"/>
          <w:lang w:val="sr-Cyrl-RS"/>
        </w:rPr>
      </w:pPr>
      <w:r w:rsidRPr="0017336C">
        <w:rPr>
          <w:sz w:val="24"/>
          <w:szCs w:val="24"/>
          <w:lang w:val="sr-Cyrl-RS"/>
        </w:rPr>
        <w:tab/>
      </w:r>
      <w:r w:rsidR="0017336C">
        <w:rPr>
          <w:sz w:val="24"/>
          <w:szCs w:val="24"/>
          <w:lang w:val="sr-Cyrl-RS"/>
        </w:rPr>
        <w:t>Значајно је истаћи да је к</w:t>
      </w:r>
      <w:r w:rsidRPr="0017336C">
        <w:rPr>
          <w:sz w:val="24"/>
          <w:szCs w:val="24"/>
          <w:lang w:val="sr-Cyrl-RS"/>
        </w:rPr>
        <w:t>рајем 2021. год</w:t>
      </w:r>
      <w:r w:rsidR="0017336C">
        <w:rPr>
          <w:sz w:val="24"/>
          <w:szCs w:val="24"/>
          <w:lang w:val="sr-Cyrl-RS"/>
        </w:rPr>
        <w:t>ине</w:t>
      </w:r>
      <w:r w:rsidRPr="0017336C">
        <w:rPr>
          <w:sz w:val="24"/>
          <w:szCs w:val="24"/>
          <w:lang w:val="sr-Cyrl-RS"/>
        </w:rPr>
        <w:t xml:space="preserve"> донет Закон о правима корисника услуга привременог смештаја у социјалној заштити</w:t>
      </w:r>
      <w:r w:rsidR="00D233C8">
        <w:rPr>
          <w:rStyle w:val="FootnoteReference"/>
          <w:sz w:val="24"/>
          <w:szCs w:val="24"/>
          <w:lang w:val="sr-Cyrl-RS"/>
        </w:rPr>
        <w:footnoteReference w:id="27"/>
      </w:r>
      <w:r w:rsidRPr="0017336C">
        <w:rPr>
          <w:sz w:val="24"/>
          <w:szCs w:val="24"/>
          <w:lang w:val="sr-Cyrl-RS"/>
        </w:rPr>
        <w:t xml:space="preserve"> </w:t>
      </w:r>
      <w:r w:rsidR="00D233C8">
        <w:rPr>
          <w:sz w:val="24"/>
          <w:szCs w:val="24"/>
          <w:lang w:val="sr-Cyrl-RS"/>
        </w:rPr>
        <w:t>који утврђује да је</w:t>
      </w:r>
      <w:r w:rsidRPr="0017336C">
        <w:rPr>
          <w:sz w:val="24"/>
          <w:szCs w:val="24"/>
          <w:lang w:val="sr-Cyrl-RS"/>
        </w:rPr>
        <w:t xml:space="preserve"> </w:t>
      </w:r>
      <w:r w:rsidR="00D233C8">
        <w:rPr>
          <w:sz w:val="24"/>
          <w:szCs w:val="24"/>
          <w:lang w:val="sr-Cyrl-RS"/>
        </w:rPr>
        <w:t>о</w:t>
      </w:r>
      <w:r w:rsidRPr="0017336C">
        <w:rPr>
          <w:rFonts w:eastAsia="Times New Roman"/>
          <w:sz w:val="24"/>
          <w:szCs w:val="24"/>
          <w:lang w:val="sr-Cyrl-RS"/>
        </w:rPr>
        <w:t>стваривање права корисника омогућено без дискриминације</w:t>
      </w:r>
      <w:r w:rsidR="00D233C8">
        <w:rPr>
          <w:rFonts w:eastAsia="Times New Roman"/>
          <w:sz w:val="24"/>
          <w:szCs w:val="24"/>
          <w:lang w:val="sr-Cyrl-RS"/>
        </w:rPr>
        <w:t xml:space="preserve">, </w:t>
      </w:r>
      <w:r w:rsidR="00D233C8">
        <w:rPr>
          <w:sz w:val="24"/>
          <w:szCs w:val="24"/>
          <w:lang w:val="sr-Cyrl-RS"/>
        </w:rPr>
        <w:t>између осталог,</w:t>
      </w:r>
      <w:r w:rsidRPr="0017336C">
        <w:rPr>
          <w:rFonts w:eastAsia="Times New Roman"/>
          <w:sz w:val="24"/>
          <w:szCs w:val="24"/>
          <w:lang w:val="sr-Cyrl-RS"/>
        </w:rPr>
        <w:t xml:space="preserve"> по основу расе, боје коже, предака, националне п</w:t>
      </w:r>
      <w:r w:rsidR="00D233C8">
        <w:rPr>
          <w:rFonts w:eastAsia="Times New Roman"/>
          <w:sz w:val="24"/>
          <w:szCs w:val="24"/>
          <w:lang w:val="sr-Cyrl-RS"/>
        </w:rPr>
        <w:t>рипадности или етничког порекла</w:t>
      </w:r>
      <w:r w:rsidRPr="0017336C">
        <w:rPr>
          <w:rFonts w:eastAsia="Times New Roman"/>
          <w:sz w:val="24"/>
          <w:szCs w:val="24"/>
          <w:lang w:val="sr-Cyrl-RS"/>
        </w:rPr>
        <w:t>. Закон обезбеђује да се услуге смештаја пружају у складу са вољом и жељом корисника, уз уважавање њиховог животног циклуса, етничког и културног порекла, животних навика, развојних и других потреба.</w:t>
      </w:r>
    </w:p>
    <w:p w:rsidR="009C33CF" w:rsidRPr="0017336C" w:rsidRDefault="009C33CF" w:rsidP="0017336C">
      <w:pPr>
        <w:spacing w:after="0"/>
        <w:ind w:firstLine="720"/>
        <w:jc w:val="both"/>
        <w:rPr>
          <w:sz w:val="24"/>
          <w:szCs w:val="24"/>
          <w:lang w:val="sr-Cyrl-CS"/>
        </w:rPr>
      </w:pPr>
      <w:r w:rsidRPr="0017336C">
        <w:rPr>
          <w:sz w:val="24"/>
          <w:szCs w:val="24"/>
          <w:lang w:val="sr-Cyrl-RS"/>
        </w:rPr>
        <w:t xml:space="preserve">Почетком 2022. године донета је </w:t>
      </w:r>
      <w:r w:rsidRPr="006C649E">
        <w:rPr>
          <w:sz w:val="24"/>
          <w:szCs w:val="24"/>
          <w:lang w:val="sr-Cyrl-RS"/>
        </w:rPr>
        <w:t>Стратегија деинституционализације и развоја услуга социјалне заштите у заједници за период од 2022. до 2026. године</w:t>
      </w:r>
      <w:r w:rsidRPr="0017336C">
        <w:rPr>
          <w:sz w:val="24"/>
          <w:szCs w:val="24"/>
          <w:lang w:val="sr-Cyrl-RS"/>
        </w:rPr>
        <w:t>.</w:t>
      </w:r>
      <w:r w:rsidR="006C649E">
        <w:rPr>
          <w:rStyle w:val="FootnoteReference"/>
          <w:sz w:val="24"/>
          <w:szCs w:val="24"/>
          <w:lang w:val="sr-Cyrl-RS"/>
        </w:rPr>
        <w:footnoteReference w:id="28"/>
      </w:r>
      <w:r w:rsidRPr="0017336C">
        <w:rPr>
          <w:sz w:val="24"/>
          <w:szCs w:val="24"/>
          <w:lang w:val="sr-Cyrl-RS"/>
        </w:rPr>
        <w:t xml:space="preserve"> Стратегијом су дефинисани даљи правци развоја у овој области, циљеви, мере и активности који ће бити предузети како би се унапредио цео процес и превенирао даљи притисак на смештај у установе социјалне заштите. </w:t>
      </w:r>
    </w:p>
    <w:p w:rsidR="007A3CBF" w:rsidRPr="007A3CBF" w:rsidRDefault="007A3CBF" w:rsidP="007A3CBF">
      <w:pPr>
        <w:spacing w:after="0"/>
        <w:ind w:firstLine="720"/>
        <w:jc w:val="both"/>
        <w:rPr>
          <w:sz w:val="24"/>
          <w:szCs w:val="24"/>
          <w:lang w:val="sr-Cyrl-RS"/>
        </w:rPr>
      </w:pPr>
      <w:r w:rsidRPr="007A3CBF">
        <w:rPr>
          <w:sz w:val="24"/>
          <w:szCs w:val="24"/>
          <w:lang w:val="sr-Cyrl-RS"/>
        </w:rPr>
        <w:t>У остваривању већег степена укључености ромске популације важну улогу имају водитељи случаја у центрима за социјални рад. Механизам вођења случаја, а поготову институт конференције случаја, обезбеђује проактиван приступ најважнијих актера у заједници у подршци искљученој породици или појединцу. Ова улога центра за социјални рад је посебно важна и представља добар начин за унапређење сарадње са Националном службом за запошљавање и другим актерима који могу да унапреде положај Рома и Ромкиња на тржишту рада. Од посебног је значаја обавеза стручних радника да пружају подршку родитељима како би њихова деца редовно похађала школу и остваривала призната права (дечји додатак, превоз до школе и сл.).</w:t>
      </w:r>
    </w:p>
    <w:p w:rsidR="007A3CBF" w:rsidRPr="007A3CBF" w:rsidRDefault="007A3CBF" w:rsidP="006C287E">
      <w:pPr>
        <w:spacing w:after="0"/>
        <w:ind w:firstLine="720"/>
        <w:jc w:val="both"/>
        <w:rPr>
          <w:sz w:val="24"/>
          <w:szCs w:val="24"/>
          <w:lang w:val="sr-Cyrl-RS"/>
        </w:rPr>
      </w:pPr>
      <w:r w:rsidRPr="007A3CBF">
        <w:rPr>
          <w:sz w:val="24"/>
          <w:szCs w:val="24"/>
          <w:lang w:val="sr-Cyrl-RS"/>
        </w:rPr>
        <w:t>У новоусвојеној ревидираној Стратегији за социјално укључивање Рома и Ромкиња за период од 2022. године до 2030. године</w:t>
      </w:r>
      <w:r w:rsidR="006C287E">
        <w:rPr>
          <w:rStyle w:val="FootnoteReference"/>
          <w:sz w:val="24"/>
          <w:szCs w:val="24"/>
          <w:lang w:val="sr-Cyrl-RS"/>
        </w:rPr>
        <w:footnoteReference w:id="29"/>
      </w:r>
      <w:r w:rsidRPr="007A3CBF">
        <w:rPr>
          <w:sz w:val="24"/>
          <w:szCs w:val="24"/>
          <w:lang w:val="sr-Cyrl-RS"/>
        </w:rPr>
        <w:t xml:space="preserve"> </w:t>
      </w:r>
      <w:r w:rsidR="00E73C1F">
        <w:rPr>
          <w:sz w:val="24"/>
          <w:szCs w:val="24"/>
          <w:lang w:val="sr-Cyrl-RS"/>
        </w:rPr>
        <w:t>као један од посебних ц</w:t>
      </w:r>
      <w:r w:rsidR="00CC4744">
        <w:rPr>
          <w:sz w:val="24"/>
          <w:szCs w:val="24"/>
          <w:lang w:val="sr-Cyrl-RS"/>
        </w:rPr>
        <w:t xml:space="preserve">иљева </w:t>
      </w:r>
      <w:r w:rsidRPr="007A3CBF">
        <w:rPr>
          <w:sz w:val="24"/>
          <w:szCs w:val="24"/>
          <w:lang w:val="sr-Cyrl-RS"/>
        </w:rPr>
        <w:t>дефинисан</w:t>
      </w:r>
      <w:r w:rsidR="00CC4744">
        <w:rPr>
          <w:sz w:val="24"/>
          <w:szCs w:val="24"/>
          <w:lang w:val="sr-Cyrl-RS"/>
        </w:rPr>
        <w:t>о</w:t>
      </w:r>
      <w:r w:rsidRPr="007A3CBF">
        <w:rPr>
          <w:sz w:val="24"/>
          <w:szCs w:val="24"/>
          <w:lang w:val="sr-Cyrl-RS"/>
        </w:rPr>
        <w:t xml:space="preserve"> је </w:t>
      </w:r>
      <w:r w:rsidR="00CC4744">
        <w:rPr>
          <w:sz w:val="24"/>
          <w:szCs w:val="24"/>
          <w:lang w:val="sr-Cyrl-RS"/>
        </w:rPr>
        <w:t>у</w:t>
      </w:r>
      <w:r w:rsidRPr="007A3CBF">
        <w:rPr>
          <w:sz w:val="24"/>
          <w:szCs w:val="24"/>
          <w:lang w:val="sr-Cyrl-RS"/>
        </w:rPr>
        <w:t>напређе</w:t>
      </w:r>
      <w:r w:rsidR="00CC4744">
        <w:rPr>
          <w:sz w:val="24"/>
          <w:szCs w:val="24"/>
          <w:lang w:val="sr-Cyrl-RS"/>
        </w:rPr>
        <w:t>ње</w:t>
      </w:r>
      <w:r w:rsidRPr="007A3CBF">
        <w:rPr>
          <w:sz w:val="24"/>
          <w:szCs w:val="24"/>
          <w:lang w:val="sr-Cyrl-RS"/>
        </w:rPr>
        <w:t xml:space="preserve"> приступ</w:t>
      </w:r>
      <w:r w:rsidR="00CC4744">
        <w:rPr>
          <w:sz w:val="24"/>
          <w:szCs w:val="24"/>
          <w:lang w:val="sr-Cyrl-RS"/>
        </w:rPr>
        <w:t>а</w:t>
      </w:r>
      <w:r w:rsidRPr="007A3CBF">
        <w:rPr>
          <w:sz w:val="24"/>
          <w:szCs w:val="24"/>
          <w:lang w:val="sr-Cyrl-RS"/>
        </w:rPr>
        <w:t xml:space="preserve"> услугама социјалне заштите, доступност</w:t>
      </w:r>
      <w:r w:rsidR="00CC4744">
        <w:rPr>
          <w:sz w:val="24"/>
          <w:szCs w:val="24"/>
          <w:lang w:val="sr-Cyrl-RS"/>
        </w:rPr>
        <w:t>и</w:t>
      </w:r>
      <w:r w:rsidRPr="007A3CBF">
        <w:rPr>
          <w:sz w:val="24"/>
          <w:szCs w:val="24"/>
          <w:lang w:val="sr-Cyrl-RS"/>
        </w:rPr>
        <w:t xml:space="preserve"> и </w:t>
      </w:r>
      <w:r w:rsidRPr="007A3CBF">
        <w:rPr>
          <w:sz w:val="24"/>
          <w:szCs w:val="24"/>
          <w:lang w:val="sr-Cyrl-RS"/>
        </w:rPr>
        <w:lastRenderedPageBreak/>
        <w:t xml:space="preserve">делотворност новчаних давања ради смањења сиромаштва и повећања социјалне укључености Рома и Ромкиња у локалној заједници. За остваривање овог посебног циља предвиђене су три мере: </w:t>
      </w:r>
    </w:p>
    <w:p w:rsidR="007A3CBF" w:rsidRPr="007A3CBF" w:rsidRDefault="006C287E" w:rsidP="007A3CBF">
      <w:pPr>
        <w:spacing w:after="0"/>
        <w:ind w:firstLine="720"/>
        <w:jc w:val="both"/>
        <w:rPr>
          <w:sz w:val="24"/>
          <w:szCs w:val="24"/>
          <w:lang w:val="sr-Cyrl-RS"/>
        </w:rPr>
      </w:pPr>
      <w:r>
        <w:rPr>
          <w:sz w:val="24"/>
          <w:szCs w:val="24"/>
          <w:lang w:val="sr-Cyrl-RS"/>
        </w:rPr>
        <w:t xml:space="preserve">- </w:t>
      </w:r>
      <w:r w:rsidR="007A3CBF" w:rsidRPr="007A3CBF">
        <w:rPr>
          <w:sz w:val="24"/>
          <w:szCs w:val="24"/>
          <w:lang w:val="sr-Cyrl-RS"/>
        </w:rPr>
        <w:t>Јачање улоге и капацитета јавног сектора за развој и примену социјалних политика, права и услуга које одговарају на потребе појединаца и породица;</w:t>
      </w:r>
    </w:p>
    <w:p w:rsidR="007A3CBF" w:rsidRPr="007A3CBF" w:rsidRDefault="006C287E" w:rsidP="007A3CBF">
      <w:pPr>
        <w:spacing w:after="0"/>
        <w:ind w:firstLine="720"/>
        <w:jc w:val="both"/>
        <w:rPr>
          <w:sz w:val="24"/>
          <w:szCs w:val="24"/>
          <w:lang w:val="sr-Cyrl-RS"/>
        </w:rPr>
      </w:pPr>
      <w:r>
        <w:rPr>
          <w:sz w:val="24"/>
          <w:szCs w:val="24"/>
          <w:lang w:val="sr-Cyrl-RS"/>
        </w:rPr>
        <w:t xml:space="preserve">- </w:t>
      </w:r>
      <w:r w:rsidR="007A3CBF" w:rsidRPr="007A3CBF">
        <w:rPr>
          <w:sz w:val="24"/>
          <w:szCs w:val="24"/>
          <w:lang w:val="sr-Cyrl-RS"/>
        </w:rPr>
        <w:t>Повећање информисаности Рома и Ромкиња о могућностима остваривања права и услуга из области социјалне заштите и остваривање права и услуга;</w:t>
      </w:r>
    </w:p>
    <w:p w:rsidR="007A3CBF" w:rsidRDefault="007A3CBF" w:rsidP="007A3CBF">
      <w:pPr>
        <w:spacing w:after="0"/>
        <w:ind w:firstLine="720"/>
        <w:jc w:val="both"/>
        <w:rPr>
          <w:sz w:val="24"/>
          <w:szCs w:val="24"/>
          <w:lang w:val="sr-Cyrl-RS"/>
        </w:rPr>
      </w:pPr>
      <w:r w:rsidRPr="007A3CBF">
        <w:rPr>
          <w:sz w:val="24"/>
          <w:szCs w:val="24"/>
          <w:lang w:val="sr-Cyrl-RS"/>
        </w:rPr>
        <w:t>- Унапређење система реинтеграције и социјалног укључивања повратника, међу којима је велики број Рома и Ромкиња, по основу Споразума о реадмисији.</w:t>
      </w:r>
    </w:p>
    <w:p w:rsidR="00CC4744" w:rsidRPr="007A3CBF" w:rsidRDefault="00CC4744" w:rsidP="00CC4744">
      <w:pPr>
        <w:spacing w:after="0"/>
        <w:ind w:firstLine="720"/>
        <w:jc w:val="both"/>
        <w:rPr>
          <w:sz w:val="24"/>
          <w:szCs w:val="24"/>
          <w:lang w:val="sr-Cyrl-RS"/>
        </w:rPr>
      </w:pPr>
      <w:r>
        <w:rPr>
          <w:sz w:val="24"/>
          <w:szCs w:val="24"/>
          <w:lang w:val="sr-Cyrl-RS"/>
        </w:rPr>
        <w:t xml:space="preserve">Када је у питању приступ услугама социјалне заштите, </w:t>
      </w:r>
      <w:r w:rsidRPr="007A3CBF">
        <w:rPr>
          <w:sz w:val="24"/>
          <w:szCs w:val="24"/>
          <w:lang w:val="sr-Cyrl-RS"/>
        </w:rPr>
        <w:t>према подацима из Истраживања вишеструких показатеља о положају жена и деце у Србији за 2019. годину (MICS 6)</w:t>
      </w:r>
      <w:r>
        <w:rPr>
          <w:sz w:val="24"/>
          <w:szCs w:val="24"/>
          <w:lang w:val="sr-Cyrl-RS"/>
        </w:rPr>
        <w:t>,</w:t>
      </w:r>
      <w:r w:rsidRPr="007A3CBF">
        <w:rPr>
          <w:sz w:val="24"/>
          <w:szCs w:val="24"/>
          <w:lang w:val="sr-Cyrl-RS"/>
        </w:rPr>
        <w:t xml:space="preserve"> сва домаћинства у ромским насељима чула су бар за једно новчано социјално давање, док 84% користи неко од њих. Стопа обухвата угрожене ромске популације новчаном социјалном помоћи је значајна. У ромским насељима је 2019. </w:t>
      </w:r>
      <w:r>
        <w:rPr>
          <w:sz w:val="24"/>
          <w:szCs w:val="24"/>
          <w:lang w:val="sr-Cyrl-RS"/>
        </w:rPr>
        <w:t>г</w:t>
      </w:r>
      <w:r w:rsidRPr="007A3CBF">
        <w:rPr>
          <w:sz w:val="24"/>
          <w:szCs w:val="24"/>
          <w:lang w:val="sr-Cyrl-RS"/>
        </w:rPr>
        <w:t>одине свако друго домаћинство примало новчану социјалну помоћ, 61% је примало дечји додатак, а 6% је примило једнократну новчану помоћ. Више од половине чланова домаћинстава старости 5–24 године који похађају основно образовање или више нивое образовања примило је током школске 2019/2020. године субвенцију за обданиште, стипендију, кредит за школовање или неку другу врсту материјалне помоћи за школовање.</w:t>
      </w:r>
    </w:p>
    <w:p w:rsidR="003B31D0" w:rsidRDefault="003B31D0" w:rsidP="003B31D0">
      <w:pPr>
        <w:spacing w:after="0"/>
        <w:jc w:val="both"/>
        <w:rPr>
          <w:sz w:val="24"/>
          <w:szCs w:val="24"/>
          <w:lang w:val="sr-Cyrl-RS"/>
        </w:rPr>
      </w:pPr>
    </w:p>
    <w:p w:rsidR="003B31D0" w:rsidRPr="000B54D6" w:rsidRDefault="003B31D0" w:rsidP="003B31D0">
      <w:pPr>
        <w:spacing w:after="0"/>
        <w:jc w:val="both"/>
        <w:rPr>
          <w:i/>
          <w:sz w:val="24"/>
          <w:szCs w:val="24"/>
          <w:lang w:val="sr-Cyrl-RS"/>
        </w:rPr>
      </w:pPr>
      <w:r w:rsidRPr="000B54D6">
        <w:rPr>
          <w:i/>
          <w:sz w:val="24"/>
          <w:szCs w:val="24"/>
          <w:lang w:val="sr-Cyrl-RS"/>
        </w:rPr>
        <w:t>Остале активности усмерене на инклузију Рома</w:t>
      </w:r>
    </w:p>
    <w:p w:rsidR="003B31D0" w:rsidRDefault="003B31D0" w:rsidP="003B31D0">
      <w:pPr>
        <w:spacing w:after="0"/>
        <w:jc w:val="both"/>
        <w:rPr>
          <w:sz w:val="24"/>
          <w:szCs w:val="24"/>
          <w:highlight w:val="yellow"/>
          <w:lang w:val="sr-Cyrl-RS"/>
        </w:rPr>
      </w:pPr>
    </w:p>
    <w:p w:rsidR="0080194C" w:rsidRDefault="0080194C" w:rsidP="0080194C">
      <w:pPr>
        <w:tabs>
          <w:tab w:val="left" w:pos="707"/>
        </w:tabs>
        <w:spacing w:after="0"/>
        <w:ind w:right="-46"/>
        <w:jc w:val="both"/>
        <w:rPr>
          <w:sz w:val="24"/>
          <w:szCs w:val="24"/>
          <w:lang w:val="sr-Cyrl-RS"/>
        </w:rPr>
      </w:pPr>
      <w:r>
        <w:rPr>
          <w:sz w:val="24"/>
          <w:szCs w:val="24"/>
          <w:lang w:val="sr-Cyrl-RS"/>
        </w:rPr>
        <w:tab/>
        <w:t>Нова Стратегија</w:t>
      </w:r>
      <w:r w:rsidRPr="0080194C">
        <w:rPr>
          <w:sz w:val="24"/>
          <w:szCs w:val="24"/>
          <w:lang w:val="sr-Cyrl-RS"/>
        </w:rPr>
        <w:t xml:space="preserve"> за социјално укључивање Рома и Ромкиња у Републици Србији за период од 2022–2030. године усвојена је 3. фебруара 2022. године.</w:t>
      </w:r>
      <w:r>
        <w:rPr>
          <w:sz w:val="24"/>
          <w:szCs w:val="24"/>
          <w:lang w:val="sr-Cyrl-RS"/>
        </w:rPr>
        <w:t xml:space="preserve"> </w:t>
      </w:r>
      <w:r w:rsidR="00F67B8E" w:rsidRPr="008D203C">
        <w:rPr>
          <w:sz w:val="24"/>
          <w:szCs w:val="24"/>
          <w:lang w:val="sr-Cyrl-RS"/>
        </w:rPr>
        <w:t>Јавна расправа о Предлогу акционог плана за период 2022 – 2024. година одржана је у периоду од 26. маја до 15. јуна 2022. године</w:t>
      </w:r>
      <w:r w:rsidRPr="008D203C">
        <w:rPr>
          <w:sz w:val="24"/>
          <w:szCs w:val="24"/>
          <w:lang w:val="sr-Cyrl-RS"/>
        </w:rPr>
        <w:t>.</w:t>
      </w:r>
    </w:p>
    <w:p w:rsidR="0042418C" w:rsidRPr="0080194C" w:rsidRDefault="0042418C" w:rsidP="0042418C">
      <w:pPr>
        <w:tabs>
          <w:tab w:val="left" w:pos="707"/>
        </w:tabs>
        <w:spacing w:after="0"/>
        <w:ind w:right="-46"/>
        <w:jc w:val="both"/>
        <w:rPr>
          <w:sz w:val="24"/>
          <w:szCs w:val="24"/>
          <w:lang w:val="sr-Cyrl-RS"/>
        </w:rPr>
      </w:pPr>
      <w:r>
        <w:rPr>
          <w:sz w:val="24"/>
          <w:szCs w:val="24"/>
          <w:lang w:val="sr-Cyrl-RS"/>
        </w:rPr>
        <w:tab/>
      </w:r>
      <w:r w:rsidRPr="0042418C">
        <w:rPr>
          <w:sz w:val="24"/>
          <w:szCs w:val="24"/>
          <w:lang w:val="sr-Cyrl-RS"/>
        </w:rPr>
        <w:t>Као један од доприноса праћењ</w:t>
      </w:r>
      <w:r w:rsidR="00117B1E">
        <w:rPr>
          <w:sz w:val="24"/>
          <w:szCs w:val="24"/>
          <w:lang w:val="sr-Cyrl-RS"/>
        </w:rPr>
        <w:t>у</w:t>
      </w:r>
      <w:r w:rsidRPr="0042418C">
        <w:rPr>
          <w:sz w:val="24"/>
          <w:szCs w:val="24"/>
          <w:lang w:val="sr-Cyrl-RS"/>
        </w:rPr>
        <w:t xml:space="preserve"> спровођења </w:t>
      </w:r>
      <w:r>
        <w:rPr>
          <w:sz w:val="24"/>
          <w:szCs w:val="24"/>
          <w:lang w:val="sr-Cyrl-RS"/>
        </w:rPr>
        <w:t xml:space="preserve">претходне </w:t>
      </w:r>
      <w:r w:rsidRPr="0042418C">
        <w:rPr>
          <w:sz w:val="24"/>
          <w:szCs w:val="24"/>
          <w:lang w:val="sr-Cyrl-RS"/>
        </w:rPr>
        <w:t>Стратегије за социјално укључивање</w:t>
      </w:r>
      <w:r>
        <w:rPr>
          <w:sz w:val="24"/>
          <w:szCs w:val="24"/>
          <w:lang w:val="sr-Cyrl-RS"/>
        </w:rPr>
        <w:t xml:space="preserve"> </w:t>
      </w:r>
      <w:r w:rsidRPr="0042418C">
        <w:rPr>
          <w:sz w:val="24"/>
          <w:szCs w:val="24"/>
          <w:lang w:val="sr-Cyrl-RS"/>
        </w:rPr>
        <w:t>Рома и Ромкиња, Тим за социјално укључивање и смањење сиромаштва, у сарадњи</w:t>
      </w:r>
      <w:r>
        <w:rPr>
          <w:sz w:val="24"/>
          <w:szCs w:val="24"/>
          <w:lang w:val="sr-Cyrl-RS"/>
        </w:rPr>
        <w:t xml:space="preserve"> </w:t>
      </w:r>
      <w:r w:rsidRPr="0042418C">
        <w:rPr>
          <w:sz w:val="24"/>
          <w:szCs w:val="24"/>
          <w:lang w:val="sr-Cyrl-RS"/>
        </w:rPr>
        <w:t>са Саветом за права детета Владе Републике Србије, израд</w:t>
      </w:r>
      <w:r>
        <w:rPr>
          <w:sz w:val="24"/>
          <w:szCs w:val="24"/>
          <w:lang w:val="sr-Cyrl-RS"/>
        </w:rPr>
        <w:t>ио је</w:t>
      </w:r>
      <w:r w:rsidRPr="0042418C">
        <w:rPr>
          <w:sz w:val="24"/>
          <w:szCs w:val="24"/>
          <w:lang w:val="sr-Cyrl-RS"/>
        </w:rPr>
        <w:t xml:space="preserve"> Анализ</w:t>
      </w:r>
      <w:r>
        <w:rPr>
          <w:sz w:val="24"/>
          <w:szCs w:val="24"/>
          <w:lang w:val="sr-Cyrl-RS"/>
        </w:rPr>
        <w:t>у</w:t>
      </w:r>
      <w:r w:rsidRPr="0042418C">
        <w:rPr>
          <w:sz w:val="24"/>
          <w:szCs w:val="24"/>
          <w:lang w:val="sr-Cyrl-RS"/>
        </w:rPr>
        <w:t xml:space="preserve"> о</w:t>
      </w:r>
      <w:r w:rsidR="00124286">
        <w:rPr>
          <w:sz w:val="24"/>
          <w:szCs w:val="24"/>
          <w:lang w:val="sr-Cyrl-RS"/>
        </w:rPr>
        <w:t xml:space="preserve"> </w:t>
      </w:r>
      <w:r w:rsidRPr="0042418C">
        <w:rPr>
          <w:sz w:val="24"/>
          <w:szCs w:val="24"/>
          <w:lang w:val="sr-Cyrl-RS"/>
        </w:rPr>
        <w:t>доступности услуга и мера подршке за децу ромске националности на локалном нивоу.</w:t>
      </w:r>
      <w:r>
        <w:rPr>
          <w:rStyle w:val="FootnoteReference"/>
          <w:sz w:val="24"/>
          <w:szCs w:val="24"/>
          <w:lang w:val="sr-Cyrl-RS"/>
        </w:rPr>
        <w:footnoteReference w:id="30"/>
      </w:r>
    </w:p>
    <w:p w:rsidR="006904C2" w:rsidRPr="000B54D6" w:rsidRDefault="006904C2" w:rsidP="006904C2">
      <w:pPr>
        <w:spacing w:after="0"/>
        <w:ind w:firstLine="720"/>
        <w:jc w:val="both"/>
        <w:rPr>
          <w:sz w:val="24"/>
          <w:szCs w:val="24"/>
          <w:lang w:val="sr-Cyrl-RS"/>
        </w:rPr>
      </w:pPr>
      <w:r w:rsidRPr="000B54D6">
        <w:rPr>
          <w:sz w:val="24"/>
          <w:szCs w:val="24"/>
          <w:lang w:val="sr-Cyrl-RS"/>
        </w:rPr>
        <w:t>Национална академија за јавну управу је развила Програм стручног оспособљавања Рома за 2021. годину чији је општи циљ допринос унапређењу положаја припадника ромске заједнице у Републици Србији. Посебни циљеви овог Програма су развој и унапређење професионалних компетенција високообразованих припадника ромске заједнице као предуслова за њихову бољу запошљивост у јавној управи. Програм је развијен у сарадњи са Грађанским покретом Опре Рома Србија и Канцеларијом за ромске иницијативе Фондације за отворено друштво. Национална академија је реализовала Програм стручног оспособљавања Рома за прву генерацију полазника, а у току је селекција друге генерације полазника Програма.</w:t>
      </w:r>
    </w:p>
    <w:p w:rsidR="006904C2" w:rsidRPr="000B54D6" w:rsidRDefault="006904C2" w:rsidP="006904C2">
      <w:pPr>
        <w:spacing w:after="0"/>
        <w:ind w:firstLine="720"/>
        <w:jc w:val="both"/>
        <w:rPr>
          <w:sz w:val="24"/>
          <w:szCs w:val="24"/>
          <w:lang w:val="sr-Cyrl-RS"/>
        </w:rPr>
      </w:pPr>
      <w:r w:rsidRPr="000B54D6">
        <w:rPr>
          <w:sz w:val="24"/>
          <w:szCs w:val="24"/>
          <w:lang w:val="sr-Cyrl-RS"/>
        </w:rPr>
        <w:t xml:space="preserve">Поред поменутог Програма стручног оспособљавања Рома који је намењен високообразованим припадницима ромске националности, у Секторском програму </w:t>
      </w:r>
      <w:r w:rsidRPr="000B54D6">
        <w:rPr>
          <w:sz w:val="24"/>
          <w:szCs w:val="24"/>
          <w:lang w:val="sr-Cyrl-RS"/>
        </w:rPr>
        <w:lastRenderedPageBreak/>
        <w:t>континуираног стручног усавршавања запослених у јединицама локалне самоуправе предвиђене су две обуке које су намењене запосленима у јединицама локалне самоуправе који својим радом треба да допринесу социјалној инклузији Рома:</w:t>
      </w:r>
    </w:p>
    <w:p w:rsidR="006904C2" w:rsidRPr="000B54D6" w:rsidRDefault="006904C2" w:rsidP="006904C2">
      <w:pPr>
        <w:spacing w:after="0"/>
        <w:ind w:firstLine="720"/>
        <w:jc w:val="both"/>
        <w:rPr>
          <w:sz w:val="24"/>
          <w:szCs w:val="24"/>
          <w:lang w:val="sr-Cyrl-RS"/>
        </w:rPr>
      </w:pPr>
      <w:r w:rsidRPr="000B54D6">
        <w:rPr>
          <w:sz w:val="24"/>
          <w:szCs w:val="24"/>
          <w:lang w:val="sr-Cyrl-RS"/>
        </w:rPr>
        <w:t>- Развој, спровођење и праћење мера за социјалну инклузију Рома на локалном нивоу и</w:t>
      </w:r>
    </w:p>
    <w:p w:rsidR="006904C2" w:rsidRPr="000B54D6" w:rsidRDefault="006904C2" w:rsidP="006904C2">
      <w:pPr>
        <w:spacing w:after="0"/>
        <w:ind w:firstLine="720"/>
        <w:jc w:val="both"/>
        <w:rPr>
          <w:sz w:val="24"/>
          <w:szCs w:val="24"/>
          <w:lang w:val="sr-Cyrl-RS"/>
        </w:rPr>
      </w:pPr>
      <w:r w:rsidRPr="000B54D6">
        <w:rPr>
          <w:sz w:val="24"/>
          <w:szCs w:val="24"/>
          <w:lang w:val="sr-Cyrl-RS"/>
        </w:rPr>
        <w:t>- Социјална инклузија Рома на локалном нивоу – онлајн обука.</w:t>
      </w:r>
    </w:p>
    <w:p w:rsidR="006904C2" w:rsidRPr="000B54D6" w:rsidRDefault="006904C2" w:rsidP="006904C2">
      <w:pPr>
        <w:spacing w:after="0"/>
        <w:ind w:firstLine="720"/>
        <w:jc w:val="both"/>
        <w:rPr>
          <w:sz w:val="24"/>
          <w:szCs w:val="24"/>
          <w:lang w:val="sr-Cyrl-RS"/>
        </w:rPr>
      </w:pPr>
    </w:p>
    <w:p w:rsidR="006904C2" w:rsidRPr="000B54D6" w:rsidRDefault="006904C2" w:rsidP="006904C2">
      <w:pPr>
        <w:spacing w:after="0"/>
        <w:ind w:firstLine="720"/>
        <w:jc w:val="both"/>
        <w:rPr>
          <w:sz w:val="24"/>
          <w:szCs w:val="24"/>
          <w:lang w:val="sr-Cyrl-RS"/>
        </w:rPr>
      </w:pPr>
      <w:r w:rsidRPr="000B54D6">
        <w:rPr>
          <w:sz w:val="24"/>
          <w:szCs w:val="24"/>
          <w:lang w:val="sr-Cyrl-RS"/>
        </w:rPr>
        <w:t>Кроз програм ИПА 2020 планира се додела бесповратних средстава (директног гранта) Сталној конференцији градова и општина у износу од 6.500.000 евра. Један од кључних резултата у овом пројекту подразумева подршку спровођењу и унапређењу локалних мера и механизама за инклузију Рома, у оквиру кога се планирају следеће активности: пружање подршке постојећим локалним координационим телима (нови механизам - тело састављено од представника кључних локалних институција), мобилним тимовима формираним у оквиру ИПА 2016 и суфинансирању оперативних планова рада мобилних тимова; развој локалних акционих планова за социјално укључивање Рома и Ромкиња; размена најбољих пракси кроз рад Мреже сталних конференција за питања Рома и саветодавне подршке локалним самоуправама. Интервенција ће такође бити усмерена на изградњу и пи</w:t>
      </w:r>
      <w:r w:rsidR="0036704D">
        <w:rPr>
          <w:sz w:val="24"/>
          <w:szCs w:val="24"/>
          <w:lang w:val="sr-Cyrl-RS"/>
        </w:rPr>
        <w:t xml:space="preserve">лотирање међуопштинске сарадње и </w:t>
      </w:r>
      <w:r w:rsidRPr="000B54D6">
        <w:rPr>
          <w:sz w:val="24"/>
          <w:szCs w:val="24"/>
          <w:lang w:val="sr-Cyrl-RS"/>
        </w:rPr>
        <w:t xml:space="preserve">успостављање </w:t>
      </w:r>
      <w:r w:rsidR="0036704D">
        <w:rPr>
          <w:sz w:val="24"/>
          <w:szCs w:val="24"/>
          <w:lang w:val="sr-Cyrl-RS"/>
        </w:rPr>
        <w:t>мобилног тима за инклузију Рома</w:t>
      </w:r>
      <w:r w:rsidRPr="000B54D6">
        <w:rPr>
          <w:sz w:val="24"/>
          <w:szCs w:val="24"/>
          <w:lang w:val="sr-Cyrl-RS"/>
        </w:rPr>
        <w:t xml:space="preserve"> </w:t>
      </w:r>
      <w:r w:rsidR="0036704D" w:rsidRPr="000B54D6">
        <w:rPr>
          <w:sz w:val="24"/>
          <w:szCs w:val="24"/>
          <w:lang w:val="sr-Cyrl-RS"/>
        </w:rPr>
        <w:t>као иновативан</w:t>
      </w:r>
      <w:r w:rsidR="0036704D">
        <w:rPr>
          <w:sz w:val="24"/>
          <w:szCs w:val="24"/>
          <w:lang w:val="sr-Cyrl-RS"/>
        </w:rPr>
        <w:t>е</w:t>
      </w:r>
      <w:r w:rsidR="0036704D" w:rsidRPr="000B54D6">
        <w:rPr>
          <w:sz w:val="24"/>
          <w:szCs w:val="24"/>
          <w:lang w:val="sr-Cyrl-RS"/>
        </w:rPr>
        <w:t xml:space="preserve"> и интегрисан</w:t>
      </w:r>
      <w:r w:rsidR="0036704D">
        <w:rPr>
          <w:sz w:val="24"/>
          <w:szCs w:val="24"/>
          <w:lang w:val="sr-Cyrl-RS"/>
        </w:rPr>
        <w:t>е</w:t>
      </w:r>
      <w:r w:rsidR="0036704D" w:rsidRPr="000B54D6">
        <w:rPr>
          <w:sz w:val="24"/>
          <w:szCs w:val="24"/>
          <w:lang w:val="sr-Cyrl-RS"/>
        </w:rPr>
        <w:t xml:space="preserve"> социјалн</w:t>
      </w:r>
      <w:r w:rsidR="0036704D">
        <w:rPr>
          <w:sz w:val="24"/>
          <w:szCs w:val="24"/>
          <w:lang w:val="sr-Cyrl-RS"/>
        </w:rPr>
        <w:t>е</w:t>
      </w:r>
      <w:r w:rsidR="0036704D" w:rsidRPr="000B54D6">
        <w:rPr>
          <w:sz w:val="24"/>
          <w:szCs w:val="24"/>
          <w:lang w:val="sr-Cyrl-RS"/>
        </w:rPr>
        <w:t xml:space="preserve"> служб</w:t>
      </w:r>
      <w:r w:rsidR="0036704D">
        <w:rPr>
          <w:sz w:val="24"/>
          <w:szCs w:val="24"/>
          <w:lang w:val="sr-Cyrl-RS"/>
        </w:rPr>
        <w:t>е</w:t>
      </w:r>
      <w:r w:rsidR="0036704D" w:rsidRPr="000B54D6">
        <w:rPr>
          <w:sz w:val="24"/>
          <w:szCs w:val="24"/>
          <w:lang w:val="sr-Cyrl-RS"/>
        </w:rPr>
        <w:t xml:space="preserve"> на локалном нивоу (уз могуће проширење обима)</w:t>
      </w:r>
      <w:r w:rsidRPr="000B54D6">
        <w:rPr>
          <w:sz w:val="24"/>
          <w:szCs w:val="24"/>
          <w:lang w:val="sr-Cyrl-RS"/>
        </w:rPr>
        <w:t xml:space="preserve">. Ова интервенција ће такође укључити изградњу капацитета постојећих заједничких мобилних јединица за социјално укључивање Рома. </w:t>
      </w:r>
      <w:r w:rsidR="00F67B8E">
        <w:rPr>
          <w:sz w:val="24"/>
          <w:szCs w:val="24"/>
          <w:lang w:val="sr-Cyrl-RS"/>
        </w:rPr>
        <w:t>П</w:t>
      </w:r>
      <w:r w:rsidRPr="000B54D6">
        <w:rPr>
          <w:sz w:val="24"/>
          <w:szCs w:val="24"/>
          <w:lang w:val="sr-Cyrl-RS"/>
        </w:rPr>
        <w:t>ројек</w:t>
      </w:r>
      <w:r w:rsidR="00F67B8E">
        <w:rPr>
          <w:sz w:val="24"/>
          <w:szCs w:val="24"/>
          <w:lang w:val="sr-Cyrl-RS"/>
        </w:rPr>
        <w:t>а</w:t>
      </w:r>
      <w:r w:rsidRPr="000B54D6">
        <w:rPr>
          <w:sz w:val="24"/>
          <w:szCs w:val="24"/>
          <w:lang w:val="sr-Cyrl-RS"/>
        </w:rPr>
        <w:t>т</w:t>
      </w:r>
      <w:r w:rsidR="00F67B8E">
        <w:rPr>
          <w:sz w:val="24"/>
          <w:szCs w:val="24"/>
          <w:lang w:val="sr-Cyrl-RS"/>
        </w:rPr>
        <w:t xml:space="preserve"> почиње да се реализује у </w:t>
      </w:r>
      <w:r w:rsidRPr="000B54D6">
        <w:rPr>
          <w:sz w:val="24"/>
          <w:szCs w:val="24"/>
          <w:lang w:val="sr-Cyrl-RS"/>
        </w:rPr>
        <w:t>2022. годин</w:t>
      </w:r>
      <w:r w:rsidR="00F67B8E">
        <w:rPr>
          <w:sz w:val="24"/>
          <w:szCs w:val="24"/>
          <w:lang w:val="sr-Cyrl-RS"/>
        </w:rPr>
        <w:t>и</w:t>
      </w:r>
      <w:r w:rsidRPr="000B54D6">
        <w:rPr>
          <w:sz w:val="24"/>
          <w:szCs w:val="24"/>
          <w:lang w:val="sr-Cyrl-RS"/>
        </w:rPr>
        <w:t>.</w:t>
      </w:r>
    </w:p>
    <w:p w:rsidR="006904C2" w:rsidRDefault="006904C2" w:rsidP="00AD09F0">
      <w:pPr>
        <w:spacing w:after="0"/>
        <w:ind w:firstLine="720"/>
        <w:jc w:val="both"/>
        <w:rPr>
          <w:sz w:val="24"/>
          <w:szCs w:val="24"/>
          <w:lang w:val="sr-Cyrl-RS"/>
        </w:rPr>
      </w:pPr>
      <w:r w:rsidRPr="000B54D6">
        <w:rPr>
          <w:sz w:val="24"/>
          <w:szCs w:val="24"/>
          <w:lang w:val="sr-Cyrl-RS"/>
        </w:rPr>
        <w:t>Инклузија Рома прати се континуирано путем онлајн Базе за праћење мера за инклузију Рома и Ромкиња.</w:t>
      </w:r>
      <w:r w:rsidRPr="000B54D6">
        <w:rPr>
          <w:sz w:val="24"/>
          <w:szCs w:val="24"/>
        </w:rPr>
        <w:t xml:space="preserve"> </w:t>
      </w:r>
      <w:r w:rsidRPr="000B54D6">
        <w:rPr>
          <w:sz w:val="24"/>
          <w:szCs w:val="24"/>
          <w:lang w:val="sr-Cyrl-RS"/>
        </w:rPr>
        <w:t>Извештај у Бази за праћење мера за инклузију Рома и Ромкиња за 2020. годину поднело је укупно 116 јединица локалне самоуправе. На основу добијених података Тим за социјално укључивање и смањење сиромаштва је сачинио „Преглед података градова и општина о мерама за социјално укључивање Рома и Ромкиња у 2020. години“</w:t>
      </w:r>
      <w:r w:rsidR="00AD09F0">
        <w:rPr>
          <w:sz w:val="24"/>
          <w:szCs w:val="24"/>
        </w:rPr>
        <w:t>.</w:t>
      </w:r>
      <w:r w:rsidRPr="000B54D6">
        <w:rPr>
          <w:rStyle w:val="FootnoteReference"/>
          <w:sz w:val="24"/>
          <w:szCs w:val="24"/>
          <w:lang w:val="sr-Cyrl-RS"/>
        </w:rPr>
        <w:footnoteReference w:id="31"/>
      </w:r>
      <w:r w:rsidR="00AD09F0">
        <w:rPr>
          <w:sz w:val="24"/>
          <w:szCs w:val="24"/>
        </w:rPr>
        <w:t xml:space="preserve"> </w:t>
      </w:r>
      <w:r w:rsidR="00AD09F0" w:rsidRPr="00357CA0">
        <w:rPr>
          <w:sz w:val="24"/>
          <w:szCs w:val="24"/>
          <w:lang w:val="sr-Cyrl-RS"/>
        </w:rPr>
        <w:t>Према подацима из наведеног прегледа</w:t>
      </w:r>
      <w:r w:rsidR="00F67B8E">
        <w:rPr>
          <w:sz w:val="24"/>
          <w:szCs w:val="24"/>
          <w:lang w:val="sr-Cyrl-RS"/>
        </w:rPr>
        <w:t>,</w:t>
      </w:r>
      <w:r w:rsidR="00AD09F0" w:rsidRPr="00357CA0">
        <w:rPr>
          <w:sz w:val="24"/>
          <w:szCs w:val="24"/>
          <w:lang w:val="sr-Cyrl-RS"/>
        </w:rPr>
        <w:t xml:space="preserve"> од 116 јединица локалне самоуправе колико је попунило упитник, локални акциони план за социјално укључивање Рома и Ромкиња усвојен је у 49 градова и општина, док је посебна финансијска средства за унапређивање положаја Рома издвајало 45 јединица локалне самоуправе.</w:t>
      </w:r>
      <w:r w:rsidRPr="000B54D6">
        <w:rPr>
          <w:sz w:val="24"/>
          <w:szCs w:val="24"/>
          <w:lang w:val="sr-Cyrl-RS"/>
        </w:rPr>
        <w:t xml:space="preserve"> </w:t>
      </w:r>
    </w:p>
    <w:p w:rsidR="00384F80" w:rsidRDefault="00384F80" w:rsidP="00384F80">
      <w:pPr>
        <w:spacing w:after="0"/>
        <w:ind w:firstLine="720"/>
        <w:jc w:val="both"/>
        <w:rPr>
          <w:sz w:val="24"/>
          <w:szCs w:val="24"/>
          <w:lang w:val="sr-Cyrl-RS"/>
        </w:rPr>
      </w:pPr>
      <w:r>
        <w:rPr>
          <w:sz w:val="24"/>
          <w:szCs w:val="24"/>
          <w:lang w:val="sr-Cyrl-RS"/>
        </w:rPr>
        <w:t xml:space="preserve">Праћењу инклузије и унапређивања положаја Рома доприносе и одређене мере Народне скупштине Републике Србије. Наиме, </w:t>
      </w:r>
      <w:r w:rsidRPr="00384F80">
        <w:rPr>
          <w:sz w:val="24"/>
          <w:szCs w:val="24"/>
          <w:lang w:val="sr-Cyrl-RS"/>
        </w:rPr>
        <w:t xml:space="preserve">Одбор за људска и мањинска права и равноправност полова Народне скупштине је на седници одржаној 4. марта 2021. године донео Одлуку о образовању Пододбора за питања Рома. Задатак Пододбора је да прати извршавање закона и другог општег акта и разматра друга питања из области унапређења положаја Рома у Републици Србији, а посебно да анализира адекватност постојећег законског оквира, прати примену међународних докумената који се односе на питања Рома, разматра и подстиче мере и активности за развој и унапређење положаја </w:t>
      </w:r>
      <w:r w:rsidRPr="00384F80">
        <w:rPr>
          <w:sz w:val="24"/>
          <w:szCs w:val="24"/>
          <w:lang w:val="sr-Cyrl-RS"/>
        </w:rPr>
        <w:lastRenderedPageBreak/>
        <w:t xml:space="preserve">Рома, разматра и предлаже поступање по иницијативама, петицијама, представкама и предлозима који су поднети Одбору, а односе се на положај Рома.  </w:t>
      </w:r>
    </w:p>
    <w:p w:rsidR="000B54D6" w:rsidRPr="000B54D6" w:rsidRDefault="000B54D6" w:rsidP="001A5B76">
      <w:pPr>
        <w:spacing w:after="0"/>
        <w:ind w:firstLine="720"/>
        <w:jc w:val="both"/>
        <w:rPr>
          <w:sz w:val="24"/>
          <w:szCs w:val="24"/>
          <w:lang w:val="sr-Cyrl-RS"/>
        </w:rPr>
      </w:pPr>
      <w:r w:rsidRPr="00B634B9">
        <w:rPr>
          <w:sz w:val="24"/>
          <w:szCs w:val="24"/>
          <w:lang w:val="sr-Cyrl-RS"/>
        </w:rPr>
        <w:t>У оквиру програма Немачке развојне сарадње „Инклузија Рома и других маргинализованих група у Србији“ чији је циљ да се побољша институционална структура за међусекторску сарадњу и спровођење Стратегије за социјално укључивање Рома на локалу, један од главних циљева је стварање шанси за запошљавање Рома, Ромкиња, повратника по Споразуму о реадмисији и других припадника маргинализованих и теже запошљивих група у Србији.</w:t>
      </w:r>
      <w:r w:rsidR="001A5B76" w:rsidRPr="00B634B9">
        <w:rPr>
          <w:sz w:val="24"/>
          <w:szCs w:val="24"/>
          <w:lang w:val="sr-Cyrl-RS"/>
        </w:rPr>
        <w:t xml:space="preserve"> У оквиру програма, који се спроводи у партнерству са Министарством за људска и мањинска права и друштвени дијалог, 2021. године објављена је публикација Подстицање запошљавања,</w:t>
      </w:r>
      <w:r w:rsidR="001A5B76" w:rsidRPr="00B634B9">
        <w:rPr>
          <w:rStyle w:val="FootnoteReference"/>
          <w:sz w:val="24"/>
          <w:szCs w:val="24"/>
          <w:lang w:val="sr-Cyrl-RS"/>
        </w:rPr>
        <w:footnoteReference w:id="32"/>
      </w:r>
      <w:r w:rsidR="001A5B76" w:rsidRPr="00B634B9">
        <w:rPr>
          <w:sz w:val="24"/>
          <w:szCs w:val="24"/>
          <w:lang w:val="sr-Cyrl-RS"/>
        </w:rPr>
        <w:t xml:space="preserve"> у којој су представљени модели запошљавања који су дали добре резултате у запошљавању Рома, Ромкиња и других маргинализованих група. </w:t>
      </w:r>
      <w:r w:rsidR="00B634B9" w:rsidRPr="00B634B9">
        <w:rPr>
          <w:sz w:val="24"/>
          <w:szCs w:val="24"/>
          <w:lang w:val="sr-Cyrl-RS"/>
        </w:rPr>
        <w:t>Према подацима из наведене публикације</w:t>
      </w:r>
      <w:r w:rsidR="00F67B8E">
        <w:rPr>
          <w:sz w:val="24"/>
          <w:szCs w:val="24"/>
          <w:lang w:val="sr-Cyrl-RS"/>
        </w:rPr>
        <w:t>,</w:t>
      </w:r>
      <w:r w:rsidR="00B634B9" w:rsidRPr="00B634B9">
        <w:rPr>
          <w:sz w:val="24"/>
          <w:szCs w:val="24"/>
          <w:lang w:val="sr-Cyrl-RS"/>
        </w:rPr>
        <w:t xml:space="preserve"> стручне обуке за запошљавање код познатих послодаваца организоване су у преко 20 компанија за 300 полазника у 12 области рада. Стручне обуке за 15 профила тражених на тржишту рада обухватиле су преко 450 полазника. Преко 300 предузетника подржано је за покретање сопственог или развој постојећег посла. Каријерно вођење и саветовање, као и менторска подршка у запошљавању пружени су за преко 800 корисника, од чега је преко 500 жена.</w:t>
      </w:r>
    </w:p>
    <w:p w:rsidR="006904C2" w:rsidRPr="000B54D6" w:rsidRDefault="006904C2" w:rsidP="006904C2">
      <w:pPr>
        <w:spacing w:after="0"/>
        <w:ind w:firstLine="720"/>
        <w:jc w:val="both"/>
        <w:rPr>
          <w:sz w:val="24"/>
          <w:szCs w:val="24"/>
          <w:lang w:val="sr-Cyrl-RS"/>
        </w:rPr>
      </w:pPr>
      <w:r w:rsidRPr="000B54D6">
        <w:rPr>
          <w:sz w:val="24"/>
          <w:szCs w:val="24"/>
          <w:lang w:val="sr-Cyrl-RS"/>
        </w:rPr>
        <w:t>Исто тако, континуирано се на различитим нивоима власти спроводе конкурси који имају циљ подстицање позитивног деловања шире друштвене заједнице према представницима ромске популације у циљу спречавања дискриминације, посебно вишеструко дискриминисаних Рома и Ромкиња; унапређивање положаја Рома и Ромкиња кроз обезбеђење остваривања права на образовање, запошљавање, здравствену заштиту; унапређење приступа услугама социјалне заштите ради смањења сиромаштва и повећања социјалне укључености Рома и Ромкиња у локалној заједници, креирање и промовисање интегралних локалних услуга/сервиса/програма итд.</w:t>
      </w:r>
    </w:p>
    <w:p w:rsidR="006904C2" w:rsidRPr="000B54D6" w:rsidRDefault="006904C2" w:rsidP="006904C2">
      <w:pPr>
        <w:spacing w:after="0"/>
        <w:ind w:firstLine="720"/>
        <w:jc w:val="both"/>
        <w:rPr>
          <w:sz w:val="24"/>
          <w:szCs w:val="24"/>
          <w:lang w:val="sr-Cyrl-RS"/>
        </w:rPr>
      </w:pPr>
      <w:r w:rsidRPr="000B54D6">
        <w:rPr>
          <w:sz w:val="24"/>
          <w:szCs w:val="24"/>
          <w:lang w:val="sr-Cyrl-RS"/>
        </w:rPr>
        <w:t>У табелама које следе дат је преглед расположивих података о расписаним конкурисма и додељеним средствима.</w:t>
      </w:r>
    </w:p>
    <w:p w:rsidR="006904C2" w:rsidRPr="000B54D6" w:rsidRDefault="006904C2" w:rsidP="006904C2">
      <w:pPr>
        <w:spacing w:after="0"/>
        <w:jc w:val="both"/>
        <w:rPr>
          <w:sz w:val="24"/>
          <w:szCs w:val="24"/>
          <w:lang w:val="sr-Cyrl-RS"/>
        </w:rPr>
      </w:pPr>
    </w:p>
    <w:tbl>
      <w:tblPr>
        <w:tblStyle w:val="TableGrid"/>
        <w:tblW w:w="0" w:type="auto"/>
        <w:tblLook w:val="04A0" w:firstRow="1" w:lastRow="0" w:firstColumn="1" w:lastColumn="0" w:noHBand="0" w:noVBand="1"/>
      </w:tblPr>
      <w:tblGrid>
        <w:gridCol w:w="7083"/>
        <w:gridCol w:w="1933"/>
      </w:tblGrid>
      <w:tr w:rsidR="006904C2" w:rsidRPr="000B54D6" w:rsidTr="00864274">
        <w:tc>
          <w:tcPr>
            <w:tcW w:w="9016" w:type="dxa"/>
            <w:gridSpan w:val="2"/>
          </w:tcPr>
          <w:p w:rsidR="006904C2" w:rsidRPr="000B54D6" w:rsidRDefault="006904C2" w:rsidP="003B31D0">
            <w:pPr>
              <w:spacing w:after="0"/>
              <w:jc w:val="center"/>
              <w:rPr>
                <w:sz w:val="20"/>
                <w:szCs w:val="20"/>
                <w:lang w:val="sr-Cyrl-RS"/>
              </w:rPr>
            </w:pPr>
            <w:r w:rsidRPr="000B54D6">
              <w:rPr>
                <w:sz w:val="20"/>
                <w:szCs w:val="20"/>
                <w:lang w:val="sr-Cyrl-RS"/>
              </w:rPr>
              <w:t>Канцеларија за људска и мањинска права</w:t>
            </w:r>
          </w:p>
          <w:p w:rsidR="006904C2" w:rsidRPr="000B54D6" w:rsidRDefault="006904C2" w:rsidP="003B31D0">
            <w:pPr>
              <w:spacing w:after="0"/>
              <w:jc w:val="center"/>
              <w:rPr>
                <w:sz w:val="20"/>
                <w:szCs w:val="20"/>
                <w:lang w:val="sr-Cyrl-RS"/>
              </w:rPr>
            </w:pPr>
          </w:p>
        </w:tc>
      </w:tr>
      <w:tr w:rsidR="006904C2" w:rsidRPr="000B54D6" w:rsidTr="00864274">
        <w:tc>
          <w:tcPr>
            <w:tcW w:w="7083" w:type="dxa"/>
          </w:tcPr>
          <w:p w:rsidR="006904C2" w:rsidRPr="000B54D6" w:rsidRDefault="006904C2" w:rsidP="003B31D0">
            <w:pPr>
              <w:spacing w:after="0"/>
              <w:jc w:val="center"/>
              <w:rPr>
                <w:sz w:val="20"/>
                <w:szCs w:val="20"/>
                <w:lang w:val="sr-Cyrl-RS"/>
              </w:rPr>
            </w:pPr>
            <w:r w:rsidRPr="000B54D6">
              <w:rPr>
                <w:sz w:val="20"/>
                <w:szCs w:val="20"/>
                <w:lang w:val="sr-Cyrl-RS"/>
              </w:rPr>
              <w:t>Конкурс</w:t>
            </w:r>
          </w:p>
        </w:tc>
        <w:tc>
          <w:tcPr>
            <w:tcW w:w="1933" w:type="dxa"/>
          </w:tcPr>
          <w:p w:rsidR="006904C2" w:rsidRPr="000B54D6" w:rsidRDefault="006904C2" w:rsidP="003B31D0">
            <w:pPr>
              <w:spacing w:after="0"/>
              <w:jc w:val="center"/>
              <w:rPr>
                <w:sz w:val="20"/>
                <w:szCs w:val="20"/>
                <w:lang w:val="sr-Cyrl-RS"/>
              </w:rPr>
            </w:pPr>
            <w:r w:rsidRPr="000B54D6">
              <w:rPr>
                <w:sz w:val="20"/>
                <w:szCs w:val="20"/>
                <w:lang w:val="sr-Cyrl-RS"/>
              </w:rPr>
              <w:t>Износ средстава</w:t>
            </w:r>
          </w:p>
        </w:tc>
      </w:tr>
      <w:tr w:rsidR="006904C2" w:rsidRPr="000B54D6" w:rsidTr="00864274">
        <w:tc>
          <w:tcPr>
            <w:tcW w:w="7083" w:type="dxa"/>
          </w:tcPr>
          <w:p w:rsidR="006904C2" w:rsidRPr="000B54D6" w:rsidRDefault="006904C2" w:rsidP="003B31D0">
            <w:pPr>
              <w:spacing w:after="0"/>
              <w:rPr>
                <w:sz w:val="20"/>
                <w:szCs w:val="20"/>
                <w:lang w:val="sr-Cyrl-RS"/>
              </w:rPr>
            </w:pPr>
            <w:r w:rsidRPr="000B54D6">
              <w:rPr>
                <w:sz w:val="20"/>
                <w:szCs w:val="20"/>
                <w:lang w:val="sr-Cyrl-RS"/>
              </w:rPr>
              <w:t>Унапређење положаја Рома и Ромкиња у Рeпублици Србиjи за 2017. годину</w:t>
            </w:r>
          </w:p>
        </w:tc>
        <w:tc>
          <w:tcPr>
            <w:tcW w:w="1933" w:type="dxa"/>
          </w:tcPr>
          <w:p w:rsidR="006904C2" w:rsidRPr="000B54D6" w:rsidRDefault="006904C2" w:rsidP="003B31D0">
            <w:pPr>
              <w:spacing w:after="0"/>
              <w:jc w:val="right"/>
              <w:rPr>
                <w:sz w:val="20"/>
                <w:szCs w:val="20"/>
                <w:lang w:val="sr-Cyrl-RS"/>
              </w:rPr>
            </w:pPr>
            <w:r w:rsidRPr="000B54D6">
              <w:rPr>
                <w:sz w:val="20"/>
                <w:szCs w:val="20"/>
                <w:lang w:val="sr-Cyrl-RS"/>
              </w:rPr>
              <w:t>15.388.125,00</w:t>
            </w:r>
          </w:p>
        </w:tc>
      </w:tr>
      <w:tr w:rsidR="006904C2" w:rsidRPr="000B54D6" w:rsidTr="00864274">
        <w:tc>
          <w:tcPr>
            <w:tcW w:w="7083" w:type="dxa"/>
          </w:tcPr>
          <w:p w:rsidR="006904C2" w:rsidRPr="000B54D6" w:rsidRDefault="006904C2" w:rsidP="003B31D0">
            <w:pPr>
              <w:spacing w:after="0"/>
              <w:rPr>
                <w:sz w:val="20"/>
                <w:szCs w:val="20"/>
                <w:lang w:val="sr-Cyrl-RS"/>
              </w:rPr>
            </w:pPr>
            <w:r w:rsidRPr="000B54D6">
              <w:rPr>
                <w:sz w:val="20"/>
                <w:szCs w:val="20"/>
                <w:lang w:val="sr-Cyrl-RS"/>
              </w:rPr>
              <w:t>Унапређење положаја Рома и Ромкиња у Рeпублици Србиjи за 2018. годину</w:t>
            </w:r>
          </w:p>
        </w:tc>
        <w:tc>
          <w:tcPr>
            <w:tcW w:w="1933" w:type="dxa"/>
          </w:tcPr>
          <w:p w:rsidR="006904C2" w:rsidRPr="000B54D6" w:rsidRDefault="006904C2" w:rsidP="003B31D0">
            <w:pPr>
              <w:spacing w:after="0"/>
              <w:jc w:val="right"/>
              <w:rPr>
                <w:sz w:val="20"/>
                <w:szCs w:val="20"/>
                <w:lang w:val="sr-Cyrl-RS"/>
              </w:rPr>
            </w:pPr>
            <w:r w:rsidRPr="000B54D6">
              <w:rPr>
                <w:sz w:val="20"/>
                <w:szCs w:val="20"/>
                <w:lang w:val="sr-Cyrl-RS"/>
              </w:rPr>
              <w:t>13.948.028,00</w:t>
            </w:r>
          </w:p>
        </w:tc>
      </w:tr>
      <w:tr w:rsidR="006904C2" w:rsidRPr="000B54D6" w:rsidTr="00864274">
        <w:tc>
          <w:tcPr>
            <w:tcW w:w="7083" w:type="dxa"/>
          </w:tcPr>
          <w:p w:rsidR="006904C2" w:rsidRPr="000B54D6" w:rsidRDefault="006904C2" w:rsidP="003B31D0">
            <w:pPr>
              <w:spacing w:after="0"/>
              <w:rPr>
                <w:sz w:val="20"/>
                <w:szCs w:val="20"/>
                <w:lang w:val="sr-Cyrl-RS"/>
              </w:rPr>
            </w:pPr>
            <w:r w:rsidRPr="000B54D6">
              <w:rPr>
                <w:sz w:val="20"/>
                <w:szCs w:val="20"/>
                <w:lang w:val="sr-Cyrl-RS"/>
              </w:rPr>
              <w:t>Унапређење положаја Рома и Ромкиња у Рeпублици Србиjи за 2019. годину</w:t>
            </w:r>
          </w:p>
        </w:tc>
        <w:tc>
          <w:tcPr>
            <w:tcW w:w="1933" w:type="dxa"/>
          </w:tcPr>
          <w:p w:rsidR="006904C2" w:rsidRPr="000B54D6" w:rsidRDefault="006904C2" w:rsidP="003B31D0">
            <w:pPr>
              <w:spacing w:after="0"/>
              <w:jc w:val="right"/>
              <w:rPr>
                <w:sz w:val="20"/>
                <w:szCs w:val="20"/>
                <w:lang w:val="sr-Cyrl-RS"/>
              </w:rPr>
            </w:pPr>
            <w:r w:rsidRPr="000B54D6">
              <w:rPr>
                <w:sz w:val="20"/>
                <w:szCs w:val="20"/>
                <w:lang w:val="sr-Cyrl-RS"/>
              </w:rPr>
              <w:t>15.994.792,00</w:t>
            </w:r>
          </w:p>
        </w:tc>
      </w:tr>
      <w:tr w:rsidR="006904C2" w:rsidRPr="000B54D6" w:rsidTr="00864274">
        <w:tc>
          <w:tcPr>
            <w:tcW w:w="7083" w:type="dxa"/>
          </w:tcPr>
          <w:p w:rsidR="006904C2" w:rsidRPr="000B54D6" w:rsidRDefault="006904C2" w:rsidP="003B31D0">
            <w:pPr>
              <w:spacing w:after="0"/>
              <w:rPr>
                <w:sz w:val="20"/>
                <w:szCs w:val="20"/>
                <w:lang w:val="sr-Cyrl-RS"/>
              </w:rPr>
            </w:pPr>
            <w:r w:rsidRPr="000B54D6">
              <w:rPr>
                <w:sz w:val="20"/>
                <w:szCs w:val="20"/>
                <w:lang w:val="sr-Cyrl-RS"/>
              </w:rPr>
              <w:t>Унапређење положаја Рома и Ромкиња у Рeпублици Србиjи за 2020. годину</w:t>
            </w:r>
          </w:p>
        </w:tc>
        <w:tc>
          <w:tcPr>
            <w:tcW w:w="1933" w:type="dxa"/>
          </w:tcPr>
          <w:p w:rsidR="006904C2" w:rsidRPr="000B54D6" w:rsidRDefault="006904C2" w:rsidP="003B31D0">
            <w:pPr>
              <w:spacing w:after="0"/>
              <w:jc w:val="right"/>
              <w:rPr>
                <w:sz w:val="20"/>
                <w:szCs w:val="20"/>
                <w:lang w:val="sr-Cyrl-RS"/>
              </w:rPr>
            </w:pPr>
            <w:r w:rsidRPr="000B54D6">
              <w:rPr>
                <w:sz w:val="20"/>
                <w:szCs w:val="20"/>
                <w:lang w:val="sr-Cyrl-RS"/>
              </w:rPr>
              <w:t>6.988.947,00</w:t>
            </w:r>
          </w:p>
        </w:tc>
      </w:tr>
    </w:tbl>
    <w:p w:rsidR="006904C2" w:rsidRPr="000B54D6" w:rsidRDefault="006904C2" w:rsidP="006904C2">
      <w:pPr>
        <w:spacing w:after="0"/>
        <w:jc w:val="both"/>
        <w:rPr>
          <w:sz w:val="24"/>
          <w:szCs w:val="24"/>
          <w:lang w:val="sr-Cyrl-RS"/>
        </w:rPr>
      </w:pPr>
    </w:p>
    <w:p w:rsidR="00770AB1" w:rsidRPr="000B54D6" w:rsidRDefault="00770AB1" w:rsidP="006904C2">
      <w:pPr>
        <w:spacing w:after="0"/>
        <w:jc w:val="both"/>
        <w:rPr>
          <w:sz w:val="24"/>
          <w:szCs w:val="24"/>
          <w:lang w:val="sr-Cyrl-RS"/>
        </w:rPr>
      </w:pPr>
    </w:p>
    <w:tbl>
      <w:tblPr>
        <w:tblStyle w:val="TableGrid"/>
        <w:tblW w:w="0" w:type="auto"/>
        <w:tblLook w:val="04A0" w:firstRow="1" w:lastRow="0" w:firstColumn="1" w:lastColumn="0" w:noHBand="0" w:noVBand="1"/>
      </w:tblPr>
      <w:tblGrid>
        <w:gridCol w:w="7083"/>
        <w:gridCol w:w="1933"/>
      </w:tblGrid>
      <w:tr w:rsidR="00770AB1" w:rsidRPr="000B54D6" w:rsidTr="00864274">
        <w:tc>
          <w:tcPr>
            <w:tcW w:w="9016" w:type="dxa"/>
            <w:gridSpan w:val="2"/>
          </w:tcPr>
          <w:p w:rsidR="00770AB1" w:rsidRPr="000B54D6" w:rsidRDefault="00770AB1" w:rsidP="00864274">
            <w:pPr>
              <w:spacing w:after="0"/>
              <w:jc w:val="center"/>
              <w:rPr>
                <w:sz w:val="20"/>
                <w:szCs w:val="20"/>
                <w:lang w:val="sr-Cyrl-RS"/>
              </w:rPr>
            </w:pPr>
            <w:r w:rsidRPr="000B54D6">
              <w:rPr>
                <w:sz w:val="20"/>
                <w:szCs w:val="20"/>
                <w:lang w:val="sr-Cyrl-RS"/>
              </w:rPr>
              <w:t>Министарство за људска и мањинска права и друштвени дијалог</w:t>
            </w:r>
          </w:p>
          <w:p w:rsidR="00770AB1" w:rsidRPr="000B54D6" w:rsidRDefault="00770AB1" w:rsidP="00864274">
            <w:pPr>
              <w:spacing w:after="0"/>
              <w:jc w:val="center"/>
              <w:rPr>
                <w:sz w:val="20"/>
                <w:szCs w:val="20"/>
                <w:lang w:val="sr-Cyrl-RS"/>
              </w:rPr>
            </w:pPr>
          </w:p>
        </w:tc>
      </w:tr>
      <w:tr w:rsidR="00770AB1" w:rsidRPr="000B54D6" w:rsidTr="00864274">
        <w:tc>
          <w:tcPr>
            <w:tcW w:w="7083" w:type="dxa"/>
          </w:tcPr>
          <w:p w:rsidR="00770AB1" w:rsidRPr="000B54D6" w:rsidRDefault="00770AB1" w:rsidP="00864274">
            <w:pPr>
              <w:spacing w:after="0"/>
              <w:jc w:val="center"/>
              <w:rPr>
                <w:sz w:val="20"/>
                <w:szCs w:val="20"/>
                <w:lang w:val="sr-Cyrl-RS"/>
              </w:rPr>
            </w:pPr>
            <w:r w:rsidRPr="000B54D6">
              <w:rPr>
                <w:sz w:val="20"/>
                <w:szCs w:val="20"/>
                <w:lang w:val="sr-Cyrl-RS"/>
              </w:rPr>
              <w:t>Конкурс</w:t>
            </w:r>
          </w:p>
        </w:tc>
        <w:tc>
          <w:tcPr>
            <w:tcW w:w="1933" w:type="dxa"/>
          </w:tcPr>
          <w:p w:rsidR="00770AB1" w:rsidRPr="000B54D6" w:rsidRDefault="00770AB1" w:rsidP="00864274">
            <w:pPr>
              <w:spacing w:after="0"/>
              <w:jc w:val="center"/>
              <w:rPr>
                <w:sz w:val="20"/>
                <w:szCs w:val="20"/>
                <w:lang w:val="sr-Cyrl-RS"/>
              </w:rPr>
            </w:pPr>
            <w:r w:rsidRPr="000B54D6">
              <w:rPr>
                <w:sz w:val="20"/>
                <w:szCs w:val="20"/>
                <w:lang w:val="sr-Cyrl-RS"/>
              </w:rPr>
              <w:t>Износ средстава</w:t>
            </w:r>
          </w:p>
        </w:tc>
      </w:tr>
      <w:tr w:rsidR="00770AB1" w:rsidRPr="000B54D6" w:rsidTr="00864274">
        <w:tc>
          <w:tcPr>
            <w:tcW w:w="7083" w:type="dxa"/>
          </w:tcPr>
          <w:p w:rsidR="00770AB1" w:rsidRPr="000B54D6" w:rsidRDefault="00770AB1" w:rsidP="00770AB1">
            <w:pPr>
              <w:spacing w:after="0"/>
              <w:rPr>
                <w:sz w:val="20"/>
                <w:szCs w:val="20"/>
                <w:lang w:val="sr-Cyrl-RS"/>
              </w:rPr>
            </w:pPr>
            <w:r w:rsidRPr="000B54D6">
              <w:rPr>
                <w:sz w:val="20"/>
                <w:szCs w:val="20"/>
                <w:lang w:val="sr-Cyrl-RS"/>
              </w:rPr>
              <w:t>Спровођење политика социјалног укључивања Рома и Ромкиња у Рeпублици Србиjи</w:t>
            </w:r>
            <w:r w:rsidRPr="000B54D6">
              <w:rPr>
                <w:sz w:val="20"/>
                <w:szCs w:val="20"/>
              </w:rPr>
              <w:t xml:space="preserve"> </w:t>
            </w:r>
            <w:r w:rsidRPr="000B54D6">
              <w:rPr>
                <w:sz w:val="20"/>
                <w:szCs w:val="20"/>
                <w:lang w:val="sr-Cyrl-RS"/>
              </w:rPr>
              <w:t>за 2021. годину</w:t>
            </w:r>
          </w:p>
        </w:tc>
        <w:tc>
          <w:tcPr>
            <w:tcW w:w="1933" w:type="dxa"/>
          </w:tcPr>
          <w:p w:rsidR="00770AB1" w:rsidRPr="000B54D6" w:rsidRDefault="00770AB1" w:rsidP="00770AB1">
            <w:pPr>
              <w:spacing w:after="0"/>
              <w:jc w:val="right"/>
              <w:rPr>
                <w:sz w:val="20"/>
                <w:szCs w:val="20"/>
                <w:lang w:val="sr-Cyrl-RS"/>
              </w:rPr>
            </w:pPr>
            <w:r w:rsidRPr="000B54D6">
              <w:rPr>
                <w:sz w:val="20"/>
                <w:szCs w:val="20"/>
                <w:lang w:val="sr-Cyrl-RS"/>
              </w:rPr>
              <w:t>12.000.000.00</w:t>
            </w:r>
          </w:p>
        </w:tc>
      </w:tr>
    </w:tbl>
    <w:p w:rsidR="00770AB1" w:rsidRPr="000B54D6" w:rsidRDefault="00770AB1" w:rsidP="006904C2">
      <w:pPr>
        <w:spacing w:after="0"/>
        <w:jc w:val="both"/>
        <w:rPr>
          <w:sz w:val="24"/>
          <w:szCs w:val="24"/>
          <w:lang w:val="sr-Cyrl-RS"/>
        </w:rPr>
      </w:pPr>
    </w:p>
    <w:p w:rsidR="006904C2" w:rsidRPr="000B54D6" w:rsidRDefault="006904C2" w:rsidP="006904C2">
      <w:pPr>
        <w:spacing w:after="0"/>
        <w:jc w:val="both"/>
        <w:rPr>
          <w:sz w:val="24"/>
          <w:szCs w:val="24"/>
          <w:lang w:val="sr-Cyrl-RS"/>
        </w:rPr>
      </w:pPr>
    </w:p>
    <w:tbl>
      <w:tblPr>
        <w:tblStyle w:val="TableGrid"/>
        <w:tblW w:w="0" w:type="auto"/>
        <w:tblLook w:val="04A0" w:firstRow="1" w:lastRow="0" w:firstColumn="1" w:lastColumn="0" w:noHBand="0" w:noVBand="1"/>
      </w:tblPr>
      <w:tblGrid>
        <w:gridCol w:w="1413"/>
        <w:gridCol w:w="5953"/>
        <w:gridCol w:w="1650"/>
      </w:tblGrid>
      <w:tr w:rsidR="006904C2" w:rsidRPr="000B54D6" w:rsidTr="00864274">
        <w:tc>
          <w:tcPr>
            <w:tcW w:w="9016" w:type="dxa"/>
            <w:gridSpan w:val="3"/>
          </w:tcPr>
          <w:p w:rsidR="006904C2" w:rsidRPr="000B54D6" w:rsidRDefault="006904C2" w:rsidP="00770AB1">
            <w:pPr>
              <w:spacing w:after="0"/>
              <w:jc w:val="center"/>
              <w:rPr>
                <w:sz w:val="20"/>
                <w:szCs w:val="20"/>
                <w:lang w:val="sr-Cyrl-RS"/>
              </w:rPr>
            </w:pPr>
            <w:r w:rsidRPr="000B54D6">
              <w:rPr>
                <w:sz w:val="20"/>
                <w:szCs w:val="20"/>
                <w:lang w:val="sr-Cyrl-RS"/>
              </w:rPr>
              <w:t>Покрајински секретаријат за социјалну политику, демографију и равноправност полова</w:t>
            </w:r>
          </w:p>
          <w:p w:rsidR="006904C2" w:rsidRPr="000B54D6" w:rsidRDefault="006904C2" w:rsidP="00770AB1">
            <w:pPr>
              <w:spacing w:after="0"/>
              <w:jc w:val="center"/>
              <w:rPr>
                <w:sz w:val="20"/>
                <w:szCs w:val="20"/>
                <w:lang w:val="sr-Cyrl-RS"/>
              </w:rPr>
            </w:pPr>
          </w:p>
        </w:tc>
      </w:tr>
      <w:tr w:rsidR="006904C2" w:rsidRPr="000B54D6" w:rsidTr="00864274">
        <w:tc>
          <w:tcPr>
            <w:tcW w:w="1413" w:type="dxa"/>
          </w:tcPr>
          <w:p w:rsidR="006904C2" w:rsidRPr="000B54D6" w:rsidRDefault="006904C2" w:rsidP="00770AB1">
            <w:pPr>
              <w:spacing w:after="0"/>
              <w:jc w:val="center"/>
              <w:rPr>
                <w:sz w:val="20"/>
                <w:szCs w:val="20"/>
                <w:lang w:val="sr-Cyrl-RS"/>
              </w:rPr>
            </w:pPr>
            <w:r w:rsidRPr="000B54D6">
              <w:rPr>
                <w:sz w:val="20"/>
                <w:szCs w:val="20"/>
                <w:lang w:val="sr-Cyrl-RS"/>
              </w:rPr>
              <w:t>Година</w:t>
            </w:r>
          </w:p>
        </w:tc>
        <w:tc>
          <w:tcPr>
            <w:tcW w:w="5953" w:type="dxa"/>
          </w:tcPr>
          <w:p w:rsidR="006904C2" w:rsidRPr="000B54D6" w:rsidRDefault="006904C2" w:rsidP="00770AB1">
            <w:pPr>
              <w:spacing w:after="0"/>
              <w:jc w:val="center"/>
              <w:rPr>
                <w:sz w:val="20"/>
                <w:szCs w:val="20"/>
                <w:lang w:val="sr-Cyrl-RS"/>
              </w:rPr>
            </w:pPr>
            <w:r w:rsidRPr="000B54D6">
              <w:rPr>
                <w:sz w:val="20"/>
                <w:szCs w:val="20"/>
                <w:lang w:val="sr-Cyrl-RS"/>
              </w:rPr>
              <w:t>Конкурс</w:t>
            </w:r>
          </w:p>
        </w:tc>
        <w:tc>
          <w:tcPr>
            <w:tcW w:w="1650" w:type="dxa"/>
          </w:tcPr>
          <w:p w:rsidR="006904C2" w:rsidRPr="000B54D6" w:rsidRDefault="006904C2" w:rsidP="00770AB1">
            <w:pPr>
              <w:spacing w:after="0"/>
              <w:jc w:val="center"/>
              <w:rPr>
                <w:sz w:val="20"/>
                <w:szCs w:val="20"/>
                <w:lang w:val="sr-Cyrl-RS"/>
              </w:rPr>
            </w:pPr>
            <w:r w:rsidRPr="000B54D6">
              <w:rPr>
                <w:sz w:val="20"/>
                <w:szCs w:val="20"/>
                <w:lang w:val="sr-Cyrl-RS"/>
              </w:rPr>
              <w:t>Износ средстава</w:t>
            </w:r>
          </w:p>
        </w:tc>
      </w:tr>
      <w:tr w:rsidR="006904C2" w:rsidRPr="000B54D6" w:rsidTr="00864274">
        <w:tc>
          <w:tcPr>
            <w:tcW w:w="1413" w:type="dxa"/>
          </w:tcPr>
          <w:p w:rsidR="006904C2" w:rsidRPr="000B54D6" w:rsidRDefault="006904C2" w:rsidP="00770AB1">
            <w:pPr>
              <w:spacing w:after="0"/>
              <w:jc w:val="both"/>
              <w:rPr>
                <w:sz w:val="20"/>
                <w:szCs w:val="20"/>
                <w:lang w:val="sr-Cyrl-RS"/>
              </w:rPr>
            </w:pPr>
            <w:r w:rsidRPr="000B54D6">
              <w:rPr>
                <w:sz w:val="20"/>
                <w:szCs w:val="20"/>
                <w:lang w:val="sr-Cyrl-RS"/>
              </w:rPr>
              <w:t>2017. година</w:t>
            </w:r>
          </w:p>
        </w:tc>
        <w:tc>
          <w:tcPr>
            <w:tcW w:w="5953" w:type="dxa"/>
          </w:tcPr>
          <w:p w:rsidR="006904C2" w:rsidRPr="000B54D6" w:rsidRDefault="006904C2" w:rsidP="00770AB1">
            <w:pPr>
              <w:spacing w:after="0"/>
              <w:rPr>
                <w:sz w:val="20"/>
                <w:szCs w:val="20"/>
                <w:lang w:val="sr-Cyrl-RS"/>
              </w:rPr>
            </w:pPr>
            <w:r w:rsidRPr="000B54D6">
              <w:rPr>
                <w:sz w:val="20"/>
                <w:szCs w:val="20"/>
                <w:lang w:val="sr-Cyrl-RS"/>
              </w:rPr>
              <w:t>Јавни Конкурс за доделу бесповратних средстава градовима и општинама  са територије АП Војводине за финансирање ангажовања координатора за ромска питања</w:t>
            </w:r>
          </w:p>
        </w:tc>
        <w:tc>
          <w:tcPr>
            <w:tcW w:w="1650" w:type="dxa"/>
          </w:tcPr>
          <w:p w:rsidR="006904C2" w:rsidRPr="000B54D6" w:rsidRDefault="006904C2" w:rsidP="00770AB1">
            <w:pPr>
              <w:spacing w:after="0"/>
              <w:jc w:val="right"/>
              <w:rPr>
                <w:sz w:val="20"/>
                <w:szCs w:val="20"/>
                <w:lang w:val="sr-Cyrl-RS"/>
              </w:rPr>
            </w:pPr>
            <w:r w:rsidRPr="000B54D6">
              <w:rPr>
                <w:sz w:val="20"/>
                <w:szCs w:val="20"/>
                <w:lang w:val="sr-Cyrl-RS"/>
              </w:rPr>
              <w:t xml:space="preserve">1.200.000,00 </w:t>
            </w:r>
          </w:p>
        </w:tc>
      </w:tr>
      <w:tr w:rsidR="006904C2" w:rsidRPr="000B54D6" w:rsidTr="00864274">
        <w:tc>
          <w:tcPr>
            <w:tcW w:w="1413" w:type="dxa"/>
          </w:tcPr>
          <w:p w:rsidR="006904C2" w:rsidRPr="000B54D6" w:rsidRDefault="006904C2" w:rsidP="00770AB1">
            <w:pPr>
              <w:spacing w:after="0"/>
              <w:jc w:val="both"/>
              <w:rPr>
                <w:sz w:val="20"/>
                <w:szCs w:val="20"/>
                <w:lang w:val="sr-Cyrl-RS"/>
              </w:rPr>
            </w:pPr>
          </w:p>
        </w:tc>
        <w:tc>
          <w:tcPr>
            <w:tcW w:w="5953" w:type="dxa"/>
          </w:tcPr>
          <w:p w:rsidR="006904C2" w:rsidRPr="000B54D6" w:rsidRDefault="006904C2" w:rsidP="00770AB1">
            <w:pPr>
              <w:spacing w:after="0"/>
              <w:rPr>
                <w:sz w:val="20"/>
                <w:szCs w:val="20"/>
                <w:lang w:val="sr-Cyrl-RS"/>
              </w:rPr>
            </w:pPr>
            <w:r w:rsidRPr="000B54D6">
              <w:rPr>
                <w:sz w:val="20"/>
                <w:szCs w:val="20"/>
                <w:lang w:val="sr-Cyrl-RS"/>
              </w:rPr>
              <w:t>Конкурс за доделу бесповратних средстава градовима и општинама  са територије АП Војводине за суфинансирање реализације локалних акционих планова за унапређење положаја Рома у области становања</w:t>
            </w:r>
          </w:p>
        </w:tc>
        <w:tc>
          <w:tcPr>
            <w:tcW w:w="1650" w:type="dxa"/>
          </w:tcPr>
          <w:p w:rsidR="006904C2" w:rsidRPr="000B54D6" w:rsidRDefault="006904C2" w:rsidP="00770AB1">
            <w:pPr>
              <w:spacing w:after="0"/>
              <w:jc w:val="right"/>
              <w:rPr>
                <w:sz w:val="20"/>
                <w:szCs w:val="20"/>
                <w:lang w:val="sr-Cyrl-RS"/>
              </w:rPr>
            </w:pPr>
            <w:r w:rsidRPr="000B54D6">
              <w:rPr>
                <w:sz w:val="20"/>
                <w:szCs w:val="20"/>
                <w:lang w:val="sr-Cyrl-RS"/>
              </w:rPr>
              <w:t xml:space="preserve">3.000.000,00 </w:t>
            </w:r>
          </w:p>
        </w:tc>
      </w:tr>
      <w:tr w:rsidR="006904C2" w:rsidRPr="000B54D6" w:rsidTr="00864274">
        <w:tc>
          <w:tcPr>
            <w:tcW w:w="1413" w:type="dxa"/>
          </w:tcPr>
          <w:p w:rsidR="006904C2" w:rsidRPr="000B54D6" w:rsidRDefault="006904C2" w:rsidP="00770AB1">
            <w:pPr>
              <w:spacing w:after="0"/>
              <w:jc w:val="both"/>
              <w:rPr>
                <w:sz w:val="20"/>
                <w:szCs w:val="20"/>
                <w:lang w:val="sr-Cyrl-RS"/>
              </w:rPr>
            </w:pPr>
          </w:p>
        </w:tc>
        <w:tc>
          <w:tcPr>
            <w:tcW w:w="5953" w:type="dxa"/>
          </w:tcPr>
          <w:p w:rsidR="006904C2" w:rsidRPr="000B54D6" w:rsidRDefault="006904C2" w:rsidP="00770AB1">
            <w:pPr>
              <w:spacing w:after="0"/>
              <w:rPr>
                <w:sz w:val="20"/>
                <w:szCs w:val="20"/>
                <w:lang w:val="sr-Cyrl-RS"/>
              </w:rPr>
            </w:pPr>
            <w:r w:rsidRPr="000B54D6">
              <w:rPr>
                <w:sz w:val="20"/>
                <w:szCs w:val="20"/>
                <w:lang w:val="sr-Cyrl-RS"/>
              </w:rPr>
              <w:t>Јавни конкурс за доделу бесповратних средстава удружењима грађана за финансирање пројеката у области унапређења положаја Рома и Ромкиња</w:t>
            </w:r>
          </w:p>
        </w:tc>
        <w:tc>
          <w:tcPr>
            <w:tcW w:w="1650" w:type="dxa"/>
          </w:tcPr>
          <w:p w:rsidR="006904C2" w:rsidRPr="000B54D6" w:rsidRDefault="006904C2" w:rsidP="00770AB1">
            <w:pPr>
              <w:spacing w:after="0"/>
              <w:jc w:val="right"/>
              <w:rPr>
                <w:sz w:val="20"/>
                <w:szCs w:val="20"/>
                <w:lang w:val="sr-Cyrl-RS"/>
              </w:rPr>
            </w:pPr>
            <w:r w:rsidRPr="000B54D6">
              <w:rPr>
                <w:sz w:val="20"/>
                <w:szCs w:val="20"/>
                <w:lang w:val="sr-Cyrl-RS"/>
              </w:rPr>
              <w:t xml:space="preserve">4.000.000,00 </w:t>
            </w:r>
          </w:p>
        </w:tc>
      </w:tr>
      <w:tr w:rsidR="006904C2" w:rsidRPr="000B54D6" w:rsidTr="00864274">
        <w:tc>
          <w:tcPr>
            <w:tcW w:w="1413" w:type="dxa"/>
          </w:tcPr>
          <w:p w:rsidR="006904C2" w:rsidRPr="000B54D6" w:rsidRDefault="006904C2" w:rsidP="00770AB1">
            <w:pPr>
              <w:spacing w:after="0"/>
              <w:jc w:val="both"/>
              <w:rPr>
                <w:sz w:val="20"/>
                <w:szCs w:val="20"/>
                <w:lang w:val="sr-Cyrl-RS"/>
              </w:rPr>
            </w:pPr>
            <w:r w:rsidRPr="000B54D6">
              <w:rPr>
                <w:sz w:val="20"/>
                <w:szCs w:val="20"/>
                <w:lang w:val="sr-Cyrl-RS"/>
              </w:rPr>
              <w:t>2018. година</w:t>
            </w:r>
          </w:p>
        </w:tc>
        <w:tc>
          <w:tcPr>
            <w:tcW w:w="5953" w:type="dxa"/>
          </w:tcPr>
          <w:p w:rsidR="006904C2" w:rsidRPr="000B54D6" w:rsidRDefault="006904C2" w:rsidP="00770AB1">
            <w:pPr>
              <w:spacing w:after="0"/>
              <w:rPr>
                <w:sz w:val="20"/>
                <w:szCs w:val="20"/>
                <w:lang w:val="sr-Cyrl-RS"/>
              </w:rPr>
            </w:pPr>
            <w:r w:rsidRPr="000B54D6">
              <w:rPr>
                <w:sz w:val="20"/>
                <w:szCs w:val="20"/>
                <w:lang w:val="sr-Cyrl-RS"/>
              </w:rPr>
              <w:t>Јавни Конкурс за доделу бесповратних средстава градовима и општинама са територије АП Војводине за финансирање ангажовања координатора за ромска питања</w:t>
            </w:r>
          </w:p>
        </w:tc>
        <w:tc>
          <w:tcPr>
            <w:tcW w:w="1650" w:type="dxa"/>
          </w:tcPr>
          <w:p w:rsidR="006904C2" w:rsidRPr="000B54D6" w:rsidRDefault="006904C2" w:rsidP="00770AB1">
            <w:pPr>
              <w:spacing w:after="0"/>
              <w:jc w:val="right"/>
              <w:rPr>
                <w:sz w:val="20"/>
                <w:szCs w:val="20"/>
                <w:lang w:val="sr-Cyrl-RS"/>
              </w:rPr>
            </w:pPr>
            <w:r w:rsidRPr="000B54D6">
              <w:rPr>
                <w:sz w:val="20"/>
                <w:szCs w:val="20"/>
                <w:lang w:val="sr-Cyrl-RS"/>
              </w:rPr>
              <w:t xml:space="preserve">1.200.000,00 </w:t>
            </w:r>
          </w:p>
        </w:tc>
      </w:tr>
      <w:tr w:rsidR="006904C2" w:rsidRPr="000B54D6" w:rsidTr="00864274">
        <w:tc>
          <w:tcPr>
            <w:tcW w:w="1413" w:type="dxa"/>
          </w:tcPr>
          <w:p w:rsidR="006904C2" w:rsidRPr="000B54D6" w:rsidRDefault="006904C2" w:rsidP="00770AB1">
            <w:pPr>
              <w:spacing w:after="0"/>
              <w:jc w:val="both"/>
              <w:rPr>
                <w:sz w:val="20"/>
                <w:szCs w:val="20"/>
                <w:lang w:val="sr-Cyrl-RS"/>
              </w:rPr>
            </w:pPr>
          </w:p>
        </w:tc>
        <w:tc>
          <w:tcPr>
            <w:tcW w:w="5953" w:type="dxa"/>
          </w:tcPr>
          <w:p w:rsidR="006904C2" w:rsidRPr="000B54D6" w:rsidRDefault="006904C2" w:rsidP="00770AB1">
            <w:pPr>
              <w:spacing w:after="0"/>
              <w:rPr>
                <w:sz w:val="20"/>
                <w:szCs w:val="20"/>
                <w:lang w:val="sr-Cyrl-RS"/>
              </w:rPr>
            </w:pPr>
            <w:r w:rsidRPr="000B54D6">
              <w:rPr>
                <w:sz w:val="20"/>
                <w:szCs w:val="20"/>
                <w:lang w:val="sr-Cyrl-RS"/>
              </w:rPr>
              <w:t>Јавни Конкурс за доделу бесповратних средстава градовима и општинама са територије АП Војводине за суфинансирање израде локалних акционих планова за унапређење положаја Рома и реализацију локалних акционих планова за унапређење положаја Рома из области становања</w:t>
            </w:r>
          </w:p>
        </w:tc>
        <w:tc>
          <w:tcPr>
            <w:tcW w:w="1650" w:type="dxa"/>
          </w:tcPr>
          <w:p w:rsidR="006904C2" w:rsidRPr="000B54D6" w:rsidRDefault="006904C2" w:rsidP="00770AB1">
            <w:pPr>
              <w:spacing w:after="0"/>
              <w:jc w:val="right"/>
              <w:rPr>
                <w:sz w:val="20"/>
                <w:szCs w:val="20"/>
                <w:lang w:val="sr-Cyrl-RS"/>
              </w:rPr>
            </w:pPr>
            <w:r w:rsidRPr="000B54D6">
              <w:rPr>
                <w:sz w:val="20"/>
                <w:szCs w:val="20"/>
                <w:lang w:val="sr-Cyrl-RS"/>
              </w:rPr>
              <w:t xml:space="preserve">3.000.000,00 </w:t>
            </w:r>
          </w:p>
        </w:tc>
      </w:tr>
      <w:tr w:rsidR="006904C2" w:rsidRPr="000B54D6" w:rsidTr="00864274">
        <w:tc>
          <w:tcPr>
            <w:tcW w:w="1413" w:type="dxa"/>
          </w:tcPr>
          <w:p w:rsidR="006904C2" w:rsidRPr="000B54D6" w:rsidRDefault="006904C2" w:rsidP="00770AB1">
            <w:pPr>
              <w:spacing w:after="0"/>
              <w:jc w:val="both"/>
              <w:rPr>
                <w:sz w:val="20"/>
                <w:szCs w:val="20"/>
                <w:lang w:val="sr-Cyrl-RS"/>
              </w:rPr>
            </w:pPr>
          </w:p>
        </w:tc>
        <w:tc>
          <w:tcPr>
            <w:tcW w:w="5953" w:type="dxa"/>
          </w:tcPr>
          <w:p w:rsidR="006904C2" w:rsidRPr="000B54D6" w:rsidRDefault="006904C2" w:rsidP="00770AB1">
            <w:pPr>
              <w:spacing w:after="0"/>
              <w:rPr>
                <w:sz w:val="20"/>
                <w:szCs w:val="20"/>
                <w:lang w:val="sr-Cyrl-RS"/>
              </w:rPr>
            </w:pPr>
            <w:r w:rsidRPr="000B54D6">
              <w:rPr>
                <w:sz w:val="20"/>
                <w:szCs w:val="20"/>
                <w:lang w:val="sr-Cyrl-RS"/>
              </w:rPr>
              <w:t>Јавни конкурс за доделу бесповратних средстава удружењима грађана за финансирање пројеката у области унапређења положаја Рома и Ромкиња</w:t>
            </w:r>
          </w:p>
        </w:tc>
        <w:tc>
          <w:tcPr>
            <w:tcW w:w="1650" w:type="dxa"/>
          </w:tcPr>
          <w:p w:rsidR="006904C2" w:rsidRPr="000B54D6" w:rsidRDefault="006904C2" w:rsidP="00770AB1">
            <w:pPr>
              <w:spacing w:after="0"/>
              <w:jc w:val="right"/>
              <w:rPr>
                <w:sz w:val="20"/>
                <w:szCs w:val="20"/>
                <w:lang w:val="sr-Cyrl-RS"/>
              </w:rPr>
            </w:pPr>
            <w:r w:rsidRPr="000B54D6">
              <w:rPr>
                <w:sz w:val="20"/>
                <w:szCs w:val="20"/>
                <w:lang w:val="sr-Cyrl-RS"/>
              </w:rPr>
              <w:t xml:space="preserve">4.000.000,00 </w:t>
            </w:r>
          </w:p>
        </w:tc>
      </w:tr>
      <w:tr w:rsidR="006904C2" w:rsidRPr="000B54D6" w:rsidTr="00864274">
        <w:tc>
          <w:tcPr>
            <w:tcW w:w="1413" w:type="dxa"/>
          </w:tcPr>
          <w:p w:rsidR="006904C2" w:rsidRPr="000B54D6" w:rsidRDefault="006904C2" w:rsidP="00770AB1">
            <w:pPr>
              <w:spacing w:after="0"/>
              <w:jc w:val="both"/>
              <w:rPr>
                <w:sz w:val="20"/>
                <w:szCs w:val="20"/>
                <w:lang w:val="sr-Cyrl-RS"/>
              </w:rPr>
            </w:pPr>
            <w:r w:rsidRPr="000B54D6">
              <w:rPr>
                <w:sz w:val="20"/>
                <w:szCs w:val="20"/>
                <w:lang w:val="sr-Cyrl-RS"/>
              </w:rPr>
              <w:t>2019. година</w:t>
            </w:r>
          </w:p>
        </w:tc>
        <w:tc>
          <w:tcPr>
            <w:tcW w:w="5953" w:type="dxa"/>
          </w:tcPr>
          <w:p w:rsidR="006904C2" w:rsidRPr="000B54D6" w:rsidRDefault="006904C2" w:rsidP="00770AB1">
            <w:pPr>
              <w:spacing w:after="0"/>
              <w:rPr>
                <w:sz w:val="20"/>
                <w:szCs w:val="20"/>
                <w:lang w:val="sr-Cyrl-RS"/>
              </w:rPr>
            </w:pPr>
            <w:r w:rsidRPr="000B54D6">
              <w:rPr>
                <w:sz w:val="20"/>
                <w:szCs w:val="20"/>
                <w:lang w:val="sr-Cyrl-RS"/>
              </w:rPr>
              <w:t>Конкурс за доделу бесповратних средстава градовима и општинама са територије АП Војводине за суфинансирање израде локалних акционих планова за унапређење положаја Рома и реализацију локалних акционих планова за унапређење положаја Рома из области становања</w:t>
            </w:r>
          </w:p>
        </w:tc>
        <w:tc>
          <w:tcPr>
            <w:tcW w:w="1650" w:type="dxa"/>
          </w:tcPr>
          <w:p w:rsidR="006904C2" w:rsidRPr="000B54D6" w:rsidRDefault="006904C2" w:rsidP="00770AB1">
            <w:pPr>
              <w:spacing w:after="0"/>
              <w:jc w:val="right"/>
              <w:rPr>
                <w:sz w:val="20"/>
                <w:szCs w:val="20"/>
                <w:lang w:val="sr-Cyrl-RS"/>
              </w:rPr>
            </w:pPr>
            <w:r w:rsidRPr="000B54D6">
              <w:rPr>
                <w:sz w:val="20"/>
                <w:szCs w:val="20"/>
                <w:lang w:val="sr-Cyrl-RS"/>
              </w:rPr>
              <w:t xml:space="preserve">2.200.000,00 </w:t>
            </w:r>
          </w:p>
        </w:tc>
      </w:tr>
      <w:tr w:rsidR="006904C2" w:rsidRPr="000B54D6" w:rsidTr="00864274">
        <w:tc>
          <w:tcPr>
            <w:tcW w:w="1413" w:type="dxa"/>
          </w:tcPr>
          <w:p w:rsidR="006904C2" w:rsidRPr="000B54D6" w:rsidRDefault="006904C2" w:rsidP="00770AB1">
            <w:pPr>
              <w:spacing w:after="0"/>
              <w:jc w:val="both"/>
              <w:rPr>
                <w:sz w:val="20"/>
                <w:szCs w:val="20"/>
                <w:lang w:val="sr-Cyrl-RS"/>
              </w:rPr>
            </w:pPr>
          </w:p>
        </w:tc>
        <w:tc>
          <w:tcPr>
            <w:tcW w:w="5953" w:type="dxa"/>
          </w:tcPr>
          <w:p w:rsidR="006904C2" w:rsidRPr="000B54D6" w:rsidRDefault="006904C2" w:rsidP="00770AB1">
            <w:pPr>
              <w:spacing w:after="0"/>
              <w:rPr>
                <w:sz w:val="20"/>
                <w:szCs w:val="20"/>
                <w:lang w:val="sr-Cyrl-RS"/>
              </w:rPr>
            </w:pPr>
            <w:r w:rsidRPr="000B54D6">
              <w:rPr>
                <w:sz w:val="20"/>
                <w:szCs w:val="20"/>
                <w:lang w:val="sr-Cyrl-RS"/>
              </w:rPr>
              <w:t>Конкурс за доделу бесповратних средстава центрима за социјални рад са територије АП Војводине за финансирање ангажовања координатора за ромска питања</w:t>
            </w:r>
          </w:p>
        </w:tc>
        <w:tc>
          <w:tcPr>
            <w:tcW w:w="1650" w:type="dxa"/>
          </w:tcPr>
          <w:p w:rsidR="006904C2" w:rsidRPr="000B54D6" w:rsidRDefault="006904C2" w:rsidP="00770AB1">
            <w:pPr>
              <w:spacing w:after="0"/>
              <w:jc w:val="right"/>
              <w:rPr>
                <w:sz w:val="20"/>
                <w:szCs w:val="20"/>
                <w:lang w:val="sr-Cyrl-RS"/>
              </w:rPr>
            </w:pPr>
            <w:r w:rsidRPr="000B54D6">
              <w:rPr>
                <w:sz w:val="20"/>
                <w:szCs w:val="20"/>
                <w:lang w:val="sr-Cyrl-RS"/>
              </w:rPr>
              <w:t xml:space="preserve">2.000.000,00 </w:t>
            </w:r>
          </w:p>
        </w:tc>
      </w:tr>
      <w:tr w:rsidR="006904C2" w:rsidRPr="000B54D6" w:rsidTr="00864274">
        <w:tc>
          <w:tcPr>
            <w:tcW w:w="1413" w:type="dxa"/>
          </w:tcPr>
          <w:p w:rsidR="006904C2" w:rsidRPr="000B54D6" w:rsidRDefault="006904C2" w:rsidP="00770AB1">
            <w:pPr>
              <w:spacing w:after="0"/>
              <w:jc w:val="both"/>
              <w:rPr>
                <w:sz w:val="20"/>
                <w:szCs w:val="20"/>
                <w:lang w:val="sr-Cyrl-RS"/>
              </w:rPr>
            </w:pPr>
          </w:p>
        </w:tc>
        <w:tc>
          <w:tcPr>
            <w:tcW w:w="5953" w:type="dxa"/>
          </w:tcPr>
          <w:p w:rsidR="006904C2" w:rsidRPr="000B54D6" w:rsidRDefault="006904C2" w:rsidP="00770AB1">
            <w:pPr>
              <w:spacing w:after="0"/>
              <w:rPr>
                <w:sz w:val="20"/>
                <w:szCs w:val="20"/>
                <w:lang w:val="sr-Cyrl-RS"/>
              </w:rPr>
            </w:pPr>
            <w:r w:rsidRPr="000B54D6">
              <w:rPr>
                <w:sz w:val="20"/>
                <w:szCs w:val="20"/>
                <w:lang w:val="sr-Cyrl-RS"/>
              </w:rPr>
              <w:t>Јавни конкурс за доделу бесповратних средстава удружењима грађана за финансирање пројеката у области унапређења положаја Рома и Ромкиња</w:t>
            </w:r>
          </w:p>
        </w:tc>
        <w:tc>
          <w:tcPr>
            <w:tcW w:w="1650" w:type="dxa"/>
          </w:tcPr>
          <w:p w:rsidR="006904C2" w:rsidRPr="000B54D6" w:rsidRDefault="006904C2" w:rsidP="00770AB1">
            <w:pPr>
              <w:spacing w:after="0"/>
              <w:jc w:val="right"/>
              <w:rPr>
                <w:sz w:val="20"/>
                <w:szCs w:val="20"/>
                <w:lang w:val="sr-Cyrl-RS"/>
              </w:rPr>
            </w:pPr>
            <w:r w:rsidRPr="000B54D6">
              <w:rPr>
                <w:sz w:val="20"/>
                <w:szCs w:val="20"/>
                <w:lang w:val="sr-Cyrl-RS"/>
              </w:rPr>
              <w:t xml:space="preserve">4.000.000,00 </w:t>
            </w:r>
          </w:p>
        </w:tc>
      </w:tr>
      <w:tr w:rsidR="006904C2" w:rsidRPr="000B54D6" w:rsidTr="00864274">
        <w:tc>
          <w:tcPr>
            <w:tcW w:w="1413" w:type="dxa"/>
          </w:tcPr>
          <w:p w:rsidR="006904C2" w:rsidRPr="000B54D6" w:rsidRDefault="006904C2" w:rsidP="00770AB1">
            <w:pPr>
              <w:spacing w:after="0"/>
              <w:jc w:val="both"/>
              <w:rPr>
                <w:sz w:val="20"/>
                <w:szCs w:val="20"/>
                <w:lang w:val="sr-Cyrl-RS"/>
              </w:rPr>
            </w:pPr>
            <w:r w:rsidRPr="000B54D6">
              <w:rPr>
                <w:sz w:val="20"/>
                <w:szCs w:val="20"/>
                <w:lang w:val="sr-Cyrl-RS"/>
              </w:rPr>
              <w:t>2020. година</w:t>
            </w:r>
          </w:p>
        </w:tc>
        <w:tc>
          <w:tcPr>
            <w:tcW w:w="5953" w:type="dxa"/>
          </w:tcPr>
          <w:p w:rsidR="006904C2" w:rsidRPr="000B54D6" w:rsidRDefault="006904C2" w:rsidP="00770AB1">
            <w:pPr>
              <w:spacing w:after="0"/>
              <w:rPr>
                <w:sz w:val="20"/>
                <w:szCs w:val="20"/>
                <w:lang w:val="sr-Cyrl-RS"/>
              </w:rPr>
            </w:pPr>
            <w:r w:rsidRPr="000B54D6">
              <w:rPr>
                <w:sz w:val="20"/>
                <w:szCs w:val="20"/>
                <w:lang w:val="sr-Cyrl-RS"/>
              </w:rPr>
              <w:t>Конкурс за доделу бесповратних средстава градовима и општинама са територије АП Војводине за суфинансирање израде локалних акционих планова за унапређење положаја Рома и реализацију локалних акционих планова за унапређење положаја Рома из области становања</w:t>
            </w:r>
          </w:p>
        </w:tc>
        <w:tc>
          <w:tcPr>
            <w:tcW w:w="1650" w:type="dxa"/>
          </w:tcPr>
          <w:p w:rsidR="006904C2" w:rsidRPr="000B54D6" w:rsidRDefault="006904C2" w:rsidP="00770AB1">
            <w:pPr>
              <w:spacing w:after="0"/>
              <w:jc w:val="right"/>
              <w:rPr>
                <w:sz w:val="20"/>
                <w:szCs w:val="20"/>
                <w:lang w:val="sr-Cyrl-RS"/>
              </w:rPr>
            </w:pPr>
            <w:r w:rsidRPr="000B54D6">
              <w:rPr>
                <w:sz w:val="20"/>
                <w:szCs w:val="20"/>
                <w:lang w:val="sr-Cyrl-RS"/>
              </w:rPr>
              <w:t>2.200.000,00</w:t>
            </w:r>
          </w:p>
        </w:tc>
      </w:tr>
      <w:tr w:rsidR="006904C2" w:rsidRPr="000B54D6" w:rsidTr="00864274">
        <w:tc>
          <w:tcPr>
            <w:tcW w:w="1413" w:type="dxa"/>
          </w:tcPr>
          <w:p w:rsidR="006904C2" w:rsidRPr="000B54D6" w:rsidRDefault="006904C2" w:rsidP="00770AB1">
            <w:pPr>
              <w:spacing w:after="0"/>
              <w:jc w:val="both"/>
              <w:rPr>
                <w:sz w:val="20"/>
                <w:szCs w:val="20"/>
                <w:lang w:val="sr-Cyrl-RS"/>
              </w:rPr>
            </w:pPr>
          </w:p>
        </w:tc>
        <w:tc>
          <w:tcPr>
            <w:tcW w:w="5953" w:type="dxa"/>
          </w:tcPr>
          <w:p w:rsidR="006904C2" w:rsidRPr="000B54D6" w:rsidRDefault="006904C2" w:rsidP="00770AB1">
            <w:pPr>
              <w:spacing w:after="0"/>
              <w:rPr>
                <w:sz w:val="20"/>
                <w:szCs w:val="20"/>
                <w:lang w:val="sr-Cyrl-RS"/>
              </w:rPr>
            </w:pPr>
            <w:r w:rsidRPr="000B54D6">
              <w:rPr>
                <w:sz w:val="20"/>
                <w:szCs w:val="20"/>
                <w:lang w:val="sr-Cyrl-RS"/>
              </w:rPr>
              <w:t>Конкурс за доделу бесповратних средстава центрима за социјални рад са територије АП Војводине за финансирање ангажовања координатора за ромска питања</w:t>
            </w:r>
          </w:p>
        </w:tc>
        <w:tc>
          <w:tcPr>
            <w:tcW w:w="1650" w:type="dxa"/>
          </w:tcPr>
          <w:p w:rsidR="006904C2" w:rsidRPr="000B54D6" w:rsidRDefault="006904C2" w:rsidP="00770AB1">
            <w:pPr>
              <w:spacing w:after="0"/>
              <w:jc w:val="right"/>
              <w:rPr>
                <w:sz w:val="20"/>
                <w:szCs w:val="20"/>
                <w:lang w:val="sr-Cyrl-RS"/>
              </w:rPr>
            </w:pPr>
            <w:r w:rsidRPr="000B54D6">
              <w:rPr>
                <w:sz w:val="20"/>
                <w:szCs w:val="20"/>
                <w:lang w:val="sr-Cyrl-RS"/>
              </w:rPr>
              <w:t>2.000.000,00</w:t>
            </w:r>
          </w:p>
        </w:tc>
      </w:tr>
      <w:tr w:rsidR="006904C2" w:rsidRPr="000B54D6" w:rsidTr="00864274">
        <w:tc>
          <w:tcPr>
            <w:tcW w:w="1413" w:type="dxa"/>
          </w:tcPr>
          <w:p w:rsidR="006904C2" w:rsidRPr="000B54D6" w:rsidRDefault="006904C2" w:rsidP="00770AB1">
            <w:pPr>
              <w:spacing w:after="0"/>
              <w:jc w:val="both"/>
              <w:rPr>
                <w:sz w:val="20"/>
                <w:szCs w:val="20"/>
                <w:lang w:val="sr-Cyrl-RS"/>
              </w:rPr>
            </w:pPr>
          </w:p>
        </w:tc>
        <w:tc>
          <w:tcPr>
            <w:tcW w:w="5953" w:type="dxa"/>
          </w:tcPr>
          <w:p w:rsidR="006904C2" w:rsidRPr="000B54D6" w:rsidRDefault="006904C2" w:rsidP="00770AB1">
            <w:pPr>
              <w:spacing w:after="0"/>
              <w:rPr>
                <w:sz w:val="20"/>
                <w:szCs w:val="20"/>
                <w:lang w:val="sr-Cyrl-RS"/>
              </w:rPr>
            </w:pPr>
            <w:r w:rsidRPr="000B54D6">
              <w:rPr>
                <w:sz w:val="20"/>
                <w:szCs w:val="20"/>
                <w:lang w:val="sr-Cyrl-RS"/>
              </w:rPr>
              <w:t>Јавни конкурс за доделу бесповратних средстава удружењима грађана за финансирање пројеката у области унапређења положаја Рома и Ромкиња</w:t>
            </w:r>
          </w:p>
        </w:tc>
        <w:tc>
          <w:tcPr>
            <w:tcW w:w="1650" w:type="dxa"/>
          </w:tcPr>
          <w:p w:rsidR="006904C2" w:rsidRPr="000B54D6" w:rsidRDefault="006904C2" w:rsidP="00770AB1">
            <w:pPr>
              <w:spacing w:after="0"/>
              <w:jc w:val="right"/>
              <w:rPr>
                <w:sz w:val="20"/>
                <w:szCs w:val="20"/>
                <w:lang w:val="sr-Cyrl-RS"/>
              </w:rPr>
            </w:pPr>
            <w:r w:rsidRPr="000B54D6">
              <w:rPr>
                <w:sz w:val="20"/>
                <w:szCs w:val="20"/>
                <w:lang w:val="sr-Cyrl-RS"/>
              </w:rPr>
              <w:t>4.000.000,00</w:t>
            </w:r>
          </w:p>
        </w:tc>
      </w:tr>
      <w:tr w:rsidR="006904C2" w:rsidRPr="000B54D6" w:rsidTr="00864274">
        <w:tc>
          <w:tcPr>
            <w:tcW w:w="1413" w:type="dxa"/>
          </w:tcPr>
          <w:p w:rsidR="006904C2" w:rsidRPr="000B54D6" w:rsidRDefault="006904C2" w:rsidP="00770AB1">
            <w:pPr>
              <w:spacing w:after="0"/>
              <w:jc w:val="both"/>
              <w:rPr>
                <w:sz w:val="20"/>
                <w:szCs w:val="20"/>
                <w:lang w:val="sr-Cyrl-RS"/>
              </w:rPr>
            </w:pPr>
            <w:r w:rsidRPr="000B54D6">
              <w:rPr>
                <w:sz w:val="20"/>
                <w:szCs w:val="20"/>
                <w:lang w:val="sr-Cyrl-RS"/>
              </w:rPr>
              <w:t>2021.</w:t>
            </w:r>
            <w:r w:rsidRPr="000B54D6">
              <w:t xml:space="preserve"> </w:t>
            </w:r>
            <w:r w:rsidRPr="000B54D6">
              <w:rPr>
                <w:sz w:val="20"/>
                <w:szCs w:val="20"/>
                <w:lang w:val="sr-Cyrl-RS"/>
              </w:rPr>
              <w:t>година</w:t>
            </w:r>
          </w:p>
        </w:tc>
        <w:tc>
          <w:tcPr>
            <w:tcW w:w="5953" w:type="dxa"/>
          </w:tcPr>
          <w:p w:rsidR="006904C2" w:rsidRPr="000B54D6" w:rsidRDefault="006904C2" w:rsidP="00770AB1">
            <w:pPr>
              <w:spacing w:after="0"/>
              <w:rPr>
                <w:sz w:val="20"/>
                <w:szCs w:val="20"/>
                <w:lang w:val="sr-Cyrl-RS"/>
              </w:rPr>
            </w:pPr>
            <w:r w:rsidRPr="000B54D6">
              <w:rPr>
                <w:sz w:val="20"/>
                <w:szCs w:val="20"/>
                <w:lang w:val="sr-Cyrl-RS"/>
              </w:rPr>
              <w:t xml:space="preserve">Конкурс за доделу бесповратних средстава градовима и општинама са територије АП Војводине за суфинансирање израде локалних акционих планова за унапређење положаја Рома и </w:t>
            </w:r>
            <w:r w:rsidRPr="000B54D6">
              <w:rPr>
                <w:sz w:val="20"/>
                <w:szCs w:val="20"/>
                <w:lang w:val="sr-Cyrl-RS"/>
              </w:rPr>
              <w:lastRenderedPageBreak/>
              <w:t>реализацију локалних акционих планова за унапређење положаја Рома из области становања</w:t>
            </w:r>
          </w:p>
        </w:tc>
        <w:tc>
          <w:tcPr>
            <w:tcW w:w="1650" w:type="dxa"/>
          </w:tcPr>
          <w:p w:rsidR="006904C2" w:rsidRPr="000B54D6" w:rsidRDefault="006904C2" w:rsidP="00770AB1">
            <w:pPr>
              <w:spacing w:after="0"/>
              <w:jc w:val="right"/>
              <w:rPr>
                <w:sz w:val="20"/>
                <w:szCs w:val="20"/>
                <w:lang w:val="sr-Cyrl-RS"/>
              </w:rPr>
            </w:pPr>
            <w:r w:rsidRPr="000B54D6">
              <w:rPr>
                <w:sz w:val="20"/>
                <w:szCs w:val="20"/>
                <w:lang w:val="sr-Cyrl-RS"/>
              </w:rPr>
              <w:lastRenderedPageBreak/>
              <w:t>2.200.000,00</w:t>
            </w:r>
          </w:p>
        </w:tc>
      </w:tr>
      <w:tr w:rsidR="006904C2" w:rsidRPr="000B54D6" w:rsidTr="00864274">
        <w:tc>
          <w:tcPr>
            <w:tcW w:w="1413" w:type="dxa"/>
          </w:tcPr>
          <w:p w:rsidR="006904C2" w:rsidRPr="000B54D6" w:rsidRDefault="006904C2" w:rsidP="00770AB1">
            <w:pPr>
              <w:spacing w:after="0"/>
              <w:jc w:val="both"/>
              <w:rPr>
                <w:sz w:val="20"/>
                <w:szCs w:val="20"/>
                <w:lang w:val="sr-Cyrl-RS"/>
              </w:rPr>
            </w:pPr>
          </w:p>
        </w:tc>
        <w:tc>
          <w:tcPr>
            <w:tcW w:w="5953" w:type="dxa"/>
          </w:tcPr>
          <w:p w:rsidR="006904C2" w:rsidRPr="000B54D6" w:rsidRDefault="006904C2" w:rsidP="00770AB1">
            <w:pPr>
              <w:spacing w:after="0"/>
              <w:rPr>
                <w:sz w:val="20"/>
                <w:szCs w:val="20"/>
                <w:lang w:val="sr-Cyrl-RS"/>
              </w:rPr>
            </w:pPr>
            <w:r w:rsidRPr="000B54D6">
              <w:rPr>
                <w:sz w:val="20"/>
                <w:szCs w:val="20"/>
                <w:lang w:val="sr-Cyrl-RS"/>
              </w:rPr>
              <w:t>Конкурс за доделу бесповратних средстава центрима за социјални рад са територије АП Војводине за финансирање ангажовања координатора за ромска питања</w:t>
            </w:r>
          </w:p>
        </w:tc>
        <w:tc>
          <w:tcPr>
            <w:tcW w:w="1650" w:type="dxa"/>
          </w:tcPr>
          <w:p w:rsidR="006904C2" w:rsidRPr="000B54D6" w:rsidRDefault="006904C2" w:rsidP="00770AB1">
            <w:pPr>
              <w:spacing w:after="0"/>
              <w:jc w:val="right"/>
              <w:rPr>
                <w:sz w:val="20"/>
                <w:szCs w:val="20"/>
                <w:lang w:val="sr-Cyrl-RS"/>
              </w:rPr>
            </w:pPr>
            <w:r w:rsidRPr="000B54D6">
              <w:rPr>
                <w:sz w:val="20"/>
                <w:szCs w:val="20"/>
                <w:lang w:val="sr-Cyrl-RS"/>
              </w:rPr>
              <w:t>2.000.000,00</w:t>
            </w:r>
          </w:p>
        </w:tc>
      </w:tr>
      <w:tr w:rsidR="006904C2" w:rsidRPr="000B54D6" w:rsidTr="00864274">
        <w:tc>
          <w:tcPr>
            <w:tcW w:w="1413" w:type="dxa"/>
          </w:tcPr>
          <w:p w:rsidR="006904C2" w:rsidRPr="000B54D6" w:rsidRDefault="006904C2" w:rsidP="00770AB1">
            <w:pPr>
              <w:spacing w:after="0"/>
              <w:jc w:val="both"/>
              <w:rPr>
                <w:sz w:val="20"/>
                <w:szCs w:val="20"/>
                <w:lang w:val="sr-Cyrl-RS"/>
              </w:rPr>
            </w:pPr>
          </w:p>
        </w:tc>
        <w:tc>
          <w:tcPr>
            <w:tcW w:w="5953" w:type="dxa"/>
          </w:tcPr>
          <w:p w:rsidR="006904C2" w:rsidRPr="000B54D6" w:rsidRDefault="006904C2" w:rsidP="00770AB1">
            <w:pPr>
              <w:spacing w:after="0"/>
              <w:rPr>
                <w:sz w:val="20"/>
                <w:szCs w:val="20"/>
                <w:lang w:val="sr-Cyrl-RS"/>
              </w:rPr>
            </w:pPr>
            <w:r w:rsidRPr="000B54D6">
              <w:rPr>
                <w:sz w:val="20"/>
                <w:szCs w:val="20"/>
                <w:lang w:val="sr-Cyrl-RS"/>
              </w:rPr>
              <w:t>Јавни конкурс за доделу бесповратних средстава удружењима грађана за финансирање пројеката у области унапређења положаја Рома и Ромкиња</w:t>
            </w:r>
          </w:p>
        </w:tc>
        <w:tc>
          <w:tcPr>
            <w:tcW w:w="1650" w:type="dxa"/>
          </w:tcPr>
          <w:p w:rsidR="006904C2" w:rsidRPr="000B54D6" w:rsidRDefault="006904C2" w:rsidP="00770AB1">
            <w:pPr>
              <w:spacing w:after="0"/>
              <w:jc w:val="right"/>
              <w:rPr>
                <w:sz w:val="20"/>
                <w:szCs w:val="20"/>
                <w:lang w:val="sr-Cyrl-RS"/>
              </w:rPr>
            </w:pPr>
            <w:r w:rsidRPr="000B54D6">
              <w:rPr>
                <w:sz w:val="20"/>
                <w:szCs w:val="20"/>
                <w:lang w:val="sr-Cyrl-RS"/>
              </w:rPr>
              <w:t>4.000.000,00</w:t>
            </w:r>
          </w:p>
        </w:tc>
      </w:tr>
    </w:tbl>
    <w:p w:rsidR="006904C2" w:rsidRDefault="006904C2" w:rsidP="006904C2">
      <w:pPr>
        <w:spacing w:after="0"/>
        <w:jc w:val="both"/>
        <w:rPr>
          <w:sz w:val="24"/>
          <w:szCs w:val="24"/>
          <w:lang w:val="sr-Cyrl-RS"/>
        </w:rPr>
      </w:pPr>
    </w:p>
    <w:p w:rsidR="00F60D27" w:rsidRDefault="00F60D27" w:rsidP="006904C2">
      <w:pPr>
        <w:spacing w:after="0"/>
        <w:jc w:val="both"/>
        <w:rPr>
          <w:sz w:val="24"/>
          <w:szCs w:val="24"/>
          <w:lang w:val="sr-Cyrl-RS"/>
        </w:rPr>
      </w:pPr>
    </w:p>
    <w:tbl>
      <w:tblPr>
        <w:tblStyle w:val="TableGrid"/>
        <w:tblW w:w="0" w:type="auto"/>
        <w:tblLook w:val="04A0" w:firstRow="1" w:lastRow="0" w:firstColumn="1" w:lastColumn="0" w:noHBand="0" w:noVBand="1"/>
      </w:tblPr>
      <w:tblGrid>
        <w:gridCol w:w="7225"/>
        <w:gridCol w:w="1791"/>
      </w:tblGrid>
      <w:tr w:rsidR="006A750D" w:rsidRPr="000B54D6" w:rsidTr="00357CA0">
        <w:tc>
          <w:tcPr>
            <w:tcW w:w="9016" w:type="dxa"/>
            <w:gridSpan w:val="2"/>
          </w:tcPr>
          <w:p w:rsidR="006A750D" w:rsidRPr="006A750D" w:rsidRDefault="006A750D" w:rsidP="006A750D">
            <w:pPr>
              <w:spacing w:after="0"/>
              <w:jc w:val="center"/>
              <w:rPr>
                <w:sz w:val="20"/>
                <w:szCs w:val="20"/>
                <w:lang w:val="sr-Cyrl-RS"/>
              </w:rPr>
            </w:pPr>
            <w:r w:rsidRPr="006A750D">
              <w:rPr>
                <w:sz w:val="20"/>
                <w:szCs w:val="20"/>
                <w:lang w:val="sr-Cyrl-RS"/>
              </w:rPr>
              <w:t>Покрајински секретаријат за образовање, прописе</w:t>
            </w:r>
          </w:p>
          <w:p w:rsidR="006A750D" w:rsidRPr="000B54D6" w:rsidRDefault="006A750D" w:rsidP="006A750D">
            <w:pPr>
              <w:spacing w:after="0"/>
              <w:jc w:val="center"/>
              <w:rPr>
                <w:sz w:val="20"/>
                <w:szCs w:val="20"/>
                <w:lang w:val="sr-Cyrl-RS"/>
              </w:rPr>
            </w:pPr>
            <w:r w:rsidRPr="006A750D">
              <w:rPr>
                <w:sz w:val="20"/>
                <w:szCs w:val="20"/>
                <w:lang w:val="sr-Cyrl-RS"/>
              </w:rPr>
              <w:t xml:space="preserve">управу и националне мањине - националне заједнице </w:t>
            </w:r>
          </w:p>
        </w:tc>
      </w:tr>
      <w:tr w:rsidR="006A750D" w:rsidRPr="000B54D6" w:rsidTr="006A750D">
        <w:tc>
          <w:tcPr>
            <w:tcW w:w="7225" w:type="dxa"/>
          </w:tcPr>
          <w:p w:rsidR="006A750D" w:rsidRPr="000B54D6" w:rsidRDefault="006A750D" w:rsidP="00357CA0">
            <w:pPr>
              <w:spacing w:after="0"/>
              <w:jc w:val="center"/>
              <w:rPr>
                <w:sz w:val="20"/>
                <w:szCs w:val="20"/>
                <w:lang w:val="sr-Cyrl-RS"/>
              </w:rPr>
            </w:pPr>
            <w:r w:rsidRPr="000B54D6">
              <w:rPr>
                <w:sz w:val="20"/>
                <w:szCs w:val="20"/>
                <w:lang w:val="sr-Cyrl-RS"/>
              </w:rPr>
              <w:t>Конкурс</w:t>
            </w:r>
          </w:p>
        </w:tc>
        <w:tc>
          <w:tcPr>
            <w:tcW w:w="1791" w:type="dxa"/>
          </w:tcPr>
          <w:p w:rsidR="006A750D" w:rsidRPr="000B54D6" w:rsidRDefault="006A750D" w:rsidP="00357CA0">
            <w:pPr>
              <w:spacing w:after="0"/>
              <w:jc w:val="center"/>
              <w:rPr>
                <w:sz w:val="20"/>
                <w:szCs w:val="20"/>
                <w:lang w:val="sr-Cyrl-RS"/>
              </w:rPr>
            </w:pPr>
            <w:r w:rsidRPr="000B54D6">
              <w:rPr>
                <w:sz w:val="20"/>
                <w:szCs w:val="20"/>
                <w:lang w:val="sr-Cyrl-RS"/>
              </w:rPr>
              <w:t>Износ средстава</w:t>
            </w:r>
          </w:p>
        </w:tc>
      </w:tr>
      <w:tr w:rsidR="006A750D" w:rsidRPr="000B54D6" w:rsidTr="006A750D">
        <w:tc>
          <w:tcPr>
            <w:tcW w:w="7225" w:type="dxa"/>
          </w:tcPr>
          <w:p w:rsidR="006A750D" w:rsidRPr="000B54D6" w:rsidRDefault="006A750D" w:rsidP="006A750D">
            <w:pPr>
              <w:spacing w:after="0"/>
              <w:rPr>
                <w:sz w:val="20"/>
                <w:szCs w:val="20"/>
                <w:lang w:val="sr-Cyrl-RS"/>
              </w:rPr>
            </w:pPr>
            <w:r>
              <w:rPr>
                <w:sz w:val="20"/>
                <w:szCs w:val="20"/>
                <w:lang w:val="sr-Cyrl-RS"/>
              </w:rPr>
              <w:t>С</w:t>
            </w:r>
            <w:r w:rsidRPr="006A750D">
              <w:rPr>
                <w:sz w:val="20"/>
                <w:szCs w:val="20"/>
                <w:lang w:val="sr-Cyrl-RS"/>
              </w:rPr>
              <w:t>уфинансирање пројеката</w:t>
            </w:r>
            <w:r>
              <w:rPr>
                <w:sz w:val="20"/>
                <w:szCs w:val="20"/>
                <w:lang w:val="sr-Cyrl-RS"/>
              </w:rPr>
              <w:t xml:space="preserve"> </w:t>
            </w:r>
            <w:r w:rsidRPr="006A750D">
              <w:rPr>
                <w:sz w:val="20"/>
                <w:szCs w:val="20"/>
                <w:lang w:val="sr-Cyrl-RS"/>
              </w:rPr>
              <w:t>усмерених на реализацију афирмативних мера и процеса за интеграцију Рома за наставак „Декаде инклузије Рома“ у 2017. години</w:t>
            </w:r>
          </w:p>
        </w:tc>
        <w:tc>
          <w:tcPr>
            <w:tcW w:w="1791" w:type="dxa"/>
          </w:tcPr>
          <w:p w:rsidR="006A750D" w:rsidRPr="000B54D6" w:rsidRDefault="006A750D" w:rsidP="006A750D">
            <w:pPr>
              <w:spacing w:after="0"/>
              <w:jc w:val="right"/>
              <w:rPr>
                <w:sz w:val="20"/>
                <w:szCs w:val="20"/>
                <w:lang w:val="sr-Cyrl-RS"/>
              </w:rPr>
            </w:pPr>
            <w:r w:rsidRPr="000B54D6">
              <w:rPr>
                <w:sz w:val="20"/>
                <w:szCs w:val="20"/>
                <w:lang w:val="sr-Cyrl-RS"/>
              </w:rPr>
              <w:t>1.9</w:t>
            </w:r>
            <w:r>
              <w:rPr>
                <w:sz w:val="20"/>
                <w:szCs w:val="20"/>
                <w:lang w:val="sr-Cyrl-RS"/>
              </w:rPr>
              <w:t>00.000,</w:t>
            </w:r>
            <w:r w:rsidRPr="000B54D6">
              <w:rPr>
                <w:sz w:val="20"/>
                <w:szCs w:val="20"/>
                <w:lang w:val="sr-Cyrl-RS"/>
              </w:rPr>
              <w:t>00</w:t>
            </w:r>
          </w:p>
        </w:tc>
      </w:tr>
      <w:tr w:rsidR="006A750D" w:rsidRPr="000B54D6" w:rsidTr="006A750D">
        <w:tc>
          <w:tcPr>
            <w:tcW w:w="7225" w:type="dxa"/>
          </w:tcPr>
          <w:p w:rsidR="006A750D" w:rsidRDefault="006A750D" w:rsidP="006A750D">
            <w:pPr>
              <w:spacing w:after="0"/>
              <w:rPr>
                <w:sz w:val="20"/>
                <w:szCs w:val="20"/>
                <w:lang w:val="sr-Cyrl-RS"/>
              </w:rPr>
            </w:pPr>
            <w:r>
              <w:rPr>
                <w:sz w:val="20"/>
                <w:szCs w:val="20"/>
                <w:lang w:val="sr-Cyrl-RS"/>
              </w:rPr>
              <w:t>С</w:t>
            </w:r>
            <w:r w:rsidRPr="006A750D">
              <w:rPr>
                <w:sz w:val="20"/>
                <w:szCs w:val="20"/>
                <w:lang w:val="sr-Cyrl-RS"/>
              </w:rPr>
              <w:t>уфинансирање пројеката</w:t>
            </w:r>
            <w:r>
              <w:rPr>
                <w:sz w:val="20"/>
                <w:szCs w:val="20"/>
                <w:lang w:val="sr-Cyrl-RS"/>
              </w:rPr>
              <w:t xml:space="preserve"> </w:t>
            </w:r>
            <w:r w:rsidRPr="006A750D">
              <w:rPr>
                <w:sz w:val="20"/>
                <w:szCs w:val="20"/>
                <w:lang w:val="sr-Cyrl-RS"/>
              </w:rPr>
              <w:t>усмерених на реализацију афирмативних мера и процеса за интеграцију Рома за наставак „Декаде инклузије Рома“ у 201</w:t>
            </w:r>
            <w:r>
              <w:rPr>
                <w:sz w:val="20"/>
                <w:szCs w:val="20"/>
                <w:lang w:val="sr-Cyrl-RS"/>
              </w:rPr>
              <w:t>8</w:t>
            </w:r>
            <w:r w:rsidRPr="006A750D">
              <w:rPr>
                <w:sz w:val="20"/>
                <w:szCs w:val="20"/>
                <w:lang w:val="sr-Cyrl-RS"/>
              </w:rPr>
              <w:t>. години</w:t>
            </w:r>
          </w:p>
        </w:tc>
        <w:tc>
          <w:tcPr>
            <w:tcW w:w="1791" w:type="dxa"/>
          </w:tcPr>
          <w:p w:rsidR="006A750D" w:rsidRPr="000B54D6" w:rsidRDefault="006A750D" w:rsidP="006A750D">
            <w:pPr>
              <w:spacing w:after="0"/>
              <w:jc w:val="right"/>
              <w:rPr>
                <w:sz w:val="20"/>
                <w:szCs w:val="20"/>
                <w:lang w:val="sr-Cyrl-RS"/>
              </w:rPr>
            </w:pPr>
            <w:r w:rsidRPr="000B54D6">
              <w:rPr>
                <w:sz w:val="20"/>
                <w:szCs w:val="20"/>
                <w:lang w:val="sr-Cyrl-RS"/>
              </w:rPr>
              <w:t>1.9</w:t>
            </w:r>
            <w:r>
              <w:rPr>
                <w:sz w:val="20"/>
                <w:szCs w:val="20"/>
                <w:lang w:val="sr-Cyrl-RS"/>
              </w:rPr>
              <w:t>00.000,</w:t>
            </w:r>
            <w:r w:rsidRPr="000B54D6">
              <w:rPr>
                <w:sz w:val="20"/>
                <w:szCs w:val="20"/>
                <w:lang w:val="sr-Cyrl-RS"/>
              </w:rPr>
              <w:t>00</w:t>
            </w:r>
          </w:p>
        </w:tc>
      </w:tr>
      <w:tr w:rsidR="006A750D" w:rsidRPr="000B54D6" w:rsidTr="006A750D">
        <w:tc>
          <w:tcPr>
            <w:tcW w:w="7225" w:type="dxa"/>
          </w:tcPr>
          <w:p w:rsidR="006A750D" w:rsidRPr="000B54D6" w:rsidRDefault="006A750D" w:rsidP="006A750D">
            <w:pPr>
              <w:spacing w:after="0"/>
              <w:rPr>
                <w:sz w:val="20"/>
                <w:szCs w:val="20"/>
                <w:lang w:val="sr-Cyrl-RS"/>
              </w:rPr>
            </w:pPr>
            <w:r>
              <w:rPr>
                <w:sz w:val="20"/>
                <w:szCs w:val="20"/>
                <w:lang w:val="sr-Cyrl-RS"/>
              </w:rPr>
              <w:t>С</w:t>
            </w:r>
            <w:r w:rsidRPr="006A750D">
              <w:rPr>
                <w:sz w:val="20"/>
                <w:szCs w:val="20"/>
                <w:lang w:val="sr-Cyrl-RS"/>
              </w:rPr>
              <w:t>уфинансирање програма</w:t>
            </w:r>
            <w:r>
              <w:rPr>
                <w:sz w:val="20"/>
                <w:szCs w:val="20"/>
                <w:lang w:val="sr-Cyrl-RS"/>
              </w:rPr>
              <w:t xml:space="preserve"> и пројеката усмерених</w:t>
            </w:r>
            <w:r w:rsidRPr="006A750D">
              <w:rPr>
                <w:sz w:val="20"/>
                <w:szCs w:val="20"/>
                <w:lang w:val="sr-Cyrl-RS"/>
              </w:rPr>
              <w:t xml:space="preserve"> на остваривање </w:t>
            </w:r>
            <w:r>
              <w:rPr>
                <w:sz w:val="20"/>
                <w:szCs w:val="20"/>
                <w:lang w:val="sr-Cyrl-RS"/>
              </w:rPr>
              <w:t>а</w:t>
            </w:r>
            <w:r w:rsidRPr="006A750D">
              <w:rPr>
                <w:sz w:val="20"/>
                <w:szCs w:val="20"/>
                <w:lang w:val="sr-Cyrl-RS"/>
              </w:rPr>
              <w:t>фирмативних мера за унапређење положаја припадника ромске националне мањине у 2019. години</w:t>
            </w:r>
          </w:p>
        </w:tc>
        <w:tc>
          <w:tcPr>
            <w:tcW w:w="1791" w:type="dxa"/>
          </w:tcPr>
          <w:p w:rsidR="006A750D" w:rsidRPr="000B54D6" w:rsidRDefault="006A750D" w:rsidP="00357CA0">
            <w:pPr>
              <w:spacing w:after="0"/>
              <w:jc w:val="right"/>
              <w:rPr>
                <w:sz w:val="20"/>
                <w:szCs w:val="20"/>
                <w:lang w:val="sr-Cyrl-RS"/>
              </w:rPr>
            </w:pPr>
            <w:r>
              <w:rPr>
                <w:sz w:val="20"/>
                <w:szCs w:val="20"/>
                <w:lang w:val="sr-Cyrl-RS"/>
              </w:rPr>
              <w:t>2.000.000,00</w:t>
            </w:r>
          </w:p>
        </w:tc>
      </w:tr>
    </w:tbl>
    <w:p w:rsidR="006A750D" w:rsidRDefault="006A750D" w:rsidP="006904C2">
      <w:pPr>
        <w:spacing w:after="0"/>
        <w:jc w:val="both"/>
        <w:rPr>
          <w:sz w:val="24"/>
          <w:szCs w:val="24"/>
          <w:lang w:val="sr-Cyrl-RS"/>
        </w:rPr>
      </w:pPr>
    </w:p>
    <w:p w:rsidR="00DF3153" w:rsidRDefault="00DF3153" w:rsidP="00DF3153">
      <w:pPr>
        <w:spacing w:after="0"/>
        <w:ind w:firstLine="720"/>
        <w:jc w:val="both"/>
        <w:rPr>
          <w:sz w:val="24"/>
          <w:szCs w:val="24"/>
          <w:lang w:val="sr-Cyrl-RS"/>
        </w:rPr>
      </w:pPr>
      <w:r w:rsidRPr="00DF3153">
        <w:rPr>
          <w:sz w:val="24"/>
          <w:szCs w:val="24"/>
          <w:lang w:val="sr-Cyrl-RS"/>
        </w:rPr>
        <w:t>Конкурс за суфинансирање пројеката усмерених на реализацију афирмативних мера и процеса за интеграцију Рома за наставак „Декаде инклузије Рома“ последњи пут је расписан у 2019. години, а од 2020. године средства су пренета на Јавни конкурс за суфинансирање програма и пројеката усмерених на унапређење права националних мањина у разделу који се односи на средства опредељена за ромску националну мањину.</w:t>
      </w:r>
    </w:p>
    <w:p w:rsidR="006904C2" w:rsidRPr="000B54D6" w:rsidRDefault="006904C2" w:rsidP="006904C2">
      <w:pPr>
        <w:spacing w:after="0"/>
        <w:jc w:val="both"/>
        <w:rPr>
          <w:sz w:val="24"/>
          <w:szCs w:val="24"/>
          <w:lang w:val="sr-Cyrl-R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0" w:type="dxa"/>
          <w:right w:w="60" w:type="dxa"/>
        </w:tblCellMar>
        <w:tblLook w:val="04A0" w:firstRow="1" w:lastRow="0" w:firstColumn="1" w:lastColumn="0" w:noHBand="0" w:noVBand="1"/>
      </w:tblPr>
      <w:tblGrid>
        <w:gridCol w:w="2254"/>
        <w:gridCol w:w="2254"/>
        <w:gridCol w:w="2254"/>
        <w:gridCol w:w="2255"/>
      </w:tblGrid>
      <w:tr w:rsidR="006904C2" w:rsidRPr="000B54D6" w:rsidTr="00864274">
        <w:trPr>
          <w:trHeight w:val="278"/>
        </w:trPr>
        <w:tc>
          <w:tcPr>
            <w:tcW w:w="9017" w:type="dxa"/>
            <w:gridSpan w:val="4"/>
            <w:shd w:val="clear" w:color="auto" w:fill="auto"/>
          </w:tcPr>
          <w:p w:rsidR="006904C2" w:rsidRPr="000B54D6" w:rsidRDefault="006904C2" w:rsidP="00864274">
            <w:pPr>
              <w:widowControl w:val="0"/>
              <w:tabs>
                <w:tab w:val="left" w:pos="453"/>
                <w:tab w:val="left" w:pos="810"/>
              </w:tabs>
              <w:spacing w:after="0"/>
              <w:jc w:val="center"/>
              <w:rPr>
                <w:rFonts w:eastAsia="Times New Roman"/>
                <w:sz w:val="20"/>
                <w:szCs w:val="20"/>
                <w:lang w:val="sr-Cyrl-RS"/>
              </w:rPr>
            </w:pPr>
            <w:r w:rsidRPr="000B54D6">
              <w:rPr>
                <w:rFonts w:eastAsia="Times New Roman"/>
                <w:sz w:val="20"/>
                <w:szCs w:val="20"/>
                <w:lang w:val="sr-Cyrl-RS"/>
              </w:rPr>
              <w:t>Конкурси у јединицама локалне самоуправе и градским општинама у 2020. години</w:t>
            </w:r>
          </w:p>
        </w:tc>
      </w:tr>
      <w:tr w:rsidR="006904C2" w:rsidRPr="000B54D6" w:rsidTr="00864274">
        <w:tc>
          <w:tcPr>
            <w:tcW w:w="2254" w:type="dxa"/>
            <w:shd w:val="clear" w:color="auto" w:fill="auto"/>
          </w:tcPr>
          <w:p w:rsidR="006904C2" w:rsidRPr="000B54D6" w:rsidRDefault="006904C2" w:rsidP="00864274">
            <w:pPr>
              <w:widowControl w:val="0"/>
              <w:tabs>
                <w:tab w:val="left" w:pos="453"/>
                <w:tab w:val="left" w:pos="810"/>
              </w:tabs>
              <w:spacing w:after="0"/>
              <w:jc w:val="center"/>
              <w:rPr>
                <w:rFonts w:eastAsia="Times New Roman"/>
                <w:sz w:val="20"/>
                <w:szCs w:val="20"/>
                <w:lang w:val="sr-Cyrl-RS"/>
              </w:rPr>
            </w:pPr>
            <w:r w:rsidRPr="000B54D6">
              <w:rPr>
                <w:rFonts w:eastAsia="Times New Roman"/>
                <w:sz w:val="20"/>
                <w:szCs w:val="20"/>
                <w:lang w:val="sr-Cyrl-RS"/>
              </w:rPr>
              <w:t>Област</w:t>
            </w:r>
          </w:p>
        </w:tc>
        <w:tc>
          <w:tcPr>
            <w:tcW w:w="2254" w:type="dxa"/>
            <w:shd w:val="clear" w:color="auto" w:fill="auto"/>
          </w:tcPr>
          <w:p w:rsidR="006904C2" w:rsidRPr="000B54D6" w:rsidRDefault="006904C2" w:rsidP="00864274">
            <w:pPr>
              <w:widowControl w:val="0"/>
              <w:tabs>
                <w:tab w:val="left" w:pos="453"/>
                <w:tab w:val="left" w:pos="810"/>
              </w:tabs>
              <w:spacing w:after="0"/>
              <w:jc w:val="center"/>
              <w:rPr>
                <w:rFonts w:eastAsia="Times New Roman"/>
                <w:sz w:val="20"/>
                <w:szCs w:val="20"/>
                <w:lang w:val="sr-Cyrl-RS"/>
              </w:rPr>
            </w:pPr>
            <w:r w:rsidRPr="000B54D6">
              <w:rPr>
                <w:rFonts w:eastAsia="Times New Roman"/>
                <w:sz w:val="20"/>
                <w:szCs w:val="20"/>
                <w:lang w:val="sr-Cyrl-RS"/>
              </w:rPr>
              <w:t>Број јединица локалне самоуправе</w:t>
            </w:r>
          </w:p>
        </w:tc>
        <w:tc>
          <w:tcPr>
            <w:tcW w:w="2254" w:type="dxa"/>
            <w:shd w:val="clear" w:color="auto" w:fill="auto"/>
          </w:tcPr>
          <w:p w:rsidR="006904C2" w:rsidRPr="000B54D6" w:rsidRDefault="006904C2" w:rsidP="00864274">
            <w:pPr>
              <w:widowControl w:val="0"/>
              <w:tabs>
                <w:tab w:val="left" w:pos="453"/>
                <w:tab w:val="left" w:pos="810"/>
              </w:tabs>
              <w:spacing w:after="0"/>
              <w:jc w:val="center"/>
              <w:rPr>
                <w:rFonts w:eastAsia="Times New Roman"/>
                <w:sz w:val="20"/>
                <w:szCs w:val="20"/>
                <w:lang w:val="sr-Cyrl-RS"/>
              </w:rPr>
            </w:pPr>
            <w:r w:rsidRPr="000B54D6">
              <w:rPr>
                <w:rFonts w:eastAsia="Times New Roman"/>
                <w:sz w:val="20"/>
                <w:szCs w:val="20"/>
                <w:lang w:val="sr-Cyrl-RS"/>
              </w:rPr>
              <w:t>Број подржаних пројеката</w:t>
            </w:r>
          </w:p>
        </w:tc>
        <w:tc>
          <w:tcPr>
            <w:tcW w:w="2255" w:type="dxa"/>
            <w:shd w:val="clear" w:color="auto" w:fill="auto"/>
          </w:tcPr>
          <w:p w:rsidR="006904C2" w:rsidRPr="000B54D6" w:rsidRDefault="006904C2" w:rsidP="00864274">
            <w:pPr>
              <w:widowControl w:val="0"/>
              <w:tabs>
                <w:tab w:val="left" w:pos="453"/>
                <w:tab w:val="left" w:pos="810"/>
              </w:tabs>
              <w:spacing w:after="0"/>
              <w:jc w:val="center"/>
              <w:rPr>
                <w:rFonts w:eastAsia="Times New Roman"/>
                <w:sz w:val="20"/>
                <w:szCs w:val="20"/>
                <w:lang w:val="sr-Cyrl-RS"/>
              </w:rPr>
            </w:pPr>
            <w:r w:rsidRPr="000B54D6">
              <w:rPr>
                <w:rFonts w:eastAsia="Times New Roman"/>
                <w:sz w:val="20"/>
                <w:szCs w:val="20"/>
                <w:lang w:val="sr-Cyrl-RS"/>
              </w:rPr>
              <w:t>Укупан износ средстава</w:t>
            </w:r>
          </w:p>
        </w:tc>
      </w:tr>
      <w:tr w:rsidR="006904C2" w:rsidRPr="000B54D6" w:rsidTr="00864274">
        <w:tc>
          <w:tcPr>
            <w:tcW w:w="2254" w:type="dxa"/>
            <w:shd w:val="clear" w:color="auto" w:fill="auto"/>
          </w:tcPr>
          <w:p w:rsidR="006904C2" w:rsidRPr="000B54D6" w:rsidRDefault="006904C2" w:rsidP="00864274">
            <w:pPr>
              <w:widowControl w:val="0"/>
              <w:tabs>
                <w:tab w:val="left" w:pos="453"/>
                <w:tab w:val="left" w:pos="810"/>
              </w:tabs>
              <w:spacing w:after="0"/>
              <w:rPr>
                <w:rFonts w:eastAsia="Times New Roman"/>
                <w:sz w:val="20"/>
                <w:szCs w:val="20"/>
                <w:lang w:val="sr-Cyrl-RS"/>
              </w:rPr>
            </w:pPr>
            <w:r w:rsidRPr="000B54D6">
              <w:rPr>
                <w:rFonts w:eastAsia="Times New Roman"/>
                <w:sz w:val="20"/>
                <w:szCs w:val="20"/>
                <w:lang w:val="sr-Cyrl-RS"/>
              </w:rPr>
              <w:t>Социјално укључивање</w:t>
            </w:r>
          </w:p>
        </w:tc>
        <w:tc>
          <w:tcPr>
            <w:tcW w:w="2254" w:type="dxa"/>
            <w:shd w:val="clear" w:color="auto" w:fill="auto"/>
          </w:tcPr>
          <w:p w:rsidR="006904C2" w:rsidRPr="000B54D6" w:rsidRDefault="006904C2" w:rsidP="00864274">
            <w:pPr>
              <w:widowControl w:val="0"/>
              <w:tabs>
                <w:tab w:val="left" w:pos="453"/>
                <w:tab w:val="left" w:pos="810"/>
              </w:tabs>
              <w:spacing w:after="0"/>
              <w:jc w:val="right"/>
              <w:rPr>
                <w:rFonts w:eastAsia="Times New Roman"/>
                <w:sz w:val="20"/>
                <w:szCs w:val="20"/>
                <w:lang w:val="sr-Cyrl-RS"/>
              </w:rPr>
            </w:pPr>
            <w:r w:rsidRPr="000B54D6">
              <w:rPr>
                <w:rFonts w:eastAsia="Times New Roman"/>
                <w:sz w:val="20"/>
                <w:szCs w:val="20"/>
                <w:lang w:val="sr-Cyrl-RS"/>
              </w:rPr>
              <w:t>22</w:t>
            </w:r>
          </w:p>
        </w:tc>
        <w:tc>
          <w:tcPr>
            <w:tcW w:w="2254" w:type="dxa"/>
            <w:shd w:val="clear" w:color="auto" w:fill="auto"/>
          </w:tcPr>
          <w:p w:rsidR="006904C2" w:rsidRPr="000B54D6" w:rsidRDefault="006904C2" w:rsidP="00864274">
            <w:pPr>
              <w:widowControl w:val="0"/>
              <w:tabs>
                <w:tab w:val="left" w:pos="453"/>
                <w:tab w:val="left" w:pos="810"/>
              </w:tabs>
              <w:spacing w:after="0"/>
              <w:jc w:val="right"/>
              <w:rPr>
                <w:rFonts w:eastAsia="Times New Roman"/>
                <w:sz w:val="20"/>
                <w:szCs w:val="20"/>
                <w:lang w:val="sr-Cyrl-RS"/>
              </w:rPr>
            </w:pPr>
            <w:r w:rsidRPr="000B54D6">
              <w:rPr>
                <w:rFonts w:eastAsia="Times New Roman"/>
                <w:sz w:val="20"/>
                <w:szCs w:val="20"/>
                <w:lang w:val="sr-Cyrl-RS"/>
              </w:rPr>
              <w:t>45</w:t>
            </w:r>
          </w:p>
        </w:tc>
        <w:tc>
          <w:tcPr>
            <w:tcW w:w="2255" w:type="dxa"/>
            <w:shd w:val="clear" w:color="auto" w:fill="auto"/>
          </w:tcPr>
          <w:p w:rsidR="006904C2" w:rsidRPr="000B54D6" w:rsidRDefault="006904C2" w:rsidP="00864274">
            <w:pPr>
              <w:widowControl w:val="0"/>
              <w:tabs>
                <w:tab w:val="left" w:pos="453"/>
                <w:tab w:val="left" w:pos="810"/>
              </w:tabs>
              <w:spacing w:after="0"/>
              <w:jc w:val="right"/>
              <w:rPr>
                <w:rFonts w:eastAsia="Times New Roman"/>
                <w:sz w:val="20"/>
                <w:szCs w:val="20"/>
                <w:lang w:val="sr-Cyrl-RS"/>
              </w:rPr>
            </w:pPr>
            <w:r w:rsidRPr="000B54D6">
              <w:rPr>
                <w:rFonts w:eastAsia="Times New Roman"/>
                <w:sz w:val="20"/>
                <w:szCs w:val="20"/>
                <w:lang w:val="sr-Cyrl-RS"/>
              </w:rPr>
              <w:t>12.187.000,00</w:t>
            </w:r>
          </w:p>
        </w:tc>
      </w:tr>
      <w:tr w:rsidR="006904C2" w:rsidRPr="000B54D6" w:rsidTr="00864274">
        <w:tc>
          <w:tcPr>
            <w:tcW w:w="2254" w:type="dxa"/>
            <w:shd w:val="clear" w:color="auto" w:fill="auto"/>
          </w:tcPr>
          <w:p w:rsidR="006904C2" w:rsidRPr="000B54D6" w:rsidRDefault="006904C2" w:rsidP="00864274">
            <w:pPr>
              <w:widowControl w:val="0"/>
              <w:tabs>
                <w:tab w:val="left" w:pos="453"/>
                <w:tab w:val="left" w:pos="810"/>
              </w:tabs>
              <w:spacing w:after="0"/>
              <w:jc w:val="both"/>
              <w:rPr>
                <w:rFonts w:eastAsia="Times New Roman"/>
                <w:sz w:val="20"/>
                <w:szCs w:val="20"/>
                <w:lang w:val="sr-Cyrl-RS"/>
              </w:rPr>
            </w:pPr>
            <w:r w:rsidRPr="000B54D6">
              <w:rPr>
                <w:rFonts w:eastAsia="Times New Roman"/>
                <w:sz w:val="20"/>
                <w:szCs w:val="20"/>
                <w:lang w:val="sr-Cyrl-RS"/>
              </w:rPr>
              <w:t>Образовање</w:t>
            </w:r>
          </w:p>
        </w:tc>
        <w:tc>
          <w:tcPr>
            <w:tcW w:w="2254" w:type="dxa"/>
            <w:shd w:val="clear" w:color="auto" w:fill="auto"/>
          </w:tcPr>
          <w:p w:rsidR="006904C2" w:rsidRPr="000B54D6" w:rsidRDefault="006904C2" w:rsidP="00864274">
            <w:pPr>
              <w:widowControl w:val="0"/>
              <w:tabs>
                <w:tab w:val="left" w:pos="453"/>
                <w:tab w:val="left" w:pos="810"/>
              </w:tabs>
              <w:spacing w:after="0"/>
              <w:jc w:val="right"/>
              <w:rPr>
                <w:rFonts w:eastAsia="Times New Roman"/>
                <w:sz w:val="20"/>
                <w:szCs w:val="20"/>
                <w:lang w:val="sr-Cyrl-RS"/>
              </w:rPr>
            </w:pPr>
            <w:r w:rsidRPr="000B54D6">
              <w:rPr>
                <w:rFonts w:eastAsia="Times New Roman"/>
                <w:sz w:val="20"/>
                <w:szCs w:val="20"/>
                <w:lang w:val="sr-Cyrl-RS"/>
              </w:rPr>
              <w:t>8</w:t>
            </w:r>
          </w:p>
        </w:tc>
        <w:tc>
          <w:tcPr>
            <w:tcW w:w="2254" w:type="dxa"/>
            <w:shd w:val="clear" w:color="auto" w:fill="auto"/>
          </w:tcPr>
          <w:p w:rsidR="006904C2" w:rsidRPr="000B54D6" w:rsidRDefault="006904C2" w:rsidP="00864274">
            <w:pPr>
              <w:widowControl w:val="0"/>
              <w:tabs>
                <w:tab w:val="left" w:pos="453"/>
                <w:tab w:val="left" w:pos="810"/>
              </w:tabs>
              <w:spacing w:after="0"/>
              <w:jc w:val="right"/>
              <w:rPr>
                <w:rFonts w:eastAsia="Times New Roman"/>
                <w:sz w:val="20"/>
                <w:szCs w:val="20"/>
                <w:lang w:val="sr-Cyrl-RS"/>
              </w:rPr>
            </w:pPr>
            <w:r w:rsidRPr="000B54D6">
              <w:rPr>
                <w:rFonts w:eastAsia="Times New Roman"/>
                <w:sz w:val="20"/>
                <w:szCs w:val="20"/>
                <w:lang w:val="sr-Cyrl-RS"/>
              </w:rPr>
              <w:t>11</w:t>
            </w:r>
          </w:p>
        </w:tc>
        <w:tc>
          <w:tcPr>
            <w:tcW w:w="2255" w:type="dxa"/>
            <w:shd w:val="clear" w:color="auto" w:fill="auto"/>
          </w:tcPr>
          <w:p w:rsidR="006904C2" w:rsidRPr="000B54D6" w:rsidRDefault="006904C2" w:rsidP="00864274">
            <w:pPr>
              <w:widowControl w:val="0"/>
              <w:tabs>
                <w:tab w:val="left" w:pos="453"/>
                <w:tab w:val="left" w:pos="810"/>
              </w:tabs>
              <w:spacing w:after="0"/>
              <w:jc w:val="right"/>
              <w:rPr>
                <w:rFonts w:eastAsia="Times New Roman"/>
                <w:sz w:val="20"/>
                <w:szCs w:val="20"/>
                <w:lang w:val="sr-Cyrl-RS"/>
              </w:rPr>
            </w:pPr>
            <w:r w:rsidRPr="000B54D6">
              <w:rPr>
                <w:rFonts w:eastAsia="Times New Roman"/>
                <w:sz w:val="20"/>
                <w:szCs w:val="20"/>
                <w:lang w:val="sr-Cyrl-RS"/>
              </w:rPr>
              <w:t>4.838.000,00</w:t>
            </w:r>
          </w:p>
        </w:tc>
      </w:tr>
      <w:tr w:rsidR="006904C2" w:rsidRPr="003F63CA" w:rsidTr="00864274">
        <w:tc>
          <w:tcPr>
            <w:tcW w:w="6762" w:type="dxa"/>
            <w:gridSpan w:val="3"/>
            <w:shd w:val="clear" w:color="auto" w:fill="auto"/>
          </w:tcPr>
          <w:p w:rsidR="006904C2" w:rsidRPr="000B54D6" w:rsidRDefault="006904C2" w:rsidP="00864274">
            <w:pPr>
              <w:widowControl w:val="0"/>
              <w:tabs>
                <w:tab w:val="left" w:pos="453"/>
                <w:tab w:val="left" w:pos="810"/>
              </w:tabs>
              <w:spacing w:after="0"/>
              <w:rPr>
                <w:rFonts w:eastAsia="Times New Roman"/>
                <w:sz w:val="20"/>
                <w:szCs w:val="20"/>
                <w:lang w:val="sr-Cyrl-RS"/>
              </w:rPr>
            </w:pPr>
            <w:r w:rsidRPr="000B54D6">
              <w:rPr>
                <w:rFonts w:eastAsia="Times New Roman"/>
                <w:sz w:val="20"/>
                <w:szCs w:val="20"/>
                <w:lang w:val="sr-Cyrl-RS"/>
              </w:rPr>
              <w:t>УКУПНО</w:t>
            </w:r>
          </w:p>
        </w:tc>
        <w:tc>
          <w:tcPr>
            <w:tcW w:w="2255" w:type="dxa"/>
            <w:shd w:val="clear" w:color="auto" w:fill="auto"/>
          </w:tcPr>
          <w:p w:rsidR="006904C2" w:rsidRPr="003F63CA" w:rsidRDefault="006904C2" w:rsidP="00864274">
            <w:pPr>
              <w:widowControl w:val="0"/>
              <w:tabs>
                <w:tab w:val="left" w:pos="453"/>
                <w:tab w:val="left" w:pos="810"/>
              </w:tabs>
              <w:spacing w:after="0"/>
              <w:jc w:val="right"/>
              <w:rPr>
                <w:rFonts w:eastAsia="Times New Roman"/>
                <w:sz w:val="20"/>
                <w:szCs w:val="20"/>
                <w:lang w:val="sr-Cyrl-RS"/>
              </w:rPr>
            </w:pPr>
            <w:r w:rsidRPr="000B54D6">
              <w:rPr>
                <w:rFonts w:eastAsia="Times New Roman"/>
                <w:sz w:val="20"/>
                <w:szCs w:val="20"/>
                <w:lang w:val="sr-Cyrl-RS"/>
              </w:rPr>
              <w:t>17.025.000,00</w:t>
            </w:r>
          </w:p>
        </w:tc>
      </w:tr>
    </w:tbl>
    <w:p w:rsidR="006904C2" w:rsidRDefault="006904C2" w:rsidP="006904C2">
      <w:pPr>
        <w:spacing w:after="0"/>
        <w:jc w:val="both"/>
        <w:rPr>
          <w:sz w:val="24"/>
          <w:szCs w:val="24"/>
          <w:lang w:val="sr-Cyrl-RS"/>
        </w:rPr>
      </w:pPr>
    </w:p>
    <w:p w:rsidR="009756CB" w:rsidRDefault="009756CB" w:rsidP="00936267">
      <w:pPr>
        <w:spacing w:after="0"/>
        <w:ind w:firstLine="720"/>
        <w:jc w:val="both"/>
        <w:rPr>
          <w:sz w:val="24"/>
          <w:szCs w:val="24"/>
          <w:lang w:val="sr-Cyrl-RS"/>
        </w:rPr>
      </w:pPr>
      <w:r w:rsidRPr="00DF3153">
        <w:rPr>
          <w:sz w:val="24"/>
          <w:szCs w:val="24"/>
          <w:lang w:val="sr-Cyrl-RS"/>
        </w:rPr>
        <w:t>У прилогу за израду овог извештаја Удружење грађана Рома продукција Рома ворлд наводи да је почев од 2018. године ре</w:t>
      </w:r>
      <w:r w:rsidR="00E73C1F">
        <w:rPr>
          <w:sz w:val="24"/>
          <w:szCs w:val="24"/>
          <w:lang w:val="sr-Cyrl-RS"/>
        </w:rPr>
        <w:t>а</w:t>
      </w:r>
      <w:r w:rsidRPr="00DF3153">
        <w:rPr>
          <w:sz w:val="24"/>
          <w:szCs w:val="24"/>
          <w:lang w:val="sr-Cyrl-RS"/>
        </w:rPr>
        <w:t>лизовало већи број пројеката, између осталог, и пројекте „Ромска заједница је део српског друштва“, „Државне и локалне мере за бољи живот ромске заједнице“, „Рома Фокус“ и „Ромска заједница и њена инклузија у Србији“</w:t>
      </w:r>
      <w:r w:rsidR="00167E2C" w:rsidRPr="00DF3153">
        <w:rPr>
          <w:sz w:val="24"/>
          <w:szCs w:val="24"/>
          <w:lang w:val="sr-Cyrl-RS"/>
        </w:rPr>
        <w:t>, који су подржани из буџета Републике Србије</w:t>
      </w:r>
      <w:r w:rsidRPr="00DF3153">
        <w:rPr>
          <w:sz w:val="24"/>
          <w:szCs w:val="24"/>
          <w:lang w:val="sr-Cyrl-RS"/>
        </w:rPr>
        <w:t>. Сви пројекти су реализовани у Нишу, Прокупљу и Лесковцу, а генерални циљ им је био да се постојећи локални акциони планови за Роме унапреде</w:t>
      </w:r>
      <w:r w:rsidR="00936267" w:rsidRPr="00DF3153">
        <w:rPr>
          <w:sz w:val="24"/>
          <w:szCs w:val="24"/>
          <w:lang w:val="sr-Cyrl-RS"/>
        </w:rPr>
        <w:t>, да се</w:t>
      </w:r>
      <w:r w:rsidRPr="00DF3153">
        <w:rPr>
          <w:sz w:val="24"/>
          <w:szCs w:val="24"/>
          <w:lang w:val="sr-Cyrl-RS"/>
        </w:rPr>
        <w:t xml:space="preserve"> укаже на евентуалне недостатке, </w:t>
      </w:r>
      <w:r w:rsidR="00936267" w:rsidRPr="00DF3153">
        <w:rPr>
          <w:sz w:val="24"/>
          <w:szCs w:val="24"/>
          <w:lang w:val="sr-Cyrl-RS"/>
        </w:rPr>
        <w:t>к</w:t>
      </w:r>
      <w:r w:rsidRPr="00DF3153">
        <w:rPr>
          <w:sz w:val="24"/>
          <w:szCs w:val="24"/>
          <w:lang w:val="sr-Cyrl-RS"/>
        </w:rPr>
        <w:t xml:space="preserve">ао и да се усвоје и буџетирају нови уз укључивање припадника ромске заједнице. </w:t>
      </w:r>
      <w:r w:rsidR="00936267" w:rsidRPr="00DF3153">
        <w:rPr>
          <w:sz w:val="24"/>
          <w:szCs w:val="24"/>
          <w:lang w:val="sr-Cyrl-RS"/>
        </w:rPr>
        <w:t>Током</w:t>
      </w:r>
      <w:r w:rsidRPr="00DF3153">
        <w:rPr>
          <w:sz w:val="24"/>
          <w:szCs w:val="24"/>
          <w:lang w:val="sr-Cyrl-RS"/>
        </w:rPr>
        <w:t xml:space="preserve"> реализациј</w:t>
      </w:r>
      <w:r w:rsidR="00936267" w:rsidRPr="00DF3153">
        <w:rPr>
          <w:sz w:val="24"/>
          <w:szCs w:val="24"/>
          <w:lang w:val="sr-Cyrl-RS"/>
        </w:rPr>
        <w:t>е</w:t>
      </w:r>
      <w:r w:rsidRPr="00DF3153">
        <w:rPr>
          <w:sz w:val="24"/>
          <w:szCs w:val="24"/>
          <w:lang w:val="sr-Cyrl-RS"/>
        </w:rPr>
        <w:t xml:space="preserve"> пројеката одржани</w:t>
      </w:r>
      <w:r w:rsidR="00936267" w:rsidRPr="00DF3153">
        <w:rPr>
          <w:sz w:val="24"/>
          <w:szCs w:val="24"/>
          <w:lang w:val="sr-Cyrl-RS"/>
        </w:rPr>
        <w:t xml:space="preserve"> су</w:t>
      </w:r>
      <w:r w:rsidRPr="00DF3153">
        <w:rPr>
          <w:sz w:val="24"/>
          <w:szCs w:val="24"/>
          <w:lang w:val="sr-Cyrl-RS"/>
        </w:rPr>
        <w:t xml:space="preserve"> округли столови на којима су били представници ромске заједнице и доносиоц</w:t>
      </w:r>
      <w:r w:rsidR="00E73C1F">
        <w:rPr>
          <w:sz w:val="24"/>
          <w:szCs w:val="24"/>
          <w:lang w:val="sr-Cyrl-RS"/>
        </w:rPr>
        <w:t>и</w:t>
      </w:r>
      <w:r w:rsidRPr="00DF3153">
        <w:rPr>
          <w:sz w:val="24"/>
          <w:szCs w:val="24"/>
          <w:lang w:val="sr-Cyrl-RS"/>
        </w:rPr>
        <w:t xml:space="preserve"> одлука из локалних самоуправа. </w:t>
      </w:r>
      <w:r w:rsidR="00936267" w:rsidRPr="00DF3153">
        <w:rPr>
          <w:sz w:val="24"/>
          <w:szCs w:val="24"/>
          <w:lang w:val="sr-Cyrl-RS"/>
        </w:rPr>
        <w:t>Како се наводи у прилогу за извешта</w:t>
      </w:r>
      <w:r w:rsidR="00C365D9" w:rsidRPr="00DF3153">
        <w:rPr>
          <w:sz w:val="24"/>
          <w:szCs w:val="24"/>
          <w:lang w:val="sr-Cyrl-RS"/>
        </w:rPr>
        <w:t>ј</w:t>
      </w:r>
      <w:r w:rsidR="00936267" w:rsidRPr="00DF3153">
        <w:rPr>
          <w:sz w:val="24"/>
          <w:szCs w:val="24"/>
          <w:lang w:val="sr-Cyrl-RS"/>
        </w:rPr>
        <w:t>,</w:t>
      </w:r>
      <w:r w:rsidRPr="00DF3153">
        <w:rPr>
          <w:sz w:val="24"/>
          <w:szCs w:val="24"/>
          <w:lang w:val="sr-Cyrl-RS"/>
        </w:rPr>
        <w:t xml:space="preserve"> резултат ових пројеката јесте да се приоритети ромске заједнице налазе на високом месту агенди</w:t>
      </w:r>
      <w:r w:rsidR="00936267" w:rsidRPr="00DF3153">
        <w:rPr>
          <w:sz w:val="24"/>
          <w:szCs w:val="24"/>
          <w:lang w:val="sr-Cyrl-RS"/>
        </w:rPr>
        <w:t xml:space="preserve"> у овим јединицама локалне самоуправе</w:t>
      </w:r>
      <w:r w:rsidRPr="00DF3153">
        <w:rPr>
          <w:sz w:val="24"/>
          <w:szCs w:val="24"/>
          <w:lang w:val="sr-Cyrl-RS"/>
        </w:rPr>
        <w:t xml:space="preserve"> и да се проблеми ромске заједнице решавају. Захваљујући постојећим локал</w:t>
      </w:r>
      <w:r w:rsidR="00936267" w:rsidRPr="00DF3153">
        <w:rPr>
          <w:sz w:val="24"/>
          <w:szCs w:val="24"/>
          <w:lang w:val="sr-Cyrl-RS"/>
        </w:rPr>
        <w:t>ним акционим плановима</w:t>
      </w:r>
      <w:r w:rsidRPr="00DF3153">
        <w:rPr>
          <w:sz w:val="24"/>
          <w:szCs w:val="24"/>
          <w:lang w:val="sr-Cyrl-RS"/>
        </w:rPr>
        <w:t xml:space="preserve"> ромски </w:t>
      </w:r>
      <w:r w:rsidRPr="00DF3153">
        <w:rPr>
          <w:sz w:val="24"/>
          <w:szCs w:val="24"/>
          <w:lang w:val="sr-Cyrl-RS"/>
        </w:rPr>
        <w:lastRenderedPageBreak/>
        <w:t>средњошколци и студенти добијају стипендије на локалу, многи Роми и Ромкиње се запошљавају, ромска насеља добијају потребну документацију за уређењ</w:t>
      </w:r>
      <w:r w:rsidR="0036704D">
        <w:rPr>
          <w:sz w:val="24"/>
          <w:szCs w:val="24"/>
          <w:lang w:val="sr-Cyrl-RS"/>
        </w:rPr>
        <w:t>е</w:t>
      </w:r>
      <w:r w:rsidRPr="00DF3153">
        <w:rPr>
          <w:sz w:val="24"/>
          <w:szCs w:val="24"/>
          <w:lang w:val="sr-Cyrl-RS"/>
        </w:rPr>
        <w:t xml:space="preserve">, инфраструктурни проблеми се решавају. </w:t>
      </w:r>
      <w:r w:rsidR="00936267" w:rsidRPr="00DF3153">
        <w:rPr>
          <w:sz w:val="24"/>
          <w:szCs w:val="24"/>
          <w:lang w:val="sr-Cyrl-RS"/>
        </w:rPr>
        <w:t>Током реализације пројеката припремљен је велики број видео материјала који су доступни на сајту удружења.</w:t>
      </w:r>
      <w:r w:rsidR="00936267" w:rsidRPr="00DF3153">
        <w:rPr>
          <w:rStyle w:val="FootnoteReference"/>
          <w:sz w:val="24"/>
          <w:szCs w:val="24"/>
          <w:lang w:val="sr-Cyrl-RS"/>
        </w:rPr>
        <w:footnoteReference w:id="33"/>
      </w:r>
    </w:p>
    <w:p w:rsidR="002972DB" w:rsidRPr="000279AD" w:rsidRDefault="002972DB" w:rsidP="002972DB">
      <w:pPr>
        <w:spacing w:after="0"/>
        <w:ind w:firstLine="720"/>
        <w:jc w:val="both"/>
        <w:rPr>
          <w:sz w:val="24"/>
          <w:szCs w:val="24"/>
          <w:lang w:val="sr-Cyrl-RS"/>
        </w:rPr>
      </w:pPr>
      <w:r w:rsidRPr="000279AD">
        <w:rPr>
          <w:sz w:val="24"/>
          <w:szCs w:val="24"/>
          <w:lang w:val="sr-Cyrl-RS"/>
        </w:rPr>
        <w:t>Канцеларија за инклузију Рома АП Војводине је у 2021. години студентима припадницима ромске националне мањине који су уписани на Високу школу  струковних студија за образовање  васпитача „Михаило Палов“ у Вршцу</w:t>
      </w:r>
      <w:r w:rsidR="0036704D">
        <w:rPr>
          <w:sz w:val="24"/>
          <w:szCs w:val="24"/>
          <w:lang w:val="sr-Cyrl-RS"/>
        </w:rPr>
        <w:t>,</w:t>
      </w:r>
      <w:r w:rsidRPr="000279AD">
        <w:rPr>
          <w:sz w:val="24"/>
          <w:szCs w:val="24"/>
          <w:lang w:val="sr-Cyrl-RS"/>
        </w:rPr>
        <w:t xml:space="preserve"> на Студијски програм: васпитач деце предшколског узраста који похађају наставу на ромском језику, доделил</w:t>
      </w:r>
      <w:r w:rsidR="0036704D">
        <w:rPr>
          <w:sz w:val="24"/>
          <w:szCs w:val="24"/>
          <w:lang w:val="sr-Cyrl-RS"/>
        </w:rPr>
        <w:t>а</w:t>
      </w:r>
      <w:r w:rsidRPr="000279AD">
        <w:rPr>
          <w:sz w:val="24"/>
          <w:szCs w:val="24"/>
          <w:lang w:val="sr-Cyrl-RS"/>
        </w:rPr>
        <w:t xml:space="preserve"> стипендије у износу од 1.200.000,00 динара.</w:t>
      </w:r>
      <w:r w:rsidR="001A5B76" w:rsidRPr="000279AD">
        <w:rPr>
          <w:sz w:val="24"/>
          <w:szCs w:val="24"/>
          <w:lang w:val="sr-Cyrl-RS"/>
        </w:rPr>
        <w:t xml:space="preserve"> Осим тога, велики број јединица локалне самоуправе стипендира ученике и студенте </w:t>
      </w:r>
      <w:r w:rsidR="00005C18" w:rsidRPr="000279AD">
        <w:rPr>
          <w:sz w:val="24"/>
          <w:szCs w:val="24"/>
          <w:lang w:val="sr-Cyrl-RS"/>
        </w:rPr>
        <w:t>из осетљивих друштвених група, а поједине општине стипендирају посебно ученике и студенте припа</w:t>
      </w:r>
      <w:r w:rsidR="001A5B76" w:rsidRPr="000279AD">
        <w:rPr>
          <w:sz w:val="24"/>
          <w:szCs w:val="24"/>
          <w:lang w:val="sr-Cyrl-RS"/>
        </w:rPr>
        <w:t>днике ромске националне мањине.</w:t>
      </w:r>
      <w:r w:rsidR="00AE2D7A" w:rsidRPr="000279AD">
        <w:rPr>
          <w:sz w:val="24"/>
          <w:szCs w:val="24"/>
          <w:lang w:val="sr-Cyrl-RS"/>
        </w:rPr>
        <w:t xml:space="preserve"> </w:t>
      </w:r>
      <w:r w:rsidR="00005C18" w:rsidRPr="000279AD">
        <w:rPr>
          <w:sz w:val="24"/>
          <w:szCs w:val="24"/>
          <w:lang w:val="sr-Cyrl-RS"/>
        </w:rPr>
        <w:t>У табели која следи дат је</w:t>
      </w:r>
      <w:r w:rsidR="004A7A86" w:rsidRPr="000279AD">
        <w:rPr>
          <w:sz w:val="24"/>
          <w:szCs w:val="24"/>
          <w:lang w:val="sr-Cyrl-RS"/>
        </w:rPr>
        <w:t xml:space="preserve">, према расположивим подацима, </w:t>
      </w:r>
      <w:r w:rsidR="00005C18" w:rsidRPr="000279AD">
        <w:rPr>
          <w:sz w:val="24"/>
          <w:szCs w:val="24"/>
          <w:lang w:val="sr-Cyrl-RS"/>
        </w:rPr>
        <w:t xml:space="preserve">преглед додељених стипендија </w:t>
      </w:r>
      <w:r w:rsidR="00120551" w:rsidRPr="000279AD">
        <w:rPr>
          <w:sz w:val="24"/>
          <w:szCs w:val="24"/>
          <w:lang w:val="sr-Cyrl-RS"/>
        </w:rPr>
        <w:t xml:space="preserve">на конкурсима </w:t>
      </w:r>
      <w:r w:rsidR="004A7A86" w:rsidRPr="000279AD">
        <w:rPr>
          <w:sz w:val="24"/>
          <w:szCs w:val="24"/>
          <w:lang w:val="sr-Cyrl-RS"/>
        </w:rPr>
        <w:t xml:space="preserve">јединица локалне самоуправе </w:t>
      </w:r>
      <w:r w:rsidR="00120551" w:rsidRPr="000279AD">
        <w:rPr>
          <w:sz w:val="24"/>
          <w:szCs w:val="24"/>
          <w:lang w:val="sr-Cyrl-RS"/>
        </w:rPr>
        <w:t xml:space="preserve">за ученике и студенте припаднике ромске националне мањине </w:t>
      </w:r>
      <w:r w:rsidR="00005C18" w:rsidRPr="000279AD">
        <w:rPr>
          <w:sz w:val="24"/>
          <w:szCs w:val="24"/>
          <w:lang w:val="sr-Cyrl-RS"/>
        </w:rPr>
        <w:t>у 2021. години.</w:t>
      </w:r>
    </w:p>
    <w:p w:rsidR="00AE2D7A" w:rsidRPr="000279AD" w:rsidRDefault="00AE2D7A" w:rsidP="00AE2D7A">
      <w:pPr>
        <w:spacing w:after="0"/>
        <w:jc w:val="both"/>
        <w:rPr>
          <w:sz w:val="24"/>
          <w:szCs w:val="24"/>
          <w:lang w:val="sr-Cyrl-RS"/>
        </w:rPr>
      </w:pPr>
    </w:p>
    <w:tbl>
      <w:tblPr>
        <w:tblStyle w:val="TableGrid"/>
        <w:tblW w:w="9018" w:type="dxa"/>
        <w:tblLook w:val="04A0" w:firstRow="1" w:lastRow="0" w:firstColumn="1" w:lastColumn="0" w:noHBand="0" w:noVBand="1"/>
      </w:tblPr>
      <w:tblGrid>
        <w:gridCol w:w="3006"/>
        <w:gridCol w:w="3006"/>
        <w:gridCol w:w="3006"/>
      </w:tblGrid>
      <w:tr w:rsidR="00005C18" w:rsidRPr="000279AD" w:rsidTr="00005C18">
        <w:trPr>
          <w:trHeight w:val="293"/>
        </w:trPr>
        <w:tc>
          <w:tcPr>
            <w:tcW w:w="3006" w:type="dxa"/>
          </w:tcPr>
          <w:p w:rsidR="00005C18" w:rsidRPr="000279AD" w:rsidRDefault="00005C18" w:rsidP="00120551">
            <w:pPr>
              <w:spacing w:after="0" w:line="240" w:lineRule="auto"/>
              <w:jc w:val="center"/>
              <w:rPr>
                <w:sz w:val="20"/>
                <w:szCs w:val="20"/>
                <w:lang w:val="sr-Cyrl-RS"/>
              </w:rPr>
            </w:pPr>
            <w:r w:rsidRPr="000279AD">
              <w:rPr>
                <w:sz w:val="20"/>
                <w:szCs w:val="20"/>
                <w:lang w:val="sr-Cyrl-RS"/>
              </w:rPr>
              <w:t>Јединица локалне самоуправе</w:t>
            </w:r>
          </w:p>
        </w:tc>
        <w:tc>
          <w:tcPr>
            <w:tcW w:w="3006" w:type="dxa"/>
          </w:tcPr>
          <w:p w:rsidR="00005C18" w:rsidRPr="000279AD" w:rsidRDefault="00005C18" w:rsidP="00120551">
            <w:pPr>
              <w:spacing w:after="0" w:line="240" w:lineRule="auto"/>
              <w:jc w:val="center"/>
              <w:rPr>
                <w:sz w:val="20"/>
                <w:szCs w:val="20"/>
                <w:lang w:val="sr-Cyrl-RS"/>
              </w:rPr>
            </w:pPr>
            <w:r w:rsidRPr="000279AD">
              <w:rPr>
                <w:sz w:val="20"/>
                <w:szCs w:val="20"/>
                <w:lang w:val="sr-Cyrl-RS"/>
              </w:rPr>
              <w:t>Број ученика/студената</w:t>
            </w:r>
          </w:p>
        </w:tc>
        <w:tc>
          <w:tcPr>
            <w:tcW w:w="3006" w:type="dxa"/>
          </w:tcPr>
          <w:p w:rsidR="00005C18" w:rsidRPr="000279AD" w:rsidRDefault="00005C18" w:rsidP="00120551">
            <w:pPr>
              <w:spacing w:after="0" w:line="240" w:lineRule="auto"/>
              <w:jc w:val="center"/>
              <w:rPr>
                <w:sz w:val="20"/>
                <w:szCs w:val="20"/>
                <w:lang w:val="sr-Cyrl-RS"/>
              </w:rPr>
            </w:pPr>
            <w:r w:rsidRPr="000279AD">
              <w:rPr>
                <w:sz w:val="20"/>
                <w:szCs w:val="20"/>
                <w:lang w:val="sr-Cyrl-RS"/>
              </w:rPr>
              <w:t>Износ додељених средстава на месечном нивоу</w:t>
            </w:r>
          </w:p>
        </w:tc>
      </w:tr>
      <w:tr w:rsidR="00005C18" w:rsidRPr="000279AD" w:rsidTr="00005C18">
        <w:trPr>
          <w:trHeight w:val="299"/>
        </w:trPr>
        <w:tc>
          <w:tcPr>
            <w:tcW w:w="3006" w:type="dxa"/>
          </w:tcPr>
          <w:p w:rsidR="00005C18" w:rsidRPr="000279AD" w:rsidRDefault="00005C18" w:rsidP="00120551">
            <w:pPr>
              <w:spacing w:after="0" w:line="240" w:lineRule="auto"/>
              <w:jc w:val="both"/>
              <w:rPr>
                <w:sz w:val="20"/>
                <w:szCs w:val="20"/>
                <w:lang w:val="sr-Cyrl-RS"/>
              </w:rPr>
            </w:pPr>
            <w:r w:rsidRPr="000279AD">
              <w:rPr>
                <w:sz w:val="20"/>
                <w:szCs w:val="20"/>
                <w:lang w:val="sr-Cyrl-RS"/>
              </w:rPr>
              <w:t>Бачка Паланка</w:t>
            </w:r>
          </w:p>
        </w:tc>
        <w:tc>
          <w:tcPr>
            <w:tcW w:w="3006" w:type="dxa"/>
          </w:tcPr>
          <w:p w:rsidR="00005C18" w:rsidRPr="000279AD" w:rsidRDefault="00005C18" w:rsidP="00120551">
            <w:pPr>
              <w:spacing w:after="0" w:line="240" w:lineRule="auto"/>
              <w:jc w:val="right"/>
              <w:rPr>
                <w:sz w:val="20"/>
                <w:szCs w:val="20"/>
                <w:lang w:val="sr-Cyrl-RS"/>
              </w:rPr>
            </w:pPr>
            <w:r w:rsidRPr="000279AD">
              <w:rPr>
                <w:sz w:val="20"/>
                <w:szCs w:val="20"/>
                <w:lang w:val="sr-Cyrl-RS"/>
              </w:rPr>
              <w:t>15</w:t>
            </w:r>
          </w:p>
        </w:tc>
        <w:tc>
          <w:tcPr>
            <w:tcW w:w="3006" w:type="dxa"/>
          </w:tcPr>
          <w:p w:rsidR="00005C18" w:rsidRPr="000279AD" w:rsidRDefault="00005C18" w:rsidP="00120551">
            <w:pPr>
              <w:spacing w:after="0" w:line="240" w:lineRule="auto"/>
              <w:jc w:val="right"/>
              <w:rPr>
                <w:sz w:val="20"/>
                <w:szCs w:val="20"/>
                <w:lang w:val="sr-Cyrl-RS"/>
              </w:rPr>
            </w:pPr>
            <w:r w:rsidRPr="000279AD">
              <w:rPr>
                <w:sz w:val="20"/>
                <w:szCs w:val="20"/>
                <w:lang w:val="sr-Cyrl-RS"/>
              </w:rPr>
              <w:t>57.000,00</w:t>
            </w:r>
          </w:p>
        </w:tc>
      </w:tr>
      <w:tr w:rsidR="00005C18" w:rsidRPr="000279AD" w:rsidTr="00005C18">
        <w:trPr>
          <w:trHeight w:val="299"/>
        </w:trPr>
        <w:tc>
          <w:tcPr>
            <w:tcW w:w="3006" w:type="dxa"/>
          </w:tcPr>
          <w:p w:rsidR="00005C18" w:rsidRPr="000279AD" w:rsidRDefault="00005C18" w:rsidP="00120551">
            <w:pPr>
              <w:spacing w:after="0" w:line="240" w:lineRule="auto"/>
              <w:jc w:val="both"/>
              <w:rPr>
                <w:sz w:val="20"/>
                <w:szCs w:val="20"/>
                <w:lang w:val="sr-Cyrl-RS"/>
              </w:rPr>
            </w:pPr>
            <w:r w:rsidRPr="000279AD">
              <w:rPr>
                <w:sz w:val="20"/>
                <w:szCs w:val="20"/>
                <w:lang w:val="sr-Cyrl-RS"/>
              </w:rPr>
              <w:t>Ваљево</w:t>
            </w:r>
          </w:p>
        </w:tc>
        <w:tc>
          <w:tcPr>
            <w:tcW w:w="3006" w:type="dxa"/>
          </w:tcPr>
          <w:p w:rsidR="00005C18" w:rsidRPr="000279AD" w:rsidRDefault="00005C18" w:rsidP="00120551">
            <w:pPr>
              <w:spacing w:after="0" w:line="240" w:lineRule="auto"/>
              <w:jc w:val="right"/>
              <w:rPr>
                <w:sz w:val="20"/>
                <w:szCs w:val="20"/>
                <w:lang w:val="sr-Cyrl-RS"/>
              </w:rPr>
            </w:pPr>
            <w:r w:rsidRPr="000279AD">
              <w:rPr>
                <w:sz w:val="20"/>
                <w:szCs w:val="20"/>
                <w:lang w:val="sr-Cyrl-RS"/>
              </w:rPr>
              <w:t>67</w:t>
            </w:r>
          </w:p>
        </w:tc>
        <w:tc>
          <w:tcPr>
            <w:tcW w:w="3006" w:type="dxa"/>
          </w:tcPr>
          <w:p w:rsidR="00005C18" w:rsidRPr="000279AD" w:rsidRDefault="00005C18" w:rsidP="00120551">
            <w:pPr>
              <w:spacing w:after="0" w:line="240" w:lineRule="auto"/>
              <w:jc w:val="right"/>
              <w:rPr>
                <w:sz w:val="20"/>
                <w:szCs w:val="20"/>
                <w:lang w:val="sr-Cyrl-RS"/>
              </w:rPr>
            </w:pPr>
            <w:r w:rsidRPr="000279AD">
              <w:rPr>
                <w:sz w:val="20"/>
                <w:szCs w:val="20"/>
                <w:lang w:val="sr-Cyrl-RS"/>
              </w:rPr>
              <w:t>294.500,00</w:t>
            </w:r>
          </w:p>
        </w:tc>
      </w:tr>
      <w:tr w:rsidR="00005C18" w:rsidRPr="000279AD" w:rsidTr="00005C18">
        <w:trPr>
          <w:trHeight w:val="293"/>
        </w:trPr>
        <w:tc>
          <w:tcPr>
            <w:tcW w:w="3006" w:type="dxa"/>
          </w:tcPr>
          <w:p w:rsidR="00005C18" w:rsidRPr="000279AD" w:rsidRDefault="00005C18" w:rsidP="00120551">
            <w:pPr>
              <w:spacing w:after="0" w:line="240" w:lineRule="auto"/>
              <w:jc w:val="both"/>
              <w:rPr>
                <w:sz w:val="20"/>
                <w:szCs w:val="20"/>
                <w:lang w:val="sr-Cyrl-RS"/>
              </w:rPr>
            </w:pPr>
            <w:r w:rsidRPr="000279AD">
              <w:rPr>
                <w:sz w:val="20"/>
                <w:szCs w:val="20"/>
                <w:lang w:val="sr-Cyrl-RS"/>
              </w:rPr>
              <w:t>Ниш</w:t>
            </w:r>
          </w:p>
        </w:tc>
        <w:tc>
          <w:tcPr>
            <w:tcW w:w="3006" w:type="dxa"/>
          </w:tcPr>
          <w:p w:rsidR="00005C18" w:rsidRPr="000279AD" w:rsidRDefault="00005C18" w:rsidP="00120551">
            <w:pPr>
              <w:spacing w:after="0" w:line="240" w:lineRule="auto"/>
              <w:jc w:val="right"/>
              <w:rPr>
                <w:sz w:val="20"/>
                <w:szCs w:val="20"/>
                <w:lang w:val="sr-Cyrl-RS"/>
              </w:rPr>
            </w:pPr>
            <w:r w:rsidRPr="000279AD">
              <w:rPr>
                <w:sz w:val="20"/>
                <w:szCs w:val="20"/>
                <w:lang w:val="sr-Cyrl-RS"/>
              </w:rPr>
              <w:t>60</w:t>
            </w:r>
          </w:p>
        </w:tc>
        <w:tc>
          <w:tcPr>
            <w:tcW w:w="3006" w:type="dxa"/>
          </w:tcPr>
          <w:p w:rsidR="00005C18" w:rsidRPr="000279AD" w:rsidRDefault="00005C18" w:rsidP="00120551">
            <w:pPr>
              <w:spacing w:after="0" w:line="240" w:lineRule="auto"/>
              <w:jc w:val="right"/>
              <w:rPr>
                <w:sz w:val="20"/>
                <w:szCs w:val="20"/>
                <w:lang w:val="sr-Cyrl-RS"/>
              </w:rPr>
            </w:pPr>
            <w:r w:rsidRPr="000279AD">
              <w:rPr>
                <w:sz w:val="20"/>
                <w:szCs w:val="20"/>
                <w:lang w:val="sr-Cyrl-RS"/>
              </w:rPr>
              <w:t>450.000,00</w:t>
            </w:r>
          </w:p>
        </w:tc>
      </w:tr>
      <w:tr w:rsidR="00005C18" w:rsidRPr="00120551" w:rsidTr="00005C18">
        <w:trPr>
          <w:trHeight w:val="299"/>
        </w:trPr>
        <w:tc>
          <w:tcPr>
            <w:tcW w:w="3006" w:type="dxa"/>
          </w:tcPr>
          <w:p w:rsidR="00005C18" w:rsidRPr="000279AD" w:rsidRDefault="00005C18" w:rsidP="00120551">
            <w:pPr>
              <w:spacing w:after="0" w:line="240" w:lineRule="auto"/>
              <w:jc w:val="both"/>
              <w:rPr>
                <w:sz w:val="20"/>
                <w:szCs w:val="20"/>
                <w:lang w:val="sr-Cyrl-RS"/>
              </w:rPr>
            </w:pPr>
            <w:r w:rsidRPr="000279AD">
              <w:rPr>
                <w:sz w:val="20"/>
                <w:szCs w:val="20"/>
                <w:lang w:val="sr-Cyrl-RS"/>
              </w:rPr>
              <w:t>Смедерево</w:t>
            </w:r>
          </w:p>
        </w:tc>
        <w:tc>
          <w:tcPr>
            <w:tcW w:w="3006" w:type="dxa"/>
          </w:tcPr>
          <w:p w:rsidR="00005C18" w:rsidRPr="000279AD" w:rsidRDefault="00005C18" w:rsidP="00120551">
            <w:pPr>
              <w:spacing w:after="0" w:line="240" w:lineRule="auto"/>
              <w:jc w:val="right"/>
              <w:rPr>
                <w:sz w:val="20"/>
                <w:szCs w:val="20"/>
                <w:lang w:val="sr-Cyrl-RS"/>
              </w:rPr>
            </w:pPr>
            <w:r w:rsidRPr="000279AD">
              <w:rPr>
                <w:sz w:val="20"/>
                <w:szCs w:val="20"/>
                <w:lang w:val="sr-Cyrl-RS"/>
              </w:rPr>
              <w:t>44</w:t>
            </w:r>
          </w:p>
        </w:tc>
        <w:tc>
          <w:tcPr>
            <w:tcW w:w="3006" w:type="dxa"/>
          </w:tcPr>
          <w:p w:rsidR="00005C18" w:rsidRPr="00120551" w:rsidRDefault="00005C18" w:rsidP="00120551">
            <w:pPr>
              <w:spacing w:after="0" w:line="240" w:lineRule="auto"/>
              <w:jc w:val="right"/>
              <w:rPr>
                <w:sz w:val="20"/>
                <w:szCs w:val="20"/>
                <w:lang w:val="sr-Cyrl-RS"/>
              </w:rPr>
            </w:pPr>
            <w:r w:rsidRPr="000279AD">
              <w:rPr>
                <w:sz w:val="20"/>
                <w:szCs w:val="20"/>
                <w:lang w:val="sr-Cyrl-RS"/>
              </w:rPr>
              <w:t>220.000,00</w:t>
            </w:r>
          </w:p>
        </w:tc>
      </w:tr>
    </w:tbl>
    <w:p w:rsidR="00AE2D7A" w:rsidRPr="002972DB" w:rsidRDefault="00AE2D7A" w:rsidP="00AE2D7A">
      <w:pPr>
        <w:spacing w:after="0"/>
        <w:jc w:val="both"/>
        <w:rPr>
          <w:sz w:val="24"/>
          <w:szCs w:val="24"/>
          <w:lang w:val="sr-Cyrl-RS"/>
        </w:rPr>
      </w:pPr>
    </w:p>
    <w:p w:rsidR="00124286" w:rsidRDefault="00124286" w:rsidP="00124286">
      <w:pPr>
        <w:spacing w:after="0"/>
        <w:ind w:firstLine="720"/>
        <w:jc w:val="both"/>
        <w:rPr>
          <w:sz w:val="24"/>
          <w:szCs w:val="24"/>
          <w:lang w:val="sr-Cyrl-RS"/>
        </w:rPr>
      </w:pPr>
      <w:r>
        <w:rPr>
          <w:sz w:val="24"/>
          <w:szCs w:val="24"/>
          <w:lang w:val="sr-Cyrl-RS"/>
        </w:rPr>
        <w:t xml:space="preserve">Као посебно важне мере за социјалну инклузију Рома на националном нивоу могу се одредити здравствене медијаторке, а на локалном нивоу координатори за ромска питања и мобилни тимови. </w:t>
      </w:r>
    </w:p>
    <w:p w:rsidR="00124286" w:rsidRDefault="00124286" w:rsidP="00124286">
      <w:pPr>
        <w:spacing w:after="0"/>
        <w:ind w:firstLine="720"/>
        <w:jc w:val="both"/>
        <w:rPr>
          <w:sz w:val="24"/>
          <w:szCs w:val="24"/>
          <w:lang w:val="sr-Cyrl-RS"/>
        </w:rPr>
      </w:pPr>
      <w:r w:rsidRPr="00124286">
        <w:rPr>
          <w:sz w:val="24"/>
          <w:szCs w:val="24"/>
          <w:lang w:val="sr-Cyrl-RS"/>
        </w:rPr>
        <w:t>На основу Закона о здравственој заштити,</w:t>
      </w:r>
      <w:r w:rsidR="00F90A93">
        <w:rPr>
          <w:rStyle w:val="FootnoteReference"/>
          <w:sz w:val="24"/>
          <w:szCs w:val="24"/>
          <w:lang w:val="sr-Cyrl-RS"/>
        </w:rPr>
        <w:footnoteReference w:id="34"/>
      </w:r>
      <w:r w:rsidRPr="00124286">
        <w:rPr>
          <w:sz w:val="24"/>
          <w:szCs w:val="24"/>
          <w:lang w:val="sr-Cyrl-RS"/>
        </w:rPr>
        <w:t xml:space="preserve"> у оквиру унапређења</w:t>
      </w:r>
      <w:r>
        <w:rPr>
          <w:sz w:val="24"/>
          <w:szCs w:val="24"/>
          <w:lang w:val="sr-Cyrl-RS"/>
        </w:rPr>
        <w:t xml:space="preserve"> </w:t>
      </w:r>
      <w:r w:rsidRPr="00124286">
        <w:rPr>
          <w:sz w:val="24"/>
          <w:szCs w:val="24"/>
          <w:lang w:val="sr-Cyrl-RS"/>
        </w:rPr>
        <w:t>здравља и здравствене заштите групација становништва које су изложене повећаном</w:t>
      </w:r>
      <w:r>
        <w:rPr>
          <w:sz w:val="24"/>
          <w:szCs w:val="24"/>
          <w:lang w:val="sr-Cyrl-RS"/>
        </w:rPr>
        <w:t xml:space="preserve"> </w:t>
      </w:r>
      <w:r w:rsidRPr="00124286">
        <w:rPr>
          <w:sz w:val="24"/>
          <w:szCs w:val="24"/>
          <w:lang w:val="sr-Cyrl-RS"/>
        </w:rPr>
        <w:t>ризику оболевања, од 2008. Министарство здравља подржало је пројекат увођења</w:t>
      </w:r>
      <w:r>
        <w:rPr>
          <w:sz w:val="24"/>
          <w:szCs w:val="24"/>
          <w:lang w:val="sr-Cyrl-RS"/>
        </w:rPr>
        <w:t xml:space="preserve"> </w:t>
      </w:r>
      <w:r w:rsidRPr="00124286">
        <w:rPr>
          <w:sz w:val="24"/>
          <w:szCs w:val="24"/>
          <w:lang w:val="sr-Cyrl-RS"/>
        </w:rPr>
        <w:t>здравствених медијаторки у здравствени систем Републике Србије. Улога</w:t>
      </w:r>
      <w:r>
        <w:rPr>
          <w:sz w:val="24"/>
          <w:szCs w:val="24"/>
          <w:lang w:val="sr-Cyrl-RS"/>
        </w:rPr>
        <w:t xml:space="preserve"> </w:t>
      </w:r>
      <w:r w:rsidRPr="00124286">
        <w:rPr>
          <w:sz w:val="24"/>
          <w:szCs w:val="24"/>
          <w:lang w:val="sr-Cyrl-RS"/>
        </w:rPr>
        <w:t>здравствених медијаторки јесте да воде евиденцију о здравственом стању припадника</w:t>
      </w:r>
      <w:r>
        <w:rPr>
          <w:sz w:val="24"/>
          <w:szCs w:val="24"/>
          <w:lang w:val="sr-Cyrl-RS"/>
        </w:rPr>
        <w:t xml:space="preserve"> </w:t>
      </w:r>
      <w:r w:rsidRPr="00124286">
        <w:rPr>
          <w:sz w:val="24"/>
          <w:szCs w:val="24"/>
          <w:lang w:val="sr-Cyrl-RS"/>
        </w:rPr>
        <w:t>ромске националности, да раде с њима на подизању свести о неопходности вакцинације</w:t>
      </w:r>
      <w:r>
        <w:rPr>
          <w:sz w:val="24"/>
          <w:szCs w:val="24"/>
          <w:lang w:val="sr-Cyrl-RS"/>
        </w:rPr>
        <w:t xml:space="preserve"> </w:t>
      </w:r>
      <w:r w:rsidRPr="00124286">
        <w:rPr>
          <w:sz w:val="24"/>
          <w:szCs w:val="24"/>
          <w:lang w:val="sr-Cyrl-RS"/>
        </w:rPr>
        <w:t>деце, као и о значају правилне исхране и хигијенских навика. Здравствене медијаторке</w:t>
      </w:r>
      <w:r>
        <w:rPr>
          <w:sz w:val="24"/>
          <w:szCs w:val="24"/>
          <w:lang w:val="sr-Cyrl-RS"/>
        </w:rPr>
        <w:t xml:space="preserve"> </w:t>
      </w:r>
      <w:r w:rsidRPr="00124286">
        <w:rPr>
          <w:sz w:val="24"/>
          <w:szCs w:val="24"/>
          <w:lang w:val="sr-Cyrl-RS"/>
        </w:rPr>
        <w:t>обезбеђују бољи увид здравствених установа у здравствено стање становника ромских</w:t>
      </w:r>
      <w:r>
        <w:rPr>
          <w:sz w:val="24"/>
          <w:szCs w:val="24"/>
          <w:lang w:val="sr-Cyrl-RS"/>
        </w:rPr>
        <w:t xml:space="preserve"> </w:t>
      </w:r>
      <w:r w:rsidRPr="00124286">
        <w:rPr>
          <w:sz w:val="24"/>
          <w:szCs w:val="24"/>
          <w:lang w:val="sr-Cyrl-RS"/>
        </w:rPr>
        <w:t>насеља, а грађанима ромске националности указују на значај правовременог јављања</w:t>
      </w:r>
      <w:r>
        <w:rPr>
          <w:sz w:val="24"/>
          <w:szCs w:val="24"/>
          <w:lang w:val="sr-Cyrl-RS"/>
        </w:rPr>
        <w:t xml:space="preserve"> </w:t>
      </w:r>
      <w:r w:rsidRPr="00124286">
        <w:rPr>
          <w:sz w:val="24"/>
          <w:szCs w:val="24"/>
          <w:lang w:val="sr-Cyrl-RS"/>
        </w:rPr>
        <w:t>лекару. Министарство здравља је приликом избора здравствених медијаторки дало предност</w:t>
      </w:r>
      <w:r>
        <w:rPr>
          <w:sz w:val="24"/>
          <w:szCs w:val="24"/>
          <w:lang w:val="sr-Cyrl-RS"/>
        </w:rPr>
        <w:t xml:space="preserve"> </w:t>
      </w:r>
      <w:r w:rsidRPr="00124286">
        <w:rPr>
          <w:sz w:val="24"/>
          <w:szCs w:val="24"/>
          <w:lang w:val="sr-Cyrl-RS"/>
        </w:rPr>
        <w:t>Ромкињама које су мајке и живе у ромском насељу. Од увођења здравствених</w:t>
      </w:r>
      <w:r>
        <w:rPr>
          <w:sz w:val="24"/>
          <w:szCs w:val="24"/>
          <w:lang w:val="sr-Cyrl-RS"/>
        </w:rPr>
        <w:t xml:space="preserve"> </w:t>
      </w:r>
      <w:r w:rsidRPr="00124286">
        <w:rPr>
          <w:sz w:val="24"/>
          <w:szCs w:val="24"/>
          <w:lang w:val="sr-Cyrl-RS"/>
        </w:rPr>
        <w:t>медијаторки у здравствени систем Србије радно место здравствене медијаторке налази се</w:t>
      </w:r>
      <w:r>
        <w:rPr>
          <w:sz w:val="24"/>
          <w:szCs w:val="24"/>
          <w:lang w:val="sr-Cyrl-RS"/>
        </w:rPr>
        <w:t xml:space="preserve"> </w:t>
      </w:r>
      <w:r w:rsidRPr="00124286">
        <w:rPr>
          <w:sz w:val="24"/>
          <w:szCs w:val="24"/>
          <w:lang w:val="sr-Cyrl-RS"/>
        </w:rPr>
        <w:t>у патронажној служби дома здравља, где оне сарађују са сарадницима у дому здравља,</w:t>
      </w:r>
      <w:r>
        <w:rPr>
          <w:sz w:val="24"/>
          <w:szCs w:val="24"/>
          <w:lang w:val="sr-Cyrl-RS"/>
        </w:rPr>
        <w:t xml:space="preserve"> </w:t>
      </w:r>
      <w:r w:rsidRPr="00124286">
        <w:rPr>
          <w:sz w:val="24"/>
          <w:szCs w:val="24"/>
          <w:lang w:val="sr-Cyrl-RS"/>
        </w:rPr>
        <w:t>Центром за социјални рад, филијалом Републичког фонда за здравствено осигурање и</w:t>
      </w:r>
      <w:r>
        <w:rPr>
          <w:sz w:val="24"/>
          <w:szCs w:val="24"/>
          <w:lang w:val="sr-Cyrl-RS"/>
        </w:rPr>
        <w:t xml:space="preserve"> </w:t>
      </w:r>
      <w:r w:rsidRPr="00124286">
        <w:rPr>
          <w:sz w:val="24"/>
          <w:szCs w:val="24"/>
          <w:lang w:val="sr-Cyrl-RS"/>
        </w:rPr>
        <w:t>локалном самоуправом. Имајући у виду да имају свакодневну комуникацију с ромском</w:t>
      </w:r>
      <w:r>
        <w:rPr>
          <w:sz w:val="24"/>
          <w:szCs w:val="24"/>
          <w:lang w:val="sr-Cyrl-RS"/>
        </w:rPr>
        <w:t xml:space="preserve"> </w:t>
      </w:r>
      <w:r w:rsidRPr="00124286">
        <w:rPr>
          <w:sz w:val="24"/>
          <w:szCs w:val="24"/>
          <w:lang w:val="sr-Cyrl-RS"/>
        </w:rPr>
        <w:t>заједницом, оне дају значајан допринос раду мобилног тима за инклузију Рома. У 70</w:t>
      </w:r>
      <w:r>
        <w:rPr>
          <w:sz w:val="24"/>
          <w:szCs w:val="24"/>
          <w:lang w:val="sr-Cyrl-RS"/>
        </w:rPr>
        <w:t xml:space="preserve"> </w:t>
      </w:r>
      <w:r w:rsidRPr="00124286">
        <w:rPr>
          <w:sz w:val="24"/>
          <w:szCs w:val="24"/>
          <w:lang w:val="sr-Cyrl-RS"/>
        </w:rPr>
        <w:t>општина у Републици Србији ангажовано је укупно 85 медијаторки. Један од циљева који је</w:t>
      </w:r>
      <w:r>
        <w:rPr>
          <w:sz w:val="24"/>
          <w:szCs w:val="24"/>
          <w:lang w:val="sr-Cyrl-RS"/>
        </w:rPr>
        <w:t xml:space="preserve"> </w:t>
      </w:r>
      <w:r w:rsidRPr="00124286">
        <w:rPr>
          <w:sz w:val="24"/>
          <w:szCs w:val="24"/>
          <w:lang w:val="sr-Cyrl-RS"/>
        </w:rPr>
        <w:t xml:space="preserve">дефинисан </w:t>
      </w:r>
      <w:r w:rsidRPr="00124286">
        <w:rPr>
          <w:sz w:val="24"/>
          <w:szCs w:val="24"/>
          <w:lang w:val="sr-Cyrl-RS"/>
        </w:rPr>
        <w:lastRenderedPageBreak/>
        <w:t>Стратегијом за социјално укључивање Рома и Ромкиња у Републици Србији јесте</w:t>
      </w:r>
      <w:r>
        <w:rPr>
          <w:sz w:val="24"/>
          <w:szCs w:val="24"/>
          <w:lang w:val="sr-Cyrl-RS"/>
        </w:rPr>
        <w:t xml:space="preserve"> </w:t>
      </w:r>
      <w:r w:rsidRPr="00124286">
        <w:rPr>
          <w:sz w:val="24"/>
          <w:szCs w:val="24"/>
          <w:lang w:val="sr-Cyrl-RS"/>
        </w:rPr>
        <w:t>унапређење њиховог здравља и боља приступачност здравствене заштите. Мерама које</w:t>
      </w:r>
      <w:r>
        <w:rPr>
          <w:sz w:val="24"/>
          <w:szCs w:val="24"/>
          <w:lang w:val="sr-Cyrl-RS"/>
        </w:rPr>
        <w:t xml:space="preserve"> </w:t>
      </w:r>
      <w:r w:rsidR="00B1441B">
        <w:rPr>
          <w:sz w:val="24"/>
          <w:szCs w:val="24"/>
          <w:lang w:val="sr-Cyrl-RS"/>
        </w:rPr>
        <w:t>су конкретизоване А</w:t>
      </w:r>
      <w:r w:rsidRPr="00124286">
        <w:rPr>
          <w:sz w:val="24"/>
          <w:szCs w:val="24"/>
          <w:lang w:val="sr-Cyrl-RS"/>
        </w:rPr>
        <w:t>кционим планом преузете су обавезе које захтевају мобилизацију</w:t>
      </w:r>
      <w:r>
        <w:rPr>
          <w:sz w:val="24"/>
          <w:szCs w:val="24"/>
          <w:lang w:val="sr-Cyrl-RS"/>
        </w:rPr>
        <w:t xml:space="preserve"> </w:t>
      </w:r>
      <w:r w:rsidRPr="00124286">
        <w:rPr>
          <w:sz w:val="24"/>
          <w:szCs w:val="24"/>
          <w:lang w:val="sr-Cyrl-RS"/>
        </w:rPr>
        <w:t>целокупне примарне здравствене заштите и даље унапређење капацитета здравствених</w:t>
      </w:r>
      <w:r>
        <w:rPr>
          <w:sz w:val="24"/>
          <w:szCs w:val="24"/>
          <w:lang w:val="sr-Cyrl-RS"/>
        </w:rPr>
        <w:t xml:space="preserve"> </w:t>
      </w:r>
      <w:r w:rsidRPr="00124286">
        <w:rPr>
          <w:sz w:val="24"/>
          <w:szCs w:val="24"/>
          <w:lang w:val="sr-Cyrl-RS"/>
        </w:rPr>
        <w:t>медијаторки, повећање њиховог броја као и решавање радноправног статуса и њихово</w:t>
      </w:r>
      <w:r>
        <w:rPr>
          <w:sz w:val="24"/>
          <w:szCs w:val="24"/>
          <w:lang w:val="sr-Cyrl-RS"/>
        </w:rPr>
        <w:t xml:space="preserve"> </w:t>
      </w:r>
      <w:r w:rsidRPr="00124286">
        <w:rPr>
          <w:sz w:val="24"/>
          <w:szCs w:val="24"/>
          <w:lang w:val="sr-Cyrl-RS"/>
        </w:rPr>
        <w:t>препознавање у шифарнику занимања.</w:t>
      </w:r>
    </w:p>
    <w:p w:rsidR="00124286" w:rsidRDefault="00124286" w:rsidP="00222B21">
      <w:pPr>
        <w:spacing w:after="0"/>
        <w:ind w:firstLine="720"/>
        <w:jc w:val="both"/>
        <w:rPr>
          <w:sz w:val="24"/>
          <w:szCs w:val="24"/>
          <w:lang w:val="sr-Cyrl-RS"/>
        </w:rPr>
      </w:pPr>
      <w:r w:rsidRPr="00124286">
        <w:rPr>
          <w:sz w:val="24"/>
          <w:szCs w:val="24"/>
          <w:lang w:val="sr-Cyrl-RS"/>
        </w:rPr>
        <w:t>Локална политика инклузије Рома и Ромкиња подразумева мултисекторски приступ и</w:t>
      </w:r>
      <w:r>
        <w:rPr>
          <w:sz w:val="24"/>
          <w:szCs w:val="24"/>
          <w:lang w:val="sr-Cyrl-RS"/>
        </w:rPr>
        <w:t xml:space="preserve"> </w:t>
      </w:r>
      <w:r w:rsidRPr="00124286">
        <w:rPr>
          <w:sz w:val="24"/>
          <w:szCs w:val="24"/>
          <w:lang w:val="sr-Cyrl-RS"/>
        </w:rPr>
        <w:t>учешће више институција на локалном нивоу</w:t>
      </w:r>
      <w:r w:rsidR="004E0AF4">
        <w:rPr>
          <w:sz w:val="24"/>
          <w:szCs w:val="24"/>
          <w:lang w:val="sr-Cyrl-RS"/>
        </w:rPr>
        <w:t>,</w:t>
      </w:r>
      <w:r w:rsidRPr="00124286">
        <w:rPr>
          <w:sz w:val="24"/>
          <w:szCs w:val="24"/>
          <w:lang w:val="sr-Cyrl-RS"/>
        </w:rPr>
        <w:t xml:space="preserve"> уз активно учешће и координацију локалних</w:t>
      </w:r>
      <w:r>
        <w:rPr>
          <w:sz w:val="24"/>
          <w:szCs w:val="24"/>
          <w:lang w:val="sr-Cyrl-RS"/>
        </w:rPr>
        <w:t xml:space="preserve"> </w:t>
      </w:r>
      <w:r w:rsidRPr="00124286">
        <w:rPr>
          <w:sz w:val="24"/>
          <w:szCs w:val="24"/>
          <w:lang w:val="sr-Cyrl-RS"/>
        </w:rPr>
        <w:t>механизама за инклузију ромске заједнице. У Стратегији за социјално укључивање Рома и Ромкиња је препознато да је један од</w:t>
      </w:r>
      <w:r>
        <w:rPr>
          <w:sz w:val="24"/>
          <w:szCs w:val="24"/>
          <w:lang w:val="sr-Cyrl-RS"/>
        </w:rPr>
        <w:t xml:space="preserve"> </w:t>
      </w:r>
      <w:r w:rsidRPr="00124286">
        <w:rPr>
          <w:sz w:val="24"/>
          <w:szCs w:val="24"/>
          <w:lang w:val="sr-Cyrl-RS"/>
        </w:rPr>
        <w:t>локалних механизама који највише доприноси примени стратешких мера на локалном нивоу</w:t>
      </w:r>
      <w:r>
        <w:rPr>
          <w:sz w:val="24"/>
          <w:szCs w:val="24"/>
          <w:lang w:val="sr-Cyrl-RS"/>
        </w:rPr>
        <w:t xml:space="preserve"> </w:t>
      </w:r>
      <w:r w:rsidRPr="00124286">
        <w:rPr>
          <w:sz w:val="24"/>
          <w:szCs w:val="24"/>
          <w:lang w:val="sr-Cyrl-RS"/>
        </w:rPr>
        <w:t>у домену укључености ромске заједнице запошљавање локалних координатора за</w:t>
      </w:r>
      <w:r>
        <w:rPr>
          <w:sz w:val="24"/>
          <w:szCs w:val="24"/>
          <w:lang w:val="sr-Cyrl-RS"/>
        </w:rPr>
        <w:t xml:space="preserve"> </w:t>
      </w:r>
      <w:r w:rsidRPr="00124286">
        <w:rPr>
          <w:sz w:val="24"/>
          <w:szCs w:val="24"/>
          <w:lang w:val="sr-Cyrl-RS"/>
        </w:rPr>
        <w:t>ромска питања у градовима и општинама. Увођењем радног места координатор за</w:t>
      </w:r>
      <w:r w:rsidR="009F22FC">
        <w:rPr>
          <w:sz w:val="24"/>
          <w:szCs w:val="24"/>
          <w:lang w:val="sr-Cyrl-RS"/>
        </w:rPr>
        <w:t xml:space="preserve"> </w:t>
      </w:r>
      <w:r w:rsidRPr="00124286">
        <w:rPr>
          <w:sz w:val="24"/>
          <w:szCs w:val="24"/>
          <w:lang w:val="sr-Cyrl-RS"/>
        </w:rPr>
        <w:t>ромска питања, локална самоуправа ствара могућност да буде у редовној и директној</w:t>
      </w:r>
      <w:r w:rsidR="009F22FC">
        <w:rPr>
          <w:sz w:val="24"/>
          <w:szCs w:val="24"/>
          <w:lang w:val="sr-Cyrl-RS"/>
        </w:rPr>
        <w:t xml:space="preserve"> </w:t>
      </w:r>
      <w:r w:rsidRPr="00124286">
        <w:rPr>
          <w:sz w:val="24"/>
          <w:szCs w:val="24"/>
          <w:lang w:val="sr-Cyrl-RS"/>
        </w:rPr>
        <w:t>комуникацији с ромском заједницом и да ефикасније спроводи националне политике на</w:t>
      </w:r>
      <w:r w:rsidR="009F22FC">
        <w:rPr>
          <w:sz w:val="24"/>
          <w:szCs w:val="24"/>
          <w:lang w:val="sr-Cyrl-RS"/>
        </w:rPr>
        <w:t xml:space="preserve"> </w:t>
      </w:r>
      <w:r w:rsidRPr="00124286">
        <w:rPr>
          <w:sz w:val="24"/>
          <w:szCs w:val="24"/>
          <w:lang w:val="sr-Cyrl-RS"/>
        </w:rPr>
        <w:t>локалном нивоу, уважавајући карактеристике локалног окружења. Улога координатора за</w:t>
      </w:r>
      <w:r w:rsidR="009F22FC">
        <w:rPr>
          <w:sz w:val="24"/>
          <w:szCs w:val="24"/>
          <w:lang w:val="sr-Cyrl-RS"/>
        </w:rPr>
        <w:t xml:space="preserve"> </w:t>
      </w:r>
      <w:r w:rsidRPr="00124286">
        <w:rPr>
          <w:sz w:val="24"/>
          <w:szCs w:val="24"/>
          <w:lang w:val="sr-Cyrl-RS"/>
        </w:rPr>
        <w:t>ромска питања је да пружа техничку подршку локалној самоуправи у развоју и спровођењу</w:t>
      </w:r>
      <w:r w:rsidR="009F22FC">
        <w:rPr>
          <w:sz w:val="24"/>
          <w:szCs w:val="24"/>
          <w:lang w:val="sr-Cyrl-RS"/>
        </w:rPr>
        <w:t xml:space="preserve"> </w:t>
      </w:r>
      <w:r w:rsidRPr="00124286">
        <w:rPr>
          <w:sz w:val="24"/>
          <w:szCs w:val="24"/>
          <w:lang w:val="sr-Cyrl-RS"/>
        </w:rPr>
        <w:t>постојећих и нових политика и програма инклузије Рома и Ромкиња у складу с националним</w:t>
      </w:r>
      <w:r w:rsidR="009F22FC">
        <w:rPr>
          <w:sz w:val="24"/>
          <w:szCs w:val="24"/>
          <w:lang w:val="sr-Cyrl-RS"/>
        </w:rPr>
        <w:t xml:space="preserve"> </w:t>
      </w:r>
      <w:r w:rsidRPr="00124286">
        <w:rPr>
          <w:sz w:val="24"/>
          <w:szCs w:val="24"/>
          <w:lang w:val="sr-Cyrl-RS"/>
        </w:rPr>
        <w:t>и локалним стратешким оквиром; да прикупља и анализира податке о социоекономским</w:t>
      </w:r>
      <w:r w:rsidR="009F22FC">
        <w:rPr>
          <w:sz w:val="24"/>
          <w:szCs w:val="24"/>
          <w:lang w:val="sr-Cyrl-RS"/>
        </w:rPr>
        <w:t xml:space="preserve"> </w:t>
      </w:r>
      <w:r w:rsidRPr="00124286">
        <w:rPr>
          <w:sz w:val="24"/>
          <w:szCs w:val="24"/>
          <w:lang w:val="sr-Cyrl-RS"/>
        </w:rPr>
        <w:t>потребама као основу за израду и праћење локалних стратешких докумената у вези с</w:t>
      </w:r>
      <w:r w:rsidR="009F22FC">
        <w:rPr>
          <w:sz w:val="24"/>
          <w:szCs w:val="24"/>
          <w:lang w:val="sr-Cyrl-RS"/>
        </w:rPr>
        <w:t xml:space="preserve"> </w:t>
      </w:r>
      <w:r w:rsidRPr="00124286">
        <w:rPr>
          <w:sz w:val="24"/>
          <w:szCs w:val="24"/>
          <w:lang w:val="sr-Cyrl-RS"/>
        </w:rPr>
        <w:t>инклузијом Рома и Ромкиња; да комуницира и посредује између ромске заједнице и</w:t>
      </w:r>
      <w:r w:rsidR="009F22FC">
        <w:rPr>
          <w:sz w:val="24"/>
          <w:szCs w:val="24"/>
          <w:lang w:val="sr-Cyrl-RS"/>
        </w:rPr>
        <w:t xml:space="preserve"> </w:t>
      </w:r>
      <w:r w:rsidRPr="00124286">
        <w:rPr>
          <w:sz w:val="24"/>
          <w:szCs w:val="24"/>
          <w:lang w:val="sr-Cyrl-RS"/>
        </w:rPr>
        <w:t>локалне администрације.</w:t>
      </w:r>
      <w:r w:rsidR="009F22FC">
        <w:rPr>
          <w:sz w:val="24"/>
          <w:szCs w:val="24"/>
          <w:lang w:val="sr-Cyrl-RS"/>
        </w:rPr>
        <w:t xml:space="preserve"> </w:t>
      </w:r>
      <w:r w:rsidR="00222B21" w:rsidRPr="000279AD">
        <w:rPr>
          <w:sz w:val="24"/>
          <w:szCs w:val="24"/>
          <w:lang w:val="sr-Cyrl-RS"/>
        </w:rPr>
        <w:t>Од 77 координатора за ромска питања у јединицама локалне самоуправе које су унеле податке у Базу за праћење мера за инклузију Рома и Ромкиња за 2020. годину, 46 координатора имало је систематизовано радно место.</w:t>
      </w:r>
    </w:p>
    <w:p w:rsidR="009F22FC" w:rsidRDefault="009F22FC" w:rsidP="009F22FC">
      <w:pPr>
        <w:spacing w:after="0"/>
        <w:ind w:firstLine="720"/>
        <w:jc w:val="both"/>
        <w:rPr>
          <w:sz w:val="24"/>
          <w:szCs w:val="24"/>
          <w:lang w:val="sr-Cyrl-RS"/>
        </w:rPr>
      </w:pPr>
      <w:r w:rsidRPr="009F22FC">
        <w:rPr>
          <w:sz w:val="24"/>
          <w:szCs w:val="24"/>
          <w:lang w:val="sr-Cyrl-RS"/>
        </w:rPr>
        <w:t>Мобилни тимови за инклузију Рома јесу радна тела скупштине или већа града/општине формирана</w:t>
      </w:r>
      <w:r>
        <w:rPr>
          <w:sz w:val="24"/>
          <w:szCs w:val="24"/>
          <w:lang w:val="sr-Cyrl-RS"/>
        </w:rPr>
        <w:t xml:space="preserve"> </w:t>
      </w:r>
      <w:r w:rsidRPr="009F22FC">
        <w:rPr>
          <w:sz w:val="24"/>
          <w:szCs w:val="24"/>
          <w:lang w:val="sr-Cyrl-RS"/>
        </w:rPr>
        <w:t>ради јачања сарадње између службеника у одговарајућим локалним институцијама.</w:t>
      </w:r>
      <w:r>
        <w:rPr>
          <w:sz w:val="24"/>
          <w:szCs w:val="24"/>
          <w:lang w:val="sr-Cyrl-RS"/>
        </w:rPr>
        <w:t xml:space="preserve"> </w:t>
      </w:r>
      <w:r w:rsidRPr="009F22FC">
        <w:rPr>
          <w:sz w:val="24"/>
          <w:szCs w:val="24"/>
          <w:lang w:val="sr-Cyrl-RS"/>
        </w:rPr>
        <w:t>Чланови мобилних тимова организују заједничке теренске посете ромским насељима и</w:t>
      </w:r>
      <w:r>
        <w:rPr>
          <w:sz w:val="24"/>
          <w:szCs w:val="24"/>
          <w:lang w:val="sr-Cyrl-RS"/>
        </w:rPr>
        <w:t xml:space="preserve"> </w:t>
      </w:r>
      <w:r w:rsidRPr="009F22FC">
        <w:rPr>
          <w:sz w:val="24"/>
          <w:szCs w:val="24"/>
          <w:lang w:val="sr-Cyrl-RS"/>
        </w:rPr>
        <w:t>пружају заједничку и координисану подршку и помоћ појединцима и породицама. Чланове</w:t>
      </w:r>
      <w:r>
        <w:rPr>
          <w:sz w:val="24"/>
          <w:szCs w:val="24"/>
          <w:lang w:val="sr-Cyrl-RS"/>
        </w:rPr>
        <w:t xml:space="preserve"> </w:t>
      </w:r>
      <w:r w:rsidRPr="009F22FC">
        <w:rPr>
          <w:sz w:val="24"/>
          <w:szCs w:val="24"/>
          <w:lang w:val="sr-Cyrl-RS"/>
        </w:rPr>
        <w:t>мобилног тима чине: координатор за ромска питања ангажован у општинској/градској</w:t>
      </w:r>
      <w:r>
        <w:rPr>
          <w:sz w:val="24"/>
          <w:szCs w:val="24"/>
          <w:lang w:val="sr-Cyrl-RS"/>
        </w:rPr>
        <w:t xml:space="preserve"> </w:t>
      </w:r>
      <w:r w:rsidRPr="009F22FC">
        <w:rPr>
          <w:sz w:val="24"/>
          <w:szCs w:val="24"/>
          <w:lang w:val="sr-Cyrl-RS"/>
        </w:rPr>
        <w:t xml:space="preserve">управи, педагошки асистент, здравствена медијаторка, представник </w:t>
      </w:r>
      <w:r w:rsidR="00DC7471">
        <w:rPr>
          <w:sz w:val="24"/>
          <w:szCs w:val="24"/>
          <w:lang w:val="sr-Cyrl-RS"/>
        </w:rPr>
        <w:t>ц</w:t>
      </w:r>
      <w:r w:rsidRPr="009F22FC">
        <w:rPr>
          <w:sz w:val="24"/>
          <w:szCs w:val="24"/>
          <w:lang w:val="sr-Cyrl-RS"/>
        </w:rPr>
        <w:t>ентра за социјални рад</w:t>
      </w:r>
      <w:r>
        <w:rPr>
          <w:sz w:val="24"/>
          <w:szCs w:val="24"/>
          <w:lang w:val="sr-Cyrl-RS"/>
        </w:rPr>
        <w:t xml:space="preserve"> </w:t>
      </w:r>
      <w:r w:rsidRPr="009F22FC">
        <w:rPr>
          <w:sz w:val="24"/>
          <w:szCs w:val="24"/>
          <w:lang w:val="sr-Cyrl-RS"/>
        </w:rPr>
        <w:t xml:space="preserve">и представник филијале </w:t>
      </w:r>
      <w:r w:rsidR="00A218A7">
        <w:rPr>
          <w:sz w:val="24"/>
          <w:szCs w:val="24"/>
          <w:lang w:val="sr-Cyrl-RS"/>
        </w:rPr>
        <w:t>Н</w:t>
      </w:r>
      <w:r w:rsidRPr="009F22FC">
        <w:rPr>
          <w:sz w:val="24"/>
          <w:szCs w:val="24"/>
          <w:lang w:val="sr-Cyrl-RS"/>
        </w:rPr>
        <w:t>ационалне службе за запошљавање. Формирањем мобилних тимова</w:t>
      </w:r>
      <w:r>
        <w:rPr>
          <w:sz w:val="24"/>
          <w:szCs w:val="24"/>
          <w:lang w:val="sr-Cyrl-RS"/>
        </w:rPr>
        <w:t xml:space="preserve"> </w:t>
      </w:r>
      <w:r w:rsidRPr="009F22FC">
        <w:rPr>
          <w:sz w:val="24"/>
          <w:szCs w:val="24"/>
          <w:lang w:val="sr-Cyrl-RS"/>
        </w:rPr>
        <w:t>постиже се рационалније коришћење локалних институционалних ресурса, координисан приступ</w:t>
      </w:r>
      <w:r>
        <w:rPr>
          <w:sz w:val="24"/>
          <w:szCs w:val="24"/>
          <w:lang w:val="sr-Cyrl-RS"/>
        </w:rPr>
        <w:t xml:space="preserve"> </w:t>
      </w:r>
      <w:r w:rsidRPr="009F22FC">
        <w:rPr>
          <w:sz w:val="24"/>
          <w:szCs w:val="24"/>
          <w:lang w:val="sr-Cyrl-RS"/>
        </w:rPr>
        <w:t>у пружању услуга, већа и бржа доступност услуга корисницима. Мобилни тимови поступају</w:t>
      </w:r>
      <w:r>
        <w:rPr>
          <w:sz w:val="24"/>
          <w:szCs w:val="24"/>
          <w:lang w:val="sr-Cyrl-RS"/>
        </w:rPr>
        <w:t xml:space="preserve"> </w:t>
      </w:r>
      <w:r w:rsidRPr="009F22FC">
        <w:rPr>
          <w:sz w:val="24"/>
          <w:szCs w:val="24"/>
          <w:lang w:val="sr-Cyrl-RS"/>
        </w:rPr>
        <w:t>на основу шестомесечних оперативних планова. Мобилни тимови за инклузију Рома и Ромкиња</w:t>
      </w:r>
      <w:r>
        <w:rPr>
          <w:sz w:val="24"/>
          <w:szCs w:val="24"/>
          <w:lang w:val="sr-Cyrl-RS"/>
        </w:rPr>
        <w:t xml:space="preserve"> </w:t>
      </w:r>
      <w:r w:rsidRPr="009F22FC">
        <w:rPr>
          <w:sz w:val="24"/>
          <w:szCs w:val="24"/>
          <w:lang w:val="sr-Cyrl-RS"/>
        </w:rPr>
        <w:t>основани су у 50 градова и општина у Републици Србији уз подршку средстава ЕУ (ИПА12, ИПА13,</w:t>
      </w:r>
      <w:r>
        <w:rPr>
          <w:sz w:val="24"/>
          <w:szCs w:val="24"/>
          <w:lang w:val="sr-Cyrl-RS"/>
        </w:rPr>
        <w:t xml:space="preserve"> </w:t>
      </w:r>
      <w:r w:rsidRPr="009F22FC">
        <w:rPr>
          <w:sz w:val="24"/>
          <w:szCs w:val="24"/>
          <w:lang w:val="sr-Cyrl-RS"/>
        </w:rPr>
        <w:t>ИПА16). Мобилни тим обавља следеће послове: пружа заједничку и координисану подршку и</w:t>
      </w:r>
      <w:r>
        <w:rPr>
          <w:sz w:val="24"/>
          <w:szCs w:val="24"/>
          <w:lang w:val="sr-Cyrl-RS"/>
        </w:rPr>
        <w:t xml:space="preserve"> </w:t>
      </w:r>
      <w:r w:rsidRPr="009F22FC">
        <w:rPr>
          <w:sz w:val="24"/>
          <w:szCs w:val="24"/>
          <w:lang w:val="sr-Cyrl-RS"/>
        </w:rPr>
        <w:t>помоћ појединцима и породицама; испитује потребе ромске заједнице у општини/граду,</w:t>
      </w:r>
      <w:r>
        <w:rPr>
          <w:sz w:val="24"/>
          <w:szCs w:val="24"/>
          <w:lang w:val="sr-Cyrl-RS"/>
        </w:rPr>
        <w:t xml:space="preserve"> </w:t>
      </w:r>
      <w:r w:rsidRPr="009F22FC">
        <w:rPr>
          <w:sz w:val="24"/>
          <w:szCs w:val="24"/>
          <w:lang w:val="sr-Cyrl-RS"/>
        </w:rPr>
        <w:t>посебно у областима образовања, становања, запошљавања, здравствене и социјалне</w:t>
      </w:r>
      <w:r>
        <w:rPr>
          <w:sz w:val="24"/>
          <w:szCs w:val="24"/>
          <w:lang w:val="sr-Cyrl-RS"/>
        </w:rPr>
        <w:t xml:space="preserve"> </w:t>
      </w:r>
      <w:r w:rsidRPr="009F22FC">
        <w:rPr>
          <w:sz w:val="24"/>
          <w:szCs w:val="24"/>
          <w:lang w:val="sr-Cyrl-RS"/>
        </w:rPr>
        <w:t>заштите; промовише и помаже укључивање Рома и Ромкиња у друштвени живот локалне</w:t>
      </w:r>
      <w:r>
        <w:rPr>
          <w:sz w:val="24"/>
          <w:szCs w:val="24"/>
          <w:lang w:val="sr-Cyrl-RS"/>
        </w:rPr>
        <w:t xml:space="preserve"> </w:t>
      </w:r>
      <w:r w:rsidRPr="009F22FC">
        <w:rPr>
          <w:sz w:val="24"/>
          <w:szCs w:val="24"/>
          <w:lang w:val="sr-Cyrl-RS"/>
        </w:rPr>
        <w:t>заједнице; предлаже активности с циљем унапређивања положаја Рома и Ромкиња у</w:t>
      </w:r>
      <w:r>
        <w:rPr>
          <w:sz w:val="24"/>
          <w:szCs w:val="24"/>
          <w:lang w:val="sr-Cyrl-RS"/>
        </w:rPr>
        <w:t xml:space="preserve"> </w:t>
      </w:r>
      <w:r w:rsidRPr="009F22FC">
        <w:rPr>
          <w:sz w:val="24"/>
          <w:szCs w:val="24"/>
          <w:lang w:val="sr-Cyrl-RS"/>
        </w:rPr>
        <w:t xml:space="preserve">општини/граду и другим надлежним органима и </w:t>
      </w:r>
      <w:r w:rsidRPr="009F22FC">
        <w:rPr>
          <w:sz w:val="24"/>
          <w:szCs w:val="24"/>
          <w:lang w:val="sr-Cyrl-RS"/>
        </w:rPr>
        <w:lastRenderedPageBreak/>
        <w:t>организацијама; промовише интеркултуралност</w:t>
      </w:r>
      <w:r>
        <w:rPr>
          <w:sz w:val="24"/>
          <w:szCs w:val="24"/>
          <w:lang w:val="sr-Cyrl-RS"/>
        </w:rPr>
        <w:t xml:space="preserve"> </w:t>
      </w:r>
      <w:r w:rsidRPr="009F22FC">
        <w:rPr>
          <w:sz w:val="24"/>
          <w:szCs w:val="24"/>
          <w:lang w:val="sr-Cyrl-RS"/>
        </w:rPr>
        <w:t>и доприноси упознавању већинског становништва с ромском заједницом.</w:t>
      </w:r>
    </w:p>
    <w:p w:rsidR="00DC7471" w:rsidRDefault="00DC7471" w:rsidP="00DC7471">
      <w:pPr>
        <w:spacing w:after="0"/>
        <w:jc w:val="both"/>
        <w:rPr>
          <w:sz w:val="24"/>
          <w:szCs w:val="24"/>
          <w:lang w:val="sr-Cyrl-RS"/>
        </w:rPr>
      </w:pPr>
    </w:p>
    <w:p w:rsidR="00DC7471" w:rsidRDefault="00EC4EEF" w:rsidP="00DC7471">
      <w:pPr>
        <w:spacing w:after="0"/>
        <w:jc w:val="both"/>
        <w:rPr>
          <w:i/>
          <w:sz w:val="24"/>
          <w:szCs w:val="24"/>
          <w:lang w:val="sr-Cyrl-RS"/>
        </w:rPr>
      </w:pPr>
      <w:r>
        <w:rPr>
          <w:i/>
          <w:sz w:val="24"/>
          <w:szCs w:val="24"/>
          <w:lang w:val="sr-Cyrl-RS"/>
        </w:rPr>
        <w:t xml:space="preserve">2. </w:t>
      </w:r>
      <w:r w:rsidR="00DC7471" w:rsidRPr="00DC7471">
        <w:rPr>
          <w:i/>
          <w:sz w:val="24"/>
          <w:szCs w:val="24"/>
          <w:lang w:val="sr-Cyrl-RS"/>
        </w:rPr>
        <w:t>Успоставити и ставити у употребу, што је пре могуће, а најкасније до истека рока за достављање петог државног извештаја, одрживи оквир за прикупљање података, заснован на људским правима, у вези са питањима приступа правима припадника националних мањина, и промовисати комплементарна квалитативна и квантитативна истраживања како би се оценило стање припадника националних мањина; на основу таквих података и истраживања, успоставити, спроводити, пратити и периодично ревидирати мањинске политике уз ефективно учешће припадника националних мањина</w:t>
      </w:r>
      <w:r w:rsidR="00DC7471">
        <w:rPr>
          <w:i/>
          <w:sz w:val="24"/>
          <w:szCs w:val="24"/>
          <w:lang w:val="sr-Cyrl-RS"/>
        </w:rPr>
        <w:t>.</w:t>
      </w:r>
    </w:p>
    <w:p w:rsidR="0007657A" w:rsidRDefault="0007657A" w:rsidP="00DC7471">
      <w:pPr>
        <w:spacing w:after="0"/>
        <w:jc w:val="both"/>
        <w:rPr>
          <w:i/>
          <w:sz w:val="24"/>
          <w:szCs w:val="24"/>
          <w:lang w:val="sr-Cyrl-RS"/>
        </w:rPr>
      </w:pPr>
    </w:p>
    <w:p w:rsidR="0007657A" w:rsidRPr="0007657A" w:rsidRDefault="0007657A" w:rsidP="00CB58CB">
      <w:pPr>
        <w:spacing w:after="0"/>
        <w:ind w:firstLine="720"/>
        <w:jc w:val="both"/>
        <w:rPr>
          <w:sz w:val="24"/>
          <w:szCs w:val="24"/>
          <w:lang w:val="sr-Cyrl-RS"/>
        </w:rPr>
      </w:pPr>
      <w:r w:rsidRPr="0007657A">
        <w:rPr>
          <w:sz w:val="24"/>
          <w:szCs w:val="24"/>
          <w:lang w:val="sr-Cyrl-RS"/>
        </w:rPr>
        <w:t xml:space="preserve">У оквиру пројекта „Промоција различитости и равноправности у Србији”, који је део заједничког програма Европске уније/Савета Европе „Horizontal Facility за Западни Балкан и Турску 2019-2022”, </w:t>
      </w:r>
      <w:r w:rsidR="000279AD">
        <w:rPr>
          <w:sz w:val="24"/>
          <w:szCs w:val="24"/>
          <w:lang w:val="sr-Cyrl-RS"/>
        </w:rPr>
        <w:t>на иницијативу некадашње Канцеларије за људска и мањинска права Владе Републике Србије</w:t>
      </w:r>
      <w:r w:rsidR="000279AD">
        <w:rPr>
          <w:sz w:val="24"/>
          <w:szCs w:val="24"/>
        </w:rPr>
        <w:t xml:space="preserve"> </w:t>
      </w:r>
      <w:r w:rsidRPr="0007657A">
        <w:rPr>
          <w:sz w:val="24"/>
          <w:szCs w:val="24"/>
          <w:lang w:val="sr-Cyrl-RS"/>
        </w:rPr>
        <w:t>припремљен</w:t>
      </w:r>
      <w:r w:rsidR="00CB58CB">
        <w:rPr>
          <w:sz w:val="24"/>
          <w:szCs w:val="24"/>
          <w:lang w:val="sr-Cyrl-RS"/>
        </w:rPr>
        <w:t>и су</w:t>
      </w:r>
      <w:r w:rsidRPr="0007657A">
        <w:rPr>
          <w:sz w:val="24"/>
          <w:szCs w:val="24"/>
          <w:lang w:val="sr-Cyrl-RS"/>
        </w:rPr>
        <w:t xml:space="preserve"> </w:t>
      </w:r>
      <w:r w:rsidR="00CB58CB">
        <w:rPr>
          <w:sz w:val="24"/>
          <w:szCs w:val="24"/>
          <w:lang w:val="sr-Cyrl-RS"/>
        </w:rPr>
        <w:t>следећи документи:</w:t>
      </w:r>
      <w:r w:rsidR="000279AD">
        <w:rPr>
          <w:sz w:val="24"/>
          <w:szCs w:val="24"/>
          <w:lang w:val="sr-Cyrl-RS"/>
        </w:rPr>
        <w:t xml:space="preserve"> </w:t>
      </w:r>
      <w:r w:rsidRPr="0007657A">
        <w:rPr>
          <w:sz w:val="24"/>
          <w:szCs w:val="24"/>
          <w:lang w:val="sr-Cyrl-RS"/>
        </w:rPr>
        <w:t>„Мапирање и правна анализа препорука уговорних тела Савета Европе у области мањ</w:t>
      </w:r>
      <w:r w:rsidR="00A218A7">
        <w:rPr>
          <w:sz w:val="24"/>
          <w:szCs w:val="24"/>
          <w:lang w:val="sr-Cyrl-RS"/>
        </w:rPr>
        <w:t>и</w:t>
      </w:r>
      <w:r w:rsidRPr="0007657A">
        <w:rPr>
          <w:sz w:val="24"/>
          <w:szCs w:val="24"/>
          <w:lang w:val="sr-Cyrl-RS"/>
        </w:rPr>
        <w:t>нских права“</w:t>
      </w:r>
      <w:r w:rsidR="00CB58CB">
        <w:rPr>
          <w:sz w:val="24"/>
          <w:szCs w:val="24"/>
          <w:lang w:val="sr-Cyrl-RS"/>
        </w:rPr>
        <w:t>, као и „Н</w:t>
      </w:r>
      <w:r w:rsidR="00CB58CB" w:rsidRPr="00CB58CB">
        <w:rPr>
          <w:sz w:val="24"/>
          <w:szCs w:val="24"/>
          <w:lang w:val="sr-Cyrl-RS"/>
        </w:rPr>
        <w:t>ационални критеријуми праћења остваривања мањинских права</w:t>
      </w:r>
      <w:r w:rsidR="00CB58CB">
        <w:rPr>
          <w:sz w:val="24"/>
          <w:szCs w:val="24"/>
          <w:lang w:val="sr-Cyrl-RS"/>
        </w:rPr>
        <w:t>“</w:t>
      </w:r>
      <w:r w:rsidRPr="0007657A">
        <w:rPr>
          <w:sz w:val="24"/>
          <w:szCs w:val="24"/>
          <w:lang w:val="sr-Cyrl-RS"/>
        </w:rPr>
        <w:t xml:space="preserve">. </w:t>
      </w:r>
      <w:r w:rsidR="004E0AF4">
        <w:rPr>
          <w:sz w:val="24"/>
          <w:szCs w:val="24"/>
          <w:lang w:val="sr-Cyrl-RS"/>
        </w:rPr>
        <w:t>За припрему ових докумената</w:t>
      </w:r>
      <w:r w:rsidRPr="0007657A">
        <w:rPr>
          <w:sz w:val="24"/>
          <w:szCs w:val="24"/>
          <w:lang w:val="sr-Cyrl-RS"/>
        </w:rPr>
        <w:t xml:space="preserve"> Савет Европе је ангажовао домаћег експерта.</w:t>
      </w:r>
    </w:p>
    <w:p w:rsidR="0007657A" w:rsidRDefault="0007657A" w:rsidP="00A34F05">
      <w:pPr>
        <w:spacing w:after="0"/>
        <w:ind w:firstLine="720"/>
        <w:jc w:val="both"/>
        <w:rPr>
          <w:sz w:val="24"/>
          <w:szCs w:val="24"/>
          <w:lang w:val="sr-Cyrl-RS"/>
        </w:rPr>
      </w:pPr>
      <w:r w:rsidRPr="0007657A">
        <w:rPr>
          <w:sz w:val="24"/>
          <w:szCs w:val="24"/>
          <w:lang w:val="sr-Cyrl-RS"/>
        </w:rPr>
        <w:t xml:space="preserve">Предмет мапирања и анализе </w:t>
      </w:r>
      <w:r w:rsidR="000279AD">
        <w:rPr>
          <w:sz w:val="24"/>
          <w:szCs w:val="24"/>
          <w:lang w:val="sr-Cyrl-RS"/>
        </w:rPr>
        <w:t xml:space="preserve">биле </w:t>
      </w:r>
      <w:r w:rsidRPr="0007657A">
        <w:rPr>
          <w:sz w:val="24"/>
          <w:szCs w:val="24"/>
          <w:lang w:val="sr-Cyrl-RS"/>
        </w:rPr>
        <w:t>су препоруке релевантних тела Савета Европе - Комитета министара, Саветодавног комитета Оквирне конвенције за заштиту националних мањина и Комитета експерата Европске повеље о регионалним или мањинским језицима.</w:t>
      </w:r>
      <w:r w:rsidR="000279AD">
        <w:rPr>
          <w:rStyle w:val="FootnoteReference"/>
          <w:sz w:val="24"/>
          <w:szCs w:val="24"/>
          <w:lang w:val="sr-Cyrl-RS"/>
        </w:rPr>
        <w:footnoteReference w:id="35"/>
      </w:r>
      <w:r w:rsidRPr="0007657A">
        <w:rPr>
          <w:sz w:val="24"/>
          <w:szCs w:val="24"/>
          <w:lang w:val="sr-Cyrl-RS"/>
        </w:rPr>
        <w:t xml:space="preserve"> Мапирање и правна анализа препорука имају за циљ припрему предлога за успостављање националног институционалног механизма за испуњавање препорука релевантних тела Савета Европе и праћење примена конвенција уопште, а посредством националних критеријума за праћење имплементације мањинских права који </w:t>
      </w:r>
      <w:r w:rsidR="000279AD">
        <w:rPr>
          <w:sz w:val="24"/>
          <w:szCs w:val="24"/>
          <w:lang w:val="sr-Cyrl-RS"/>
        </w:rPr>
        <w:t>су</w:t>
      </w:r>
      <w:r w:rsidRPr="0007657A">
        <w:rPr>
          <w:sz w:val="24"/>
          <w:szCs w:val="24"/>
          <w:lang w:val="sr-Cyrl-RS"/>
        </w:rPr>
        <w:t xml:space="preserve"> такође </w:t>
      </w:r>
      <w:r w:rsidR="000279AD">
        <w:rPr>
          <w:sz w:val="24"/>
          <w:szCs w:val="24"/>
          <w:lang w:val="sr-Cyrl-RS"/>
        </w:rPr>
        <w:t>развијени и</w:t>
      </w:r>
      <w:r w:rsidRPr="0007657A">
        <w:rPr>
          <w:sz w:val="24"/>
          <w:szCs w:val="24"/>
          <w:lang w:val="sr-Cyrl-RS"/>
        </w:rPr>
        <w:t xml:space="preserve"> предложени.</w:t>
      </w:r>
      <w:r w:rsidR="00CB58CB">
        <w:rPr>
          <w:sz w:val="24"/>
          <w:szCs w:val="24"/>
          <w:lang w:val="sr-Cyrl-RS"/>
        </w:rPr>
        <w:t xml:space="preserve"> Наиме, у</w:t>
      </w:r>
      <w:r w:rsidR="00CB58CB" w:rsidRPr="00CB58CB">
        <w:rPr>
          <w:sz w:val="24"/>
          <w:szCs w:val="24"/>
          <w:lang w:val="sr-Cyrl-RS"/>
        </w:rPr>
        <w:t xml:space="preserve"> оквиру пројекта </w:t>
      </w:r>
      <w:r w:rsidR="00CB58CB">
        <w:rPr>
          <w:sz w:val="24"/>
          <w:szCs w:val="24"/>
          <w:lang w:val="sr-Cyrl-RS"/>
        </w:rPr>
        <w:t xml:space="preserve">било је </w:t>
      </w:r>
      <w:r w:rsidR="00CB58CB" w:rsidRPr="00CB58CB">
        <w:rPr>
          <w:sz w:val="24"/>
          <w:szCs w:val="24"/>
          <w:lang w:val="sr-Cyrl-RS"/>
        </w:rPr>
        <w:t>предвиђено да се развију посебни национални критеријуми за праћење примене релевантних тематских кластера мањинских права, који ће служити за трајно прикупљање података у циљу прегледа примене Оквирне конвенције за заштиту националних мањина и Европске повеље о регионалним или мањинским језицима и припреме националних извештаја о њиховој примени, са посебним освртом на прикупљање података на етничкој основи.</w:t>
      </w:r>
      <w:r w:rsidR="00CB58CB">
        <w:rPr>
          <w:sz w:val="24"/>
          <w:szCs w:val="24"/>
          <w:lang w:val="sr-Cyrl-RS"/>
        </w:rPr>
        <w:t xml:space="preserve"> У оквиру сваког од критеријума предвиђено је прикупљање одговарајућих података који би</w:t>
      </w:r>
      <w:r w:rsidR="00CB58CB" w:rsidRPr="00CB58CB">
        <w:rPr>
          <w:sz w:val="24"/>
          <w:szCs w:val="24"/>
          <w:lang w:val="sr-Cyrl-RS"/>
        </w:rPr>
        <w:t>, као логички повезан скуп, пружа</w:t>
      </w:r>
      <w:r w:rsidR="00CB58CB">
        <w:rPr>
          <w:sz w:val="24"/>
          <w:szCs w:val="24"/>
          <w:lang w:val="sr-Cyrl-RS"/>
        </w:rPr>
        <w:t>ли</w:t>
      </w:r>
      <w:r w:rsidR="00CB58CB" w:rsidRPr="00CB58CB">
        <w:rPr>
          <w:sz w:val="24"/>
          <w:szCs w:val="24"/>
          <w:lang w:val="sr-Cyrl-RS"/>
        </w:rPr>
        <w:t xml:space="preserve"> релевантне информације о остваривању мањинских права, </w:t>
      </w:r>
      <w:r w:rsidR="00CB58CB">
        <w:rPr>
          <w:sz w:val="24"/>
          <w:szCs w:val="24"/>
          <w:lang w:val="sr-Cyrl-RS"/>
        </w:rPr>
        <w:t xml:space="preserve">и који би се </w:t>
      </w:r>
      <w:r w:rsidR="00CB58CB" w:rsidRPr="00CB58CB">
        <w:rPr>
          <w:sz w:val="24"/>
          <w:szCs w:val="24"/>
          <w:lang w:val="sr-Cyrl-RS"/>
        </w:rPr>
        <w:t>однос</w:t>
      </w:r>
      <w:r w:rsidR="00CB58CB">
        <w:rPr>
          <w:sz w:val="24"/>
          <w:szCs w:val="24"/>
          <w:lang w:val="sr-Cyrl-RS"/>
        </w:rPr>
        <w:t>или</w:t>
      </w:r>
      <w:r w:rsidR="00CB58CB" w:rsidRPr="00CB58CB">
        <w:rPr>
          <w:sz w:val="24"/>
          <w:szCs w:val="24"/>
          <w:lang w:val="sr-Cyrl-RS"/>
        </w:rPr>
        <w:t xml:space="preserve"> на квантитативне и квалитативне аспекте остваривања мањинских права.</w:t>
      </w:r>
    </w:p>
    <w:p w:rsidR="0007657A" w:rsidRDefault="0007657A" w:rsidP="00A34F05">
      <w:pPr>
        <w:spacing w:after="0"/>
        <w:ind w:firstLine="720"/>
        <w:jc w:val="both"/>
        <w:rPr>
          <w:bCs/>
          <w:sz w:val="24"/>
          <w:szCs w:val="24"/>
          <w:lang w:val="sr-Cyrl-RS"/>
        </w:rPr>
      </w:pPr>
      <w:r>
        <w:rPr>
          <w:bCs/>
          <w:sz w:val="24"/>
          <w:szCs w:val="24"/>
          <w:lang w:val="sr-Cyrl-RS"/>
        </w:rPr>
        <w:t xml:space="preserve">У циљу успостављања овог механизма, Република Србија је предложила да се у оквиру  предстојеће треће фазе </w:t>
      </w:r>
      <w:r w:rsidRPr="00C56425">
        <w:rPr>
          <w:bCs/>
          <w:sz w:val="24"/>
          <w:szCs w:val="24"/>
          <w:lang w:val="sr-Cyrl-RS"/>
        </w:rPr>
        <w:t xml:space="preserve">заједничког програма Европске уније/Савета Европе „Horizontal Facility за Западни Балкан и Турску” </w:t>
      </w:r>
      <w:r>
        <w:rPr>
          <w:bCs/>
          <w:sz w:val="24"/>
          <w:szCs w:val="24"/>
          <w:lang w:val="sr-Cyrl-RS"/>
        </w:rPr>
        <w:t xml:space="preserve">подржи израда </w:t>
      </w:r>
      <w:r w:rsidRPr="00695742">
        <w:rPr>
          <w:bCs/>
          <w:sz w:val="24"/>
          <w:szCs w:val="24"/>
          <w:lang w:val="sr-Cyrl-RS"/>
        </w:rPr>
        <w:t>портал</w:t>
      </w:r>
      <w:r>
        <w:rPr>
          <w:bCs/>
          <w:sz w:val="24"/>
          <w:szCs w:val="24"/>
          <w:lang w:val="sr-Cyrl-RS"/>
        </w:rPr>
        <w:t>а</w:t>
      </w:r>
      <w:r w:rsidRPr="00695742">
        <w:rPr>
          <w:bCs/>
          <w:sz w:val="24"/>
          <w:szCs w:val="24"/>
          <w:lang w:val="sr-Cyrl-RS"/>
        </w:rPr>
        <w:t>/апликациј</w:t>
      </w:r>
      <w:r>
        <w:rPr>
          <w:bCs/>
          <w:sz w:val="24"/>
          <w:szCs w:val="24"/>
          <w:lang w:val="sr-Cyrl-RS"/>
        </w:rPr>
        <w:t>е</w:t>
      </w:r>
      <w:r w:rsidRPr="00695742">
        <w:rPr>
          <w:bCs/>
          <w:sz w:val="24"/>
          <w:szCs w:val="24"/>
          <w:lang w:val="sr-Cyrl-RS"/>
        </w:rPr>
        <w:t xml:space="preserve"> </w:t>
      </w:r>
      <w:r>
        <w:rPr>
          <w:bCs/>
          <w:sz w:val="24"/>
          <w:szCs w:val="24"/>
          <w:lang w:val="sr-Cyrl-RS"/>
        </w:rPr>
        <w:t xml:space="preserve">у који надлежне институције треба да уносе све </w:t>
      </w:r>
      <w:r w:rsidRPr="00695742">
        <w:rPr>
          <w:bCs/>
          <w:sz w:val="24"/>
          <w:szCs w:val="24"/>
          <w:lang w:val="sr-Cyrl-RS"/>
        </w:rPr>
        <w:t>релевантне пoдатке од значаја за праћење остваривања права националних мањина</w:t>
      </w:r>
      <w:r w:rsidR="00CB58CB">
        <w:rPr>
          <w:bCs/>
          <w:sz w:val="24"/>
          <w:szCs w:val="24"/>
          <w:lang w:val="sr-Cyrl-RS"/>
        </w:rPr>
        <w:t>, а према развијеним критеријумима и подацима</w:t>
      </w:r>
      <w:r>
        <w:rPr>
          <w:bCs/>
          <w:sz w:val="24"/>
          <w:szCs w:val="24"/>
          <w:lang w:val="sr-Cyrl-RS"/>
        </w:rPr>
        <w:t>.</w:t>
      </w:r>
      <w:r w:rsidRPr="00695742">
        <w:rPr>
          <w:bCs/>
          <w:sz w:val="24"/>
          <w:szCs w:val="24"/>
          <w:lang w:val="sr-Cyrl-RS"/>
        </w:rPr>
        <w:t xml:space="preserve"> </w:t>
      </w:r>
      <w:r>
        <w:rPr>
          <w:bCs/>
          <w:sz w:val="24"/>
          <w:szCs w:val="24"/>
          <w:lang w:val="sr-Cyrl-RS"/>
        </w:rPr>
        <w:t xml:space="preserve">Тиме би се </w:t>
      </w:r>
      <w:r w:rsidRPr="00695742">
        <w:rPr>
          <w:bCs/>
          <w:sz w:val="24"/>
          <w:szCs w:val="24"/>
          <w:lang w:val="sr-Cyrl-RS"/>
        </w:rPr>
        <w:t>омогући</w:t>
      </w:r>
      <w:r>
        <w:rPr>
          <w:bCs/>
          <w:sz w:val="24"/>
          <w:szCs w:val="24"/>
          <w:lang w:val="sr-Cyrl-RS"/>
        </w:rPr>
        <w:t>л</w:t>
      </w:r>
      <w:r w:rsidRPr="00695742">
        <w:rPr>
          <w:bCs/>
          <w:sz w:val="24"/>
          <w:szCs w:val="24"/>
          <w:lang w:val="sr-Cyrl-RS"/>
        </w:rPr>
        <w:t xml:space="preserve">о успостављање одрживог оквира за прикупљање </w:t>
      </w:r>
      <w:r w:rsidRPr="00695742">
        <w:rPr>
          <w:bCs/>
          <w:sz w:val="24"/>
          <w:szCs w:val="24"/>
          <w:lang w:val="sr-Cyrl-RS"/>
        </w:rPr>
        <w:lastRenderedPageBreak/>
        <w:t>података, заснованог на људским правима, у вези са питањима приступа правима припадника националних мањина</w:t>
      </w:r>
      <w:r>
        <w:rPr>
          <w:bCs/>
          <w:sz w:val="24"/>
          <w:szCs w:val="24"/>
          <w:lang w:val="sr-Cyrl-RS"/>
        </w:rPr>
        <w:t>.</w:t>
      </w:r>
    </w:p>
    <w:p w:rsidR="0007657A" w:rsidRDefault="00A34F05" w:rsidP="00A34F05">
      <w:pPr>
        <w:spacing w:after="0"/>
        <w:ind w:firstLine="720"/>
        <w:jc w:val="both"/>
        <w:rPr>
          <w:sz w:val="24"/>
          <w:szCs w:val="24"/>
          <w:lang w:val="sr-Cyrl-RS"/>
        </w:rPr>
      </w:pPr>
      <w:r>
        <w:rPr>
          <w:sz w:val="24"/>
          <w:szCs w:val="24"/>
          <w:lang w:val="sr-Cyrl-RS"/>
        </w:rPr>
        <w:t>Поменут</w:t>
      </w:r>
      <w:r w:rsidR="00CB58CB">
        <w:rPr>
          <w:sz w:val="24"/>
          <w:szCs w:val="24"/>
          <w:lang w:val="sr-Cyrl-RS"/>
        </w:rPr>
        <w:t>и</w:t>
      </w:r>
      <w:r w:rsidR="0007657A" w:rsidRPr="0007657A">
        <w:rPr>
          <w:sz w:val="24"/>
          <w:szCs w:val="24"/>
          <w:lang w:val="sr-Cyrl-RS"/>
        </w:rPr>
        <w:t xml:space="preserve"> </w:t>
      </w:r>
      <w:r w:rsidR="00CB58CB">
        <w:rPr>
          <w:sz w:val="24"/>
          <w:szCs w:val="24"/>
          <w:lang w:val="sr-Cyrl-RS"/>
        </w:rPr>
        <w:t>документи</w:t>
      </w:r>
      <w:r w:rsidR="0007657A" w:rsidRPr="0007657A">
        <w:rPr>
          <w:sz w:val="24"/>
          <w:szCs w:val="24"/>
          <w:lang w:val="sr-Cyrl-RS"/>
        </w:rPr>
        <w:t xml:space="preserve"> од значаја </w:t>
      </w:r>
      <w:r w:rsidR="00CB58CB">
        <w:rPr>
          <w:sz w:val="24"/>
          <w:szCs w:val="24"/>
          <w:lang w:val="sr-Cyrl-RS"/>
        </w:rPr>
        <w:t>су</w:t>
      </w:r>
      <w:r>
        <w:rPr>
          <w:sz w:val="24"/>
          <w:szCs w:val="24"/>
          <w:lang w:val="sr-Cyrl-RS"/>
        </w:rPr>
        <w:t xml:space="preserve"> </w:t>
      </w:r>
      <w:r w:rsidR="0007657A" w:rsidRPr="0007657A">
        <w:rPr>
          <w:sz w:val="24"/>
          <w:szCs w:val="24"/>
          <w:lang w:val="sr-Cyrl-RS"/>
        </w:rPr>
        <w:t xml:space="preserve">и </w:t>
      </w:r>
      <w:r>
        <w:rPr>
          <w:sz w:val="24"/>
          <w:szCs w:val="24"/>
          <w:lang w:val="sr-Cyrl-RS"/>
        </w:rPr>
        <w:t>за</w:t>
      </w:r>
      <w:r w:rsidR="0007657A" w:rsidRPr="0007657A">
        <w:rPr>
          <w:sz w:val="24"/>
          <w:szCs w:val="24"/>
          <w:lang w:val="sr-Cyrl-RS"/>
        </w:rPr>
        <w:t xml:space="preserve"> припрем</w:t>
      </w:r>
      <w:r>
        <w:rPr>
          <w:sz w:val="24"/>
          <w:szCs w:val="24"/>
          <w:lang w:val="sr-Cyrl-RS"/>
        </w:rPr>
        <w:t>у</w:t>
      </w:r>
      <w:r w:rsidR="0007657A" w:rsidRPr="0007657A">
        <w:rPr>
          <w:sz w:val="24"/>
          <w:szCs w:val="24"/>
          <w:lang w:val="sr-Cyrl-RS"/>
        </w:rPr>
        <w:t xml:space="preserve"> новог стр</w:t>
      </w:r>
      <w:r w:rsidR="00E73C1F">
        <w:rPr>
          <w:sz w:val="24"/>
          <w:szCs w:val="24"/>
          <w:lang w:val="sr-Cyrl-RS"/>
        </w:rPr>
        <w:t>а</w:t>
      </w:r>
      <w:r w:rsidR="0007657A" w:rsidRPr="0007657A">
        <w:rPr>
          <w:sz w:val="24"/>
          <w:szCs w:val="24"/>
          <w:lang w:val="sr-Cyrl-RS"/>
        </w:rPr>
        <w:t>тешког документа посвећен</w:t>
      </w:r>
      <w:r>
        <w:rPr>
          <w:sz w:val="24"/>
          <w:szCs w:val="24"/>
          <w:lang w:val="sr-Cyrl-RS"/>
        </w:rPr>
        <w:t>ог</w:t>
      </w:r>
      <w:r w:rsidR="0007657A" w:rsidRPr="0007657A">
        <w:rPr>
          <w:sz w:val="24"/>
          <w:szCs w:val="24"/>
          <w:lang w:val="sr-Cyrl-RS"/>
        </w:rPr>
        <w:t xml:space="preserve"> </w:t>
      </w:r>
      <w:r>
        <w:rPr>
          <w:sz w:val="24"/>
          <w:szCs w:val="24"/>
          <w:lang w:val="sr-Cyrl-RS"/>
        </w:rPr>
        <w:t>остваривању права националних</w:t>
      </w:r>
      <w:r w:rsidR="0007657A" w:rsidRPr="0007657A">
        <w:rPr>
          <w:sz w:val="24"/>
          <w:szCs w:val="24"/>
          <w:lang w:val="sr-Cyrl-RS"/>
        </w:rPr>
        <w:t xml:space="preserve"> мањина. Наиме, важећи Акциони план за остваривање права националних мањина Влада Републике Србије је усвојила 3. марта 2016. године као средњорочни стратешки документ без постављања временског оквира важења документа. Како је највећи део активности у Акционом плану планиран за реализацију закључно са 2018. годином, у оквиру ревизије Акционог плана за Поглавље 23 од стране Европске комисије и Владе Србије, уочена је потреба за свеукупном анализом ефеката Акционог плана, која би послужила као основ за даљи развој стратешког оквира у области права националних мањина. </w:t>
      </w:r>
      <w:r>
        <w:rPr>
          <w:sz w:val="24"/>
          <w:szCs w:val="24"/>
          <w:lang w:val="sr-Cyrl-RS"/>
        </w:rPr>
        <w:t>С тим у вези</w:t>
      </w:r>
      <w:r w:rsidR="0007657A" w:rsidRPr="0007657A">
        <w:rPr>
          <w:sz w:val="24"/>
          <w:szCs w:val="24"/>
          <w:lang w:val="sr-Cyrl-RS"/>
        </w:rPr>
        <w:t>, у оквиру пројекта „Промоција различитости и равноправности у Србији”, ангажова</w:t>
      </w:r>
      <w:r>
        <w:rPr>
          <w:sz w:val="24"/>
          <w:szCs w:val="24"/>
          <w:lang w:val="sr-Cyrl-RS"/>
        </w:rPr>
        <w:t>ни</w:t>
      </w:r>
      <w:r w:rsidR="0007657A" w:rsidRPr="0007657A">
        <w:rPr>
          <w:sz w:val="24"/>
          <w:szCs w:val="24"/>
          <w:lang w:val="sr-Cyrl-RS"/>
        </w:rPr>
        <w:t xml:space="preserve"> </w:t>
      </w:r>
      <w:r>
        <w:rPr>
          <w:sz w:val="24"/>
          <w:szCs w:val="24"/>
          <w:lang w:val="sr-Cyrl-RS"/>
        </w:rPr>
        <w:t>су</w:t>
      </w:r>
      <w:r w:rsidR="0007657A" w:rsidRPr="0007657A">
        <w:rPr>
          <w:sz w:val="24"/>
          <w:szCs w:val="24"/>
          <w:lang w:val="sr-Cyrl-RS"/>
        </w:rPr>
        <w:t xml:space="preserve"> експерт</w:t>
      </w:r>
      <w:r>
        <w:rPr>
          <w:sz w:val="24"/>
          <w:szCs w:val="24"/>
          <w:lang w:val="sr-Cyrl-RS"/>
        </w:rPr>
        <w:t>и</w:t>
      </w:r>
      <w:r w:rsidR="0007657A" w:rsidRPr="0007657A">
        <w:rPr>
          <w:sz w:val="24"/>
          <w:szCs w:val="24"/>
          <w:lang w:val="sr-Cyrl-RS"/>
        </w:rPr>
        <w:t xml:space="preserve"> који су припремили „Еx-post анализу ефеката примене Акционог плана за остваривање права националних мањина“. Ова анализа даје смернице за методологију израде новог </w:t>
      </w:r>
      <w:r>
        <w:rPr>
          <w:sz w:val="24"/>
          <w:szCs w:val="24"/>
          <w:lang w:val="sr-Cyrl-RS"/>
        </w:rPr>
        <w:t>акционог плана</w:t>
      </w:r>
      <w:r w:rsidR="0007657A" w:rsidRPr="0007657A">
        <w:rPr>
          <w:sz w:val="24"/>
          <w:szCs w:val="24"/>
          <w:lang w:val="sr-Cyrl-RS"/>
        </w:rPr>
        <w:t xml:space="preserve">, који ће бити базиран на Извештају о напретку у процесу приступања Србије Европској унији, као и на препорукама из Четвртог мишљења Саветодавног комитета Оквирне конвенције за заштиту националних мањина, а израду новог стратешког документа координира Министарство за људска и мањинска права и друштвени дијалог. </w:t>
      </w:r>
      <w:r>
        <w:rPr>
          <w:sz w:val="24"/>
          <w:szCs w:val="24"/>
          <w:lang w:val="sr-Cyrl-RS"/>
        </w:rPr>
        <w:t>Након усвајања новог акционог плана, к</w:t>
      </w:r>
      <w:r w:rsidR="0007657A" w:rsidRPr="0007657A">
        <w:rPr>
          <w:sz w:val="24"/>
          <w:szCs w:val="24"/>
          <w:lang w:val="sr-Cyrl-RS"/>
        </w:rPr>
        <w:t xml:space="preserve">роз извештаје о </w:t>
      </w:r>
      <w:r>
        <w:rPr>
          <w:sz w:val="24"/>
          <w:szCs w:val="24"/>
          <w:lang w:val="sr-Cyrl-RS"/>
        </w:rPr>
        <w:t xml:space="preserve">његовом </w:t>
      </w:r>
      <w:r w:rsidR="0007657A" w:rsidRPr="0007657A">
        <w:rPr>
          <w:sz w:val="24"/>
          <w:szCs w:val="24"/>
          <w:lang w:val="sr-Cyrl-RS"/>
        </w:rPr>
        <w:t>спровођењу прикупљаће се подаци у вези са питањима приступа правима припадника националних мањина</w:t>
      </w:r>
      <w:r w:rsidR="00D1261D">
        <w:rPr>
          <w:sz w:val="24"/>
          <w:szCs w:val="24"/>
          <w:lang w:val="sr-Cyrl-RS"/>
        </w:rPr>
        <w:t xml:space="preserve">, што ће бити у складу са поменутим критеријумима </w:t>
      </w:r>
      <w:r w:rsidR="00D1261D" w:rsidRPr="00D1261D">
        <w:rPr>
          <w:sz w:val="24"/>
          <w:szCs w:val="24"/>
          <w:lang w:val="sr-Cyrl-RS"/>
        </w:rPr>
        <w:t>праћења остваривања мањинских права</w:t>
      </w:r>
      <w:r w:rsidR="0007657A" w:rsidRPr="0007657A">
        <w:rPr>
          <w:sz w:val="24"/>
          <w:szCs w:val="24"/>
          <w:lang w:val="sr-Cyrl-RS"/>
        </w:rPr>
        <w:t>.</w:t>
      </w:r>
    </w:p>
    <w:p w:rsidR="00AD09F0" w:rsidRDefault="00AD09F0" w:rsidP="00AD09F0">
      <w:pPr>
        <w:spacing w:after="0"/>
        <w:jc w:val="both"/>
        <w:rPr>
          <w:sz w:val="24"/>
          <w:szCs w:val="24"/>
          <w:lang w:val="sr-Cyrl-RS"/>
        </w:rPr>
      </w:pPr>
    </w:p>
    <w:p w:rsidR="00AD09F0" w:rsidRPr="000659A5" w:rsidRDefault="00EC4EEF" w:rsidP="00AD09F0">
      <w:pPr>
        <w:spacing w:after="0"/>
        <w:jc w:val="both"/>
        <w:rPr>
          <w:i/>
          <w:sz w:val="24"/>
        </w:rPr>
      </w:pPr>
      <w:r w:rsidRPr="000659A5">
        <w:rPr>
          <w:i/>
          <w:sz w:val="24"/>
          <w:lang w:val="sr-Cyrl-RS"/>
        </w:rPr>
        <w:t xml:space="preserve">3. </w:t>
      </w:r>
      <w:r w:rsidR="00AD09F0" w:rsidRPr="000659A5">
        <w:rPr>
          <w:i/>
          <w:sz w:val="24"/>
        </w:rPr>
        <w:t>Спровести препоруке Заштитника грађана Републике Србије наведене у његовом Посебном извештају о саветима за међунационалне односе и наручити израду независне квалитативне студије што је пре могуће, а најкасније до истека рока за достављање петог државног извештаја, у циљу процене функционалности Савета за међунационалне односе; снажно подржати развој независних квалитативних и квантитативних истраживања која показују ниво и природу међуетничких односа, укључујући односе између припадника националних мањина и припадника већине; на основу таквих истраживања, успоставити, спровести, пратити и периодично ревидирати свеобухватну стратегију усмерену на ревитализацију међунационалних односа, у консултацији са припадницима националних мањина и јединицама локалне самоуправе, узимајући у обзир потребу укључивања већине у интеграцију и укључивање националних мањина у српско друштво.</w:t>
      </w:r>
    </w:p>
    <w:p w:rsidR="00AD09F0" w:rsidRDefault="00AD09F0" w:rsidP="00AD09F0">
      <w:pPr>
        <w:spacing w:after="0"/>
        <w:jc w:val="both"/>
        <w:rPr>
          <w:i/>
          <w:color w:val="333333"/>
          <w:sz w:val="24"/>
        </w:rPr>
      </w:pPr>
    </w:p>
    <w:p w:rsidR="00D01D2E" w:rsidRPr="000659A5" w:rsidRDefault="00D01D2E" w:rsidP="00AD09F0">
      <w:pPr>
        <w:spacing w:after="0"/>
        <w:jc w:val="both"/>
        <w:rPr>
          <w:i/>
          <w:sz w:val="24"/>
          <w:lang w:val="sr-Cyrl-RS"/>
        </w:rPr>
      </w:pPr>
      <w:r w:rsidRPr="000659A5">
        <w:rPr>
          <w:i/>
          <w:sz w:val="24"/>
          <w:lang w:val="sr-Cyrl-RS"/>
        </w:rPr>
        <w:t>Савети за међунационалне односе</w:t>
      </w:r>
    </w:p>
    <w:p w:rsidR="00D01D2E" w:rsidRPr="000659A5" w:rsidRDefault="00D01D2E" w:rsidP="00AD09F0">
      <w:pPr>
        <w:spacing w:after="0"/>
        <w:jc w:val="both"/>
        <w:rPr>
          <w:i/>
          <w:sz w:val="24"/>
          <w:lang w:val="sr-Cyrl-RS"/>
        </w:rPr>
      </w:pPr>
    </w:p>
    <w:p w:rsidR="00E17833" w:rsidRPr="00E17833" w:rsidRDefault="0063115E" w:rsidP="0063115E">
      <w:pPr>
        <w:spacing w:after="0"/>
        <w:ind w:firstLine="720"/>
        <w:jc w:val="both"/>
        <w:rPr>
          <w:sz w:val="24"/>
          <w:szCs w:val="24"/>
          <w:lang w:val="sr-Cyrl-RS"/>
        </w:rPr>
      </w:pPr>
      <w:r w:rsidRPr="000659A5">
        <w:rPr>
          <w:sz w:val="24"/>
          <w:szCs w:val="24"/>
          <w:lang w:val="sr-Cyrl-RS"/>
        </w:rPr>
        <w:t xml:space="preserve">Имајући у виду изложену препоруку </w:t>
      </w:r>
      <w:r>
        <w:rPr>
          <w:sz w:val="24"/>
          <w:szCs w:val="24"/>
          <w:lang w:val="sr-Cyrl-RS"/>
        </w:rPr>
        <w:t>Саветодавног комитета, као и препоруке Заштитника грађана, у</w:t>
      </w:r>
      <w:r w:rsidR="00E17833" w:rsidRPr="00E17833">
        <w:rPr>
          <w:sz w:val="24"/>
          <w:szCs w:val="24"/>
          <w:lang w:val="sr-Cyrl-RS"/>
        </w:rPr>
        <w:t xml:space="preserve"> 2018. години измењен је Закон о локалној самоуправи.</w:t>
      </w:r>
      <w:r w:rsidR="00375C0E">
        <w:rPr>
          <w:rStyle w:val="FootnoteReference"/>
          <w:sz w:val="24"/>
          <w:szCs w:val="24"/>
          <w:lang w:val="sr-Cyrl-RS"/>
        </w:rPr>
        <w:footnoteReference w:id="36"/>
      </w:r>
      <w:r w:rsidR="00E17833" w:rsidRPr="00E17833">
        <w:rPr>
          <w:sz w:val="24"/>
          <w:szCs w:val="24"/>
          <w:lang w:val="sr-Cyrl-RS"/>
        </w:rPr>
        <w:t xml:space="preserve"> Законом је предвиђена обавеза јединице локалне самоуправе на чијем подручју је у службеној употреби језик националне мањине, да у поступку промене назива улица, тргова, </w:t>
      </w:r>
      <w:r w:rsidR="00E17833" w:rsidRPr="00E17833">
        <w:rPr>
          <w:sz w:val="24"/>
          <w:szCs w:val="24"/>
          <w:lang w:val="sr-Cyrl-RS"/>
        </w:rPr>
        <w:lastRenderedPageBreak/>
        <w:t>градских четврти, заселака и других делова насељених места прибави и мишљење савета за међунационалне односе, што истовремено представља начин да се обезбеди спровођење обавезе ових јединица локалне самоуправе да образују наведен</w:t>
      </w:r>
      <w:r>
        <w:rPr>
          <w:sz w:val="24"/>
          <w:szCs w:val="24"/>
          <w:lang w:val="sr-Cyrl-RS"/>
        </w:rPr>
        <w:t>а</w:t>
      </w:r>
      <w:r w:rsidR="00E17833" w:rsidRPr="00E17833">
        <w:rPr>
          <w:sz w:val="24"/>
          <w:szCs w:val="24"/>
          <w:lang w:val="sr-Cyrl-RS"/>
        </w:rPr>
        <w:t xml:space="preserve"> тел</w:t>
      </w:r>
      <w:r>
        <w:rPr>
          <w:sz w:val="24"/>
          <w:szCs w:val="24"/>
          <w:lang w:val="sr-Cyrl-RS"/>
        </w:rPr>
        <w:t>а</w:t>
      </w:r>
      <w:r w:rsidR="00E17833" w:rsidRPr="00E17833">
        <w:rPr>
          <w:sz w:val="24"/>
          <w:szCs w:val="24"/>
          <w:lang w:val="sr-Cyrl-RS"/>
        </w:rPr>
        <w:t xml:space="preserve">, посебно имајући у виду да претходним законом нису </w:t>
      </w:r>
      <w:r>
        <w:rPr>
          <w:sz w:val="24"/>
          <w:szCs w:val="24"/>
          <w:lang w:val="sr-Cyrl-RS"/>
        </w:rPr>
        <w:t xml:space="preserve">биле </w:t>
      </w:r>
      <w:r w:rsidR="00E17833" w:rsidRPr="00E17833">
        <w:rPr>
          <w:sz w:val="24"/>
          <w:szCs w:val="24"/>
          <w:lang w:val="sr-Cyrl-RS"/>
        </w:rPr>
        <w:t xml:space="preserve">предвиђене мере које би </w:t>
      </w:r>
      <w:r>
        <w:rPr>
          <w:sz w:val="24"/>
          <w:szCs w:val="24"/>
          <w:lang w:val="sr-Cyrl-RS"/>
        </w:rPr>
        <w:t>осигурале њихово установљење. Такође</w:t>
      </w:r>
      <w:r w:rsidR="00E17833" w:rsidRPr="00E17833">
        <w:rPr>
          <w:sz w:val="24"/>
          <w:szCs w:val="24"/>
          <w:lang w:val="sr-Cyrl-RS"/>
        </w:rPr>
        <w:t>, изменама Закона утврђено је да за члана савета за међунационалне односе не може бити изабран одборник у скупштини јединице локалне самоуправе, а прецизирано је и да представнике српског народа предлаже стално радно тело скупштине јединице локалне самоуправе које обавља послове у вези са кадровским питањима</w:t>
      </w:r>
      <w:r w:rsidR="00E75E90">
        <w:rPr>
          <w:sz w:val="24"/>
          <w:szCs w:val="24"/>
          <w:lang w:val="sr-Cyrl-RS"/>
        </w:rPr>
        <w:t>, чиме су решена и ова отворена питања</w:t>
      </w:r>
      <w:r w:rsidR="00E17833" w:rsidRPr="00E17833">
        <w:rPr>
          <w:sz w:val="24"/>
          <w:szCs w:val="24"/>
          <w:lang w:val="sr-Cyrl-RS"/>
        </w:rPr>
        <w:t>.</w:t>
      </w:r>
    </w:p>
    <w:p w:rsidR="00DE31AC" w:rsidRDefault="00E75E90" w:rsidP="00D01D2E">
      <w:pPr>
        <w:spacing w:after="0"/>
        <w:ind w:firstLine="720"/>
        <w:jc w:val="both"/>
        <w:rPr>
          <w:sz w:val="24"/>
          <w:szCs w:val="24"/>
          <w:lang w:val="sr-Cyrl-RS"/>
        </w:rPr>
      </w:pPr>
      <w:r>
        <w:rPr>
          <w:sz w:val="24"/>
          <w:szCs w:val="24"/>
          <w:lang w:val="sr-Cyrl-RS"/>
        </w:rPr>
        <w:t xml:space="preserve">У вези са овом препоруком важно је истаћи да је </w:t>
      </w:r>
      <w:r w:rsidRPr="00E75E90">
        <w:rPr>
          <w:sz w:val="24"/>
          <w:szCs w:val="24"/>
          <w:lang w:val="sr-Cyrl-RS"/>
        </w:rPr>
        <w:t>Министарств</w:t>
      </w:r>
      <w:r w:rsidR="00E73C1F">
        <w:rPr>
          <w:sz w:val="24"/>
          <w:szCs w:val="24"/>
          <w:lang w:val="sr-Cyrl-RS"/>
        </w:rPr>
        <w:t>о</w:t>
      </w:r>
      <w:r w:rsidRPr="00E75E90">
        <w:rPr>
          <w:sz w:val="24"/>
          <w:szCs w:val="24"/>
          <w:lang w:val="sr-Cyrl-RS"/>
        </w:rPr>
        <w:t xml:space="preserve"> државне управе и локалне самоуправе</w:t>
      </w:r>
      <w:r>
        <w:rPr>
          <w:sz w:val="24"/>
          <w:szCs w:val="24"/>
          <w:lang w:val="sr-Cyrl-RS"/>
        </w:rPr>
        <w:t>,</w:t>
      </w:r>
      <w:r w:rsidRPr="00E75E90">
        <w:rPr>
          <w:sz w:val="24"/>
          <w:szCs w:val="24"/>
          <w:lang w:val="sr-Cyrl-RS"/>
        </w:rPr>
        <w:t xml:space="preserve"> </w:t>
      </w:r>
      <w:r>
        <w:rPr>
          <w:sz w:val="24"/>
          <w:szCs w:val="24"/>
          <w:lang w:val="sr-Cyrl-RS"/>
        </w:rPr>
        <w:t>у</w:t>
      </w:r>
      <w:r w:rsidR="00E17833" w:rsidRPr="00E17833">
        <w:rPr>
          <w:sz w:val="24"/>
          <w:szCs w:val="24"/>
          <w:lang w:val="sr-Cyrl-RS"/>
        </w:rPr>
        <w:t xml:space="preserve"> оквиру вршења надзора над применом Закона кроз </w:t>
      </w:r>
      <w:r>
        <w:rPr>
          <w:sz w:val="24"/>
          <w:szCs w:val="24"/>
          <w:lang w:val="sr-Cyrl-RS"/>
        </w:rPr>
        <w:t xml:space="preserve">своју </w:t>
      </w:r>
      <w:r w:rsidR="00E17833" w:rsidRPr="00E17833">
        <w:rPr>
          <w:sz w:val="24"/>
          <w:szCs w:val="24"/>
          <w:lang w:val="sr-Cyrl-RS"/>
        </w:rPr>
        <w:t>обавезу да даје мишљења на предлоге статута јединица локалне самоуправе, нарочито указива</w:t>
      </w:r>
      <w:r>
        <w:rPr>
          <w:sz w:val="24"/>
          <w:szCs w:val="24"/>
          <w:lang w:val="sr-Cyrl-RS"/>
        </w:rPr>
        <w:t>л</w:t>
      </w:r>
      <w:r w:rsidR="00E17833" w:rsidRPr="00E17833">
        <w:rPr>
          <w:sz w:val="24"/>
          <w:szCs w:val="24"/>
          <w:lang w:val="sr-Cyrl-RS"/>
        </w:rPr>
        <w:t xml:space="preserve">о </w:t>
      </w:r>
      <w:r>
        <w:rPr>
          <w:sz w:val="24"/>
          <w:szCs w:val="24"/>
          <w:lang w:val="sr-Cyrl-RS"/>
        </w:rPr>
        <w:t xml:space="preserve">на потребу </w:t>
      </w:r>
      <w:r w:rsidR="00E17833" w:rsidRPr="00E17833">
        <w:rPr>
          <w:sz w:val="24"/>
          <w:szCs w:val="24"/>
          <w:lang w:val="sr-Cyrl-RS"/>
        </w:rPr>
        <w:t xml:space="preserve">да </w:t>
      </w:r>
      <w:r>
        <w:rPr>
          <w:sz w:val="24"/>
          <w:szCs w:val="24"/>
          <w:lang w:val="sr-Cyrl-RS"/>
        </w:rPr>
        <w:t>с</w:t>
      </w:r>
      <w:r w:rsidR="00E17833" w:rsidRPr="00E17833">
        <w:rPr>
          <w:sz w:val="24"/>
          <w:szCs w:val="24"/>
          <w:lang w:val="sr-Cyrl-RS"/>
        </w:rPr>
        <w:t>е у одредбама статута наве</w:t>
      </w:r>
      <w:r w:rsidR="00D01D2E">
        <w:rPr>
          <w:sz w:val="24"/>
          <w:szCs w:val="24"/>
          <w:lang w:val="sr-Cyrl-RS"/>
        </w:rPr>
        <w:t>ду чланови</w:t>
      </w:r>
      <w:r w:rsidR="00E17833" w:rsidRPr="00E17833">
        <w:rPr>
          <w:sz w:val="24"/>
          <w:szCs w:val="24"/>
          <w:lang w:val="sr-Cyrl-RS"/>
        </w:rPr>
        <w:t>, односно одредбе које се односе на: избор и састав савета</w:t>
      </w:r>
      <w:r w:rsidR="00D01D2E">
        <w:rPr>
          <w:sz w:val="24"/>
          <w:szCs w:val="24"/>
          <w:lang w:val="sr-Cyrl-RS"/>
        </w:rPr>
        <w:t>,</w:t>
      </w:r>
      <w:r w:rsidR="00E17833" w:rsidRPr="00E17833">
        <w:rPr>
          <w:sz w:val="24"/>
          <w:szCs w:val="24"/>
          <w:lang w:val="sr-Cyrl-RS"/>
        </w:rPr>
        <w:t xml:space="preserve"> начин одлучивања савета</w:t>
      </w:r>
      <w:r w:rsidR="00D01D2E">
        <w:rPr>
          <w:sz w:val="24"/>
          <w:szCs w:val="24"/>
          <w:lang w:val="sr-Cyrl-RS"/>
        </w:rPr>
        <w:t>,</w:t>
      </w:r>
      <w:r w:rsidR="00E17833" w:rsidRPr="00E17833">
        <w:rPr>
          <w:sz w:val="24"/>
          <w:szCs w:val="24"/>
          <w:lang w:val="sr-Cyrl-RS"/>
        </w:rPr>
        <w:t xml:space="preserve"> подношење извештаја савета скупштини јединице локалне самоуправе</w:t>
      </w:r>
      <w:r w:rsidR="00D01D2E">
        <w:rPr>
          <w:sz w:val="24"/>
          <w:szCs w:val="24"/>
          <w:lang w:val="sr-Cyrl-RS"/>
        </w:rPr>
        <w:t>,</w:t>
      </w:r>
      <w:r w:rsidR="00E17833" w:rsidRPr="00E17833">
        <w:rPr>
          <w:sz w:val="24"/>
          <w:szCs w:val="24"/>
          <w:lang w:val="sr-Cyrl-RS"/>
        </w:rPr>
        <w:t xml:space="preserve"> заштиту права припадника српског народа и националних мањина</w:t>
      </w:r>
      <w:r w:rsidR="00D01D2E">
        <w:rPr>
          <w:sz w:val="24"/>
          <w:szCs w:val="24"/>
          <w:lang w:val="sr-Cyrl-RS"/>
        </w:rPr>
        <w:t>,</w:t>
      </w:r>
      <w:r w:rsidR="00E17833" w:rsidRPr="00E17833">
        <w:rPr>
          <w:sz w:val="24"/>
          <w:szCs w:val="24"/>
          <w:lang w:val="sr-Cyrl-RS"/>
        </w:rPr>
        <w:t xml:space="preserve"> пословник о раду савета и средства за рад савета. Све јединице локалне самоуправе које су имале законску обавезу, у законом утврђеном року предвиделе су својим статутима образовање овог тела. </w:t>
      </w:r>
      <w:r w:rsidR="00D01D2E">
        <w:rPr>
          <w:sz w:val="24"/>
          <w:szCs w:val="24"/>
          <w:lang w:val="sr-Cyrl-RS"/>
        </w:rPr>
        <w:t xml:space="preserve">Такође, </w:t>
      </w:r>
      <w:r w:rsidR="00DE31AC">
        <w:rPr>
          <w:sz w:val="24"/>
          <w:szCs w:val="24"/>
          <w:lang w:val="sr-Cyrl-RS"/>
        </w:rPr>
        <w:t>Министарство државне управе и локалне самоуправе</w:t>
      </w:r>
      <w:r w:rsidR="00DE31AC" w:rsidRPr="00DE31AC">
        <w:rPr>
          <w:sz w:val="24"/>
          <w:szCs w:val="24"/>
          <w:lang w:val="sr-Cyrl-RS"/>
        </w:rPr>
        <w:t xml:space="preserve"> два пута годишње захтева од свих јединиц</w:t>
      </w:r>
      <w:r w:rsidR="00DE31AC">
        <w:rPr>
          <w:sz w:val="24"/>
          <w:szCs w:val="24"/>
          <w:lang w:val="sr-Cyrl-RS"/>
        </w:rPr>
        <w:t>а</w:t>
      </w:r>
      <w:r w:rsidR="00DE31AC" w:rsidRPr="00DE31AC">
        <w:rPr>
          <w:sz w:val="24"/>
          <w:szCs w:val="24"/>
          <w:lang w:val="sr-Cyrl-RS"/>
        </w:rPr>
        <w:t xml:space="preserve"> локалне самоуправе које по закону треба да имају основан </w:t>
      </w:r>
      <w:r w:rsidR="00DE31AC">
        <w:rPr>
          <w:sz w:val="24"/>
          <w:szCs w:val="24"/>
          <w:lang w:val="sr-Cyrl-RS"/>
        </w:rPr>
        <w:t>с</w:t>
      </w:r>
      <w:r w:rsidR="00DE31AC" w:rsidRPr="00DE31AC">
        <w:rPr>
          <w:sz w:val="24"/>
          <w:szCs w:val="24"/>
          <w:lang w:val="sr-Cyrl-RS"/>
        </w:rPr>
        <w:t xml:space="preserve">авет за међунационалне односе, да доставе </w:t>
      </w:r>
      <w:r w:rsidR="00D01D2E">
        <w:rPr>
          <w:sz w:val="24"/>
          <w:szCs w:val="24"/>
          <w:lang w:val="sr-Cyrl-RS"/>
        </w:rPr>
        <w:t xml:space="preserve">релевантне </w:t>
      </w:r>
      <w:r w:rsidR="00DE31AC" w:rsidRPr="00DE31AC">
        <w:rPr>
          <w:sz w:val="24"/>
          <w:szCs w:val="24"/>
          <w:lang w:val="sr-Cyrl-RS"/>
        </w:rPr>
        <w:t xml:space="preserve">податке </w:t>
      </w:r>
      <w:r w:rsidR="00D01D2E">
        <w:rPr>
          <w:sz w:val="24"/>
          <w:szCs w:val="24"/>
          <w:lang w:val="sr-Cyrl-RS"/>
        </w:rPr>
        <w:t xml:space="preserve">који се односе на формирање и рад таквих савета. </w:t>
      </w:r>
    </w:p>
    <w:p w:rsidR="00DE31AC" w:rsidRDefault="00DE31AC" w:rsidP="00DE31AC">
      <w:pPr>
        <w:spacing w:after="0"/>
        <w:ind w:firstLine="720"/>
        <w:jc w:val="both"/>
        <w:rPr>
          <w:sz w:val="24"/>
          <w:szCs w:val="24"/>
          <w:lang w:val="sr-Cyrl-RS"/>
        </w:rPr>
      </w:pPr>
      <w:r w:rsidRPr="00DE31AC">
        <w:rPr>
          <w:sz w:val="24"/>
          <w:szCs w:val="24"/>
          <w:lang w:val="sr-Cyrl-RS"/>
        </w:rPr>
        <w:t>Према подацима</w:t>
      </w:r>
      <w:r>
        <w:rPr>
          <w:sz w:val="24"/>
          <w:szCs w:val="24"/>
          <w:lang w:val="sr-Cyrl-RS"/>
        </w:rPr>
        <w:t xml:space="preserve"> из 2021. године</w:t>
      </w:r>
      <w:r w:rsidRPr="00DE31AC">
        <w:rPr>
          <w:sz w:val="24"/>
          <w:szCs w:val="24"/>
          <w:lang w:val="sr-Cyrl-RS"/>
        </w:rPr>
        <w:t xml:space="preserve">, 63 јединице локалне самоуправе су основале </w:t>
      </w:r>
      <w:r>
        <w:rPr>
          <w:sz w:val="24"/>
          <w:szCs w:val="24"/>
          <w:lang w:val="sr-Cyrl-RS"/>
        </w:rPr>
        <w:t>с</w:t>
      </w:r>
      <w:r w:rsidRPr="00DE31AC">
        <w:rPr>
          <w:sz w:val="24"/>
          <w:szCs w:val="24"/>
          <w:lang w:val="sr-Cyrl-RS"/>
        </w:rPr>
        <w:t>авет</w:t>
      </w:r>
      <w:r>
        <w:rPr>
          <w:sz w:val="24"/>
          <w:szCs w:val="24"/>
          <w:lang w:val="sr-Cyrl-RS"/>
        </w:rPr>
        <w:t xml:space="preserve"> за међунационалне односе</w:t>
      </w:r>
      <w:r w:rsidRPr="00DE31AC">
        <w:rPr>
          <w:sz w:val="24"/>
          <w:szCs w:val="24"/>
          <w:lang w:val="sr-Cyrl-RS"/>
        </w:rPr>
        <w:t xml:space="preserve">, 8 јединица локалне самоуправе </w:t>
      </w:r>
      <w:r>
        <w:rPr>
          <w:sz w:val="24"/>
          <w:szCs w:val="24"/>
          <w:lang w:val="sr-Cyrl-RS"/>
        </w:rPr>
        <w:t xml:space="preserve">је </w:t>
      </w:r>
      <w:r w:rsidRPr="00DE31AC">
        <w:rPr>
          <w:sz w:val="24"/>
          <w:szCs w:val="24"/>
          <w:lang w:val="sr-Cyrl-RS"/>
        </w:rPr>
        <w:t xml:space="preserve">обавестило </w:t>
      </w:r>
      <w:r w:rsidR="00D01D2E">
        <w:rPr>
          <w:sz w:val="24"/>
          <w:szCs w:val="24"/>
          <w:lang w:val="sr-Cyrl-RS"/>
        </w:rPr>
        <w:t>М</w:t>
      </w:r>
      <w:r w:rsidRPr="00DE31AC">
        <w:rPr>
          <w:sz w:val="24"/>
          <w:szCs w:val="24"/>
          <w:lang w:val="sr-Cyrl-RS"/>
        </w:rPr>
        <w:t>инистарство да нису основале Савет или су у поступку оснивања Савета, а две јединице локалне самоуправе нису доставиле податке.</w:t>
      </w:r>
      <w:r>
        <w:rPr>
          <w:sz w:val="24"/>
          <w:szCs w:val="24"/>
          <w:lang w:val="sr-Cyrl-RS"/>
        </w:rPr>
        <w:t xml:space="preserve"> У</w:t>
      </w:r>
      <w:r w:rsidRPr="00DE31AC">
        <w:rPr>
          <w:sz w:val="24"/>
          <w:szCs w:val="24"/>
          <w:lang w:val="sr-Cyrl-RS"/>
        </w:rPr>
        <w:t xml:space="preserve"> 10 јединиц</w:t>
      </w:r>
      <w:r>
        <w:rPr>
          <w:sz w:val="24"/>
          <w:szCs w:val="24"/>
          <w:lang w:val="sr-Cyrl-RS"/>
        </w:rPr>
        <w:t>а</w:t>
      </w:r>
      <w:r w:rsidRPr="00DE31AC">
        <w:rPr>
          <w:sz w:val="24"/>
          <w:szCs w:val="24"/>
          <w:lang w:val="sr-Cyrl-RS"/>
        </w:rPr>
        <w:t xml:space="preserve"> локалне самоуправе </w:t>
      </w:r>
      <w:r>
        <w:rPr>
          <w:sz w:val="24"/>
          <w:szCs w:val="24"/>
          <w:lang w:val="sr-Cyrl-RS"/>
        </w:rPr>
        <w:t xml:space="preserve">током 2021. године </w:t>
      </w:r>
      <w:r w:rsidRPr="00DE31AC">
        <w:rPr>
          <w:sz w:val="24"/>
          <w:szCs w:val="24"/>
          <w:lang w:val="sr-Cyrl-RS"/>
        </w:rPr>
        <w:t xml:space="preserve">одржане </w:t>
      </w:r>
      <w:r>
        <w:rPr>
          <w:sz w:val="24"/>
          <w:szCs w:val="24"/>
          <w:lang w:val="sr-Cyrl-RS"/>
        </w:rPr>
        <w:t xml:space="preserve">су </w:t>
      </w:r>
      <w:r w:rsidRPr="00DE31AC">
        <w:rPr>
          <w:sz w:val="24"/>
          <w:szCs w:val="24"/>
          <w:lang w:val="sr-Cyrl-RS"/>
        </w:rPr>
        <w:t>седнице</w:t>
      </w:r>
      <w:r>
        <w:rPr>
          <w:sz w:val="24"/>
          <w:szCs w:val="24"/>
          <w:lang w:val="sr-Cyrl-RS"/>
        </w:rPr>
        <w:t xml:space="preserve"> овог тела. </w:t>
      </w:r>
      <w:r w:rsidRPr="00DE31AC">
        <w:rPr>
          <w:sz w:val="24"/>
          <w:szCs w:val="24"/>
          <w:lang w:val="sr-Cyrl-RS"/>
        </w:rPr>
        <w:t>У току је прво прикупљање података за 2022. годину</w:t>
      </w:r>
      <w:r>
        <w:rPr>
          <w:sz w:val="24"/>
          <w:szCs w:val="24"/>
          <w:lang w:val="sr-Cyrl-RS"/>
        </w:rPr>
        <w:t>, а</w:t>
      </w:r>
      <w:r w:rsidRPr="00DE31AC">
        <w:rPr>
          <w:sz w:val="24"/>
          <w:szCs w:val="24"/>
          <w:lang w:val="sr-Cyrl-RS"/>
        </w:rPr>
        <w:t xml:space="preserve"> </w:t>
      </w:r>
      <w:r>
        <w:rPr>
          <w:sz w:val="24"/>
          <w:szCs w:val="24"/>
          <w:lang w:val="sr-Cyrl-RS"/>
        </w:rPr>
        <w:t>н</w:t>
      </w:r>
      <w:r w:rsidRPr="00DE31AC">
        <w:rPr>
          <w:sz w:val="24"/>
          <w:szCs w:val="24"/>
          <w:lang w:val="sr-Cyrl-RS"/>
        </w:rPr>
        <w:t>акон анализе прикупљених података биће могуће утврдити да ли је остварен напредак у односу на претходно прибављене податке.</w:t>
      </w:r>
    </w:p>
    <w:p w:rsidR="00B453FD" w:rsidRPr="0072368C" w:rsidRDefault="00B453FD" w:rsidP="00CD62B4">
      <w:pPr>
        <w:spacing w:after="0"/>
        <w:ind w:firstLine="720"/>
        <w:jc w:val="both"/>
        <w:rPr>
          <w:sz w:val="24"/>
          <w:szCs w:val="24"/>
          <w:lang w:val="sr-Cyrl-RS"/>
        </w:rPr>
      </w:pPr>
      <w:r w:rsidRPr="0072368C">
        <w:rPr>
          <w:sz w:val="24"/>
          <w:szCs w:val="24"/>
          <w:lang w:val="sr-Cyrl-RS"/>
        </w:rPr>
        <w:t xml:space="preserve">У </w:t>
      </w:r>
      <w:r w:rsidR="0072368C">
        <w:rPr>
          <w:sz w:val="24"/>
          <w:szCs w:val="24"/>
          <w:lang w:val="sr-Cyrl-RS"/>
        </w:rPr>
        <w:t xml:space="preserve">вези са делом препоруке који се односи на израду независних квалитативних студија, требало би истаћи да је у </w:t>
      </w:r>
      <w:r w:rsidRPr="0072368C">
        <w:rPr>
          <w:sz w:val="24"/>
          <w:szCs w:val="24"/>
          <w:lang w:val="sr-Cyrl-RS"/>
        </w:rPr>
        <w:t xml:space="preserve">2020. години </w:t>
      </w:r>
      <w:r w:rsidR="004C539D" w:rsidRPr="0072368C">
        <w:rPr>
          <w:sz w:val="24"/>
          <w:szCs w:val="24"/>
          <w:lang w:val="sr-Cyrl-RS"/>
        </w:rPr>
        <w:t xml:space="preserve">урађено истраживање, а затим </w:t>
      </w:r>
      <w:r w:rsidRPr="0072368C">
        <w:rPr>
          <w:sz w:val="24"/>
          <w:szCs w:val="24"/>
          <w:lang w:val="sr-Cyrl-RS"/>
        </w:rPr>
        <w:t>је</w:t>
      </w:r>
      <w:r w:rsidRPr="0072368C">
        <w:rPr>
          <w:sz w:val="24"/>
          <w:szCs w:val="24"/>
        </w:rPr>
        <w:t xml:space="preserve"> </w:t>
      </w:r>
      <w:r w:rsidR="004C539D" w:rsidRPr="0072368C">
        <w:rPr>
          <w:sz w:val="24"/>
          <w:szCs w:val="24"/>
          <w:lang w:val="sr-Cyrl-RS"/>
        </w:rPr>
        <w:t xml:space="preserve">објављена </w:t>
      </w:r>
      <w:r w:rsidR="00CD62B4" w:rsidRPr="0072368C">
        <w:rPr>
          <w:sz w:val="24"/>
          <w:szCs w:val="24"/>
        </w:rPr>
        <w:t xml:space="preserve">публикација </w:t>
      </w:r>
      <w:r w:rsidRPr="0072368C">
        <w:rPr>
          <w:i/>
          <w:sz w:val="24"/>
          <w:szCs w:val="24"/>
          <w:lang w:val="sr-Cyrl-RS"/>
        </w:rPr>
        <w:t xml:space="preserve">Анализа утицаја европских интеграција на локалну самоуправу у </w:t>
      </w:r>
      <w:r w:rsidR="00CD62B4" w:rsidRPr="0072368C">
        <w:rPr>
          <w:i/>
          <w:sz w:val="24"/>
          <w:szCs w:val="24"/>
          <w:lang w:val="sr-Cyrl-RS"/>
        </w:rPr>
        <w:t>С</w:t>
      </w:r>
      <w:r w:rsidRPr="0072368C">
        <w:rPr>
          <w:i/>
          <w:sz w:val="24"/>
          <w:szCs w:val="24"/>
          <w:lang w:val="sr-Cyrl-RS"/>
        </w:rPr>
        <w:t>рбији – област заштите основних права</w:t>
      </w:r>
      <w:r w:rsidR="00CD62B4" w:rsidRPr="0072368C">
        <w:rPr>
          <w:sz w:val="24"/>
          <w:szCs w:val="24"/>
          <w:lang w:val="sr-Cyrl-RS"/>
        </w:rPr>
        <w:t>,</w:t>
      </w:r>
      <w:r w:rsidR="004C539D" w:rsidRPr="0072368C">
        <w:rPr>
          <w:rStyle w:val="FootnoteReference"/>
          <w:sz w:val="24"/>
          <w:szCs w:val="24"/>
          <w:lang w:val="sr-Cyrl-RS"/>
        </w:rPr>
        <w:footnoteReference w:id="37"/>
      </w:r>
      <w:r w:rsidR="00CD62B4" w:rsidRPr="0072368C">
        <w:rPr>
          <w:sz w:val="24"/>
          <w:szCs w:val="24"/>
          <w:lang w:val="sr-Cyrl-RS"/>
        </w:rPr>
        <w:t xml:space="preserve"> укључујући и положај </w:t>
      </w:r>
      <w:r w:rsidRPr="0072368C">
        <w:rPr>
          <w:sz w:val="24"/>
          <w:szCs w:val="24"/>
          <w:lang w:val="sr-Cyrl-RS"/>
        </w:rPr>
        <w:t>националних мањина</w:t>
      </w:r>
      <w:r w:rsidR="00CD62B4" w:rsidRPr="0072368C">
        <w:rPr>
          <w:sz w:val="24"/>
          <w:szCs w:val="24"/>
          <w:lang w:val="sr-Cyrl-RS"/>
        </w:rPr>
        <w:t xml:space="preserve">. </w:t>
      </w:r>
      <w:r w:rsidRPr="0072368C">
        <w:rPr>
          <w:sz w:val="24"/>
          <w:szCs w:val="24"/>
          <w:lang w:val="sr-Cyrl-RS"/>
        </w:rPr>
        <w:t>Ова публикација је настала у оквиру сарадње Сталне конференције општина и градова и Шведске асоцијације локалних власти и региона,</w:t>
      </w:r>
      <w:r w:rsidR="00A51CE6" w:rsidRPr="0072368C">
        <w:rPr>
          <w:sz w:val="24"/>
          <w:szCs w:val="24"/>
          <w:lang w:val="sr-Cyrl-RS"/>
        </w:rPr>
        <w:t xml:space="preserve"> </w:t>
      </w:r>
      <w:r w:rsidRPr="0072368C">
        <w:rPr>
          <w:sz w:val="24"/>
          <w:szCs w:val="24"/>
          <w:lang w:val="sr-Cyrl-RS"/>
        </w:rPr>
        <w:t xml:space="preserve">са циљем јачања капацитета општина и градова у Србији да одговоре на обавезе које за њих настају у процесу приступања државе Европској унији. </w:t>
      </w:r>
    </w:p>
    <w:p w:rsidR="0072368C" w:rsidRDefault="0072368C" w:rsidP="00E73C1F">
      <w:pPr>
        <w:spacing w:after="0"/>
        <w:ind w:firstLine="720"/>
        <w:jc w:val="both"/>
        <w:rPr>
          <w:sz w:val="24"/>
          <w:szCs w:val="24"/>
          <w:lang w:val="sr-Cyrl-RS"/>
        </w:rPr>
      </w:pPr>
      <w:r w:rsidRPr="00977386">
        <w:rPr>
          <w:sz w:val="24"/>
          <w:szCs w:val="24"/>
          <w:lang w:val="sr-Cyrl-RS"/>
        </w:rPr>
        <w:t xml:space="preserve">Упитник </w:t>
      </w:r>
      <w:r>
        <w:rPr>
          <w:sz w:val="24"/>
          <w:szCs w:val="24"/>
          <w:lang w:val="sr-Cyrl-RS"/>
        </w:rPr>
        <w:t xml:space="preserve">који је коришћен у истраживању </w:t>
      </w:r>
      <w:r w:rsidRPr="00977386">
        <w:rPr>
          <w:sz w:val="24"/>
          <w:szCs w:val="24"/>
          <w:lang w:val="sr-Cyrl-RS"/>
        </w:rPr>
        <w:t>послат је на адресе 16 јединица локалне самоуправе</w:t>
      </w:r>
      <w:r w:rsidR="004E0AF4">
        <w:rPr>
          <w:sz w:val="24"/>
          <w:szCs w:val="24"/>
          <w:lang w:val="sr-Cyrl-RS"/>
        </w:rPr>
        <w:t xml:space="preserve"> (ЈЛС)</w:t>
      </w:r>
      <w:r w:rsidRPr="00977386">
        <w:rPr>
          <w:sz w:val="24"/>
          <w:szCs w:val="24"/>
          <w:lang w:val="sr-Cyrl-RS"/>
        </w:rPr>
        <w:t>. Приликом одабира општина и градова коришћени су следећи критеријуми:</w:t>
      </w:r>
      <w:r w:rsidR="00E73C1F">
        <w:rPr>
          <w:sz w:val="24"/>
          <w:szCs w:val="24"/>
          <w:lang w:val="sr-Cyrl-RS"/>
        </w:rPr>
        <w:t xml:space="preserve"> </w:t>
      </w:r>
      <w:r>
        <w:rPr>
          <w:sz w:val="24"/>
          <w:szCs w:val="24"/>
          <w:lang w:val="sr-Cyrl-RS"/>
        </w:rPr>
        <w:t>д</w:t>
      </w:r>
      <w:r w:rsidRPr="00977386">
        <w:rPr>
          <w:sz w:val="24"/>
          <w:szCs w:val="24"/>
          <w:lang w:val="sr-Cyrl-RS"/>
        </w:rPr>
        <w:t>емографски састав</w:t>
      </w:r>
      <w:r>
        <w:rPr>
          <w:sz w:val="24"/>
          <w:szCs w:val="24"/>
          <w:lang w:val="sr-Cyrl-RS"/>
        </w:rPr>
        <w:t xml:space="preserve"> (у</w:t>
      </w:r>
      <w:r w:rsidRPr="00A70AED">
        <w:rPr>
          <w:sz w:val="24"/>
          <w:szCs w:val="24"/>
          <w:lang w:val="sr-Cyrl-RS"/>
        </w:rPr>
        <w:t xml:space="preserve">зорак је састављен од ЈЛС у којима традиционално живе националне мањине, односно узете су </w:t>
      </w:r>
      <w:r w:rsidR="006D1FA1">
        <w:rPr>
          <w:sz w:val="24"/>
          <w:szCs w:val="24"/>
          <w:lang w:val="sr-Cyrl-RS"/>
        </w:rPr>
        <w:t xml:space="preserve">у </w:t>
      </w:r>
      <w:r w:rsidRPr="00A70AED">
        <w:rPr>
          <w:sz w:val="24"/>
          <w:szCs w:val="24"/>
          <w:lang w:val="sr-Cyrl-RS"/>
        </w:rPr>
        <w:t>обзир само национално мешовите ЈЛС</w:t>
      </w:r>
      <w:r>
        <w:rPr>
          <w:sz w:val="24"/>
          <w:szCs w:val="24"/>
          <w:lang w:val="sr-Cyrl-RS"/>
        </w:rPr>
        <w:t>), с</w:t>
      </w:r>
      <w:r w:rsidRPr="00977386">
        <w:rPr>
          <w:sz w:val="24"/>
          <w:szCs w:val="24"/>
          <w:lang w:val="sr-Cyrl-RS"/>
        </w:rPr>
        <w:t xml:space="preserve">татус и величина </w:t>
      </w:r>
      <w:r>
        <w:rPr>
          <w:sz w:val="24"/>
          <w:szCs w:val="24"/>
          <w:lang w:val="sr-Cyrl-RS"/>
        </w:rPr>
        <w:t>(о</w:t>
      </w:r>
      <w:r w:rsidRPr="00F65E0C">
        <w:rPr>
          <w:sz w:val="24"/>
          <w:szCs w:val="24"/>
          <w:lang w:val="sr-Cyrl-RS"/>
        </w:rPr>
        <w:t>дабран</w:t>
      </w:r>
      <w:r>
        <w:rPr>
          <w:sz w:val="24"/>
          <w:szCs w:val="24"/>
          <w:lang w:val="sr-Cyrl-RS"/>
        </w:rPr>
        <w:t>е</w:t>
      </w:r>
      <w:r w:rsidRPr="00F65E0C">
        <w:rPr>
          <w:sz w:val="24"/>
          <w:szCs w:val="24"/>
          <w:lang w:val="sr-Cyrl-RS"/>
        </w:rPr>
        <w:t xml:space="preserve"> су општине и градови различите величине у погледу броја становника</w:t>
      </w:r>
      <w:r>
        <w:rPr>
          <w:sz w:val="24"/>
          <w:szCs w:val="24"/>
          <w:lang w:val="sr-Cyrl-RS"/>
        </w:rPr>
        <w:t>), г</w:t>
      </w:r>
      <w:r w:rsidRPr="00977386">
        <w:rPr>
          <w:sz w:val="24"/>
          <w:szCs w:val="24"/>
          <w:lang w:val="sr-Cyrl-RS"/>
        </w:rPr>
        <w:t xml:space="preserve">еографски положај </w:t>
      </w:r>
      <w:r>
        <w:rPr>
          <w:sz w:val="24"/>
          <w:szCs w:val="24"/>
          <w:lang w:val="sr-Cyrl-RS"/>
        </w:rPr>
        <w:t>(</w:t>
      </w:r>
      <w:r w:rsidRPr="00977386">
        <w:rPr>
          <w:sz w:val="24"/>
          <w:szCs w:val="24"/>
          <w:lang w:val="sr-Cyrl-RS"/>
        </w:rPr>
        <w:t>ЈЛС из сваког од чети</w:t>
      </w:r>
      <w:r>
        <w:rPr>
          <w:sz w:val="24"/>
          <w:szCs w:val="24"/>
          <w:lang w:val="sr-Cyrl-RS"/>
        </w:rPr>
        <w:t xml:space="preserve">ри статистичка региона у </w:t>
      </w:r>
      <w:r>
        <w:rPr>
          <w:sz w:val="24"/>
          <w:szCs w:val="24"/>
          <w:lang w:val="sr-Cyrl-RS"/>
        </w:rPr>
        <w:lastRenderedPageBreak/>
        <w:t>Србији), р</w:t>
      </w:r>
      <w:r w:rsidRPr="00977386">
        <w:rPr>
          <w:sz w:val="24"/>
          <w:szCs w:val="24"/>
          <w:lang w:val="sr-Cyrl-RS"/>
        </w:rPr>
        <w:t>азвијеност</w:t>
      </w:r>
      <w:r>
        <w:rPr>
          <w:sz w:val="24"/>
          <w:szCs w:val="24"/>
          <w:lang w:val="sr-Cyrl-RS"/>
        </w:rPr>
        <w:t xml:space="preserve"> (с</w:t>
      </w:r>
      <w:r w:rsidRPr="00977386">
        <w:rPr>
          <w:sz w:val="24"/>
          <w:szCs w:val="24"/>
          <w:lang w:val="sr-Cyrl-RS"/>
        </w:rPr>
        <w:t>размерно су представљене ЈЛС из сваке од четири категорије развијености</w:t>
      </w:r>
      <w:r>
        <w:rPr>
          <w:sz w:val="24"/>
          <w:szCs w:val="24"/>
          <w:lang w:val="sr-Cyrl-RS"/>
        </w:rPr>
        <w:t>) и з</w:t>
      </w:r>
      <w:r w:rsidRPr="00977386">
        <w:rPr>
          <w:sz w:val="24"/>
          <w:szCs w:val="24"/>
          <w:lang w:val="sr-Cyrl-RS"/>
        </w:rPr>
        <w:t>аступљеност различитих националних мањина</w:t>
      </w:r>
      <w:r>
        <w:rPr>
          <w:sz w:val="24"/>
          <w:szCs w:val="24"/>
          <w:lang w:val="sr-Cyrl-RS"/>
        </w:rPr>
        <w:t xml:space="preserve"> (у</w:t>
      </w:r>
      <w:r w:rsidRPr="00977386">
        <w:rPr>
          <w:sz w:val="24"/>
          <w:szCs w:val="24"/>
          <w:lang w:val="sr-Cyrl-RS"/>
        </w:rPr>
        <w:t>зорак обухвата ЈЛС у којима живе припадници различитих националних мањина</w:t>
      </w:r>
      <w:r>
        <w:rPr>
          <w:sz w:val="24"/>
          <w:szCs w:val="24"/>
          <w:lang w:val="sr-Cyrl-RS"/>
        </w:rPr>
        <w:t>)</w:t>
      </w:r>
      <w:r w:rsidRPr="00977386">
        <w:rPr>
          <w:sz w:val="24"/>
          <w:szCs w:val="24"/>
          <w:lang w:val="sr-Cyrl-RS"/>
        </w:rPr>
        <w:t xml:space="preserve">. </w:t>
      </w:r>
    </w:p>
    <w:p w:rsidR="0072368C" w:rsidRDefault="0072368C" w:rsidP="0072368C">
      <w:pPr>
        <w:spacing w:after="0"/>
        <w:ind w:firstLine="720"/>
        <w:jc w:val="both"/>
        <w:rPr>
          <w:sz w:val="24"/>
          <w:szCs w:val="24"/>
          <w:lang w:val="sr-Cyrl-RS"/>
        </w:rPr>
      </w:pPr>
      <w:r>
        <w:rPr>
          <w:sz w:val="24"/>
          <w:szCs w:val="24"/>
          <w:lang w:val="sr-Cyrl-RS"/>
        </w:rPr>
        <w:t xml:space="preserve">Одабране су следеће </w:t>
      </w:r>
      <w:r w:rsidR="008D203C">
        <w:rPr>
          <w:sz w:val="24"/>
          <w:szCs w:val="24"/>
          <w:lang w:val="sr-Cyrl-RS"/>
        </w:rPr>
        <w:t>ЈЛС</w:t>
      </w:r>
      <w:r>
        <w:rPr>
          <w:sz w:val="24"/>
          <w:szCs w:val="24"/>
          <w:lang w:val="sr-Cyrl-RS"/>
        </w:rPr>
        <w:t xml:space="preserve">: </w:t>
      </w:r>
      <w:r w:rsidRPr="00977386">
        <w:rPr>
          <w:sz w:val="24"/>
          <w:szCs w:val="24"/>
          <w:lang w:val="sr-Cyrl-RS"/>
        </w:rPr>
        <w:t xml:space="preserve">Апатин, Бела Паланка, Бујановац, </w:t>
      </w:r>
      <w:r w:rsidRPr="00453FB2">
        <w:rPr>
          <w:sz w:val="24"/>
          <w:szCs w:val="24"/>
          <w:lang w:val="sr-Cyrl-RS"/>
        </w:rPr>
        <w:t xml:space="preserve">Врање, </w:t>
      </w:r>
      <w:r w:rsidRPr="00977386">
        <w:rPr>
          <w:sz w:val="24"/>
          <w:szCs w:val="24"/>
          <w:lang w:val="sr-Cyrl-RS"/>
        </w:rPr>
        <w:t xml:space="preserve">Димитровград, </w:t>
      </w:r>
      <w:r w:rsidRPr="00453FB2">
        <w:rPr>
          <w:sz w:val="24"/>
          <w:szCs w:val="24"/>
          <w:lang w:val="sr-Cyrl-RS"/>
        </w:rPr>
        <w:t>Зрењанин</w:t>
      </w:r>
      <w:r>
        <w:rPr>
          <w:sz w:val="24"/>
          <w:szCs w:val="24"/>
          <w:lang w:val="sr-Cyrl-RS"/>
        </w:rPr>
        <w:t>,</w:t>
      </w:r>
      <w:r w:rsidRPr="00453FB2">
        <w:rPr>
          <w:sz w:val="24"/>
          <w:szCs w:val="24"/>
          <w:lang w:val="sr-Cyrl-RS"/>
        </w:rPr>
        <w:t xml:space="preserve"> </w:t>
      </w:r>
      <w:r w:rsidRPr="00977386">
        <w:rPr>
          <w:sz w:val="24"/>
          <w:szCs w:val="24"/>
          <w:lang w:val="sr-Cyrl-RS"/>
        </w:rPr>
        <w:t xml:space="preserve">Кучево, Лајковац, </w:t>
      </w:r>
      <w:r w:rsidRPr="00453FB2">
        <w:rPr>
          <w:sz w:val="24"/>
          <w:szCs w:val="24"/>
          <w:lang w:val="sr-Cyrl-RS"/>
        </w:rPr>
        <w:t xml:space="preserve">Неготин, </w:t>
      </w:r>
      <w:r w:rsidRPr="00977386">
        <w:rPr>
          <w:sz w:val="24"/>
          <w:szCs w:val="24"/>
          <w:lang w:val="sr-Cyrl-RS"/>
        </w:rPr>
        <w:t xml:space="preserve">Нови Пазар, </w:t>
      </w:r>
      <w:r w:rsidRPr="00453FB2">
        <w:rPr>
          <w:sz w:val="24"/>
          <w:szCs w:val="24"/>
          <w:lang w:val="sr-Cyrl-RS"/>
        </w:rPr>
        <w:t>Нови Сад</w:t>
      </w:r>
      <w:r>
        <w:rPr>
          <w:sz w:val="24"/>
          <w:szCs w:val="24"/>
          <w:lang w:val="sr-Cyrl-RS"/>
        </w:rPr>
        <w:t>,</w:t>
      </w:r>
      <w:r w:rsidRPr="00453FB2">
        <w:rPr>
          <w:sz w:val="24"/>
          <w:szCs w:val="24"/>
          <w:lang w:val="sr-Cyrl-RS"/>
        </w:rPr>
        <w:t xml:space="preserve"> Панчево,</w:t>
      </w:r>
      <w:r>
        <w:rPr>
          <w:sz w:val="24"/>
          <w:szCs w:val="24"/>
          <w:lang w:val="sr-Cyrl-RS"/>
        </w:rPr>
        <w:t xml:space="preserve"> </w:t>
      </w:r>
      <w:r w:rsidRPr="00977386">
        <w:rPr>
          <w:sz w:val="24"/>
          <w:szCs w:val="24"/>
          <w:lang w:val="sr-Cyrl-RS"/>
        </w:rPr>
        <w:t xml:space="preserve">Пожаревац, </w:t>
      </w:r>
      <w:r w:rsidRPr="00453FB2">
        <w:rPr>
          <w:sz w:val="24"/>
          <w:szCs w:val="24"/>
          <w:lang w:val="sr-Cyrl-RS"/>
        </w:rPr>
        <w:t>Прибој,</w:t>
      </w:r>
      <w:r>
        <w:rPr>
          <w:sz w:val="24"/>
          <w:szCs w:val="24"/>
          <w:lang w:val="sr-Cyrl-RS"/>
        </w:rPr>
        <w:t xml:space="preserve"> </w:t>
      </w:r>
      <w:r w:rsidRPr="00977386">
        <w:rPr>
          <w:sz w:val="24"/>
          <w:szCs w:val="24"/>
          <w:lang w:val="sr-Cyrl-RS"/>
        </w:rPr>
        <w:t>Сомбор</w:t>
      </w:r>
      <w:r>
        <w:rPr>
          <w:sz w:val="24"/>
          <w:szCs w:val="24"/>
          <w:lang w:val="sr-Cyrl-RS"/>
        </w:rPr>
        <w:t xml:space="preserve"> и </w:t>
      </w:r>
      <w:r w:rsidRPr="00977386">
        <w:rPr>
          <w:sz w:val="24"/>
          <w:szCs w:val="24"/>
          <w:lang w:val="sr-Cyrl-RS"/>
        </w:rPr>
        <w:t>Суботица</w:t>
      </w:r>
      <w:r>
        <w:rPr>
          <w:sz w:val="24"/>
          <w:szCs w:val="24"/>
          <w:lang w:val="sr-Cyrl-RS"/>
        </w:rPr>
        <w:t xml:space="preserve">. </w:t>
      </w:r>
    </w:p>
    <w:p w:rsidR="00CD62B4" w:rsidRDefault="00CD62B4" w:rsidP="00CD62B4">
      <w:pPr>
        <w:spacing w:after="0"/>
        <w:ind w:firstLine="720"/>
        <w:jc w:val="both"/>
        <w:rPr>
          <w:sz w:val="24"/>
          <w:szCs w:val="24"/>
          <w:lang w:val="sr-Cyrl-RS"/>
        </w:rPr>
      </w:pPr>
      <w:r w:rsidRPr="00C32454">
        <w:rPr>
          <w:sz w:val="24"/>
          <w:szCs w:val="24"/>
          <w:lang w:val="sr-Cyrl-RS"/>
        </w:rPr>
        <w:t xml:space="preserve">Упитник </w:t>
      </w:r>
      <w:r w:rsidR="00A51CE6" w:rsidRPr="00C32454">
        <w:rPr>
          <w:sz w:val="24"/>
          <w:szCs w:val="24"/>
          <w:lang w:val="sr-Cyrl-RS"/>
        </w:rPr>
        <w:t xml:space="preserve">за одабране </w:t>
      </w:r>
      <w:r w:rsidR="008D203C">
        <w:rPr>
          <w:sz w:val="24"/>
          <w:szCs w:val="24"/>
          <w:lang w:val="sr-Cyrl-RS"/>
        </w:rPr>
        <w:t>ЈЛС</w:t>
      </w:r>
      <w:r w:rsidR="00A51CE6" w:rsidRPr="00C32454">
        <w:rPr>
          <w:sz w:val="24"/>
          <w:szCs w:val="24"/>
          <w:lang w:val="sr-Cyrl-RS"/>
        </w:rPr>
        <w:t xml:space="preserve"> у вези са остваривањем права националних мањина </w:t>
      </w:r>
      <w:r w:rsidRPr="00C32454">
        <w:rPr>
          <w:sz w:val="24"/>
          <w:szCs w:val="24"/>
          <w:lang w:val="sr-Cyrl-RS"/>
        </w:rPr>
        <w:t xml:space="preserve">је обухватио </w:t>
      </w:r>
      <w:r w:rsidR="0072368C" w:rsidRPr="00C32454">
        <w:rPr>
          <w:sz w:val="24"/>
          <w:szCs w:val="24"/>
          <w:lang w:val="sr-Cyrl-RS"/>
        </w:rPr>
        <w:t xml:space="preserve">и </w:t>
      </w:r>
      <w:r w:rsidRPr="00C32454">
        <w:rPr>
          <w:sz w:val="24"/>
          <w:szCs w:val="24"/>
          <w:lang w:val="sr-Cyrl-RS"/>
        </w:rPr>
        <w:t xml:space="preserve">питања </w:t>
      </w:r>
      <w:r w:rsidR="0072368C" w:rsidRPr="00C32454">
        <w:rPr>
          <w:sz w:val="24"/>
          <w:szCs w:val="24"/>
          <w:lang w:val="sr-Cyrl-RS"/>
        </w:rPr>
        <w:t>која</w:t>
      </w:r>
      <w:r w:rsidRPr="00C32454">
        <w:rPr>
          <w:sz w:val="24"/>
          <w:szCs w:val="24"/>
          <w:lang w:val="sr-Cyrl-RS"/>
        </w:rPr>
        <w:t xml:space="preserve"> </w:t>
      </w:r>
      <w:r w:rsidR="0072368C" w:rsidRPr="00C32454">
        <w:rPr>
          <w:sz w:val="24"/>
          <w:szCs w:val="24"/>
          <w:lang w:val="sr-Cyrl-RS"/>
        </w:rPr>
        <w:t xml:space="preserve">се </w:t>
      </w:r>
      <w:r w:rsidRPr="00C32454">
        <w:rPr>
          <w:sz w:val="24"/>
          <w:szCs w:val="24"/>
          <w:lang w:val="sr-Cyrl-RS"/>
        </w:rPr>
        <w:t>однос</w:t>
      </w:r>
      <w:r w:rsidR="0072368C" w:rsidRPr="00C32454">
        <w:rPr>
          <w:sz w:val="24"/>
          <w:szCs w:val="24"/>
          <w:lang w:val="sr-Cyrl-RS"/>
        </w:rPr>
        <w:t>е</w:t>
      </w:r>
      <w:r w:rsidRPr="00C32454">
        <w:rPr>
          <w:sz w:val="24"/>
          <w:szCs w:val="24"/>
          <w:lang w:val="sr-Cyrl-RS"/>
        </w:rPr>
        <w:t xml:space="preserve"> на савете за међунационалне односе, као један од локалних механизама чија је важност посебно препозната у оквиру преговора, извештаја о напретку, те </w:t>
      </w:r>
      <w:r w:rsidR="0072368C" w:rsidRPr="00C32454">
        <w:rPr>
          <w:sz w:val="24"/>
          <w:szCs w:val="24"/>
          <w:lang w:val="sr-Cyrl-RS"/>
        </w:rPr>
        <w:t>А</w:t>
      </w:r>
      <w:r w:rsidRPr="00C32454">
        <w:rPr>
          <w:sz w:val="24"/>
          <w:szCs w:val="24"/>
          <w:lang w:val="sr-Cyrl-RS"/>
        </w:rPr>
        <w:t xml:space="preserve">кционог плана за </w:t>
      </w:r>
      <w:r w:rsidR="00A51CE6" w:rsidRPr="00C32454">
        <w:rPr>
          <w:sz w:val="24"/>
          <w:szCs w:val="24"/>
          <w:lang w:val="sr-Cyrl-RS"/>
        </w:rPr>
        <w:t>поглавље</w:t>
      </w:r>
      <w:r w:rsidRPr="00C32454">
        <w:rPr>
          <w:sz w:val="24"/>
          <w:szCs w:val="24"/>
          <w:lang w:val="sr-Cyrl-RS"/>
        </w:rPr>
        <w:t xml:space="preserve"> 23.</w:t>
      </w:r>
      <w:r w:rsidR="0072368C" w:rsidRPr="0072368C">
        <w:t xml:space="preserve"> </w:t>
      </w:r>
      <w:r w:rsidR="0072368C" w:rsidRPr="0072368C">
        <w:rPr>
          <w:sz w:val="24"/>
          <w:szCs w:val="24"/>
          <w:lang w:val="sr-Cyrl-RS"/>
        </w:rPr>
        <w:t>Међу наведеним општинама и градовима одговоре нису послале 4 ЈЛС, па је коначан узорак за анализу 12.</w:t>
      </w:r>
    </w:p>
    <w:p w:rsidR="0072368C" w:rsidRDefault="0072368C" w:rsidP="0072368C">
      <w:pPr>
        <w:spacing w:after="0"/>
        <w:ind w:firstLine="720"/>
        <w:jc w:val="both"/>
        <w:rPr>
          <w:sz w:val="24"/>
          <w:szCs w:val="24"/>
          <w:lang w:val="sr-Cyrl-RS"/>
        </w:rPr>
      </w:pPr>
      <w:r>
        <w:rPr>
          <w:sz w:val="24"/>
          <w:szCs w:val="24"/>
          <w:lang w:val="sr-Cyrl-RS"/>
        </w:rPr>
        <w:t xml:space="preserve">Закључци анализе указују да је </w:t>
      </w:r>
      <w:r w:rsidRPr="0072368C">
        <w:rPr>
          <w:sz w:val="24"/>
          <w:szCs w:val="24"/>
          <w:lang w:val="sr-Cyrl-RS"/>
        </w:rPr>
        <w:t xml:space="preserve">у једној ЈЛС из узорка </w:t>
      </w:r>
      <w:r>
        <w:rPr>
          <w:sz w:val="24"/>
          <w:szCs w:val="24"/>
          <w:lang w:val="sr-Cyrl-RS"/>
        </w:rPr>
        <w:t>с</w:t>
      </w:r>
      <w:r w:rsidRPr="0072368C">
        <w:rPr>
          <w:sz w:val="24"/>
          <w:szCs w:val="24"/>
          <w:lang w:val="sr-Cyrl-RS"/>
        </w:rPr>
        <w:t>авет био у потпуности функционалан</w:t>
      </w:r>
      <w:r>
        <w:rPr>
          <w:sz w:val="24"/>
          <w:szCs w:val="24"/>
          <w:lang w:val="sr-Cyrl-RS"/>
        </w:rPr>
        <w:t>, у две активан</w:t>
      </w:r>
      <w:r w:rsidRPr="0072368C">
        <w:rPr>
          <w:sz w:val="24"/>
          <w:szCs w:val="24"/>
          <w:lang w:val="sr-Cyrl-RS"/>
        </w:rPr>
        <w:t xml:space="preserve"> и да је био релативно активан у још </w:t>
      </w:r>
      <w:r>
        <w:rPr>
          <w:sz w:val="24"/>
          <w:szCs w:val="24"/>
          <w:lang w:val="sr-Cyrl-RS"/>
        </w:rPr>
        <w:t>две</w:t>
      </w:r>
      <w:r w:rsidRPr="0072368C">
        <w:rPr>
          <w:sz w:val="24"/>
          <w:szCs w:val="24"/>
          <w:lang w:val="sr-Cyrl-RS"/>
        </w:rPr>
        <w:t xml:space="preserve"> ЈЛС. Општи утисак је да су капацитети </w:t>
      </w:r>
      <w:r w:rsidR="00C32454">
        <w:rPr>
          <w:sz w:val="24"/>
          <w:szCs w:val="24"/>
          <w:lang w:val="sr-Cyrl-RS"/>
        </w:rPr>
        <w:t>с</w:t>
      </w:r>
      <w:r w:rsidRPr="0072368C">
        <w:rPr>
          <w:sz w:val="24"/>
          <w:szCs w:val="24"/>
          <w:lang w:val="sr-Cyrl-RS"/>
        </w:rPr>
        <w:t xml:space="preserve">авета још увек слаби, као и иницијатива чланова </w:t>
      </w:r>
      <w:r w:rsidR="00C32454">
        <w:rPr>
          <w:sz w:val="24"/>
          <w:szCs w:val="24"/>
          <w:lang w:val="sr-Cyrl-RS"/>
        </w:rPr>
        <w:t xml:space="preserve">тих тела </w:t>
      </w:r>
      <w:r w:rsidRPr="0072368C">
        <w:rPr>
          <w:sz w:val="24"/>
          <w:szCs w:val="24"/>
          <w:lang w:val="sr-Cyrl-RS"/>
        </w:rPr>
        <w:t>да утичу на одлуке локалних власти</w:t>
      </w:r>
      <w:r w:rsidR="00C32454">
        <w:rPr>
          <w:sz w:val="24"/>
          <w:szCs w:val="24"/>
          <w:lang w:val="sr-Cyrl-RS"/>
        </w:rPr>
        <w:t xml:space="preserve">. </w:t>
      </w:r>
      <w:r w:rsidRPr="0072368C">
        <w:rPr>
          <w:sz w:val="24"/>
          <w:szCs w:val="24"/>
          <w:lang w:val="sr-Cyrl-RS"/>
        </w:rPr>
        <w:t xml:space="preserve">Општа оцена усклађености статута и одлука </w:t>
      </w:r>
      <w:r w:rsidR="00C32454">
        <w:rPr>
          <w:sz w:val="24"/>
          <w:szCs w:val="24"/>
          <w:lang w:val="sr-Cyrl-RS"/>
        </w:rPr>
        <w:t xml:space="preserve">ЈЛС </w:t>
      </w:r>
      <w:r w:rsidRPr="0072368C">
        <w:rPr>
          <w:sz w:val="24"/>
          <w:szCs w:val="24"/>
          <w:lang w:val="sr-Cyrl-RS"/>
        </w:rPr>
        <w:t xml:space="preserve">са </w:t>
      </w:r>
      <w:r w:rsidR="00C32454">
        <w:rPr>
          <w:sz w:val="24"/>
          <w:szCs w:val="24"/>
          <w:lang w:val="sr-Cyrl-RS"/>
        </w:rPr>
        <w:t>Законом о локалној самоуправи</w:t>
      </w:r>
      <w:r w:rsidRPr="0072368C">
        <w:rPr>
          <w:sz w:val="24"/>
          <w:szCs w:val="24"/>
          <w:lang w:val="sr-Cyrl-RS"/>
        </w:rPr>
        <w:t xml:space="preserve"> је релативно добра, али постоји простор за напредак.</w:t>
      </w:r>
    </w:p>
    <w:p w:rsidR="00C32454" w:rsidRDefault="00C32454" w:rsidP="00C32454">
      <w:pPr>
        <w:spacing w:after="0"/>
        <w:ind w:firstLine="720"/>
        <w:jc w:val="both"/>
        <w:rPr>
          <w:sz w:val="24"/>
          <w:szCs w:val="24"/>
          <w:lang w:val="sr-Cyrl-RS"/>
        </w:rPr>
      </w:pPr>
      <w:r w:rsidRPr="00E17833">
        <w:rPr>
          <w:sz w:val="24"/>
          <w:szCs w:val="24"/>
          <w:lang w:val="sr-Cyrl-RS"/>
        </w:rPr>
        <w:t xml:space="preserve">Осим наведеног, </w:t>
      </w:r>
      <w:r>
        <w:rPr>
          <w:sz w:val="24"/>
          <w:szCs w:val="24"/>
          <w:lang w:val="sr-Cyrl-RS"/>
        </w:rPr>
        <w:t xml:space="preserve">битно је истаћи да су </w:t>
      </w:r>
      <w:r w:rsidRPr="00E17833">
        <w:rPr>
          <w:sz w:val="24"/>
          <w:szCs w:val="24"/>
          <w:lang w:val="sr-Cyrl-RS"/>
        </w:rPr>
        <w:t xml:space="preserve">у оквиру пројекта „Промоција различитости и равноправности у Србији”, који је део заједничког програма Европске уније/Савета Европе „Horizontal Facility за Западни Балкан и Турску 2019-2022”, планиране обуке за изградњу капацитета савета за међунационалне односе. Првобитно је планирано да се ова активност спроведе током 2020. године, али је услед пандемије изазване вирусом </w:t>
      </w:r>
      <w:r w:rsidR="00A218A7">
        <w:rPr>
          <w:sz w:val="24"/>
          <w:szCs w:val="24"/>
          <w:lang w:val="sr-Cyrl-RS"/>
        </w:rPr>
        <w:t>КОВИД-</w:t>
      </w:r>
      <w:r w:rsidRPr="00E17833">
        <w:rPr>
          <w:sz w:val="24"/>
          <w:szCs w:val="24"/>
          <w:lang w:val="sr-Cyrl-RS"/>
        </w:rPr>
        <w:t>19, њено одржавање одложено. Током 2021. године Министарство за људска и мањинска права и друштвени дијалог и Заштитник грађана су у сарадњи са Саветом Европе спровели активности на припреми ових обука. Будући да је реализација обука била условљена епидемиолошком ситуацијом, у марту 2022. године стекли су се услови за њихово отпочињање. Током марта</w:t>
      </w:r>
      <w:r>
        <w:rPr>
          <w:sz w:val="24"/>
          <w:szCs w:val="24"/>
          <w:lang w:val="sr-Cyrl-RS"/>
        </w:rPr>
        <w:t xml:space="preserve"> и априла</w:t>
      </w:r>
      <w:r w:rsidRPr="00E17833">
        <w:rPr>
          <w:sz w:val="24"/>
          <w:szCs w:val="24"/>
          <w:lang w:val="sr-Cyrl-RS"/>
        </w:rPr>
        <w:t xml:space="preserve"> 2022. године одржава</w:t>
      </w:r>
      <w:r>
        <w:rPr>
          <w:sz w:val="24"/>
          <w:szCs w:val="24"/>
          <w:lang w:val="sr-Cyrl-RS"/>
        </w:rPr>
        <w:t>н</w:t>
      </w:r>
      <w:r w:rsidRPr="00E17833">
        <w:rPr>
          <w:sz w:val="24"/>
          <w:szCs w:val="24"/>
          <w:lang w:val="sr-Cyrl-RS"/>
        </w:rPr>
        <w:t xml:space="preserve">е </w:t>
      </w:r>
      <w:r>
        <w:rPr>
          <w:sz w:val="24"/>
          <w:szCs w:val="24"/>
          <w:lang w:val="sr-Cyrl-RS"/>
        </w:rPr>
        <w:t xml:space="preserve">су </w:t>
      </w:r>
      <w:r w:rsidRPr="00E17833">
        <w:rPr>
          <w:sz w:val="24"/>
          <w:szCs w:val="24"/>
          <w:lang w:val="sr-Cyrl-RS"/>
        </w:rPr>
        <w:t>обук</w:t>
      </w:r>
      <w:r>
        <w:rPr>
          <w:sz w:val="24"/>
          <w:szCs w:val="24"/>
          <w:lang w:val="sr-Cyrl-RS"/>
        </w:rPr>
        <w:t>е</w:t>
      </w:r>
      <w:r w:rsidRPr="00E17833">
        <w:rPr>
          <w:sz w:val="24"/>
          <w:szCs w:val="24"/>
          <w:lang w:val="sr-Cyrl-RS"/>
        </w:rPr>
        <w:t xml:space="preserve"> у Бујановцу, Бачкој Паланци, Врбасу, Беочину, Новом Пазару</w:t>
      </w:r>
      <w:r>
        <w:rPr>
          <w:sz w:val="24"/>
          <w:szCs w:val="24"/>
          <w:lang w:val="sr-Cyrl-RS"/>
        </w:rPr>
        <w:t>,</w:t>
      </w:r>
      <w:r w:rsidRPr="00E17833">
        <w:rPr>
          <w:sz w:val="24"/>
          <w:szCs w:val="24"/>
          <w:lang w:val="sr-Cyrl-RS"/>
        </w:rPr>
        <w:t xml:space="preserve"> Петровцу на Млави, Сомбору, Суботици, Бабушници и Босилеграду. Организовањем оваквих семинара и обука за представнике јединица локалне самоуправе и чланове савета за међунационалне односе ојачаће се њихови капацитети, унапредиће се њихов рад и сагледати начин функционисања и евентуална отворена питања са којима се суочавају у раду.</w:t>
      </w:r>
    </w:p>
    <w:p w:rsidR="00D01D2E" w:rsidRDefault="00D01D2E" w:rsidP="00D01D2E">
      <w:pPr>
        <w:spacing w:after="0"/>
        <w:jc w:val="both"/>
        <w:rPr>
          <w:sz w:val="24"/>
          <w:szCs w:val="24"/>
          <w:lang w:val="sr-Cyrl-RS"/>
        </w:rPr>
      </w:pPr>
    </w:p>
    <w:p w:rsidR="00D01D2E" w:rsidRPr="000659A5" w:rsidRDefault="00D01D2E" w:rsidP="00D01D2E">
      <w:pPr>
        <w:spacing w:after="0"/>
        <w:jc w:val="both"/>
        <w:rPr>
          <w:i/>
          <w:sz w:val="24"/>
        </w:rPr>
      </w:pPr>
      <w:r w:rsidRPr="000659A5">
        <w:rPr>
          <w:i/>
          <w:sz w:val="24"/>
          <w:lang w:val="sr-Cyrl-RS"/>
        </w:rPr>
        <w:t>И</w:t>
      </w:r>
      <w:r w:rsidRPr="000659A5">
        <w:rPr>
          <w:i/>
          <w:sz w:val="24"/>
        </w:rPr>
        <w:t xml:space="preserve">страживања </w:t>
      </w:r>
    </w:p>
    <w:p w:rsidR="00D01D2E" w:rsidRDefault="00D01D2E" w:rsidP="00D01D2E">
      <w:pPr>
        <w:spacing w:after="0"/>
        <w:jc w:val="both"/>
        <w:rPr>
          <w:sz w:val="24"/>
          <w:szCs w:val="24"/>
          <w:lang w:val="sr-Cyrl-RS"/>
        </w:rPr>
      </w:pPr>
    </w:p>
    <w:p w:rsidR="00D01D2E" w:rsidRPr="00D01D2E" w:rsidRDefault="006275DE" w:rsidP="006275DE">
      <w:pPr>
        <w:spacing w:after="0"/>
        <w:ind w:firstLine="720"/>
        <w:jc w:val="both"/>
        <w:rPr>
          <w:sz w:val="24"/>
          <w:szCs w:val="24"/>
          <w:lang w:val="sr-Cyrl-RS"/>
        </w:rPr>
      </w:pPr>
      <w:r>
        <w:rPr>
          <w:sz w:val="24"/>
          <w:szCs w:val="24"/>
          <w:lang w:val="sr-Cyrl-RS"/>
        </w:rPr>
        <w:t xml:space="preserve">Спровођење независних истраживања је у правном поретку Републике Србије и законска обавеза независних органа и тела. Тако је </w:t>
      </w:r>
      <w:r w:rsidRPr="00D01D2E">
        <w:rPr>
          <w:sz w:val="24"/>
          <w:szCs w:val="24"/>
          <w:lang w:val="sr-Cyrl-RS"/>
        </w:rPr>
        <w:t>члан</w:t>
      </w:r>
      <w:r>
        <w:rPr>
          <w:sz w:val="24"/>
          <w:szCs w:val="24"/>
          <w:lang w:val="sr-Cyrl-RS"/>
        </w:rPr>
        <w:t>ом</w:t>
      </w:r>
      <w:r w:rsidRPr="00D01D2E">
        <w:rPr>
          <w:sz w:val="24"/>
          <w:szCs w:val="24"/>
          <w:lang w:val="sr-Cyrl-RS"/>
        </w:rPr>
        <w:t xml:space="preserve"> 33. тачка 11. Закона о забрани дискриминације</w:t>
      </w:r>
      <w:r>
        <w:rPr>
          <w:sz w:val="24"/>
          <w:szCs w:val="24"/>
          <w:lang w:val="sr-Cyrl-RS"/>
        </w:rPr>
        <w:t xml:space="preserve"> предвиђено да </w:t>
      </w:r>
      <w:r w:rsidRPr="006275DE">
        <w:rPr>
          <w:sz w:val="24"/>
          <w:szCs w:val="24"/>
          <w:lang w:val="sr-Cyrl-RS"/>
        </w:rPr>
        <w:t xml:space="preserve">Повереник за заштиту равноправности </w:t>
      </w:r>
      <w:r w:rsidR="00D01D2E" w:rsidRPr="00D01D2E">
        <w:rPr>
          <w:sz w:val="24"/>
          <w:szCs w:val="24"/>
          <w:lang w:val="sr-Cyrl-RS"/>
        </w:rPr>
        <w:t>oргaнизуje, oднoснo спрoвoди нeзaвиснa истрaживaњa из oблaсти унaпрeђeњa рaвнoпрaвнoс</w:t>
      </w:r>
      <w:r>
        <w:rPr>
          <w:sz w:val="24"/>
          <w:szCs w:val="24"/>
          <w:lang w:val="sr-Cyrl-RS"/>
        </w:rPr>
        <w:t xml:space="preserve">ти и зaштитe oд дискриминaциje. </w:t>
      </w:r>
      <w:r w:rsidRPr="00D01D2E">
        <w:rPr>
          <w:sz w:val="24"/>
          <w:szCs w:val="24"/>
          <w:lang w:val="sr-Cyrl-RS"/>
        </w:rPr>
        <w:t xml:space="preserve">Поступајући у оквиру </w:t>
      </w:r>
      <w:r>
        <w:rPr>
          <w:sz w:val="24"/>
          <w:szCs w:val="24"/>
          <w:lang w:val="sr-Cyrl-RS"/>
        </w:rPr>
        <w:t xml:space="preserve">овог </w:t>
      </w:r>
      <w:r w:rsidRPr="00D01D2E">
        <w:rPr>
          <w:sz w:val="24"/>
          <w:szCs w:val="24"/>
          <w:lang w:val="sr-Cyrl-RS"/>
        </w:rPr>
        <w:t>закон</w:t>
      </w:r>
      <w:r>
        <w:rPr>
          <w:sz w:val="24"/>
          <w:szCs w:val="24"/>
          <w:lang w:val="sr-Cyrl-RS"/>
        </w:rPr>
        <w:t>ског решења,</w:t>
      </w:r>
      <w:r w:rsidRPr="00D01D2E">
        <w:rPr>
          <w:sz w:val="24"/>
          <w:szCs w:val="24"/>
          <w:lang w:val="sr-Cyrl-RS"/>
        </w:rPr>
        <w:t xml:space="preserve"> </w:t>
      </w:r>
      <w:r>
        <w:rPr>
          <w:sz w:val="24"/>
          <w:szCs w:val="24"/>
          <w:lang w:val="sr-Cyrl-RS"/>
        </w:rPr>
        <w:t xml:space="preserve">Повереник </w:t>
      </w:r>
      <w:r w:rsidR="00D01D2E" w:rsidRPr="00D01D2E">
        <w:rPr>
          <w:sz w:val="24"/>
          <w:szCs w:val="24"/>
          <w:lang w:val="sr-Cyrl-RS"/>
        </w:rPr>
        <w:t xml:space="preserve"> је у претходном петогодишњем периоду реализовао укупно десет истраживања којима су испитани ставови како јавног мњења, тако и одређених друштвених и </w:t>
      </w:r>
      <w:r w:rsidR="00D01D2E" w:rsidRPr="00D01D2E">
        <w:rPr>
          <w:sz w:val="24"/>
          <w:szCs w:val="24"/>
          <w:lang w:val="sr-Cyrl-RS"/>
        </w:rPr>
        <w:lastRenderedPageBreak/>
        <w:t>струковних/професионалних група према дискриминацији.</w:t>
      </w:r>
      <w:r>
        <w:rPr>
          <w:rStyle w:val="FootnoteReference"/>
          <w:sz w:val="24"/>
          <w:szCs w:val="24"/>
          <w:lang w:val="sr-Cyrl-RS"/>
        </w:rPr>
        <w:footnoteReference w:id="38"/>
      </w:r>
      <w:r w:rsidR="00D01D2E" w:rsidRPr="00D01D2E">
        <w:rPr>
          <w:sz w:val="24"/>
          <w:szCs w:val="24"/>
          <w:lang w:val="sr-Cyrl-RS"/>
        </w:rPr>
        <w:t xml:space="preserve"> Резултати ових истраживања представљају релевантан извор података и заједно уз друге изворе, могу се користити за сагледавање положаја националних мањина у Србији, односно нивоа и природе међунационалних односа, укључујући и односе између припадника националних мањина и припадника већине.</w:t>
      </w:r>
    </w:p>
    <w:p w:rsidR="00D01D2E" w:rsidRPr="00D01D2E" w:rsidRDefault="00D01D2E" w:rsidP="006275DE">
      <w:pPr>
        <w:spacing w:after="0"/>
        <w:ind w:firstLine="720"/>
        <w:jc w:val="both"/>
        <w:rPr>
          <w:sz w:val="24"/>
          <w:szCs w:val="24"/>
          <w:lang w:val="sr-Cyrl-RS"/>
        </w:rPr>
      </w:pPr>
      <w:r w:rsidRPr="00D01D2E">
        <w:rPr>
          <w:sz w:val="24"/>
          <w:szCs w:val="24"/>
          <w:lang w:val="sr-Cyrl-RS"/>
        </w:rPr>
        <w:t>Тако се у истраживању ставова јавног мњења о дискриминацији „Однос грађана и грађанки према дискриминацији у Србији“, између осталог, сагледава и степен етничке и социјалне дистанце које грађани имају према појединим друштвеним групама. Ово истраживање Повереник спроводи периодично (на три године) према истој методологији узорка што омогућава квалитетнији увид у промене односа јавности према дискриминацији у одређеном периоду (последње истраживање је спроведено 2019. године). Резултати овог истраживања указују и на ставове јавног мњења о томе које су друштвене групе најчешће изложене дискриминацији (нпр. 2019. године 51% испитаника навело је ромску заједницу као прву слободну асоцијацију), али и на однос који грађани имају према посебним, афирмативним мерама за унапређење положаја одређених друштвених група (нпр. резултати из 2019. показују да у односу на 2016. годину постоји већа подршка грађана за увођење оваквих мера у области запошљавања - раст од 5,8 процентних поена и образовања - раст од 2,4 процентних поена).</w:t>
      </w:r>
    </w:p>
    <w:p w:rsidR="00D01D2E" w:rsidRPr="00D01D2E" w:rsidRDefault="00D01D2E" w:rsidP="006275DE">
      <w:pPr>
        <w:spacing w:after="0"/>
        <w:ind w:firstLine="720"/>
        <w:jc w:val="both"/>
        <w:rPr>
          <w:sz w:val="24"/>
          <w:szCs w:val="24"/>
          <w:lang w:val="sr-Cyrl-RS"/>
        </w:rPr>
      </w:pPr>
      <w:r w:rsidRPr="00D01D2E">
        <w:rPr>
          <w:sz w:val="24"/>
          <w:szCs w:val="24"/>
          <w:lang w:val="sr-Cyrl-RS"/>
        </w:rPr>
        <w:t xml:space="preserve">„Истраживање о односу представника јавне власти према дискриминацији у Србији“, такође се спроводи периодично. Поред перцепције о учесталости дискриминације према одређеним друштвеним групама, кроз ово истраживање сагледавају се и ставови доносилаца одлука о говору мржње и његовом препознавању (нпр. резултати из 2018. показују да у односу на претходно истраживање из 2013. године представници органа јавне власти у већем проценту препознају говор мржње). </w:t>
      </w:r>
      <w:r w:rsidR="006275DE">
        <w:rPr>
          <w:sz w:val="24"/>
          <w:szCs w:val="24"/>
          <w:lang w:val="sr-Cyrl-RS"/>
        </w:rPr>
        <w:t xml:space="preserve"> </w:t>
      </w:r>
    </w:p>
    <w:p w:rsidR="00D01D2E" w:rsidRPr="00D01D2E" w:rsidRDefault="00D01D2E" w:rsidP="006275DE">
      <w:pPr>
        <w:spacing w:after="0"/>
        <w:ind w:firstLine="720"/>
        <w:jc w:val="both"/>
        <w:rPr>
          <w:sz w:val="24"/>
          <w:szCs w:val="24"/>
          <w:lang w:val="sr-Cyrl-RS"/>
        </w:rPr>
      </w:pPr>
      <w:r w:rsidRPr="00D01D2E">
        <w:rPr>
          <w:sz w:val="24"/>
          <w:szCs w:val="24"/>
          <w:lang w:val="sr-Cyrl-RS"/>
        </w:rPr>
        <w:t>Поред наведених, Повереник је у току 2020. године спровео истраживање „Перцепција ромске заједнице о дискриминацији“ кроз које се сагледавају ставови Рома о њиховом положају у друштву и о заступљености дискриминације. Методологија истраживања обухватила је две истраживачке технике – анкету која је обухватила и представнике неформалних насеља и фокус групе које су реализоване са представницима Националног савета ромске националне мањине, представницима организација цивилног друштва, студентима, представницима локалних механизама за инклузију Рома и другим лицима која се баве питањима унапређења положаја Рома. Истраживање омогућава да се из перспективе ове друштвене групе целовитије сагледају потенцијална решења и креирају политике које воде ка смањењу предрасуда и дискриминације и одрживом укључивању Рома у друштво, као и да се укаже на оснаживање припадника ромске мањине да препознају дискриминацију и заштите се, односно да користе установљени законодавни и институционални оквир самостално или у сарадњи са организацијама цивилног друштва и другим организацијама.</w:t>
      </w:r>
    </w:p>
    <w:p w:rsidR="00D01D2E" w:rsidRPr="00D01D2E" w:rsidRDefault="00D01D2E" w:rsidP="006275DE">
      <w:pPr>
        <w:spacing w:after="0"/>
        <w:ind w:firstLine="720"/>
        <w:jc w:val="both"/>
        <w:rPr>
          <w:sz w:val="24"/>
          <w:szCs w:val="24"/>
          <w:lang w:val="sr-Cyrl-RS"/>
        </w:rPr>
      </w:pPr>
      <w:r w:rsidRPr="00D01D2E">
        <w:rPr>
          <w:sz w:val="24"/>
          <w:szCs w:val="24"/>
          <w:lang w:val="sr-Cyrl-RS"/>
        </w:rPr>
        <w:t xml:space="preserve">Поред наведених, у извештајном периоду Повереник је спровео и друга истраживања. Тако је посебна пажња посвећена сузбијању дискриминације на основу старосног доба, те је у овој области реализовано више истраживања („Старење у градовима - изазови савременог друштва“ 2017, „Положај старијих жена у Србији“ 2017, </w:t>
      </w:r>
      <w:r w:rsidRPr="00D01D2E">
        <w:rPr>
          <w:sz w:val="24"/>
          <w:szCs w:val="24"/>
          <w:lang w:val="sr-Cyrl-RS"/>
        </w:rPr>
        <w:lastRenderedPageBreak/>
        <w:t>„Положај старијих у Србији – друштвени контекст, преглед података и резултати истраживања“ 2020). Такође, Повереник је 2017. израдио и анализу „Родна равноправност на позицијама одлучивања у јединицама локалне самоуправе – пресек стања у спровођењу препоруке мера јединицама локалне самоуправе за остваривање родне равноправности“. Крајем 2019, јединицама локалних самоуправа упућен је Упитник о учешћу младих у процес доношења одлука на локалном нивоу, а резултати анализе упитника објављени су у оквиру Редовног годишњег извештаја Повереника за 2019. годину.</w:t>
      </w:r>
    </w:p>
    <w:p w:rsidR="00D01D2E" w:rsidRDefault="00D01D2E" w:rsidP="006275DE">
      <w:pPr>
        <w:spacing w:after="0"/>
        <w:ind w:firstLine="720"/>
        <w:jc w:val="both"/>
        <w:rPr>
          <w:sz w:val="24"/>
          <w:szCs w:val="24"/>
          <w:lang w:val="sr-Cyrl-RS"/>
        </w:rPr>
      </w:pPr>
      <w:r w:rsidRPr="00D01D2E">
        <w:rPr>
          <w:sz w:val="24"/>
          <w:szCs w:val="24"/>
          <w:lang w:val="sr-Cyrl-RS"/>
        </w:rPr>
        <w:t xml:space="preserve">Будући да је улога медија изузетно значајна за превентивно деловање и промовисање поштовања начела равноправности, 2018. </w:t>
      </w:r>
      <w:r w:rsidR="006275DE">
        <w:rPr>
          <w:sz w:val="24"/>
          <w:szCs w:val="24"/>
          <w:lang w:val="sr-Cyrl-RS"/>
        </w:rPr>
        <w:t xml:space="preserve">године </w:t>
      </w:r>
      <w:r w:rsidRPr="00D01D2E">
        <w:rPr>
          <w:sz w:val="24"/>
          <w:szCs w:val="24"/>
          <w:lang w:val="sr-Cyrl-RS"/>
        </w:rPr>
        <w:t>Повереник је спровео друго по реду „Истраживање о ставовима представника медија према дискриминацији“. Такође, у склопу Посебног извештаја Повереника о дискриминацији у области рада и запошљавања, 2019. спроведено је и истраживање „Дискриминација на тржишту рада у Србији“. Према резултатима овог истраживања 63% испитаних послодаваца и 50% запослених сматра да су Роми у неравноправном положају и дискриминисани у области рада и запошљавања. У 2021. години спроведено је истраживање „Родна равноправност и равнотежа између пословног и приватног живота“.</w:t>
      </w:r>
    </w:p>
    <w:p w:rsidR="00C91C64" w:rsidRDefault="00C91C64" w:rsidP="006275DE">
      <w:pPr>
        <w:spacing w:after="0"/>
        <w:ind w:firstLine="720"/>
        <w:jc w:val="both"/>
        <w:rPr>
          <w:sz w:val="24"/>
          <w:szCs w:val="24"/>
          <w:lang w:val="sr-Cyrl-RS"/>
        </w:rPr>
      </w:pPr>
      <w:r>
        <w:rPr>
          <w:sz w:val="24"/>
          <w:szCs w:val="24"/>
          <w:lang w:val="sr-Cyrl-RS"/>
        </w:rPr>
        <w:t>Осим истраживања Повереника, у Србији се спроводе и истраживања релевантних међународних тела на која се указује на одговарајућим местима овог извештаја (</w:t>
      </w:r>
      <w:r>
        <w:rPr>
          <w:sz w:val="24"/>
          <w:szCs w:val="24"/>
        </w:rPr>
        <w:t>MICS)</w:t>
      </w:r>
      <w:r>
        <w:rPr>
          <w:sz w:val="24"/>
          <w:szCs w:val="24"/>
          <w:lang w:val="sr-Cyrl-RS"/>
        </w:rPr>
        <w:t>.</w:t>
      </w:r>
    </w:p>
    <w:p w:rsidR="00C91C64" w:rsidRPr="00D01D2E" w:rsidRDefault="00C91C64" w:rsidP="006275DE">
      <w:pPr>
        <w:spacing w:after="0"/>
        <w:ind w:firstLine="720"/>
        <w:jc w:val="both"/>
        <w:rPr>
          <w:sz w:val="24"/>
          <w:szCs w:val="24"/>
          <w:lang w:val="sr-Cyrl-RS"/>
        </w:rPr>
      </w:pPr>
      <w:r>
        <w:rPr>
          <w:sz w:val="24"/>
          <w:szCs w:val="24"/>
          <w:lang w:val="sr-Cyrl-RS"/>
        </w:rPr>
        <w:t xml:space="preserve">Државни органи, како приликом израде извештаја, тако и приликом предузимања конкретних мера и активности, узимају у обзир и резултате релевантних независних истраживања која спроводе научне организације, као и организације цивилног друштва. У том смислу, посебно треба нагласити да је током 2020. године спроведено истраживање Центра за истраживање етницитета „Социјални односи између етничких заједница у Србији“, </w:t>
      </w:r>
      <w:r w:rsidRPr="00634B93">
        <w:rPr>
          <w:sz w:val="24"/>
          <w:szCs w:val="24"/>
          <w:lang w:val="sr-Cyrl-RS"/>
        </w:rPr>
        <w:t>на чије ће се резултате та</w:t>
      </w:r>
      <w:r w:rsidR="00A5162C" w:rsidRPr="00634B93">
        <w:rPr>
          <w:sz w:val="24"/>
          <w:szCs w:val="24"/>
          <w:lang w:val="sr-Cyrl-RS"/>
        </w:rPr>
        <w:t>к</w:t>
      </w:r>
      <w:r w:rsidRPr="00634B93">
        <w:rPr>
          <w:sz w:val="24"/>
          <w:szCs w:val="24"/>
          <w:lang w:val="sr-Cyrl-RS"/>
        </w:rPr>
        <w:t>ође указати на одговарајућим местима у овом извештају.</w:t>
      </w:r>
    </w:p>
    <w:p w:rsidR="00EC4EEF" w:rsidRDefault="00EC4EEF" w:rsidP="00EC4EEF">
      <w:pPr>
        <w:spacing w:after="0"/>
        <w:jc w:val="both"/>
        <w:rPr>
          <w:sz w:val="24"/>
          <w:szCs w:val="24"/>
          <w:lang w:val="sr-Cyrl-RS"/>
        </w:rPr>
      </w:pPr>
    </w:p>
    <w:p w:rsidR="00EC4EEF" w:rsidRPr="000659A5" w:rsidRDefault="00EC4EEF" w:rsidP="00EC4EEF">
      <w:pPr>
        <w:spacing w:after="0"/>
        <w:jc w:val="both"/>
        <w:rPr>
          <w:i/>
          <w:sz w:val="24"/>
        </w:rPr>
      </w:pPr>
      <w:r w:rsidRPr="000659A5">
        <w:rPr>
          <w:i/>
          <w:sz w:val="24"/>
          <w:lang w:val="sr-Cyrl-RS"/>
        </w:rPr>
        <w:t xml:space="preserve">4. </w:t>
      </w:r>
      <w:r w:rsidRPr="000659A5">
        <w:rPr>
          <w:i/>
          <w:sz w:val="24"/>
        </w:rPr>
        <w:t>Промовисати мултикултуралну и интеркултуралну перспективу у образовању, укључујући развој програма размене између заједница, на сваком нивоу образовања; осигурати, што је пре могуће, а најкасније до истека рока за достављање петог државног извештаја, да кроз процес који укључује ефективно учешће особа које припадају националним мањинама, наставни планови и наставни материјали за предмет Историја промовишу поштовање свих група у друштву и пружају широко знање о мањинама као саставном делу српског друштва, обезбеђујући тиме да се у историјским и савременим истраживањима охрабрују вишеструке перспективе; промовисати, у консултацији са представницима заинтересованих националних мањина, могуће моделе двојезичног или вишејезичног образовања.</w:t>
      </w:r>
    </w:p>
    <w:p w:rsidR="00EC4EEF" w:rsidRDefault="00EC4EEF" w:rsidP="00EC4EEF">
      <w:pPr>
        <w:spacing w:after="0"/>
        <w:jc w:val="both"/>
        <w:rPr>
          <w:i/>
          <w:color w:val="333333"/>
          <w:sz w:val="24"/>
        </w:rPr>
      </w:pPr>
    </w:p>
    <w:p w:rsidR="00D636EA" w:rsidRPr="000659A5" w:rsidRDefault="00D636EA" w:rsidP="00D636EA">
      <w:pPr>
        <w:spacing w:after="0"/>
        <w:jc w:val="both"/>
        <w:rPr>
          <w:i/>
          <w:sz w:val="24"/>
        </w:rPr>
      </w:pPr>
      <w:r w:rsidRPr="000659A5">
        <w:rPr>
          <w:i/>
          <w:sz w:val="24"/>
        </w:rPr>
        <w:t>Промо</w:t>
      </w:r>
      <w:r w:rsidRPr="000659A5">
        <w:rPr>
          <w:i/>
          <w:sz w:val="24"/>
          <w:lang w:val="sr-Cyrl-RS"/>
        </w:rPr>
        <w:t>ција</w:t>
      </w:r>
      <w:r w:rsidRPr="000659A5">
        <w:rPr>
          <w:i/>
          <w:sz w:val="24"/>
        </w:rPr>
        <w:t xml:space="preserve"> мултикултуралн</w:t>
      </w:r>
      <w:r w:rsidRPr="000659A5">
        <w:rPr>
          <w:i/>
          <w:sz w:val="24"/>
          <w:lang w:val="sr-Cyrl-RS"/>
        </w:rPr>
        <w:t>е</w:t>
      </w:r>
      <w:r w:rsidRPr="000659A5">
        <w:rPr>
          <w:i/>
          <w:sz w:val="24"/>
        </w:rPr>
        <w:t xml:space="preserve"> и интеркултуралн</w:t>
      </w:r>
      <w:r w:rsidRPr="000659A5">
        <w:rPr>
          <w:i/>
          <w:sz w:val="24"/>
          <w:lang w:val="sr-Cyrl-RS"/>
        </w:rPr>
        <w:t>е</w:t>
      </w:r>
      <w:r w:rsidRPr="000659A5">
        <w:rPr>
          <w:i/>
          <w:sz w:val="24"/>
        </w:rPr>
        <w:t xml:space="preserve"> перспектив</w:t>
      </w:r>
      <w:r w:rsidRPr="000659A5">
        <w:rPr>
          <w:i/>
          <w:sz w:val="24"/>
          <w:lang w:val="sr-Cyrl-RS"/>
        </w:rPr>
        <w:t>е</w:t>
      </w:r>
      <w:r w:rsidRPr="000659A5">
        <w:rPr>
          <w:i/>
          <w:sz w:val="24"/>
        </w:rPr>
        <w:t xml:space="preserve"> у образовању</w:t>
      </w:r>
    </w:p>
    <w:p w:rsidR="009D4EED" w:rsidRPr="00D636EA" w:rsidRDefault="009D4EED" w:rsidP="00D636EA">
      <w:pPr>
        <w:spacing w:after="0"/>
        <w:jc w:val="both"/>
        <w:rPr>
          <w:b/>
          <w:color w:val="333333"/>
          <w:sz w:val="24"/>
        </w:rPr>
      </w:pPr>
    </w:p>
    <w:p w:rsidR="00D636EA" w:rsidRDefault="00D636EA" w:rsidP="00EC4EEF">
      <w:pPr>
        <w:spacing w:after="0"/>
        <w:ind w:firstLine="720"/>
        <w:jc w:val="both"/>
        <w:rPr>
          <w:sz w:val="24"/>
          <w:szCs w:val="24"/>
          <w:lang w:val="sr-Cyrl-RS"/>
        </w:rPr>
      </w:pPr>
      <w:r w:rsidRPr="00B13EFF">
        <w:rPr>
          <w:sz w:val="24"/>
          <w:szCs w:val="24"/>
          <w:lang w:val="sr-Cyrl-RS"/>
        </w:rPr>
        <w:t>Програми наставе и учења свих предмета, а нарочито друштвен</w:t>
      </w:r>
      <w:r>
        <w:rPr>
          <w:sz w:val="24"/>
          <w:szCs w:val="24"/>
          <w:lang w:val="sr-Cyrl-RS"/>
        </w:rPr>
        <w:t>о-</w:t>
      </w:r>
      <w:r w:rsidRPr="00B13EFF">
        <w:rPr>
          <w:sz w:val="24"/>
          <w:szCs w:val="24"/>
          <w:lang w:val="sr-Cyrl-RS"/>
        </w:rPr>
        <w:t xml:space="preserve">хуманистичке оријентације, </w:t>
      </w:r>
      <w:r>
        <w:rPr>
          <w:sz w:val="24"/>
          <w:szCs w:val="24"/>
          <w:lang w:val="sr-Cyrl-RS"/>
        </w:rPr>
        <w:t xml:space="preserve">као и </w:t>
      </w:r>
      <w:r w:rsidRPr="00B13EFF">
        <w:rPr>
          <w:sz w:val="24"/>
          <w:szCs w:val="24"/>
          <w:lang w:val="sr-Cyrl-RS"/>
        </w:rPr>
        <w:t xml:space="preserve">изборни програми попут Грађанског васпитања, садрже елементе </w:t>
      </w:r>
      <w:r w:rsidRPr="00B13EFF">
        <w:rPr>
          <w:sz w:val="24"/>
          <w:szCs w:val="24"/>
          <w:lang w:val="sr-Cyrl-RS"/>
        </w:rPr>
        <w:lastRenderedPageBreak/>
        <w:t>демократске културе</w:t>
      </w:r>
      <w:r>
        <w:rPr>
          <w:sz w:val="24"/>
          <w:szCs w:val="24"/>
          <w:lang w:val="sr-Cyrl-RS"/>
        </w:rPr>
        <w:t>,</w:t>
      </w:r>
      <w:r w:rsidRPr="00B13EFF">
        <w:rPr>
          <w:sz w:val="24"/>
          <w:szCs w:val="24"/>
          <w:lang w:val="sr-Cyrl-RS"/>
        </w:rPr>
        <w:t xml:space="preserve"> </w:t>
      </w:r>
      <w:r w:rsidR="000F109A">
        <w:rPr>
          <w:sz w:val="24"/>
          <w:szCs w:val="24"/>
          <w:lang w:val="sr-Cyrl-RS"/>
        </w:rPr>
        <w:t xml:space="preserve">мултикултуралности и интеркултуралности, </w:t>
      </w:r>
      <w:r w:rsidRPr="00B13EFF">
        <w:rPr>
          <w:sz w:val="24"/>
          <w:szCs w:val="24"/>
          <w:lang w:val="sr-Cyrl-RS"/>
        </w:rPr>
        <w:t xml:space="preserve">како у </w:t>
      </w:r>
      <w:r w:rsidR="000F109A" w:rsidRPr="000F109A">
        <w:rPr>
          <w:sz w:val="24"/>
          <w:szCs w:val="24"/>
          <w:lang w:val="sr-Cyrl-RS"/>
        </w:rPr>
        <w:t>садржајима</w:t>
      </w:r>
      <w:r>
        <w:rPr>
          <w:sz w:val="24"/>
          <w:szCs w:val="24"/>
          <w:lang w:val="sr-Cyrl-RS"/>
        </w:rPr>
        <w:t>,</w:t>
      </w:r>
      <w:r w:rsidRPr="00B13EFF">
        <w:rPr>
          <w:sz w:val="24"/>
          <w:szCs w:val="24"/>
          <w:lang w:val="sr-Cyrl-RS"/>
        </w:rPr>
        <w:t xml:space="preserve"> тако и у</w:t>
      </w:r>
      <w:r w:rsidR="000F109A">
        <w:rPr>
          <w:sz w:val="24"/>
          <w:szCs w:val="24"/>
          <w:lang w:val="sr-Cyrl-RS"/>
        </w:rPr>
        <w:t xml:space="preserve"> </w:t>
      </w:r>
      <w:r w:rsidR="000F109A" w:rsidRPr="00B13EFF">
        <w:rPr>
          <w:sz w:val="24"/>
          <w:szCs w:val="24"/>
          <w:lang w:val="sr-Cyrl-RS"/>
        </w:rPr>
        <w:t>циљевима и исходима</w:t>
      </w:r>
      <w:r>
        <w:rPr>
          <w:sz w:val="24"/>
          <w:szCs w:val="24"/>
          <w:lang w:val="sr-Cyrl-RS"/>
        </w:rPr>
        <w:t>.</w:t>
      </w:r>
    </w:p>
    <w:p w:rsidR="00440A2A" w:rsidRPr="00440A2A" w:rsidRDefault="00440A2A" w:rsidP="00440A2A">
      <w:pPr>
        <w:spacing w:after="0"/>
        <w:ind w:firstLine="720"/>
        <w:jc w:val="both"/>
        <w:rPr>
          <w:sz w:val="24"/>
          <w:lang w:val="sr-Cyrl-RS"/>
        </w:rPr>
      </w:pPr>
      <w:r w:rsidRPr="00D636EA">
        <w:rPr>
          <w:sz w:val="24"/>
        </w:rPr>
        <w:t>Уводећи нову образовну парадигму кроз покретање образовне реформе 2018. године, гради се национални оквир образовања и васпитања који је основ за израду свих програма наставе и учења који обухвата циљеве, стандарде, компетенције, исходе, мисију и визију образовања и васпитања. Курикулум је исходовно оријентисан и треба да обезбеди развој међупредметних компетенција</w:t>
      </w:r>
      <w:r w:rsidR="009C3B5D">
        <w:rPr>
          <w:sz w:val="24"/>
          <w:lang w:val="sr-Cyrl-RS"/>
        </w:rPr>
        <w:t>,</w:t>
      </w:r>
      <w:r w:rsidRPr="00D636EA">
        <w:rPr>
          <w:sz w:val="24"/>
        </w:rPr>
        <w:t xml:space="preserve"> од којих је једна Одговорно учешће у демократском друштву - у исходима који се односе на поштовање људских права и слобода. Уведени су нови изборни програми за гимназију (Појединац, група и друштво,  Језик, медији и култура, Образовање за одрживи развој, Уметност и дизајн, Основи геополитике, Религије и цивилизације), од којих су неки од значаја за унапређење мултикултуралне перспективе у образовању.</w:t>
      </w:r>
      <w:r>
        <w:rPr>
          <w:sz w:val="24"/>
          <w:lang w:val="sr-Cyrl-RS"/>
        </w:rPr>
        <w:t xml:space="preserve"> Посебан значај у том контексту има изборни програм Грађанско васпитање.</w:t>
      </w:r>
    </w:p>
    <w:p w:rsidR="000F109A" w:rsidRDefault="000F109A" w:rsidP="000F109A">
      <w:pPr>
        <w:spacing w:after="0"/>
        <w:ind w:firstLine="720"/>
        <w:jc w:val="both"/>
        <w:rPr>
          <w:sz w:val="24"/>
        </w:rPr>
      </w:pPr>
      <w:r w:rsidRPr="00D636EA">
        <w:rPr>
          <w:sz w:val="24"/>
        </w:rPr>
        <w:t xml:space="preserve">Грађанско васпитање или васпитање за демократију и грађанско друштво, уведено је у систем образовања Републике Србије школске 2001/2002. године за први разред основне и први разред средње школе као факултативни предмет, а након тога, 2005/2006. године </w:t>
      </w:r>
      <w:r w:rsidR="009C3B5D">
        <w:rPr>
          <w:sz w:val="24"/>
          <w:lang w:val="sr-Cyrl-RS"/>
        </w:rPr>
        <w:t>Г</w:t>
      </w:r>
      <w:r w:rsidRPr="00D636EA">
        <w:rPr>
          <w:sz w:val="24"/>
        </w:rPr>
        <w:t>рађанско васпитање је укључено у све разреде основне и средње школе, као обавезан изборни предмет. Грађанско васпитање подстиче развој деце и младих у духу поштовања људских права и основних слобода, мира, толеранције, равноправности полова, разумевања и пријатељства међу народима, етничким, националним и верским групама</w:t>
      </w:r>
      <w:r>
        <w:rPr>
          <w:sz w:val="24"/>
          <w:lang w:val="sr-Cyrl-RS"/>
        </w:rPr>
        <w:t>, па тиме и мултикултурализма и интеркултурализма</w:t>
      </w:r>
      <w:r w:rsidRPr="00D636EA">
        <w:rPr>
          <w:sz w:val="24"/>
        </w:rPr>
        <w:t>. Основ за увођење и даљи развој Грађанског васпитања у Србији представљала је препорука Савета Европе о образовању за активно учешће у демократском друштву. Са циљем унапређивања компетенција наставника који остварују наставу Грађанског васпитања израђен</w:t>
      </w:r>
      <w:r w:rsidR="006D1FA1">
        <w:rPr>
          <w:sz w:val="24"/>
          <w:lang w:val="sr-Cyrl-RS"/>
        </w:rPr>
        <w:t>и</w:t>
      </w:r>
      <w:r w:rsidRPr="00D636EA">
        <w:rPr>
          <w:sz w:val="24"/>
        </w:rPr>
        <w:t xml:space="preserve"> су приручници за сва три образовна циклуса. Толеранција и поштовање различитости и равноправности присутне у овим програмима за сва три циклуса образовања и део су поменутих приручника. </w:t>
      </w:r>
    </w:p>
    <w:p w:rsidR="000F109A" w:rsidRDefault="000F109A" w:rsidP="000F109A">
      <w:pPr>
        <w:spacing w:after="0"/>
        <w:ind w:firstLine="720"/>
        <w:jc w:val="both"/>
        <w:rPr>
          <w:sz w:val="24"/>
          <w:lang w:val="sr-Cyrl-RS"/>
        </w:rPr>
      </w:pPr>
      <w:r>
        <w:rPr>
          <w:sz w:val="24"/>
          <w:lang w:val="sr-Cyrl-RS"/>
        </w:rPr>
        <w:t xml:space="preserve">У циљу промоције </w:t>
      </w:r>
      <w:r w:rsidRPr="000F109A">
        <w:rPr>
          <w:sz w:val="24"/>
          <w:lang w:val="sr-Cyrl-RS"/>
        </w:rPr>
        <w:t>мултикултуралне и интеркултуралне перспективе у образовању</w:t>
      </w:r>
      <w:r>
        <w:rPr>
          <w:sz w:val="24"/>
          <w:lang w:val="sr-Cyrl-RS"/>
        </w:rPr>
        <w:t xml:space="preserve"> у Републици Србији је спроведен низ пројеката који су обухватили одговарајуће едукације и конференције.</w:t>
      </w:r>
      <w:r w:rsidR="00E834AE">
        <w:rPr>
          <w:sz w:val="24"/>
          <w:lang w:val="sr-Cyrl-RS"/>
        </w:rPr>
        <w:t xml:space="preserve"> </w:t>
      </w:r>
    </w:p>
    <w:p w:rsidR="00E834AE" w:rsidRPr="00D636EA" w:rsidRDefault="00E834AE" w:rsidP="00E834AE">
      <w:pPr>
        <w:spacing w:after="0"/>
        <w:ind w:firstLine="720"/>
        <w:jc w:val="both"/>
        <w:rPr>
          <w:sz w:val="24"/>
        </w:rPr>
      </w:pPr>
      <w:r w:rsidRPr="00D636EA">
        <w:rPr>
          <w:sz w:val="24"/>
        </w:rPr>
        <w:t xml:space="preserve">У оквиру Заједничке иницијативе Савета Европе и Европске уније „Програм подршке Европске </w:t>
      </w:r>
      <w:r w:rsidRPr="00D636EA">
        <w:rPr>
          <w:sz w:val="24"/>
          <w:lang w:val="sr-Cyrl-RS"/>
        </w:rPr>
        <w:t>у</w:t>
      </w:r>
      <w:r w:rsidRPr="00D636EA">
        <w:rPr>
          <w:sz w:val="24"/>
        </w:rPr>
        <w:t xml:space="preserve">није и Савета Европе Западном Балкану и Турској”, кроз </w:t>
      </w:r>
      <w:r w:rsidRPr="00634B93">
        <w:rPr>
          <w:sz w:val="24"/>
        </w:rPr>
        <w:t xml:space="preserve">пројекат </w:t>
      </w:r>
      <w:r w:rsidRPr="00D636EA">
        <w:rPr>
          <w:i/>
          <w:sz w:val="24"/>
        </w:rPr>
        <w:t>Подстицање демократске културе у школама</w:t>
      </w:r>
      <w:r w:rsidRPr="00D636EA">
        <w:rPr>
          <w:sz w:val="24"/>
        </w:rPr>
        <w:t xml:space="preserve"> припремљен је оквир од двадесет компетенција из Модела компетенција из групе вредности, групе ставова, групе вештина и групе знања и критичког разумевања. Школе су организовале велики број најразноврснијих активности, са педагошким приступима примереним за развој компетенција за демократску културу и стварање пријатнијег, занимљивијег и безбеднијег школског амбијента, оснажујући истовремено своје капацитете за отклањање насилних, дискриминаторних и антидемократских структура у школи и школском окружењу, унапређујући етос у школи и пружајући подршку ученицима. Примери садржаја којима се стиже до демократских компетенција налазе се у публикацији „Како до демократске културе у школама“.</w:t>
      </w:r>
      <w:r w:rsidRPr="00D636EA">
        <w:rPr>
          <w:rStyle w:val="FootnoteReference"/>
          <w:sz w:val="24"/>
        </w:rPr>
        <w:footnoteReference w:id="39"/>
      </w:r>
      <w:r w:rsidRPr="00D636EA">
        <w:rPr>
          <w:sz w:val="24"/>
        </w:rPr>
        <w:t xml:space="preserve">  </w:t>
      </w:r>
    </w:p>
    <w:p w:rsidR="00E834AE" w:rsidRPr="00D636EA" w:rsidRDefault="00E834AE" w:rsidP="00E834AE">
      <w:pPr>
        <w:spacing w:after="0"/>
        <w:ind w:firstLine="720"/>
        <w:jc w:val="both"/>
        <w:rPr>
          <w:sz w:val="24"/>
        </w:rPr>
      </w:pPr>
      <w:r w:rsidRPr="00D636EA">
        <w:rPr>
          <w:sz w:val="24"/>
        </w:rPr>
        <w:lastRenderedPageBreak/>
        <w:t>У оквиру овог пројекта креиран је приручник за родитеље о примени компетенција за демократску културу, као и приручник за примену компетенција за демократску културу у курикулуму појединих наставних предмета. Програмирана је обука за примену компетенција за демократску културу, која се налази на образовној платформи Завода за унапређивање образовања и васпитања, а упућен је позив школама за учешће.</w:t>
      </w:r>
    </w:p>
    <w:p w:rsidR="00E834AE" w:rsidRPr="000F109A" w:rsidRDefault="00E834AE" w:rsidP="00E834AE">
      <w:pPr>
        <w:spacing w:after="0"/>
        <w:ind w:firstLine="720"/>
        <w:jc w:val="both"/>
        <w:rPr>
          <w:sz w:val="24"/>
          <w:lang w:val="sr-Cyrl-RS"/>
        </w:rPr>
      </w:pPr>
      <w:r w:rsidRPr="00D636EA">
        <w:rPr>
          <w:sz w:val="24"/>
        </w:rPr>
        <w:t>Наставак овог пројекта Савета Европе под називом „Квалитетно образовање за све“ (2019-2022) поставља за циљ подстицање квалитетног образовања подржавањем школа, локалних заједница и институција образовања у борби против дискриминације кроз примену Референтног оквира компетенција за демократску културу. У реализацију пројектних активности укључено је 60 школа а актери су наставници, ученици, родитељи, локална заједница. Од 60 укључених школа, у 14 школа настава се реализује и на неком од језика националне мањине (мађарски, русински, хрватски, босански, румунс</w:t>
      </w:r>
      <w:r w:rsidR="006D1FA1">
        <w:rPr>
          <w:sz w:val="24"/>
          <w:lang w:val="sr-Cyrl-RS"/>
        </w:rPr>
        <w:t>к</w:t>
      </w:r>
      <w:r w:rsidRPr="00D636EA">
        <w:rPr>
          <w:sz w:val="24"/>
        </w:rPr>
        <w:t>и, словачки). Додатно, у већини укључених школа реализује се и изборни програм Матерњи језик/говор са елементима националне културе. Активности овог пројекта допринеле су успостављању активног међукултурног дијалога између наставника/ученика/родитеља из различитих етничких и мањинских заједница.</w:t>
      </w:r>
    </w:p>
    <w:p w:rsidR="00E834AE" w:rsidRPr="00D636EA" w:rsidRDefault="00E834AE" w:rsidP="00E834AE">
      <w:pPr>
        <w:spacing w:after="0"/>
        <w:ind w:firstLine="720"/>
        <w:jc w:val="both"/>
        <w:rPr>
          <w:sz w:val="24"/>
        </w:rPr>
      </w:pPr>
      <w:r w:rsidRPr="00D636EA">
        <w:rPr>
          <w:sz w:val="24"/>
        </w:rPr>
        <w:t xml:space="preserve">Педагошки завод Војводине </w:t>
      </w:r>
      <w:r w:rsidRPr="00D636EA">
        <w:rPr>
          <w:sz w:val="24"/>
          <w:lang w:val="sr-Cyrl-RS"/>
        </w:rPr>
        <w:t>је</w:t>
      </w:r>
      <w:r w:rsidRPr="00D636EA">
        <w:rPr>
          <w:sz w:val="24"/>
        </w:rPr>
        <w:t xml:space="preserve"> 2021. годин</w:t>
      </w:r>
      <w:r w:rsidRPr="00D636EA">
        <w:rPr>
          <w:sz w:val="24"/>
          <w:lang w:val="sr-Cyrl-RS"/>
        </w:rPr>
        <w:t>е</w:t>
      </w:r>
      <w:r w:rsidRPr="00D636EA">
        <w:rPr>
          <w:sz w:val="24"/>
        </w:rPr>
        <w:t xml:space="preserve"> организ</w:t>
      </w:r>
      <w:r w:rsidRPr="00D636EA">
        <w:rPr>
          <w:sz w:val="24"/>
          <w:lang w:val="sr-Cyrl-RS"/>
        </w:rPr>
        <w:t>овао</w:t>
      </w:r>
      <w:r w:rsidRPr="00D636EA">
        <w:rPr>
          <w:sz w:val="24"/>
        </w:rPr>
        <w:t xml:space="preserve"> седму </w:t>
      </w:r>
      <w:r>
        <w:rPr>
          <w:sz w:val="24"/>
          <w:lang w:val="sr-Cyrl-RS"/>
        </w:rPr>
        <w:t xml:space="preserve">по реду </w:t>
      </w:r>
      <w:r w:rsidRPr="00D636EA">
        <w:rPr>
          <w:sz w:val="24"/>
        </w:rPr>
        <w:t>међународну конференцију Интеркултуралност у образовању. Конференција има за циљ свестрано сагледавање и разматрање интеркултуралности са посебним освртом на примену интеркултуралних принципа у образовању, настави, језику, медијима и другим сегментима интеркултуралног живота. На конференцији учествују научни радници и истраживачи интеркултуралности из земаља из окружења</w:t>
      </w:r>
      <w:r w:rsidRPr="00D636EA">
        <w:rPr>
          <w:sz w:val="24"/>
          <w:lang w:val="sr-Cyrl-RS"/>
        </w:rPr>
        <w:t>,</w:t>
      </w:r>
      <w:r w:rsidRPr="00D636EA">
        <w:rPr>
          <w:sz w:val="24"/>
        </w:rPr>
        <w:t xml:space="preserve"> као и из земаља у којима се говоре језици националних мањина које живе у АП Војводини. Радни језици конференције су српски, мађарски, румунски, русински, словачки и хрватски, језици који су у службеној употреби у раду органа АП Војводине. Након конференције Завод издаје зборник представљених радова који се дистрибуирају образовним институцијама.</w:t>
      </w:r>
    </w:p>
    <w:p w:rsidR="00E834AE" w:rsidRPr="00D636EA" w:rsidRDefault="00E834AE" w:rsidP="00E834AE">
      <w:pPr>
        <w:spacing w:after="0"/>
        <w:ind w:firstLine="720"/>
        <w:jc w:val="both"/>
        <w:rPr>
          <w:sz w:val="24"/>
        </w:rPr>
      </w:pPr>
      <w:r w:rsidRPr="00D636EA">
        <w:rPr>
          <w:sz w:val="24"/>
        </w:rPr>
        <w:t>Такође, Педагошки завод Војводине од свог оснивања води пројекат Развијање и неговање матерњег и нематерњег језика и интеркултуралности код деце у Војводини. Циљ пројекта је подршка васпитно-образовним установама у процесу развијања и неговања матерњег и нематерњег језика и интеркултуралности. Пројекат својим активностима чува језик и културу националних мањина, али и обезбеђује усвајање страног језика, као предуслова за упознавање других култура и традиција. Осим тога, пројекат подразумева проширивање компетенције васпитача, наставника и стручних сарадника у области образовања и васпитања на нематерњем језику. Специфични циљ пројекта је развијање и неговање адитивне двојезичности као и комуникативних вештина на нематерњем језику, односно развијање позитивних ставова према српском као нематерњем и мађарском као језику друштвене средине у циљу развијања толеранције и осећаја припадности према вишејезичној и вишекултуралној заједници. Програм се спроводи у вртићима у Сенти, у Горњем Брегу, Торњошу, Богарашу и Кевију.</w:t>
      </w:r>
    </w:p>
    <w:p w:rsidR="00E834AE" w:rsidRPr="00D636EA" w:rsidRDefault="00E834AE" w:rsidP="00E834AE">
      <w:pPr>
        <w:spacing w:after="0"/>
        <w:ind w:firstLine="720"/>
        <w:jc w:val="both"/>
        <w:rPr>
          <w:sz w:val="24"/>
        </w:rPr>
      </w:pPr>
      <w:r w:rsidRPr="00D636EA">
        <w:rPr>
          <w:sz w:val="24"/>
          <w:lang w:val="sr-Cyrl-RS"/>
        </w:rPr>
        <w:t>У п</w:t>
      </w:r>
      <w:r w:rsidRPr="00D636EA">
        <w:rPr>
          <w:sz w:val="24"/>
        </w:rPr>
        <w:t xml:space="preserve">ројекат „Јачање интеркултуралних пракси у културолошки разноврсним школама“ укључено </w:t>
      </w:r>
      <w:r w:rsidRPr="00D636EA">
        <w:rPr>
          <w:sz w:val="24"/>
          <w:lang w:val="sr-Cyrl-RS"/>
        </w:rPr>
        <w:t>је пет</w:t>
      </w:r>
      <w:r w:rsidRPr="00D636EA">
        <w:rPr>
          <w:sz w:val="24"/>
        </w:rPr>
        <w:t xml:space="preserve"> школа </w:t>
      </w:r>
      <w:r w:rsidRPr="00D636EA">
        <w:rPr>
          <w:sz w:val="24"/>
          <w:lang w:val="sr-Cyrl-RS"/>
        </w:rPr>
        <w:t>које</w:t>
      </w:r>
      <w:r w:rsidRPr="00D636EA">
        <w:rPr>
          <w:sz w:val="24"/>
        </w:rPr>
        <w:t xml:space="preserve"> спровод</w:t>
      </w:r>
      <w:r w:rsidRPr="00D636EA">
        <w:rPr>
          <w:sz w:val="24"/>
          <w:lang w:val="sr-Cyrl-RS"/>
        </w:rPr>
        <w:t>е</w:t>
      </w:r>
      <w:r w:rsidRPr="00D636EA">
        <w:rPr>
          <w:sz w:val="24"/>
        </w:rPr>
        <w:t xml:space="preserve"> активности са циљем јачања сарадње, разумевања и толеранције међу ученицима различитих националности. </w:t>
      </w:r>
      <w:r w:rsidRPr="00D636EA">
        <w:rPr>
          <w:sz w:val="24"/>
          <w:lang w:val="sr-Cyrl-RS"/>
        </w:rPr>
        <w:t xml:space="preserve">У оквиру </w:t>
      </w:r>
      <w:r w:rsidRPr="00D636EA">
        <w:rPr>
          <w:sz w:val="24"/>
          <w:lang w:val="sr-Cyrl-RS"/>
        </w:rPr>
        <w:lastRenderedPageBreak/>
        <w:t>пројекта су р</w:t>
      </w:r>
      <w:r w:rsidRPr="00D636EA">
        <w:rPr>
          <w:sz w:val="24"/>
        </w:rPr>
        <w:t>еализоване и две акредитоване обуке за око 150 наставника из области интеркултуралности и антидискриминације, као и низ наставних и ваннаставних активности са интеркултуралним садржајем.</w:t>
      </w:r>
    </w:p>
    <w:p w:rsidR="00E834AE" w:rsidRPr="00D636EA" w:rsidRDefault="00E834AE" w:rsidP="00E834AE">
      <w:pPr>
        <w:spacing w:after="0"/>
        <w:ind w:firstLine="720"/>
        <w:jc w:val="both"/>
        <w:rPr>
          <w:sz w:val="24"/>
        </w:rPr>
      </w:pPr>
      <w:r w:rsidRPr="00D636EA">
        <w:rPr>
          <w:sz w:val="24"/>
        </w:rPr>
        <w:t xml:space="preserve">Пројекат „Млади у мултикултуралној заједници“ </w:t>
      </w:r>
      <w:r w:rsidRPr="00D636EA">
        <w:rPr>
          <w:sz w:val="24"/>
          <w:lang w:val="sr-Cyrl-RS"/>
        </w:rPr>
        <w:t xml:space="preserve">је </w:t>
      </w:r>
      <w:r w:rsidRPr="00D636EA">
        <w:rPr>
          <w:sz w:val="24"/>
        </w:rPr>
        <w:t>окуп</w:t>
      </w:r>
      <w:r w:rsidRPr="00D636EA">
        <w:rPr>
          <w:sz w:val="24"/>
          <w:lang w:val="sr-Cyrl-RS"/>
        </w:rPr>
        <w:t>ио</w:t>
      </w:r>
      <w:r w:rsidRPr="00D636EA">
        <w:rPr>
          <w:sz w:val="24"/>
        </w:rPr>
        <w:t xml:space="preserve"> младе разних националности из Новог Пазара, Сјенице, Тутина, Пријепољ</w:t>
      </w:r>
      <w:r w:rsidR="006D1FA1">
        <w:rPr>
          <w:sz w:val="24"/>
          <w:lang w:val="sr-Cyrl-RS"/>
        </w:rPr>
        <w:t>а</w:t>
      </w:r>
      <w:r w:rsidRPr="00D636EA">
        <w:rPr>
          <w:sz w:val="24"/>
        </w:rPr>
        <w:t xml:space="preserve">, Прибоја и Нове Вароши, </w:t>
      </w:r>
      <w:r w:rsidRPr="00D636EA">
        <w:rPr>
          <w:sz w:val="24"/>
          <w:lang w:val="sr-Cyrl-RS"/>
        </w:rPr>
        <w:t>али</w:t>
      </w:r>
      <w:r w:rsidRPr="00D636EA">
        <w:rPr>
          <w:sz w:val="24"/>
        </w:rPr>
        <w:t xml:space="preserve"> и њихове родитеље и наставнике, </w:t>
      </w:r>
      <w:r w:rsidRPr="00D636EA">
        <w:rPr>
          <w:sz w:val="24"/>
          <w:lang w:val="sr-Cyrl-RS"/>
        </w:rPr>
        <w:t>у циљу</w:t>
      </w:r>
      <w:r w:rsidRPr="00D636EA">
        <w:rPr>
          <w:sz w:val="24"/>
        </w:rPr>
        <w:t xml:space="preserve"> спровођењ</w:t>
      </w:r>
      <w:r w:rsidRPr="00D636EA">
        <w:rPr>
          <w:sz w:val="24"/>
          <w:lang w:val="sr-Cyrl-RS"/>
        </w:rPr>
        <w:t>а различитих</w:t>
      </w:r>
      <w:r w:rsidRPr="00D636EA">
        <w:rPr>
          <w:sz w:val="24"/>
        </w:rPr>
        <w:t xml:space="preserve"> интеркултуралних садржаја и вештина.</w:t>
      </w:r>
    </w:p>
    <w:p w:rsidR="00E834AE" w:rsidRPr="006D1FA1" w:rsidRDefault="00E834AE" w:rsidP="00E834AE">
      <w:pPr>
        <w:spacing w:after="0"/>
        <w:ind w:firstLine="720"/>
        <w:jc w:val="both"/>
        <w:rPr>
          <w:sz w:val="24"/>
          <w:lang w:val="sr-Cyrl-RS"/>
        </w:rPr>
      </w:pPr>
      <w:r w:rsidRPr="00D636EA">
        <w:rPr>
          <w:sz w:val="24"/>
        </w:rPr>
        <w:t>Пројекат „Наш град, наше школе“ спроводи Служба Координационог тела Владе Републике Србије за општине Прешево, Бујановац и Медвеђа са циљем унапређивања сарадње међу основним и средњим школама на територији општине Бујановац у којима се настава реализује на српском и на албанском језику, као и стварање прилика за интеракцију и сарадњу ученика и наставника. Реализовано је више заједничких активности, три тродневне обуке за наставнике и седам дводневних радионица за ученике. Теме које су обрађиване у овом програму су биле: интеркултурално образовање, разумевање различитости, права детета, теме о стереотипима и предрасудама. Креиран је „Водич кроз Бујановац“ виђен очима младих, направљен током радионица</w:t>
      </w:r>
      <w:r w:rsidR="006D1FA1">
        <w:rPr>
          <w:sz w:val="24"/>
          <w:lang w:val="sr-Cyrl-RS"/>
        </w:rPr>
        <w:t>.</w:t>
      </w:r>
    </w:p>
    <w:p w:rsidR="00E834AE" w:rsidRPr="00D636EA" w:rsidRDefault="00E834AE" w:rsidP="00E834AE">
      <w:pPr>
        <w:spacing w:after="0"/>
        <w:ind w:firstLine="720"/>
        <w:jc w:val="both"/>
        <w:rPr>
          <w:sz w:val="24"/>
        </w:rPr>
      </w:pPr>
      <w:r w:rsidRPr="00D636EA">
        <w:rPr>
          <w:sz w:val="24"/>
        </w:rPr>
        <w:t>Пројекат „Наша прича“ спров</w:t>
      </w:r>
      <w:r w:rsidRPr="00D636EA">
        <w:rPr>
          <w:sz w:val="24"/>
          <w:lang w:val="sr-Cyrl-RS"/>
        </w:rPr>
        <w:t>ела је</w:t>
      </w:r>
      <w:r w:rsidRPr="00D636EA">
        <w:rPr>
          <w:sz w:val="24"/>
        </w:rPr>
        <w:t xml:space="preserve"> Служба Координационог тела Владе Републике Србије за општине Прешево, Бујановац и Медвеђа са две основне школе из Прешева. Реализован је низ радионица са циљем стварања платформе за превазилажење сегрегације у образовним институцијама и допринос афирмацији интеркултурализма у мултикултуралној средини.</w:t>
      </w:r>
    </w:p>
    <w:p w:rsidR="00D636EA" w:rsidRDefault="00D636EA" w:rsidP="00E834AE">
      <w:pPr>
        <w:spacing w:after="0"/>
        <w:jc w:val="both"/>
        <w:rPr>
          <w:sz w:val="24"/>
          <w:szCs w:val="24"/>
          <w:lang w:val="sr-Cyrl-RS"/>
        </w:rPr>
      </w:pPr>
    </w:p>
    <w:p w:rsidR="00E834AE" w:rsidRPr="00E834AE" w:rsidRDefault="00E834AE" w:rsidP="00E834AE">
      <w:pPr>
        <w:spacing w:after="0"/>
        <w:jc w:val="both"/>
        <w:rPr>
          <w:i/>
          <w:sz w:val="24"/>
          <w:szCs w:val="24"/>
          <w:lang w:val="sr-Cyrl-RS"/>
        </w:rPr>
      </w:pPr>
      <w:r w:rsidRPr="000659A5">
        <w:rPr>
          <w:i/>
          <w:sz w:val="24"/>
          <w:szCs w:val="24"/>
          <w:lang w:val="sr-Cyrl-RS"/>
        </w:rPr>
        <w:t xml:space="preserve">Наставни планови и </w:t>
      </w:r>
      <w:r w:rsidRPr="00E834AE">
        <w:rPr>
          <w:i/>
          <w:sz w:val="24"/>
          <w:szCs w:val="24"/>
          <w:lang w:val="sr-Cyrl-RS"/>
        </w:rPr>
        <w:t>програми који пружају знања о мањинама</w:t>
      </w:r>
    </w:p>
    <w:p w:rsidR="00D636EA" w:rsidRDefault="00D636EA" w:rsidP="00EC4EEF">
      <w:pPr>
        <w:spacing w:after="0"/>
        <w:ind w:firstLine="720"/>
        <w:jc w:val="both"/>
        <w:rPr>
          <w:color w:val="333333"/>
          <w:sz w:val="24"/>
        </w:rPr>
      </w:pPr>
    </w:p>
    <w:p w:rsidR="00E834AE" w:rsidRPr="00E834AE" w:rsidRDefault="00E834AE" w:rsidP="00EC4EEF">
      <w:pPr>
        <w:spacing w:after="0"/>
        <w:ind w:firstLine="720"/>
        <w:jc w:val="both"/>
        <w:rPr>
          <w:sz w:val="24"/>
          <w:lang w:val="sr-Cyrl-RS"/>
        </w:rPr>
      </w:pPr>
      <w:r>
        <w:rPr>
          <w:sz w:val="24"/>
          <w:lang w:val="sr-Cyrl-RS"/>
        </w:rPr>
        <w:t>Нормативни оквир у Републици Србији предвиђа добре основе да наставни планови и програми пруже знања о националним мањинама као саставном делу српског друштва.</w:t>
      </w:r>
    </w:p>
    <w:p w:rsidR="00E834AE" w:rsidRDefault="00EC4EEF" w:rsidP="00EC4EEF">
      <w:pPr>
        <w:spacing w:after="0"/>
        <w:ind w:firstLine="720"/>
        <w:jc w:val="both"/>
        <w:rPr>
          <w:sz w:val="24"/>
        </w:rPr>
      </w:pPr>
      <w:r w:rsidRPr="00D636EA">
        <w:rPr>
          <w:sz w:val="24"/>
        </w:rPr>
        <w:t>Закон о основама система образовања и васпитања</w:t>
      </w:r>
      <w:r w:rsidR="00675357">
        <w:rPr>
          <w:rStyle w:val="FootnoteReference"/>
          <w:sz w:val="24"/>
        </w:rPr>
        <w:footnoteReference w:id="40"/>
      </w:r>
      <w:r w:rsidRPr="00D636EA">
        <w:rPr>
          <w:sz w:val="24"/>
        </w:rPr>
        <w:t xml:space="preserve"> предвиђа да планови и програми наставе и учења основног и средњег образовања и васпитања садрже начин прилагођавања програма за припаднике националне мањине у свим програмима наставе и учења. </w:t>
      </w:r>
    </w:p>
    <w:p w:rsidR="00EC4EEF" w:rsidRDefault="00E834AE" w:rsidP="00044B58">
      <w:pPr>
        <w:spacing w:after="0"/>
        <w:ind w:firstLine="720"/>
        <w:jc w:val="both"/>
        <w:rPr>
          <w:sz w:val="24"/>
        </w:rPr>
      </w:pPr>
      <w:r w:rsidRPr="00D636EA">
        <w:rPr>
          <w:sz w:val="24"/>
        </w:rPr>
        <w:t xml:space="preserve">У оквиру пројекта Савета Евопре и Европске уније Horizontal Facility (HF 33) - </w:t>
      </w:r>
      <w:r w:rsidRPr="00D636EA">
        <w:rPr>
          <w:i/>
          <w:sz w:val="24"/>
        </w:rPr>
        <w:t>Јачање заштите националних мањина у Србији</w:t>
      </w:r>
      <w:r w:rsidRPr="00D636EA">
        <w:rPr>
          <w:sz w:val="24"/>
        </w:rPr>
        <w:t xml:space="preserve"> </w:t>
      </w:r>
      <w:r w:rsidRPr="00D636EA">
        <w:rPr>
          <w:sz w:val="24"/>
          <w:lang w:val="sr-Cyrl-RS"/>
        </w:rPr>
        <w:t xml:space="preserve">2019. године је </w:t>
      </w:r>
      <w:r w:rsidRPr="00D636EA">
        <w:rPr>
          <w:sz w:val="24"/>
        </w:rPr>
        <w:t>израђена анализа изабраних наставних планова и програма, предметних компетенција и образовних стандарда. Резултати ове анализе показују хетерогену ситуацију у погледу присуства и односа према националним мањинама у образовном оквиру у Републици Србији. Анализа наглашава да се званични документи који се односе на образовање, односно на стандарде и наставне програме (нарочито на задатке и наставне јединице) за одређене школске предмете (Природа и друштво и Музичка култура у првом циклусу; Српски језик и књижевност и Географија у другом циклусу</w:t>
      </w:r>
      <w:r w:rsidR="0036704D">
        <w:rPr>
          <w:sz w:val="24"/>
          <w:lang w:val="sr-Cyrl-RS"/>
        </w:rPr>
        <w:t>;</w:t>
      </w:r>
      <w:r w:rsidRPr="00D636EA">
        <w:rPr>
          <w:sz w:val="24"/>
        </w:rPr>
        <w:t xml:space="preserve"> и Географија, Социологија и Устав и права грађана у трећем циклусу), непосредно баве питањем националних мањина или </w:t>
      </w:r>
      <w:r w:rsidRPr="00D636EA">
        <w:rPr>
          <w:sz w:val="24"/>
        </w:rPr>
        <w:lastRenderedPageBreak/>
        <w:t xml:space="preserve">њиховом културном баштином, те да представљају позитивне трендове или примере. Препознаје се одлучност да </w:t>
      </w:r>
      <w:r w:rsidR="009C3B5D">
        <w:rPr>
          <w:sz w:val="24"/>
          <w:lang w:val="sr-Cyrl-RS"/>
        </w:rPr>
        <w:t>с</w:t>
      </w:r>
      <w:r w:rsidR="00044B58">
        <w:rPr>
          <w:sz w:val="24"/>
        </w:rPr>
        <w:t xml:space="preserve">e </w:t>
      </w:r>
      <w:r w:rsidRPr="00D636EA">
        <w:rPr>
          <w:sz w:val="24"/>
        </w:rPr>
        <w:t>националне мањине уврст</w:t>
      </w:r>
      <w:r w:rsidR="00044B58">
        <w:rPr>
          <w:sz w:val="24"/>
        </w:rPr>
        <w:t>e</w:t>
      </w:r>
      <w:r w:rsidRPr="00D636EA">
        <w:rPr>
          <w:sz w:val="24"/>
        </w:rPr>
        <w:t xml:space="preserve"> као саставни део ових докумената. Националне мањине се у програмима за основну школу углавном помињу у вези са музиком (с изузетком предмета Природа и друштво и делимично предмета Географија) а опште узев се помиње ограничени број мањина (списак оних који се појављују у предмету Музичка култура је дужи). Информације о националним мањинама у вези са музиком не представљају нужно недостатак, али извештај препоручује да ову тенденцију ка превасходно </w:t>
      </w:r>
      <w:r w:rsidRPr="00D636EA">
        <w:rPr>
          <w:sz w:val="24"/>
          <w:lang w:val="sr-Cyrl-RS"/>
        </w:rPr>
        <w:t>„</w:t>
      </w:r>
      <w:r w:rsidRPr="00D636EA">
        <w:rPr>
          <w:sz w:val="24"/>
        </w:rPr>
        <w:t xml:space="preserve">фолклористичком” представљању националних мањина, треба избегавати. Додатно, наставницима је препуштено да држе наставу о одређеним  садржајима важним за национални идентитет са циљем да настава треба да доведе до развоја интеркултуралних компетенција ученика, њиховог упознавања са припадницима различитих етничких/националних група. Предмет Историја препознат је као један од најважнијих за јачање свести о различитим погледима на прошлост, укључујући положај и перспективу националних мањина. </w:t>
      </w:r>
      <w:r w:rsidR="00044B58">
        <w:rPr>
          <w:sz w:val="24"/>
          <w:lang w:val="sr-Cyrl-RS"/>
        </w:rPr>
        <w:t>А</w:t>
      </w:r>
      <w:r w:rsidRPr="00D636EA">
        <w:rPr>
          <w:sz w:val="24"/>
        </w:rPr>
        <w:t xml:space="preserve">нализа наставних програма указује на то да се током целог образовања, од првог до краја трећег циклуса, у предметима Природа и друштво, Историја, и донекле, Географија, не </w:t>
      </w:r>
      <w:r w:rsidR="00044B58">
        <w:rPr>
          <w:sz w:val="24"/>
          <w:lang w:val="sr-Cyrl-RS"/>
        </w:rPr>
        <w:t xml:space="preserve">посвећује пажња </w:t>
      </w:r>
      <w:r w:rsidRPr="00D636EA">
        <w:rPr>
          <w:sz w:val="24"/>
        </w:rPr>
        <w:t>национални</w:t>
      </w:r>
      <w:r w:rsidR="00044B58">
        <w:rPr>
          <w:sz w:val="24"/>
          <w:lang w:val="sr-Cyrl-RS"/>
        </w:rPr>
        <w:t>м</w:t>
      </w:r>
      <w:r w:rsidRPr="00D636EA">
        <w:rPr>
          <w:sz w:val="24"/>
        </w:rPr>
        <w:t xml:space="preserve"> мањина</w:t>
      </w:r>
      <w:r w:rsidR="00044B58">
        <w:rPr>
          <w:sz w:val="24"/>
          <w:lang w:val="sr-Cyrl-RS"/>
        </w:rPr>
        <w:t>ма</w:t>
      </w:r>
      <w:r w:rsidRPr="00D636EA">
        <w:rPr>
          <w:sz w:val="24"/>
        </w:rPr>
        <w:t xml:space="preserve"> које данас живе у Србији у довољној мери. </w:t>
      </w:r>
      <w:r w:rsidR="00044B58">
        <w:rPr>
          <w:sz w:val="24"/>
          <w:lang w:val="sr-Cyrl-RS"/>
        </w:rPr>
        <w:t xml:space="preserve">Такав закључак донекле је последица чињенице да </w:t>
      </w:r>
      <w:r w:rsidR="00EC4EEF" w:rsidRPr="00D636EA">
        <w:rPr>
          <w:sz w:val="24"/>
        </w:rPr>
        <w:t>наставници</w:t>
      </w:r>
      <w:r w:rsidR="00044B58">
        <w:rPr>
          <w:sz w:val="24"/>
          <w:lang w:val="sr-Cyrl-RS"/>
        </w:rPr>
        <w:t xml:space="preserve"> </w:t>
      </w:r>
      <w:r w:rsidR="00044B58" w:rsidRPr="00D636EA">
        <w:rPr>
          <w:sz w:val="24"/>
        </w:rPr>
        <w:t>обрађују садржаје који реферишу на ку</w:t>
      </w:r>
      <w:r w:rsidR="00044B58">
        <w:rPr>
          <w:sz w:val="24"/>
        </w:rPr>
        <w:t xml:space="preserve">лтурно-историјско наслеђе мањина за предмет </w:t>
      </w:r>
      <w:r w:rsidR="00044B58">
        <w:rPr>
          <w:sz w:val="24"/>
          <w:lang w:val="sr-Cyrl-RS"/>
        </w:rPr>
        <w:t>Историја</w:t>
      </w:r>
      <w:r w:rsidR="00EC4EEF" w:rsidRPr="00D636EA">
        <w:rPr>
          <w:sz w:val="24"/>
        </w:rPr>
        <w:t xml:space="preserve"> у оквирима дефинисаног годишњег фонда часова. </w:t>
      </w:r>
      <w:r w:rsidR="00044B58">
        <w:rPr>
          <w:sz w:val="24"/>
          <w:lang w:val="sr-Cyrl-RS"/>
        </w:rPr>
        <w:t>Наиме, н</w:t>
      </w:r>
      <w:r w:rsidR="00EC4EEF" w:rsidRPr="00D636EA">
        <w:rPr>
          <w:sz w:val="24"/>
        </w:rPr>
        <w:t>астава се планира и остварује тако што се ти садржаји не посматрају и не обрађују изоловано, већ се повезују и интегришу са осталим садржајима програма, чиме се код ученика јача њихов осећај припадности својој националној мањини. Истовремено, у програмима наставе и учења предмета Историја заступљене су теме (садржаји) које се односе на заједничко и специфично историјско и културно наслеђе, периоде суживота различитих народа, односно етничких заједница у регионалним и европским оквирима, са посебним освртом на мирнодопске периоде и заједничке изазове у различитим животним ситуацијама. Тако постављен програм</w:t>
      </w:r>
      <w:r w:rsidR="00044B58">
        <w:rPr>
          <w:sz w:val="24"/>
          <w:lang w:val="sr-Cyrl-RS"/>
        </w:rPr>
        <w:t>, упркос томе што можда не посвећује довољно пажње</w:t>
      </w:r>
      <w:r w:rsidR="00915E1B">
        <w:rPr>
          <w:sz w:val="24"/>
          <w:lang w:val="sr-Cyrl-RS"/>
        </w:rPr>
        <w:t xml:space="preserve"> свакој од националних мањина понаособ</w:t>
      </w:r>
      <w:r w:rsidR="00044B58">
        <w:rPr>
          <w:sz w:val="24"/>
          <w:lang w:val="sr-Cyrl-RS"/>
        </w:rPr>
        <w:t>,</w:t>
      </w:r>
      <w:r w:rsidR="00EC4EEF" w:rsidRPr="00D636EA">
        <w:rPr>
          <w:sz w:val="24"/>
        </w:rPr>
        <w:t xml:space="preserve"> </w:t>
      </w:r>
      <w:r w:rsidR="00915E1B">
        <w:rPr>
          <w:sz w:val="24"/>
          <w:lang w:val="sr-Cyrl-RS"/>
        </w:rPr>
        <w:t xml:space="preserve">ипак </w:t>
      </w:r>
      <w:r w:rsidR="00EC4EEF" w:rsidRPr="00D636EA">
        <w:rPr>
          <w:sz w:val="24"/>
        </w:rPr>
        <w:t>оснажује му</w:t>
      </w:r>
      <w:r w:rsidR="00915E1B">
        <w:rPr>
          <w:sz w:val="24"/>
        </w:rPr>
        <w:t>лтикултуралну средину за учење</w:t>
      </w:r>
      <w:r w:rsidR="00915E1B">
        <w:rPr>
          <w:sz w:val="24"/>
          <w:lang w:val="sr-Cyrl-RS"/>
        </w:rPr>
        <w:t xml:space="preserve"> и</w:t>
      </w:r>
      <w:r w:rsidR="00EC4EEF" w:rsidRPr="00D636EA">
        <w:rPr>
          <w:sz w:val="24"/>
        </w:rPr>
        <w:t xml:space="preserve"> промовише поштовање свих група у друштву, указује на заједнички допринос његовом развоју и обезбеђује широко и продубљено знање о мањинама као o саставном делу српског друштва, а ученици се подстичу на даље учење и истраживање вишеструких перспектива.</w:t>
      </w:r>
    </w:p>
    <w:p w:rsidR="00915E1B" w:rsidRPr="00D636EA" w:rsidRDefault="00915E1B" w:rsidP="00915E1B">
      <w:pPr>
        <w:spacing w:after="0"/>
        <w:ind w:firstLine="720"/>
        <w:jc w:val="both"/>
        <w:rPr>
          <w:sz w:val="24"/>
        </w:rPr>
      </w:pPr>
      <w:r>
        <w:rPr>
          <w:sz w:val="24"/>
          <w:lang w:val="sr-Cyrl-RS"/>
        </w:rPr>
        <w:t xml:space="preserve">У циљу побољшања предстваљања мањина у образовном процесу, </w:t>
      </w:r>
      <w:r w:rsidRPr="00D636EA">
        <w:rPr>
          <w:sz w:val="24"/>
        </w:rPr>
        <w:t>у оквиру Заједничке иницијативе Савета Европе и Европске уније припремљене су Смернице за одговарајуће представљање националних мањина у образовним садржајима.</w:t>
      </w:r>
      <w:r w:rsidRPr="00D636EA">
        <w:rPr>
          <w:rStyle w:val="FootnoteReference"/>
          <w:sz w:val="24"/>
        </w:rPr>
        <w:footnoteReference w:id="41"/>
      </w:r>
      <w:r w:rsidRPr="00D636EA">
        <w:rPr>
          <w:sz w:val="24"/>
        </w:rPr>
        <w:t xml:space="preserve"> Овај документ произилази из Извештаја о заступљености националних мањина у наставним програмима и образовним стандардима Републике Србије и Извештаја о заступљености и представљању националних мањина у школским уџбеницима у Републици Србији, као и пратећих препорука. Поред општих смерница, у документу су предложене и конкретне смернице које садрже примере и упутства како да се препоруке на одговарајући начин пренесу у образовни садржај. Потом, документ доноси сет смерница које се односе на </w:t>
      </w:r>
      <w:r w:rsidRPr="00D636EA">
        <w:rPr>
          <w:sz w:val="24"/>
        </w:rPr>
        <w:lastRenderedPageBreak/>
        <w:t>институције којима је у надлежности доношење, усаглашавање, спровођење, праћење и евалуација програма наставе и учења. Последњи сет предложених смерница односи се на садржаје уџбеника и могуће начине за укључивање садржаја о националним мањинама. Препоруке су дефинисане као вид подршке институцијама, учесницима и заинтересованим странама у систему образовања у развијању свести (посебно ученичке популације и запослених у образовању и култури) о потреби разумевања права, положаја и партиципације националних мањина, прихватања културних различитости, развијању толеранције, неговања заједничког живота и свеобухватне друштвене инклузије у Републици Србији. Препоруке су усмерене ка институцијама које су надлежне за образовање а односе се на програме наставе и учења за основну и средњу школу, унапређивање демократске културе у школа</w:t>
      </w:r>
      <w:r w:rsidR="006D1FA1">
        <w:rPr>
          <w:sz w:val="24"/>
          <w:lang w:val="sr-Cyrl-RS"/>
        </w:rPr>
        <w:t>ма</w:t>
      </w:r>
      <w:r w:rsidRPr="00D636EA">
        <w:rPr>
          <w:sz w:val="24"/>
        </w:rPr>
        <w:t xml:space="preserve">, родне равноправности. Посебан сет препорука односи се на унапређивање квалитета садржаја уџбеника (визуелног и текстуалног) који треба да одражава поштовање мањинских права, као и сет препорука за унапређивање квалитета иницијалног образовања наставника који реализују наставу на неком од језика националне мањине. Резултат овог пројекта је инкорпорирање Смерница, мишљења и препорука у програме наставе и учења за други разред гимназије у којима су јасно маркирани елементи демократске културе, односно садржаји којима се подржава и подстиче поштовање различитости, активна примена толеранције и заштита од дискриминације у оквирима образовног система. </w:t>
      </w:r>
    </w:p>
    <w:p w:rsidR="00915E1B" w:rsidRDefault="00915E1B" w:rsidP="00915E1B">
      <w:pPr>
        <w:spacing w:after="0"/>
        <w:jc w:val="both"/>
        <w:rPr>
          <w:sz w:val="24"/>
          <w:lang w:val="sr-Cyrl-RS"/>
        </w:rPr>
      </w:pPr>
    </w:p>
    <w:p w:rsidR="00915E1B" w:rsidRPr="000659A5" w:rsidRDefault="00915E1B" w:rsidP="00915E1B">
      <w:pPr>
        <w:spacing w:after="0"/>
        <w:jc w:val="both"/>
        <w:rPr>
          <w:i/>
          <w:sz w:val="24"/>
          <w:lang w:val="sr-Cyrl-RS"/>
        </w:rPr>
      </w:pPr>
      <w:r w:rsidRPr="000659A5">
        <w:rPr>
          <w:i/>
          <w:sz w:val="24"/>
          <w:lang w:val="sr-Cyrl-RS"/>
        </w:rPr>
        <w:t>Промовисање</w:t>
      </w:r>
      <w:r w:rsidRPr="000659A5">
        <w:rPr>
          <w:i/>
          <w:sz w:val="24"/>
        </w:rPr>
        <w:t xml:space="preserve"> модел</w:t>
      </w:r>
      <w:r w:rsidRPr="000659A5">
        <w:rPr>
          <w:i/>
          <w:sz w:val="24"/>
          <w:lang w:val="sr-Cyrl-RS"/>
        </w:rPr>
        <w:t>а</w:t>
      </w:r>
      <w:r w:rsidRPr="000659A5">
        <w:rPr>
          <w:i/>
          <w:sz w:val="24"/>
        </w:rPr>
        <w:t xml:space="preserve"> двојезичног или вишејезичног образовања</w:t>
      </w:r>
      <w:r w:rsidRPr="000659A5">
        <w:rPr>
          <w:i/>
          <w:sz w:val="24"/>
          <w:lang w:val="sr-Cyrl-RS"/>
        </w:rPr>
        <w:t xml:space="preserve"> у </w:t>
      </w:r>
      <w:r w:rsidRPr="000659A5">
        <w:rPr>
          <w:i/>
          <w:sz w:val="24"/>
        </w:rPr>
        <w:t>консултацији са представницима мањина</w:t>
      </w:r>
    </w:p>
    <w:p w:rsidR="00915E1B" w:rsidRDefault="00915E1B" w:rsidP="00915E1B">
      <w:pPr>
        <w:spacing w:after="0"/>
        <w:jc w:val="both"/>
        <w:rPr>
          <w:sz w:val="24"/>
          <w:lang w:val="sr-Cyrl-RS"/>
        </w:rPr>
      </w:pPr>
    </w:p>
    <w:p w:rsidR="00915E1B" w:rsidRPr="004E0952" w:rsidRDefault="00915E1B" w:rsidP="00915E1B">
      <w:pPr>
        <w:spacing w:after="0"/>
        <w:ind w:firstLine="720"/>
        <w:jc w:val="both"/>
        <w:rPr>
          <w:sz w:val="24"/>
          <w:lang w:val="sr-Cyrl-RS"/>
        </w:rPr>
      </w:pPr>
      <w:r>
        <w:rPr>
          <w:sz w:val="24"/>
          <w:lang w:val="sr-Cyrl-RS"/>
        </w:rPr>
        <w:t xml:space="preserve">Нормативни оквир и стратешки документи у Републици Србији пружају широку основу за коришћење мањинских језика у образовању и за учешће представника мањина у доношењу релевантних одлука у вези са употребом мањинских језика у образовном процесу. У том смислу власти Републике Србије подсећају да је Законом о основама система образовања и васпитања предвиђено </w:t>
      </w:r>
      <w:r w:rsidR="008B40F2">
        <w:rPr>
          <w:sz w:val="24"/>
          <w:lang w:val="sr-Cyrl-RS"/>
        </w:rPr>
        <w:t>да ресорни министар доноси п</w:t>
      </w:r>
      <w:r w:rsidR="008B40F2" w:rsidRPr="008B40F2">
        <w:rPr>
          <w:sz w:val="24"/>
          <w:lang w:val="sr-Cyrl-RS"/>
        </w:rPr>
        <w:t xml:space="preserve">рограм основног и средњег образовања и васпитања за припаднике националних мањина на предлог националног савета националне мањине и </w:t>
      </w:r>
      <w:r w:rsidR="008B40F2">
        <w:rPr>
          <w:sz w:val="24"/>
          <w:lang w:val="sr-Cyrl-RS"/>
        </w:rPr>
        <w:t xml:space="preserve">по прибављеном </w:t>
      </w:r>
      <w:r w:rsidR="008B40F2" w:rsidRPr="008B40F2">
        <w:rPr>
          <w:sz w:val="24"/>
          <w:lang w:val="sr-Cyrl-RS"/>
        </w:rPr>
        <w:t>мишљењ</w:t>
      </w:r>
      <w:r w:rsidR="00675357">
        <w:rPr>
          <w:sz w:val="24"/>
          <w:lang w:val="sr-Cyrl-RS"/>
        </w:rPr>
        <w:t>у</w:t>
      </w:r>
      <w:r w:rsidR="008B40F2" w:rsidRPr="008B40F2">
        <w:rPr>
          <w:sz w:val="24"/>
          <w:lang w:val="sr-Cyrl-RS"/>
        </w:rPr>
        <w:t xml:space="preserve"> Националног просветног савета, </w:t>
      </w:r>
      <w:r w:rsidR="008B40F2">
        <w:rPr>
          <w:sz w:val="24"/>
          <w:lang w:val="sr-Cyrl-RS"/>
        </w:rPr>
        <w:t>у чијем раду такође учествују представници националних савета</w:t>
      </w:r>
      <w:r w:rsidR="008B40F2" w:rsidRPr="008B40F2">
        <w:rPr>
          <w:sz w:val="24"/>
          <w:lang w:val="sr-Cyrl-RS"/>
        </w:rPr>
        <w:t>.</w:t>
      </w:r>
      <w:r w:rsidR="004E0952">
        <w:rPr>
          <w:sz w:val="24"/>
        </w:rPr>
        <w:t xml:space="preserve"> </w:t>
      </w:r>
      <w:r w:rsidR="004E0952">
        <w:rPr>
          <w:sz w:val="24"/>
          <w:lang w:val="sr-Cyrl-RS"/>
        </w:rPr>
        <w:t>Штавише, полазећи од овлашћења националних савета у области образовања, јасно је да та тела као представници мањина у овој области друштвеног живота, могу сугерисати, заговарати и промовисати одговарајуће моделе образовања који укључују об</w:t>
      </w:r>
      <w:r w:rsidR="00440A2A">
        <w:rPr>
          <w:sz w:val="24"/>
          <w:lang w:val="sr-Cyrl-RS"/>
        </w:rPr>
        <w:t xml:space="preserve">разовање на мањинским језицима, као што то показује пример Националног савета бугарске националне мањине и увођење модела двојезичног српско-бугарског образовања у Босилеграду почев од школске 2018/2019. године. </w:t>
      </w:r>
    </w:p>
    <w:p w:rsidR="00915E1B" w:rsidRPr="00D924D6" w:rsidRDefault="00915E1B" w:rsidP="00915E1B">
      <w:pPr>
        <w:spacing w:after="0"/>
        <w:ind w:firstLine="720"/>
        <w:jc w:val="both"/>
        <w:rPr>
          <w:sz w:val="24"/>
          <w:szCs w:val="24"/>
          <w:lang w:val="sr-Cyrl-RS"/>
        </w:rPr>
      </w:pPr>
      <w:r>
        <w:rPr>
          <w:sz w:val="24"/>
          <w:szCs w:val="24"/>
          <w:lang w:val="sr-Cyrl-RS"/>
        </w:rPr>
        <w:t>Стратегија развоја образовања и васпитања н</w:t>
      </w:r>
      <w:r w:rsidRPr="00D924D6">
        <w:rPr>
          <w:sz w:val="24"/>
          <w:szCs w:val="24"/>
          <w:lang w:val="sr-Cyrl-RS"/>
        </w:rPr>
        <w:t xml:space="preserve">аглашава потребу да се развијају модели двојезичне наставе у основном и средњем образовању и васпитању за оне националне мањине које то желе. Као важан корак, у наредном периоду ће се одржати сусрети, односно саветовања </w:t>
      </w:r>
      <w:r>
        <w:rPr>
          <w:sz w:val="24"/>
          <w:szCs w:val="24"/>
          <w:lang w:val="sr-Cyrl-RS"/>
        </w:rPr>
        <w:t>и</w:t>
      </w:r>
      <w:r w:rsidRPr="00D924D6">
        <w:rPr>
          <w:sz w:val="24"/>
          <w:szCs w:val="24"/>
          <w:lang w:val="sr-Cyrl-RS"/>
        </w:rPr>
        <w:t xml:space="preserve"> округли столови са представницима заинтересованих националних савета националних мањина, у циљу промовисања могућих модела двојезичног / вишејезичног образовања и начина његовог остваривања.</w:t>
      </w:r>
    </w:p>
    <w:p w:rsidR="00EC4EEF" w:rsidRDefault="00EC4EEF" w:rsidP="00EC4EEF">
      <w:pPr>
        <w:spacing w:after="0"/>
        <w:ind w:firstLine="720"/>
        <w:jc w:val="both"/>
        <w:rPr>
          <w:sz w:val="24"/>
        </w:rPr>
      </w:pPr>
      <w:r w:rsidRPr="00D636EA">
        <w:rPr>
          <w:sz w:val="24"/>
        </w:rPr>
        <w:lastRenderedPageBreak/>
        <w:t xml:space="preserve">Акциони план за спровођење Стратегије развоја образовања и васпитања </w:t>
      </w:r>
      <w:r w:rsidR="00F76766" w:rsidRPr="00D636EA">
        <w:rPr>
          <w:sz w:val="24"/>
        </w:rPr>
        <w:t xml:space="preserve">за период од 2021. до 2023. године </w:t>
      </w:r>
      <w:r w:rsidRPr="00D636EA">
        <w:rPr>
          <w:sz w:val="24"/>
        </w:rPr>
        <w:t xml:space="preserve">садржи меру Развијање нових и унапређивање постојећих стандарда квалификација и стандарда постигнућа, програма наставе и учења у предуниверзитетском образовању и васпитању која предвиђа активности које се односе на развијање нових и унапређивање свих постојећих програма наставе и учења у основном и средњем образовању и васпитању свих предмета, међу којима су и програми наставе и учења на језику и писму националних мањина по циклусима (први и други циклус </w:t>
      </w:r>
      <w:r w:rsidR="00F76766" w:rsidRPr="00D636EA">
        <w:rPr>
          <w:sz w:val="24"/>
          <w:lang w:val="sr-Cyrl-RS"/>
        </w:rPr>
        <w:t>основне школе</w:t>
      </w:r>
      <w:r w:rsidRPr="00D636EA">
        <w:rPr>
          <w:sz w:val="24"/>
        </w:rPr>
        <w:t>, опште средње и општеобразовни део у средњем стручном образовању и васпитању), као и програм Матерњи језик/говор са елементима националне културе.</w:t>
      </w:r>
    </w:p>
    <w:p w:rsidR="00440A2A" w:rsidRPr="00D924D6" w:rsidRDefault="00440A2A" w:rsidP="00440A2A">
      <w:pPr>
        <w:spacing w:after="0"/>
        <w:ind w:firstLine="720"/>
        <w:jc w:val="both"/>
        <w:rPr>
          <w:sz w:val="24"/>
          <w:szCs w:val="24"/>
          <w:lang w:val="sr-Cyrl-RS"/>
        </w:rPr>
      </w:pPr>
      <w:r w:rsidRPr="00D924D6">
        <w:rPr>
          <w:sz w:val="24"/>
          <w:szCs w:val="24"/>
          <w:lang w:val="sr-Cyrl-RS"/>
        </w:rPr>
        <w:t>Са циљем информисања родитеља/законских заступника, као и са циљем промоције образовања на јези</w:t>
      </w:r>
      <w:r w:rsidR="00675357">
        <w:rPr>
          <w:sz w:val="24"/>
          <w:szCs w:val="24"/>
          <w:lang w:val="sr-Cyrl-RS"/>
        </w:rPr>
        <w:t>цима</w:t>
      </w:r>
      <w:r w:rsidRPr="00D924D6">
        <w:rPr>
          <w:sz w:val="24"/>
          <w:szCs w:val="24"/>
          <w:lang w:val="sr-Cyrl-RS"/>
        </w:rPr>
        <w:t xml:space="preserve"> националн</w:t>
      </w:r>
      <w:r>
        <w:rPr>
          <w:sz w:val="24"/>
          <w:szCs w:val="24"/>
          <w:lang w:val="sr-Cyrl-RS"/>
        </w:rPr>
        <w:t>их</w:t>
      </w:r>
      <w:r w:rsidRPr="00D924D6">
        <w:rPr>
          <w:sz w:val="24"/>
          <w:szCs w:val="24"/>
          <w:lang w:val="sr-Cyrl-RS"/>
        </w:rPr>
        <w:t xml:space="preserve"> мањин</w:t>
      </w:r>
      <w:r>
        <w:rPr>
          <w:sz w:val="24"/>
          <w:szCs w:val="24"/>
          <w:lang w:val="sr-Cyrl-RS"/>
        </w:rPr>
        <w:t>а</w:t>
      </w:r>
      <w:r w:rsidRPr="00D924D6">
        <w:rPr>
          <w:sz w:val="24"/>
          <w:szCs w:val="24"/>
          <w:lang w:val="sr-Cyrl-RS"/>
        </w:rPr>
        <w:t xml:space="preserve"> </w:t>
      </w:r>
      <w:r>
        <w:rPr>
          <w:sz w:val="24"/>
          <w:szCs w:val="24"/>
          <w:lang w:val="sr-Cyrl-RS"/>
        </w:rPr>
        <w:t xml:space="preserve">Министарство просвете, науке и технолошког развоја </w:t>
      </w:r>
      <w:r w:rsidRPr="00D924D6">
        <w:rPr>
          <w:sz w:val="24"/>
          <w:szCs w:val="24"/>
          <w:lang w:val="sr-Cyrl-RS"/>
        </w:rPr>
        <w:t xml:space="preserve">је у оквиру </w:t>
      </w:r>
      <w:r>
        <w:rPr>
          <w:sz w:val="24"/>
          <w:szCs w:val="24"/>
          <w:lang w:val="sr-Cyrl-RS"/>
        </w:rPr>
        <w:t xml:space="preserve">пројекта </w:t>
      </w:r>
      <w:r w:rsidRPr="00D924D6">
        <w:rPr>
          <w:i/>
          <w:sz w:val="24"/>
          <w:szCs w:val="24"/>
          <w:lang w:val="sr-Cyrl-RS"/>
        </w:rPr>
        <w:t>Јачање заштите националних мањина у Србији</w:t>
      </w:r>
      <w:r w:rsidRPr="00D924D6">
        <w:rPr>
          <w:sz w:val="24"/>
          <w:szCs w:val="24"/>
          <w:lang w:val="sr-Cyrl-RS"/>
        </w:rPr>
        <w:t xml:space="preserve"> Савета Европе и Европске уније израдило брошуру о могућностима образовања на језицима националних мањина у Републици Србији која је преведена на језике националних мањина (албански, босански, бугарски, буњевачки, влашки</w:t>
      </w:r>
      <w:r>
        <w:rPr>
          <w:sz w:val="24"/>
          <w:szCs w:val="24"/>
          <w:lang w:val="sr-Cyrl-RS"/>
        </w:rPr>
        <w:t>, мађарски</w:t>
      </w:r>
      <w:r w:rsidRPr="00D924D6">
        <w:rPr>
          <w:sz w:val="24"/>
          <w:szCs w:val="24"/>
          <w:lang w:val="sr-Cyrl-RS"/>
        </w:rPr>
        <w:t>, македонски, немачки</w:t>
      </w:r>
      <w:r>
        <w:rPr>
          <w:sz w:val="24"/>
          <w:szCs w:val="24"/>
          <w:lang w:val="sr-Cyrl-RS"/>
        </w:rPr>
        <w:t>,</w:t>
      </w:r>
      <w:r w:rsidRPr="00D924D6">
        <w:rPr>
          <w:sz w:val="24"/>
          <w:szCs w:val="24"/>
          <w:lang w:val="sr-Cyrl-RS"/>
        </w:rPr>
        <w:t xml:space="preserve"> ромски, румунски, русински, словачки, словена</w:t>
      </w:r>
      <w:r>
        <w:rPr>
          <w:sz w:val="24"/>
          <w:szCs w:val="24"/>
          <w:lang w:val="sr-Cyrl-RS"/>
        </w:rPr>
        <w:t>чки, украјински, хрватски и</w:t>
      </w:r>
      <w:r w:rsidRPr="00D924D6">
        <w:rPr>
          <w:sz w:val="24"/>
          <w:szCs w:val="24"/>
          <w:lang w:val="sr-Cyrl-RS"/>
        </w:rPr>
        <w:t xml:space="preserve"> чешки).</w:t>
      </w:r>
    </w:p>
    <w:p w:rsidR="00440A2A" w:rsidRPr="00D636EA" w:rsidRDefault="00440A2A" w:rsidP="00EC4EEF">
      <w:pPr>
        <w:spacing w:after="0"/>
        <w:ind w:firstLine="720"/>
        <w:jc w:val="both"/>
        <w:rPr>
          <w:sz w:val="24"/>
        </w:rPr>
      </w:pPr>
    </w:p>
    <w:p w:rsidR="00C00CC3" w:rsidRDefault="00C00CC3" w:rsidP="00C00CC3">
      <w:pPr>
        <w:spacing w:after="0"/>
        <w:jc w:val="both"/>
        <w:rPr>
          <w:i/>
          <w:sz w:val="24"/>
          <w:szCs w:val="24"/>
          <w:lang w:val="sr-Cyrl-RS"/>
        </w:rPr>
      </w:pPr>
      <w:r w:rsidRPr="000659A5">
        <w:rPr>
          <w:i/>
          <w:sz w:val="24"/>
          <w:szCs w:val="24"/>
          <w:lang w:val="sr-Cyrl-RS"/>
        </w:rPr>
        <w:t xml:space="preserve">5. Успоставити и ставити у употребу, што је пре могуће, а најкасније до истека рока за достављање петог државног извештаја, одрживи оквир за прикупљање података заснованог на људским правима унутар јавне управе и, на основу тих података, успоставити, спровести, пратити и периодично ревидирати конкретне и ефективне мере усмерене на стварање дугорочног и мерљивог напретка у погледу заступљености националних мањина у јавној управи, </w:t>
      </w:r>
      <w:r w:rsidRPr="00AD0884">
        <w:rPr>
          <w:i/>
          <w:sz w:val="24"/>
          <w:szCs w:val="24"/>
          <w:lang w:val="sr-Cyrl-RS"/>
        </w:rPr>
        <w:t>посебно оних који живе у удаљеним подручјима и најмаргинализованијих.</w:t>
      </w:r>
    </w:p>
    <w:p w:rsidR="00C00CC3" w:rsidRDefault="00C00CC3" w:rsidP="00C00CC3">
      <w:pPr>
        <w:spacing w:after="0"/>
        <w:jc w:val="both"/>
        <w:rPr>
          <w:i/>
          <w:sz w:val="24"/>
          <w:szCs w:val="24"/>
          <w:lang w:val="sr-Cyrl-RS"/>
        </w:rPr>
      </w:pPr>
    </w:p>
    <w:p w:rsidR="004F1D2A" w:rsidRDefault="004F1D2A" w:rsidP="00356178">
      <w:pPr>
        <w:spacing w:after="0"/>
        <w:ind w:firstLine="720"/>
        <w:jc w:val="both"/>
        <w:rPr>
          <w:sz w:val="24"/>
          <w:szCs w:val="24"/>
          <w:lang w:val="sr-Cyrl-RS"/>
        </w:rPr>
      </w:pPr>
      <w:r>
        <w:rPr>
          <w:sz w:val="24"/>
          <w:szCs w:val="24"/>
          <w:lang w:val="sr-Cyrl-RS"/>
        </w:rPr>
        <w:t>У вези с у</w:t>
      </w:r>
      <w:r w:rsidRPr="004F1D2A">
        <w:rPr>
          <w:sz w:val="24"/>
          <w:szCs w:val="24"/>
          <w:lang w:val="sr-Cyrl-RS"/>
        </w:rPr>
        <w:t>спостав</w:t>
      </w:r>
      <w:r>
        <w:rPr>
          <w:sz w:val="24"/>
          <w:szCs w:val="24"/>
          <w:lang w:val="sr-Cyrl-RS"/>
        </w:rPr>
        <w:t>љањем и</w:t>
      </w:r>
      <w:r w:rsidRPr="004F1D2A">
        <w:rPr>
          <w:sz w:val="24"/>
          <w:szCs w:val="24"/>
          <w:lang w:val="sr-Cyrl-RS"/>
        </w:rPr>
        <w:t xml:space="preserve"> став</w:t>
      </w:r>
      <w:r>
        <w:rPr>
          <w:sz w:val="24"/>
          <w:szCs w:val="24"/>
          <w:lang w:val="sr-Cyrl-RS"/>
        </w:rPr>
        <w:t xml:space="preserve">љањем </w:t>
      </w:r>
      <w:r w:rsidRPr="004F1D2A">
        <w:rPr>
          <w:sz w:val="24"/>
          <w:szCs w:val="24"/>
          <w:lang w:val="sr-Cyrl-RS"/>
        </w:rPr>
        <w:t>у употребу</w:t>
      </w:r>
      <w:r>
        <w:rPr>
          <w:sz w:val="24"/>
          <w:szCs w:val="24"/>
          <w:lang w:val="sr-Cyrl-RS"/>
        </w:rPr>
        <w:t xml:space="preserve"> одрживог</w:t>
      </w:r>
      <w:r w:rsidRPr="004F1D2A">
        <w:rPr>
          <w:sz w:val="24"/>
          <w:szCs w:val="24"/>
          <w:lang w:val="sr-Cyrl-RS"/>
        </w:rPr>
        <w:t xml:space="preserve"> оквир</w:t>
      </w:r>
      <w:r>
        <w:rPr>
          <w:sz w:val="24"/>
          <w:szCs w:val="24"/>
          <w:lang w:val="sr-Cyrl-RS"/>
        </w:rPr>
        <w:t>а</w:t>
      </w:r>
      <w:r w:rsidRPr="004F1D2A">
        <w:rPr>
          <w:sz w:val="24"/>
          <w:szCs w:val="24"/>
          <w:lang w:val="sr-Cyrl-RS"/>
        </w:rPr>
        <w:t xml:space="preserve"> за прикупљање података заснованог на људским правима унутар јавне управе</w:t>
      </w:r>
      <w:r>
        <w:rPr>
          <w:sz w:val="24"/>
          <w:szCs w:val="24"/>
          <w:lang w:val="sr-Cyrl-RS"/>
        </w:rPr>
        <w:t xml:space="preserve"> упућујемо на чињеницу да су у</w:t>
      </w:r>
      <w:r w:rsidRPr="004F1D2A">
        <w:rPr>
          <w:sz w:val="24"/>
          <w:szCs w:val="24"/>
          <w:lang w:val="sr-Cyrl-RS"/>
        </w:rPr>
        <w:t xml:space="preserve"> оквиру пројекта „Промоција различитости и равноправности у Србији”, који је део заједничког програма Европске уније/Савета Европе „Horizontal Facility за Запа</w:t>
      </w:r>
      <w:r>
        <w:rPr>
          <w:sz w:val="24"/>
          <w:szCs w:val="24"/>
          <w:lang w:val="sr-Cyrl-RS"/>
        </w:rPr>
        <w:t xml:space="preserve">дни Балкан и Турску 2019-2022” </w:t>
      </w:r>
      <w:r w:rsidRPr="004F1D2A">
        <w:rPr>
          <w:sz w:val="24"/>
          <w:szCs w:val="24"/>
          <w:lang w:val="sr-Cyrl-RS"/>
        </w:rPr>
        <w:t>припремљени „Национални критеријуми праћења остваривања мањинских права“</w:t>
      </w:r>
      <w:r>
        <w:rPr>
          <w:sz w:val="24"/>
          <w:szCs w:val="24"/>
          <w:lang w:val="sr-Cyrl-RS"/>
        </w:rPr>
        <w:t xml:space="preserve"> који се, између осталог, односе и на прикупљање података унутар јавне управе. </w:t>
      </w:r>
      <w:r w:rsidRPr="008D203C">
        <w:rPr>
          <w:sz w:val="24"/>
          <w:szCs w:val="24"/>
          <w:lang w:val="sr-Cyrl-RS"/>
        </w:rPr>
        <w:t>Више информација о томе дато је у оквиру одговора на препоруку 2.</w:t>
      </w:r>
      <w:r w:rsidR="00177943" w:rsidRPr="008D203C">
        <w:rPr>
          <w:sz w:val="24"/>
          <w:szCs w:val="24"/>
        </w:rPr>
        <w:t xml:space="preserve"> </w:t>
      </w:r>
      <w:r w:rsidR="00177943" w:rsidRPr="008D203C">
        <w:rPr>
          <w:sz w:val="24"/>
          <w:szCs w:val="24"/>
          <w:lang w:val="sr-Cyrl-RS"/>
        </w:rPr>
        <w:t>Комитета министара</w:t>
      </w:r>
      <w:r w:rsidRPr="008D203C">
        <w:rPr>
          <w:sz w:val="24"/>
          <w:szCs w:val="24"/>
          <w:lang w:val="sr-Cyrl-RS"/>
        </w:rPr>
        <w:t>.</w:t>
      </w:r>
    </w:p>
    <w:p w:rsidR="00EE0687" w:rsidRPr="00AF6934" w:rsidRDefault="00B512BD" w:rsidP="00EE0687">
      <w:pPr>
        <w:spacing w:after="0"/>
        <w:ind w:firstLine="720"/>
        <w:jc w:val="both"/>
        <w:rPr>
          <w:sz w:val="24"/>
          <w:szCs w:val="24"/>
          <w:lang w:val="sr-Cyrl-RS"/>
        </w:rPr>
      </w:pPr>
      <w:r>
        <w:rPr>
          <w:sz w:val="24"/>
          <w:szCs w:val="24"/>
          <w:lang w:val="sr-Cyrl-RS"/>
        </w:rPr>
        <w:t>Е</w:t>
      </w:r>
      <w:r w:rsidRPr="00B512BD">
        <w:rPr>
          <w:sz w:val="24"/>
          <w:szCs w:val="24"/>
          <w:lang w:val="sr-Cyrl-RS"/>
        </w:rPr>
        <w:t xml:space="preserve">фективне мере усмерене на стварање напретка у погледу заступљености националних мањина у јавној </w:t>
      </w:r>
      <w:r w:rsidRPr="00AF6934">
        <w:rPr>
          <w:sz w:val="24"/>
          <w:szCs w:val="24"/>
          <w:lang w:val="sr-Cyrl-RS"/>
        </w:rPr>
        <w:t xml:space="preserve">управи предвиђене су низом закона који су усвојени у извештајном периоду. </w:t>
      </w:r>
      <w:r w:rsidR="00EE0687" w:rsidRPr="00AF6934">
        <w:rPr>
          <w:sz w:val="24"/>
          <w:szCs w:val="24"/>
          <w:lang w:val="sr-Cyrl-RS"/>
        </w:rPr>
        <w:t>Изменама и допунама Закона о државним службеницима</w:t>
      </w:r>
      <w:r w:rsidR="00AD5BFF" w:rsidRPr="00AF6934">
        <w:rPr>
          <w:rStyle w:val="FootnoteReference"/>
          <w:sz w:val="24"/>
          <w:szCs w:val="24"/>
          <w:lang w:val="sr-Cyrl-RS"/>
        </w:rPr>
        <w:footnoteReference w:id="42"/>
      </w:r>
      <w:r w:rsidR="00EE0687" w:rsidRPr="00AF6934">
        <w:rPr>
          <w:sz w:val="24"/>
          <w:szCs w:val="24"/>
          <w:lang w:val="sr-Cyrl-RS"/>
        </w:rPr>
        <w:t>, које су почеле да се примењ</w:t>
      </w:r>
      <w:r w:rsidR="00987619" w:rsidRPr="00AF6934">
        <w:rPr>
          <w:sz w:val="24"/>
          <w:szCs w:val="24"/>
          <w:lang w:val="sr-Cyrl-RS"/>
        </w:rPr>
        <w:t xml:space="preserve">ују од 1. јануара 2019. године, </w:t>
      </w:r>
      <w:r w:rsidR="00EE0687" w:rsidRPr="00AF6934">
        <w:rPr>
          <w:sz w:val="24"/>
          <w:szCs w:val="24"/>
          <w:lang w:val="sr-Cyrl-RS"/>
        </w:rPr>
        <w:t xml:space="preserve">разрађена је одредба члана 9. овог закона, којом је прописано да се при запошљавању у државне органе води рачуна о томе да национални састав, између осталог, одсликава у највећој могућој мери структуру </w:t>
      </w:r>
      <w:r w:rsidR="00EE0687" w:rsidRPr="00AF6934">
        <w:rPr>
          <w:sz w:val="24"/>
          <w:szCs w:val="24"/>
          <w:lang w:val="sr-Cyrl-RS"/>
        </w:rPr>
        <w:lastRenderedPageBreak/>
        <w:t>становништа</w:t>
      </w:r>
      <w:r w:rsidR="00987619" w:rsidRPr="00AF6934">
        <w:rPr>
          <w:sz w:val="24"/>
          <w:szCs w:val="24"/>
          <w:lang w:val="sr-Cyrl-RS"/>
        </w:rPr>
        <w:t xml:space="preserve">. Наиме, изменама </w:t>
      </w:r>
      <w:r w:rsidR="00EE0687" w:rsidRPr="00AF6934">
        <w:rPr>
          <w:sz w:val="24"/>
          <w:szCs w:val="24"/>
          <w:lang w:val="sr-Cyrl-RS"/>
        </w:rPr>
        <w:t>члан</w:t>
      </w:r>
      <w:r w:rsidR="00987619" w:rsidRPr="00AF6934">
        <w:rPr>
          <w:sz w:val="24"/>
          <w:szCs w:val="24"/>
          <w:lang w:val="sr-Cyrl-RS"/>
        </w:rPr>
        <w:t xml:space="preserve">а </w:t>
      </w:r>
      <w:r w:rsidR="00EE0687" w:rsidRPr="00AF6934">
        <w:rPr>
          <w:sz w:val="24"/>
          <w:szCs w:val="24"/>
          <w:lang w:val="sr-Cyrl-RS"/>
        </w:rPr>
        <w:t xml:space="preserve">55. Закона прописано </w:t>
      </w:r>
      <w:r w:rsidR="00987619" w:rsidRPr="00AF6934">
        <w:rPr>
          <w:sz w:val="24"/>
          <w:szCs w:val="24"/>
          <w:lang w:val="sr-Cyrl-RS"/>
        </w:rPr>
        <w:t xml:space="preserve">је </w:t>
      </w:r>
      <w:r w:rsidR="00EE0687" w:rsidRPr="00AF6934">
        <w:rPr>
          <w:sz w:val="24"/>
          <w:szCs w:val="24"/>
          <w:lang w:val="sr-Cyrl-RS"/>
        </w:rPr>
        <w:t>да</w:t>
      </w:r>
      <w:r w:rsidR="00675357">
        <w:rPr>
          <w:sz w:val="24"/>
          <w:szCs w:val="24"/>
          <w:lang w:val="sr-Cyrl-RS"/>
        </w:rPr>
        <w:t xml:space="preserve"> се,</w:t>
      </w:r>
      <w:r w:rsidR="00EE0687" w:rsidRPr="00AF6934">
        <w:rPr>
          <w:sz w:val="24"/>
          <w:szCs w:val="24"/>
          <w:lang w:val="sr-Cyrl-RS"/>
        </w:rPr>
        <w:t xml:space="preserve"> ако се у државном органу попуњава радно место код кога је као посебан услов предвиђено знање језика и писма националне мањине, у огласу о јавном конкурсу посебно наводи овај услов, као и евентуална писана провера његове испуњености. Поред тога, чланом 57. прописано је да у случају једнако квалификованих кандидата, приликом избора кандидата са листе за избор, предност има кандидат припадник националне мањине. Наиме</w:t>
      </w:r>
      <w:r w:rsidR="00AF6934">
        <w:rPr>
          <w:sz w:val="24"/>
          <w:szCs w:val="24"/>
          <w:lang w:val="sr-Cyrl-RS"/>
        </w:rPr>
        <w:t>,</w:t>
      </w:r>
      <w:r w:rsidR="00EE0687" w:rsidRPr="00AF6934">
        <w:rPr>
          <w:sz w:val="24"/>
          <w:szCs w:val="24"/>
          <w:lang w:val="sr-Cyrl-RS"/>
        </w:rPr>
        <w:t xml:space="preserve"> руководилац је дужан да у року од 15 дана од дана пријема листе кандидата прими у радни однос кандидата који је са најбољим резултатом испунио мерила за избор (став 2. овог члана), док је ставом 3. овог члана прописано да руководилац органа приликом доношења одлуке из става 2. овог члана даје првенство једнако квалификованом кандидату припаднику националне мањине.</w:t>
      </w:r>
    </w:p>
    <w:p w:rsidR="00EE0687" w:rsidRPr="00DA1365" w:rsidRDefault="00EE0687" w:rsidP="00EE0687">
      <w:pPr>
        <w:spacing w:after="0"/>
        <w:ind w:firstLine="720"/>
        <w:jc w:val="both"/>
        <w:rPr>
          <w:sz w:val="24"/>
          <w:szCs w:val="24"/>
          <w:lang w:val="sr-Cyrl-RS"/>
        </w:rPr>
      </w:pPr>
      <w:r w:rsidRPr="00DA1365">
        <w:rPr>
          <w:sz w:val="24"/>
          <w:szCs w:val="24"/>
          <w:lang w:val="sr-Cyrl-RS"/>
        </w:rPr>
        <w:t>У циљу спровођења овог Закона</w:t>
      </w:r>
      <w:r w:rsidR="00AF6934" w:rsidRPr="00DA1365">
        <w:rPr>
          <w:sz w:val="24"/>
          <w:szCs w:val="24"/>
          <w:lang w:val="sr-Cyrl-RS"/>
        </w:rPr>
        <w:t>,</w:t>
      </w:r>
      <w:r w:rsidRPr="00DA1365">
        <w:rPr>
          <w:sz w:val="24"/>
          <w:szCs w:val="24"/>
          <w:lang w:val="sr-Cyrl-RS"/>
        </w:rPr>
        <w:t xml:space="preserve"> Влада </w:t>
      </w:r>
      <w:r w:rsidR="00AF6934" w:rsidRPr="00DA1365">
        <w:rPr>
          <w:sz w:val="24"/>
          <w:szCs w:val="24"/>
          <w:lang w:val="sr-Cyrl-RS"/>
        </w:rPr>
        <w:t>Републике Србиј</w:t>
      </w:r>
      <w:r w:rsidR="006D1FA1" w:rsidRPr="00DA1365">
        <w:rPr>
          <w:sz w:val="24"/>
          <w:szCs w:val="24"/>
          <w:lang w:val="sr-Cyrl-RS"/>
        </w:rPr>
        <w:t>е</w:t>
      </w:r>
      <w:r w:rsidRPr="00DA1365">
        <w:rPr>
          <w:sz w:val="24"/>
          <w:szCs w:val="24"/>
          <w:lang w:val="sr-Cyrl-RS"/>
        </w:rPr>
        <w:t xml:space="preserve"> је донела Уредбу о интерном и јавном конкурсу за попуњавање радних места у државним органима</w:t>
      </w:r>
      <w:r w:rsidR="00AF6934" w:rsidRPr="00DA1365">
        <w:rPr>
          <w:rStyle w:val="FootnoteReference"/>
          <w:sz w:val="24"/>
          <w:szCs w:val="24"/>
          <w:lang w:val="sr-Cyrl-RS"/>
        </w:rPr>
        <w:footnoteReference w:id="43"/>
      </w:r>
      <w:r w:rsidRPr="00DA1365">
        <w:rPr>
          <w:sz w:val="24"/>
          <w:szCs w:val="24"/>
          <w:lang w:val="sr-Cyrl-RS"/>
        </w:rPr>
        <w:t xml:space="preserve"> којом се ближе уређује начин давања првенства припадницима националних мањина у конкурсном поступку у свим државним органима. Наиме, овом уредбом прописао је да ако постоји потреба за запослењем припадника националне мањине која је недовољно заступљена међу запосленима, у огласу о конкурсу се посебно наводи да припадници те националне мањине имају предност на листи кандидата у односу на друге кандидате са којима су остварили исти резултат у конкурсном поступку. Потреба за запослењем припадника одређене националне мањине произлази из односа броја запослених који су се изјаснили као припадници поједине националне мањине према подацима из регистра запослених у јавној управи у складу са законом и њихове заступљености у становништву на територији јединице локалне самоуправе у којој се налази седиште државног органа, односно подручна јединица државног органа у ком се попуњава радно место према резултатима последњег пописа становништва, под условом да се о својој националној припадности изјаснило 30% запослених у државном органу, односно подручној јединици државног органа.</w:t>
      </w:r>
    </w:p>
    <w:p w:rsidR="00EE0687" w:rsidRPr="00DA1365" w:rsidRDefault="00EE0687" w:rsidP="00EE0687">
      <w:pPr>
        <w:spacing w:after="0"/>
        <w:ind w:firstLine="720"/>
        <w:jc w:val="both"/>
        <w:rPr>
          <w:sz w:val="24"/>
          <w:szCs w:val="24"/>
          <w:lang w:val="sr-Cyrl-RS"/>
        </w:rPr>
      </w:pPr>
      <w:r w:rsidRPr="00DA1365">
        <w:rPr>
          <w:sz w:val="24"/>
          <w:szCs w:val="24"/>
          <w:lang w:val="sr-Cyrl-RS"/>
        </w:rPr>
        <w:t>Такође, овом уредбом прописано је да</w:t>
      </w:r>
      <w:r w:rsidR="00AF3BE3" w:rsidRPr="00DA1365">
        <w:rPr>
          <w:sz w:val="24"/>
          <w:szCs w:val="24"/>
          <w:lang w:val="sr-Cyrl-RS"/>
        </w:rPr>
        <w:t>,</w:t>
      </w:r>
      <w:r w:rsidRPr="00DA1365">
        <w:rPr>
          <w:sz w:val="24"/>
          <w:szCs w:val="24"/>
          <w:lang w:val="sr-Cyrl-RS"/>
        </w:rPr>
        <w:t xml:space="preserve"> у случају да</w:t>
      </w:r>
      <w:r w:rsidR="00AF3BE3" w:rsidRPr="00DA1365">
        <w:rPr>
          <w:sz w:val="24"/>
          <w:szCs w:val="24"/>
          <w:lang w:val="sr-Cyrl-RS"/>
        </w:rPr>
        <w:t xml:space="preserve"> </w:t>
      </w:r>
      <w:r w:rsidRPr="00DA1365">
        <w:rPr>
          <w:sz w:val="24"/>
          <w:szCs w:val="24"/>
          <w:lang w:val="sr-Cyrl-RS"/>
        </w:rPr>
        <w:t>је у огласу о конкурсу наведено да постоји потреба за запошљавањем припадника националних мањина који су недовољно заступљени међу запосленима, први додатни критеријум за рангирање кандидата који имају исти број бодова на листи за избор припадност националној мањини, а који подразумева да кандидат који се у пријави добровољно изјаснио о припадности националној мањини. Ако више кандидата који имају исти број бодова припада националној мањини, предност на ранг листи у односу на друге једнако вредноване кандидате припаднике националне мањине има кандидат коме су са више бодова вредноване понашајне компетенције (други додатни критеријум), у случају једнаког бодовања понашајних компетенција предност има кандидат који је са више бодова вреднован на интервјуу са комисијом (трећи додатни критеријум), а у случају једнаког бодовања на интервјуу са комисијом предност има кандидат који је са више бодова вреднован на посебним функционалним компетенцијама (четврти додатни критеријум).</w:t>
      </w:r>
    </w:p>
    <w:p w:rsidR="00EE0687" w:rsidRPr="00495DF3" w:rsidRDefault="00EE0687" w:rsidP="00EE0687">
      <w:pPr>
        <w:spacing w:after="0"/>
        <w:ind w:firstLine="720"/>
        <w:jc w:val="both"/>
        <w:rPr>
          <w:sz w:val="24"/>
          <w:szCs w:val="24"/>
          <w:lang w:val="sr-Cyrl-RS"/>
        </w:rPr>
      </w:pPr>
      <w:r w:rsidRPr="00495DF3">
        <w:rPr>
          <w:sz w:val="24"/>
          <w:szCs w:val="24"/>
          <w:lang w:val="sr-Cyrl-RS"/>
        </w:rPr>
        <w:lastRenderedPageBreak/>
        <w:t>Законом о јавним агенцијама</w:t>
      </w:r>
      <w:r w:rsidR="00495DF3" w:rsidRPr="00495DF3">
        <w:rPr>
          <w:sz w:val="24"/>
          <w:szCs w:val="24"/>
          <w:lang w:val="sr-Cyrl-RS"/>
        </w:rPr>
        <w:t>,</w:t>
      </w:r>
      <w:r w:rsidR="00495DF3" w:rsidRPr="00495DF3">
        <w:rPr>
          <w:rStyle w:val="FootnoteReference"/>
          <w:sz w:val="24"/>
          <w:szCs w:val="24"/>
          <w:lang w:val="sr-Cyrl-RS"/>
        </w:rPr>
        <w:footnoteReference w:id="44"/>
      </w:r>
      <w:r w:rsidRPr="00495DF3">
        <w:rPr>
          <w:sz w:val="24"/>
          <w:szCs w:val="24"/>
          <w:lang w:val="sr-Cyrl-RS"/>
        </w:rPr>
        <w:t xml:space="preserve"> такође су прописане афирмативне мере за запошљавање припадника националних мањина, односно прописано је да ако се попуњава радно место за које је правилником о унутрашњој организацији и систематизацији радних места као посебан услов за рад предвиђено знање језика и писма националне мањине, у огласу о јавном конкурсу се посебно наводи овај услов, као и евентуална писана провера његове испуњености. Такође, прописано је да ће се у изборном поступку дати предност једнако квалификованом кандидату припаднику националне мањине која није довољно заступљена, који је испунио мерила за избор са једнаким најбољим резултатом са другим кандидатом, а у циљу постизања одговарајуће заступљености припадника националних мањина и пуне равноправности између припадника националне мањине и грађана који припадају већини, уколико су испуњене претпоставке за давање предности предвиђене овим законом.</w:t>
      </w:r>
    </w:p>
    <w:p w:rsidR="00EE0687" w:rsidRDefault="00987619" w:rsidP="003632FB">
      <w:pPr>
        <w:spacing w:after="0"/>
        <w:ind w:firstLine="720"/>
        <w:jc w:val="both"/>
        <w:rPr>
          <w:sz w:val="24"/>
          <w:szCs w:val="24"/>
          <w:lang w:val="sr-Cyrl-RS"/>
        </w:rPr>
      </w:pPr>
      <w:r w:rsidRPr="00495DF3">
        <w:rPr>
          <w:sz w:val="24"/>
          <w:szCs w:val="24"/>
          <w:lang w:val="sr-Cyrl-RS"/>
        </w:rPr>
        <w:t>Закон о запосленима у јавним службама</w:t>
      </w:r>
      <w:r w:rsidR="00495DF3" w:rsidRPr="00495DF3">
        <w:rPr>
          <w:rStyle w:val="FootnoteReference"/>
          <w:sz w:val="24"/>
          <w:szCs w:val="24"/>
          <w:lang w:val="sr-Cyrl-RS"/>
        </w:rPr>
        <w:footnoteReference w:id="45"/>
      </w:r>
      <w:r>
        <w:rPr>
          <w:sz w:val="24"/>
          <w:szCs w:val="24"/>
          <w:lang w:val="sr-Cyrl-RS"/>
        </w:rPr>
        <w:t xml:space="preserve"> </w:t>
      </w:r>
      <w:r w:rsidR="003632FB">
        <w:rPr>
          <w:sz w:val="24"/>
          <w:szCs w:val="24"/>
          <w:lang w:val="sr-Cyrl-RS"/>
        </w:rPr>
        <w:t xml:space="preserve">прописије у члану 10. став 3. да се </w:t>
      </w:r>
      <w:r w:rsidR="003632FB" w:rsidRPr="003632FB">
        <w:rPr>
          <w:sz w:val="24"/>
          <w:szCs w:val="24"/>
          <w:lang w:val="sr-Cyrl-RS"/>
        </w:rPr>
        <w:t>ради постизања одговарајуће заступљености припадника националних мањина,</w:t>
      </w:r>
      <w:r w:rsidR="003632FB">
        <w:rPr>
          <w:sz w:val="24"/>
          <w:szCs w:val="24"/>
          <w:lang w:val="sr-Cyrl-RS"/>
        </w:rPr>
        <w:t xml:space="preserve"> п</w:t>
      </w:r>
      <w:r w:rsidR="003632FB" w:rsidRPr="003632FB">
        <w:rPr>
          <w:sz w:val="24"/>
          <w:szCs w:val="24"/>
          <w:lang w:val="sr-Cyrl-RS"/>
        </w:rPr>
        <w:t>ри запошљавању у јавним службама</w:t>
      </w:r>
      <w:r w:rsidR="003632FB">
        <w:rPr>
          <w:sz w:val="24"/>
          <w:szCs w:val="24"/>
          <w:lang w:val="sr-Cyrl-RS"/>
        </w:rPr>
        <w:t>,</w:t>
      </w:r>
      <w:r w:rsidR="003632FB" w:rsidRPr="003632FB">
        <w:rPr>
          <w:sz w:val="24"/>
          <w:szCs w:val="24"/>
          <w:lang w:val="sr-Cyrl-RS"/>
        </w:rPr>
        <w:t xml:space="preserve"> првенство даје једнако квалификованим кандидатима припадницима националних мањина.</w:t>
      </w:r>
      <w:r w:rsidR="003632FB">
        <w:rPr>
          <w:sz w:val="24"/>
          <w:szCs w:val="24"/>
          <w:lang w:val="sr-Cyrl-RS"/>
        </w:rPr>
        <w:t xml:space="preserve"> Та је одредба најпре разрађена решењем из члана 52. према коме се у огласу о конкурсу </w:t>
      </w:r>
      <w:r w:rsidR="003632FB" w:rsidRPr="003632FB">
        <w:rPr>
          <w:sz w:val="24"/>
          <w:szCs w:val="24"/>
          <w:lang w:val="sr-Cyrl-RS"/>
        </w:rPr>
        <w:t xml:space="preserve">посебно наводи да припадник националне мањине има предност код избора у случају једнаке оцене квалификованих кандидата </w:t>
      </w:r>
      <w:r w:rsidR="003632FB">
        <w:rPr>
          <w:sz w:val="24"/>
          <w:szCs w:val="24"/>
          <w:lang w:val="sr-Cyrl-RS"/>
        </w:rPr>
        <w:t>а</w:t>
      </w:r>
      <w:r w:rsidR="003632FB" w:rsidRPr="003632FB">
        <w:rPr>
          <w:sz w:val="24"/>
          <w:szCs w:val="24"/>
          <w:lang w:val="sr-Cyrl-RS"/>
        </w:rPr>
        <w:t>ко су припадници националне мањине недовољно заступљени међу запосленима.</w:t>
      </w:r>
      <w:r w:rsidR="003632FB">
        <w:rPr>
          <w:sz w:val="24"/>
          <w:szCs w:val="24"/>
          <w:lang w:val="sr-Cyrl-RS"/>
        </w:rPr>
        <w:t xml:space="preserve"> Одредбама истог члана одређено је да се с</w:t>
      </w:r>
      <w:r w:rsidR="003632FB" w:rsidRPr="003632FB">
        <w:rPr>
          <w:sz w:val="24"/>
          <w:szCs w:val="24"/>
          <w:lang w:val="sr-Cyrl-RS"/>
        </w:rPr>
        <w:t>матра да је заступљеност припадника одређене националне мањине међу запосленима недовољна, уколико није сразмерна проценту њиховог учешћа у становништву на територији јединице локалне самоуправе у којој јавна служба, односно њена организациона јединица има седиште, у складу са резултатима последњег пописа становништва, под условом да се о својој националној припадности изјаснило најмање 30% запослених у седишту јавне службе, односно њене организационе јединице, према подацима из Регистра запослених у јавној управи у складу са законом.</w:t>
      </w:r>
      <w:r w:rsidR="003632FB">
        <w:rPr>
          <w:sz w:val="24"/>
          <w:szCs w:val="24"/>
          <w:lang w:val="sr-Cyrl-RS"/>
        </w:rPr>
        <w:t xml:space="preserve"> </w:t>
      </w:r>
      <w:r w:rsidR="003632FB" w:rsidRPr="003632FB">
        <w:rPr>
          <w:sz w:val="24"/>
          <w:szCs w:val="24"/>
          <w:lang w:val="sr-Cyrl-RS"/>
        </w:rPr>
        <w:t xml:space="preserve">Конкурсна комисија приликом доношења одлуке </w:t>
      </w:r>
      <w:r w:rsidR="003632FB">
        <w:rPr>
          <w:sz w:val="24"/>
          <w:szCs w:val="24"/>
          <w:lang w:val="sr-Cyrl-RS"/>
        </w:rPr>
        <w:t>о избору кандидата</w:t>
      </w:r>
      <w:r w:rsidR="003632FB" w:rsidRPr="003632FB">
        <w:rPr>
          <w:sz w:val="24"/>
          <w:szCs w:val="24"/>
          <w:lang w:val="sr-Cyrl-RS"/>
        </w:rPr>
        <w:t xml:space="preserve"> даје првенство једнако квалификованим кандидатима припадницима националних мањина, у циљу постизања одговарајуће заступљености припадника националних мањина и пуне равноправности између припадника националне мањине и грађана који припадају већини.</w:t>
      </w:r>
      <w:r w:rsidR="003632FB">
        <w:rPr>
          <w:sz w:val="24"/>
          <w:szCs w:val="24"/>
          <w:lang w:val="sr-Cyrl-RS"/>
        </w:rPr>
        <w:t xml:space="preserve"> </w:t>
      </w:r>
      <w:r w:rsidR="00B512BD">
        <w:rPr>
          <w:sz w:val="24"/>
          <w:szCs w:val="24"/>
          <w:lang w:val="sr-Cyrl-RS"/>
        </w:rPr>
        <w:t>Од значаја за запошљавање припадника националних мањина у јавним службама су и одредбе Закона које се односе на познавање језика и писама националних мањина који су у службеној употреби. Наиме, према члану 30. Закона, п</w:t>
      </w:r>
      <w:r w:rsidR="00B512BD" w:rsidRPr="00B512BD">
        <w:rPr>
          <w:sz w:val="24"/>
          <w:szCs w:val="24"/>
          <w:lang w:val="sr-Cyrl-RS"/>
        </w:rPr>
        <w:t>равилником о организацији и систематизацији послова у јавној служби</w:t>
      </w:r>
      <w:r w:rsidR="00B512BD">
        <w:rPr>
          <w:sz w:val="24"/>
          <w:szCs w:val="24"/>
          <w:lang w:val="sr-Cyrl-RS"/>
        </w:rPr>
        <w:t xml:space="preserve">, између осталог, </w:t>
      </w:r>
      <w:r w:rsidR="00B512BD" w:rsidRPr="00B512BD">
        <w:rPr>
          <w:sz w:val="24"/>
          <w:szCs w:val="24"/>
          <w:lang w:val="sr-Cyrl-RS"/>
        </w:rPr>
        <w:t xml:space="preserve">утврђују се </w:t>
      </w:r>
      <w:r w:rsidR="00B512BD">
        <w:rPr>
          <w:sz w:val="24"/>
          <w:szCs w:val="24"/>
          <w:lang w:val="sr-Cyrl-RS"/>
        </w:rPr>
        <w:t xml:space="preserve">и </w:t>
      </w:r>
      <w:r w:rsidR="00B512BD" w:rsidRPr="00B512BD">
        <w:rPr>
          <w:sz w:val="24"/>
          <w:szCs w:val="24"/>
          <w:lang w:val="sr-Cyrl-RS"/>
        </w:rPr>
        <w:t>радна места за која се као посебан услов предвиђа познавање језика и писама националне мањине који је у службеној употреби на територији јединице локалне самоуправе у којој се налази седиште јавне службе, одно</w:t>
      </w:r>
      <w:r w:rsidR="00B512BD">
        <w:rPr>
          <w:sz w:val="24"/>
          <w:szCs w:val="24"/>
          <w:lang w:val="sr-Cyrl-RS"/>
        </w:rPr>
        <w:t>сно њене организационе јединице</w:t>
      </w:r>
      <w:r w:rsidR="00B512BD" w:rsidRPr="00B512BD">
        <w:rPr>
          <w:sz w:val="24"/>
          <w:szCs w:val="24"/>
          <w:lang w:val="sr-Cyrl-RS"/>
        </w:rPr>
        <w:t>.</w:t>
      </w:r>
      <w:r w:rsidR="00B512BD">
        <w:rPr>
          <w:sz w:val="24"/>
          <w:szCs w:val="24"/>
          <w:lang w:val="sr-Cyrl-RS"/>
        </w:rPr>
        <w:t xml:space="preserve"> Такође, на таква радна места се могу примити само лица која знају језик и писмо националне мањине који је у службеној употреби.  </w:t>
      </w:r>
      <w:r w:rsidR="00B512BD" w:rsidRPr="00B512BD">
        <w:rPr>
          <w:sz w:val="24"/>
          <w:szCs w:val="24"/>
          <w:lang w:val="sr-Cyrl-RS"/>
        </w:rPr>
        <w:t xml:space="preserve">Уколико оглас </w:t>
      </w:r>
      <w:r w:rsidR="00B512BD">
        <w:rPr>
          <w:sz w:val="24"/>
          <w:szCs w:val="24"/>
          <w:lang w:val="sr-Cyrl-RS"/>
        </w:rPr>
        <w:t xml:space="preserve">за пријем у радни однос </w:t>
      </w:r>
      <w:r w:rsidR="00B512BD" w:rsidRPr="00B512BD">
        <w:rPr>
          <w:sz w:val="24"/>
          <w:szCs w:val="24"/>
          <w:lang w:val="sr-Cyrl-RS"/>
        </w:rPr>
        <w:t xml:space="preserve">објављује јавна служба која се налази на територији јединице локалне самоуправе у којој је у службеној употреби и језик националне мањине, </w:t>
      </w:r>
      <w:r w:rsidR="00B512BD" w:rsidRPr="00B512BD">
        <w:rPr>
          <w:sz w:val="24"/>
          <w:szCs w:val="24"/>
          <w:lang w:val="sr-Cyrl-RS"/>
        </w:rPr>
        <w:lastRenderedPageBreak/>
        <w:t>обавештење о огласу се објављује и у једним локалним или међуопштинским новинама које излазе на том језику.</w:t>
      </w:r>
    </w:p>
    <w:p w:rsidR="00D42F68" w:rsidRDefault="001B5657" w:rsidP="00356178">
      <w:pPr>
        <w:spacing w:after="0"/>
        <w:ind w:firstLine="720"/>
        <w:jc w:val="both"/>
        <w:rPr>
          <w:sz w:val="24"/>
          <w:szCs w:val="24"/>
          <w:lang w:val="sr-Cyrl-RS"/>
        </w:rPr>
      </w:pPr>
      <w:r>
        <w:rPr>
          <w:sz w:val="24"/>
          <w:szCs w:val="24"/>
          <w:lang w:val="sr-Cyrl-RS"/>
        </w:rPr>
        <w:t xml:space="preserve">За утврђивање података о </w:t>
      </w:r>
      <w:r w:rsidRPr="001B5657">
        <w:rPr>
          <w:sz w:val="24"/>
          <w:szCs w:val="24"/>
          <w:lang w:val="sr-Cyrl-RS"/>
        </w:rPr>
        <w:t xml:space="preserve">заступљености националних мањина у јавној управи </w:t>
      </w:r>
      <w:r>
        <w:rPr>
          <w:sz w:val="24"/>
          <w:szCs w:val="24"/>
          <w:lang w:val="sr-Cyrl-RS"/>
        </w:rPr>
        <w:t xml:space="preserve">од значаја је указати да су одговарајућим законским изменама створени основи за њихово прикупљање. Наиме, </w:t>
      </w:r>
      <w:r w:rsidR="00D42F68" w:rsidRPr="00D42F68">
        <w:rPr>
          <w:sz w:val="24"/>
          <w:szCs w:val="24"/>
          <w:lang w:val="sr-Cyrl-RS"/>
        </w:rPr>
        <w:t>Законом о централном регистру обавезног социјалног осигурања</w:t>
      </w:r>
      <w:r w:rsidR="00D42F68">
        <w:rPr>
          <w:rStyle w:val="FootnoteReference"/>
          <w:color w:val="333333"/>
          <w:sz w:val="24"/>
        </w:rPr>
        <w:footnoteReference w:id="46"/>
      </w:r>
      <w:r w:rsidR="00D42F68" w:rsidRPr="00D42F68">
        <w:rPr>
          <w:sz w:val="24"/>
          <w:szCs w:val="24"/>
          <w:lang w:val="sr-Cyrl-RS"/>
        </w:rPr>
        <w:t xml:space="preserve">  прописано је да Централни регистар за обавезно социјално осигурање преузима послове вођења Регистра запослених, изабраних, именованих, постављених и ангажованих лица код корисника јавних средстава у који се, у складу са важећим прописима, између осталих, уписује и податак о националној припадности, податак о језику на коме је завршена основна школа и језику на коме је завршена средња школа, а у складу са принципом добровољног изјашњавања прописаног Уставом Р</w:t>
      </w:r>
      <w:r w:rsidR="00495DF3">
        <w:rPr>
          <w:sz w:val="24"/>
          <w:szCs w:val="24"/>
          <w:lang w:val="sr-Cyrl-RS"/>
        </w:rPr>
        <w:t xml:space="preserve">епублике </w:t>
      </w:r>
      <w:r w:rsidR="00D42F68" w:rsidRPr="00D42F68">
        <w:rPr>
          <w:sz w:val="24"/>
          <w:szCs w:val="24"/>
          <w:lang w:val="sr-Cyrl-RS"/>
        </w:rPr>
        <w:t>С</w:t>
      </w:r>
      <w:r w:rsidR="00495DF3">
        <w:rPr>
          <w:sz w:val="24"/>
          <w:szCs w:val="24"/>
          <w:lang w:val="sr-Cyrl-RS"/>
        </w:rPr>
        <w:t>рбије</w:t>
      </w:r>
      <w:r w:rsidR="00D42F68" w:rsidRPr="00D42F68">
        <w:rPr>
          <w:sz w:val="24"/>
          <w:szCs w:val="24"/>
          <w:lang w:val="sr-Cyrl-RS"/>
        </w:rPr>
        <w:t>.</w:t>
      </w:r>
      <w:r w:rsidR="00D42F68">
        <w:rPr>
          <w:sz w:val="24"/>
          <w:szCs w:val="24"/>
          <w:lang w:val="sr-Cyrl-RS"/>
        </w:rPr>
        <w:t xml:space="preserve"> И</w:t>
      </w:r>
      <w:r w:rsidR="00D42F68" w:rsidRPr="00D42F68">
        <w:rPr>
          <w:sz w:val="24"/>
          <w:szCs w:val="24"/>
          <w:lang w:val="sr-Cyrl-RS"/>
        </w:rPr>
        <w:t>зменама и допунама Закона о државним службеницима, које су у примени од 1. јануара 2019. године, предвиђено да се у Централној кадровској евиденцији по принципу добровољног изјашњавања воде подаци о националној припадности, као и о језику на коме је стечено основно, средње и високо образовање. Наиме, чланом 159. Закона о државним службеницима прописано је да Централна кадровска евиденција служи управљању кадровима и другим потребама у области радних односа, као и да Централну кадровску евиденцију о државним службеницима и намештеницима у свим државним органима води Служба за управљање кадровима. Чланом 160. овог закона прописано је да се уписују подаци о државним службеницима и намештеницима који се, између осталих, односе на националну припадност, уколико се државни службеник, односно намештеник добровољно изјасни о овом податку, као и на језик на коме је стечено основно, средње и високо образовање. Чланом 161. став 6. прописано је да Служба за управљање кадровима може вршити обраду података уписаних у Централну кадровску евиденцију у сврху извршавања послова из своје надлежности и у складу са законом који уређује заштиту података о личности.</w:t>
      </w:r>
      <w:r w:rsidR="00D42F68">
        <w:rPr>
          <w:sz w:val="24"/>
          <w:szCs w:val="24"/>
          <w:lang w:val="sr-Cyrl-RS"/>
        </w:rPr>
        <w:t xml:space="preserve"> </w:t>
      </w:r>
    </w:p>
    <w:p w:rsidR="00D42F68" w:rsidRPr="00AF3BE3" w:rsidRDefault="00D42F68" w:rsidP="00D42F68">
      <w:pPr>
        <w:spacing w:after="0"/>
        <w:ind w:firstLine="720"/>
        <w:jc w:val="both"/>
        <w:rPr>
          <w:sz w:val="24"/>
          <w:lang w:val="sr-Cyrl-RS"/>
        </w:rPr>
      </w:pPr>
      <w:r w:rsidRPr="00AF3BE3">
        <w:rPr>
          <w:sz w:val="24"/>
          <w:szCs w:val="24"/>
          <w:lang w:val="sr-Cyrl-RS"/>
        </w:rPr>
        <w:t>П</w:t>
      </w:r>
      <w:r w:rsidR="00C00CC3" w:rsidRPr="00AF3BE3">
        <w:rPr>
          <w:sz w:val="24"/>
          <w:szCs w:val="24"/>
          <w:lang w:val="sr-Cyrl-RS"/>
        </w:rPr>
        <w:t xml:space="preserve">очетком 2021. године успостављен је Регистар запослених, изабраних, именованих, постављених и ангажованих лица код корисника јавних средстава у оквиру информационог система ЦРОСО. </w:t>
      </w:r>
      <w:r w:rsidR="00C00CC3" w:rsidRPr="00AF3BE3">
        <w:rPr>
          <w:sz w:val="24"/>
        </w:rPr>
        <w:t>Обрада података о националној припадности</w:t>
      </w:r>
      <w:r w:rsidR="00356178" w:rsidRPr="00AF3BE3">
        <w:rPr>
          <w:sz w:val="24"/>
          <w:lang w:val="sr-Cyrl-RS"/>
        </w:rPr>
        <w:t>,</w:t>
      </w:r>
      <w:r w:rsidR="00C00CC3" w:rsidRPr="00AF3BE3">
        <w:rPr>
          <w:sz w:val="24"/>
        </w:rPr>
        <w:t xml:space="preserve"> језику на коме је завршена основна школа и језику на коме је завршена средња школа врши се у складу са законом којим се уређује заштита података о личности</w:t>
      </w:r>
      <w:r w:rsidR="00356178" w:rsidRPr="00AF3BE3">
        <w:rPr>
          <w:sz w:val="24"/>
          <w:lang w:val="sr-Cyrl-RS"/>
        </w:rPr>
        <w:t>.</w:t>
      </w:r>
      <w:r w:rsidR="00C00CC3" w:rsidRPr="00AF3BE3">
        <w:rPr>
          <w:sz w:val="24"/>
        </w:rPr>
        <w:t xml:space="preserve"> </w:t>
      </w:r>
      <w:r w:rsidR="00356178" w:rsidRPr="00AF3BE3">
        <w:rPr>
          <w:sz w:val="24"/>
          <w:lang w:val="sr-Cyrl-RS"/>
        </w:rPr>
        <w:t>К</w:t>
      </w:r>
      <w:r w:rsidR="00C00CC3" w:rsidRPr="00AF3BE3">
        <w:rPr>
          <w:sz w:val="24"/>
        </w:rPr>
        <w:t xml:space="preserve">ако ова врста података спада у посебну врсту податка о личности, унос ових података је опциони и </w:t>
      </w:r>
      <w:r w:rsidR="00356178" w:rsidRPr="00AF3BE3">
        <w:rPr>
          <w:sz w:val="24"/>
          <w:lang w:val="sr-Cyrl-RS"/>
        </w:rPr>
        <w:t xml:space="preserve">подаци се </w:t>
      </w:r>
      <w:r w:rsidR="00C00CC3" w:rsidRPr="00AF3BE3">
        <w:rPr>
          <w:sz w:val="24"/>
        </w:rPr>
        <w:t>уносе по посебној процедури</w:t>
      </w:r>
      <w:r w:rsidR="00356178" w:rsidRPr="00AF3BE3">
        <w:rPr>
          <w:sz w:val="24"/>
          <w:lang w:val="sr-Cyrl-RS"/>
        </w:rPr>
        <w:t>, а</w:t>
      </w:r>
      <w:r w:rsidR="00C00CC3" w:rsidRPr="00AF3BE3">
        <w:rPr>
          <w:sz w:val="24"/>
        </w:rPr>
        <w:t xml:space="preserve"> </w:t>
      </w:r>
      <w:r w:rsidR="00356178" w:rsidRPr="00AF3BE3">
        <w:rPr>
          <w:sz w:val="24"/>
          <w:lang w:val="sr-Cyrl-RS"/>
        </w:rPr>
        <w:t>к</w:t>
      </w:r>
      <w:r w:rsidR="00C00CC3" w:rsidRPr="00AF3BE3">
        <w:rPr>
          <w:sz w:val="24"/>
        </w:rPr>
        <w:t>орисници јавних средстава податке факултативно достављају. Овлашћено лице код корисника јавних средстава за унос података у Регистар мора имати потписан изричит пристанак запосленог на обраду ових података. Приликом уноса податак</w:t>
      </w:r>
      <w:r w:rsidR="006D1FA1">
        <w:rPr>
          <w:sz w:val="24"/>
          <w:lang w:val="sr-Cyrl-RS"/>
        </w:rPr>
        <w:t>а</w:t>
      </w:r>
      <w:r w:rsidR="00C00CC3" w:rsidRPr="00AF3BE3">
        <w:rPr>
          <w:sz w:val="24"/>
        </w:rPr>
        <w:t xml:space="preserve"> у Регистар лице мора да потврди да поседује потписани пристанак. Потписани пристанка се мора чувати у кадровском досијеу запосленог.</w:t>
      </w:r>
      <w:r w:rsidR="00356178" w:rsidRPr="00AF3BE3">
        <w:rPr>
          <w:sz w:val="24"/>
          <w:lang w:val="sr-Cyrl-RS"/>
        </w:rPr>
        <w:t xml:space="preserve"> </w:t>
      </w:r>
    </w:p>
    <w:p w:rsidR="00D135BF" w:rsidRDefault="00D37F4E" w:rsidP="00D42F68">
      <w:pPr>
        <w:spacing w:after="0"/>
        <w:ind w:firstLine="720"/>
        <w:jc w:val="both"/>
        <w:rPr>
          <w:color w:val="333333"/>
          <w:sz w:val="24"/>
        </w:rPr>
      </w:pPr>
      <w:r w:rsidRPr="00D37F4E">
        <w:rPr>
          <w:color w:val="333333"/>
          <w:sz w:val="24"/>
        </w:rPr>
        <w:t>Служба за управљање кадровима води Централну кадровску евиденцију у оквиру које се налазе и подаци везани за државне службеника и намештенике. Један од података који Служба за управљање кадровима води о државним службеницима је</w:t>
      </w:r>
      <w:r>
        <w:rPr>
          <w:color w:val="333333"/>
          <w:sz w:val="24"/>
          <w:lang w:val="sr-Cyrl-RS"/>
        </w:rPr>
        <w:t>су</w:t>
      </w:r>
      <w:r w:rsidRPr="00D37F4E">
        <w:rPr>
          <w:color w:val="333333"/>
          <w:sz w:val="24"/>
        </w:rPr>
        <w:t xml:space="preserve"> и подаци о њиховој националној прип</w:t>
      </w:r>
      <w:r w:rsidR="00493B53">
        <w:rPr>
          <w:color w:val="333333"/>
          <w:sz w:val="24"/>
          <w:lang w:val="sr-Cyrl-RS"/>
        </w:rPr>
        <w:t>а</w:t>
      </w:r>
      <w:r w:rsidRPr="00D37F4E">
        <w:rPr>
          <w:color w:val="333333"/>
          <w:sz w:val="24"/>
        </w:rPr>
        <w:t xml:space="preserve">дности, али само у случају када се државни службеник, </w:t>
      </w:r>
      <w:r w:rsidRPr="00D37F4E">
        <w:rPr>
          <w:color w:val="333333"/>
          <w:sz w:val="24"/>
        </w:rPr>
        <w:lastRenderedPageBreak/>
        <w:t>односно намештеник добровољно изјасни о овом податку.</w:t>
      </w:r>
      <w:r w:rsidR="00D42F68">
        <w:rPr>
          <w:color w:val="333333"/>
          <w:sz w:val="24"/>
          <w:lang w:val="sr-Cyrl-RS"/>
        </w:rPr>
        <w:t xml:space="preserve"> У</w:t>
      </w:r>
      <w:r w:rsidR="00D42F68" w:rsidRPr="00D42F68">
        <w:rPr>
          <w:color w:val="333333"/>
          <w:sz w:val="24"/>
        </w:rPr>
        <w:t xml:space="preserve"> децембру 2019. године Служба за управљање кадровима у сарадњи са Министарством државне управе и локалне самоуправе и Канцеларијом за информационе технологије и електронску управу, уз подршку ЕУ пројекта </w:t>
      </w:r>
      <w:r w:rsidR="00F37481">
        <w:rPr>
          <w:color w:val="333333"/>
          <w:sz w:val="24"/>
          <w:lang w:val="sr-Cyrl-RS"/>
        </w:rPr>
        <w:t>„</w:t>
      </w:r>
      <w:r w:rsidR="00F37481">
        <w:rPr>
          <w:color w:val="333333"/>
          <w:sz w:val="24"/>
        </w:rPr>
        <w:t>Design and implementation of HRMIS for civil servants</w:t>
      </w:r>
      <w:r w:rsidR="00D42F68" w:rsidRPr="00D42F68">
        <w:rPr>
          <w:color w:val="333333"/>
          <w:sz w:val="24"/>
        </w:rPr>
        <w:t xml:space="preserve">”, кренула </w:t>
      </w:r>
      <w:r w:rsidR="0036704D">
        <w:rPr>
          <w:color w:val="333333"/>
          <w:sz w:val="24"/>
          <w:lang w:val="sr-Cyrl-RS"/>
        </w:rPr>
        <w:t xml:space="preserve">је </w:t>
      </w:r>
      <w:r w:rsidR="00D42F68" w:rsidRPr="00D42F68">
        <w:rPr>
          <w:color w:val="333333"/>
          <w:sz w:val="24"/>
        </w:rPr>
        <w:t xml:space="preserve">у развој новог Информационог система за управљања људским ресурсима у државним органима и органима </w:t>
      </w:r>
      <w:r w:rsidR="00610503" w:rsidRPr="00610503">
        <w:rPr>
          <w:color w:val="333333"/>
          <w:sz w:val="24"/>
          <w:lang w:val="sr-Cyrl-RS"/>
        </w:rPr>
        <w:t xml:space="preserve">аутономних покрајина </w:t>
      </w:r>
      <w:r w:rsidR="00D42F68" w:rsidRPr="00610503">
        <w:rPr>
          <w:color w:val="333333"/>
          <w:sz w:val="24"/>
        </w:rPr>
        <w:t xml:space="preserve">и </w:t>
      </w:r>
      <w:r w:rsidR="00610503" w:rsidRPr="00610503">
        <w:rPr>
          <w:color w:val="333333"/>
          <w:sz w:val="24"/>
          <w:lang w:val="sr-Cyrl-RS"/>
        </w:rPr>
        <w:t>јединица</w:t>
      </w:r>
      <w:r w:rsidR="00610503">
        <w:rPr>
          <w:color w:val="333333"/>
          <w:sz w:val="24"/>
          <w:lang w:val="sr-Cyrl-RS"/>
        </w:rPr>
        <w:t xml:space="preserve"> локалне самоуправе</w:t>
      </w:r>
      <w:r w:rsidR="00D42F68" w:rsidRPr="00D42F68">
        <w:rPr>
          <w:color w:val="333333"/>
          <w:sz w:val="24"/>
        </w:rPr>
        <w:t xml:space="preserve">, у којој ће бити садржани и подаци о националној припадности, уколико се запослени добровољно изјасни о овом податку, као и податак о језику на коме је стечено основно, средње и високо образовање. У току је спровођење активности у циљу финализације успостављања Информационог система, који може постати оперативан тек када се потпуно прилагоди и усклади са законодавним оквиром, постане потупно безбедан и када </w:t>
      </w:r>
      <w:r w:rsidR="00AF3BE3">
        <w:rPr>
          <w:color w:val="333333"/>
          <w:sz w:val="24"/>
          <w:lang w:val="sr-Cyrl-RS"/>
        </w:rPr>
        <w:t xml:space="preserve">надлежни органи </w:t>
      </w:r>
      <w:r w:rsidR="00D42F68" w:rsidRPr="00D42F68">
        <w:rPr>
          <w:color w:val="333333"/>
          <w:sz w:val="24"/>
        </w:rPr>
        <w:t xml:space="preserve">оцене </w:t>
      </w:r>
      <w:r w:rsidR="00AF3BE3">
        <w:rPr>
          <w:color w:val="333333"/>
          <w:sz w:val="24"/>
          <w:lang w:val="sr-Cyrl-RS"/>
        </w:rPr>
        <w:t>да је</w:t>
      </w:r>
      <w:r w:rsidR="00D42F68" w:rsidRPr="00D42F68">
        <w:rPr>
          <w:color w:val="333333"/>
          <w:sz w:val="24"/>
        </w:rPr>
        <w:t xml:space="preserve"> потпуно сигур</w:t>
      </w:r>
      <w:r w:rsidR="00AF3BE3">
        <w:rPr>
          <w:color w:val="333333"/>
          <w:sz w:val="24"/>
          <w:lang w:val="sr-Cyrl-RS"/>
        </w:rPr>
        <w:t>а</w:t>
      </w:r>
      <w:r w:rsidR="00D42F68" w:rsidRPr="00D42F68">
        <w:rPr>
          <w:color w:val="333333"/>
          <w:sz w:val="24"/>
        </w:rPr>
        <w:t>н за јавну употребу. Оперативност Информационог система за управљање људским ресурсима може се очекивати након 2022. године.</w:t>
      </w:r>
    </w:p>
    <w:p w:rsidR="00E5431A" w:rsidRPr="00936566" w:rsidRDefault="00D42F68" w:rsidP="00E5431A">
      <w:pPr>
        <w:spacing w:after="0"/>
        <w:ind w:firstLine="720"/>
        <w:jc w:val="both"/>
        <w:rPr>
          <w:sz w:val="24"/>
          <w:szCs w:val="24"/>
        </w:rPr>
      </w:pPr>
      <w:r>
        <w:rPr>
          <w:color w:val="333333"/>
          <w:sz w:val="24"/>
          <w:lang w:val="sr-Cyrl-RS"/>
        </w:rPr>
        <w:t>Имајући у виду да се,</w:t>
      </w:r>
      <w:r w:rsidR="00E5431A">
        <w:rPr>
          <w:color w:val="333333"/>
          <w:sz w:val="24"/>
          <w:lang w:val="sr-Cyrl-RS"/>
        </w:rPr>
        <w:t xml:space="preserve"> с једне стране,</w:t>
      </w:r>
      <w:r>
        <w:rPr>
          <w:color w:val="333333"/>
          <w:sz w:val="24"/>
          <w:lang w:val="sr-Cyrl-RS"/>
        </w:rPr>
        <w:t xml:space="preserve"> према постојећим подацима, релативно мали број запослених у јавној управи на државном нивоу њеног организовања изјаснио о својој националној припадности,</w:t>
      </w:r>
      <w:r w:rsidR="00E5431A">
        <w:rPr>
          <w:color w:val="333333"/>
          <w:sz w:val="24"/>
          <w:lang w:val="sr-Cyrl-RS"/>
        </w:rPr>
        <w:t xml:space="preserve"> што је </w:t>
      </w:r>
      <w:r>
        <w:rPr>
          <w:color w:val="333333"/>
          <w:sz w:val="24"/>
          <w:lang w:val="sr-Cyrl-RS"/>
        </w:rPr>
        <w:t xml:space="preserve">добрим делом последица </w:t>
      </w:r>
      <w:r w:rsidR="00E5431A">
        <w:rPr>
          <w:color w:val="333333"/>
          <w:sz w:val="24"/>
          <w:lang w:val="sr-Cyrl-RS"/>
        </w:rPr>
        <w:t xml:space="preserve">чињенице да је такво изјашњавање добровољно и што би могло евентуално да доведе до погрешних закључака о заступљености припадника националних мањина, и да је, с друге стране, </w:t>
      </w:r>
      <w:r w:rsidR="00E5431A" w:rsidRPr="00936566">
        <w:rPr>
          <w:rStyle w:val="BodyTextChar"/>
          <w:sz w:val="24"/>
          <w:szCs w:val="24"/>
        </w:rPr>
        <w:t xml:space="preserve">Акционим планом за остваривање права припадника националних мањина предвиђена израда Анализе стања у циљу утврђивања мерила за прописивање одговарајуће заступљености националних мањина у појединим деловима јавног сектора, </w:t>
      </w:r>
      <w:r w:rsidR="00E5431A" w:rsidRPr="00936566">
        <w:rPr>
          <w:rStyle w:val="BodyTextChar"/>
          <w:sz w:val="24"/>
          <w:szCs w:val="24"/>
          <w:lang w:val="sr-Cyrl-RS"/>
        </w:rPr>
        <w:t xml:space="preserve">реализован је посебан </w:t>
      </w:r>
      <w:r w:rsidR="00E5431A" w:rsidRPr="00936566">
        <w:rPr>
          <w:rStyle w:val="BodyTextChar"/>
          <w:sz w:val="24"/>
          <w:szCs w:val="24"/>
        </w:rPr>
        <w:t>пројек</w:t>
      </w:r>
      <w:r w:rsidR="00E5431A" w:rsidRPr="00936566">
        <w:rPr>
          <w:rStyle w:val="BodyTextChar"/>
          <w:sz w:val="24"/>
          <w:szCs w:val="24"/>
          <w:lang w:val="sr-Cyrl-RS"/>
        </w:rPr>
        <w:t>а</w:t>
      </w:r>
      <w:r w:rsidR="00E5431A" w:rsidRPr="00936566">
        <w:rPr>
          <w:rStyle w:val="BodyTextChar"/>
          <w:sz w:val="24"/>
          <w:szCs w:val="24"/>
        </w:rPr>
        <w:t xml:space="preserve">т „Подршка афирмативним мерама за запошљавање националних мањина у јавном сектору“. </w:t>
      </w:r>
      <w:r w:rsidR="00E5431A" w:rsidRPr="00936566">
        <w:rPr>
          <w:rStyle w:val="BodyTextChar"/>
          <w:sz w:val="24"/>
          <w:szCs w:val="24"/>
          <w:lang w:val="sr-Cyrl-RS"/>
        </w:rPr>
        <w:t>Пројекат је реализован средствма из ИПА фондова, а</w:t>
      </w:r>
      <w:r w:rsidR="00E5431A" w:rsidRPr="00936566">
        <w:rPr>
          <w:rStyle w:val="BodyTextChar"/>
          <w:sz w:val="24"/>
          <w:szCs w:val="24"/>
        </w:rPr>
        <w:t xml:space="preserve"> корисник средстава је било Министарство државне управе и локалне самоуправе. </w:t>
      </w:r>
      <w:r w:rsidR="00E5431A" w:rsidRPr="00936566">
        <w:rPr>
          <w:rStyle w:val="BodyTextChar"/>
          <w:sz w:val="24"/>
          <w:szCs w:val="24"/>
          <w:lang w:val="sr-Cyrl-RS"/>
        </w:rPr>
        <w:t>Р</w:t>
      </w:r>
      <w:r w:rsidR="00E5431A" w:rsidRPr="00936566">
        <w:rPr>
          <w:rStyle w:val="BodyTextChar"/>
          <w:sz w:val="24"/>
          <w:szCs w:val="24"/>
        </w:rPr>
        <w:t xml:space="preserve">еализатор пројекта </w:t>
      </w:r>
      <w:r w:rsidR="00E5431A" w:rsidRPr="00936566">
        <w:rPr>
          <w:rStyle w:val="BodyTextChar"/>
          <w:sz w:val="24"/>
          <w:szCs w:val="24"/>
          <w:lang w:val="sr-Cyrl-RS"/>
        </w:rPr>
        <w:t xml:space="preserve">била је </w:t>
      </w:r>
      <w:r w:rsidR="00F37481">
        <w:rPr>
          <w:rStyle w:val="BodyTextChar"/>
          <w:i/>
          <w:iCs/>
          <w:sz w:val="24"/>
          <w:szCs w:val="24"/>
        </w:rPr>
        <w:t>GFA Consulting Group GmbH</w:t>
      </w:r>
      <w:r w:rsidR="00E5431A" w:rsidRPr="00936566">
        <w:rPr>
          <w:rStyle w:val="BodyTextChar"/>
          <w:i/>
          <w:iCs/>
          <w:sz w:val="24"/>
          <w:szCs w:val="24"/>
        </w:rPr>
        <w:t>,</w:t>
      </w:r>
      <w:r w:rsidR="00E5431A" w:rsidRPr="00936566">
        <w:rPr>
          <w:rStyle w:val="BodyTextChar"/>
          <w:sz w:val="24"/>
          <w:szCs w:val="24"/>
        </w:rPr>
        <w:t xml:space="preserve"> а партнери су били Министарство правде, Министарство за рад, запошљавање борачка и социјална питања, Министарство унутрашњих послова, Министарство финансија, Министарство здравља, Министарство просвете науке и технолошког развоја.</w:t>
      </w:r>
      <w:r w:rsidR="00E5431A" w:rsidRPr="00936566">
        <w:rPr>
          <w:rStyle w:val="BodyTextChar"/>
          <w:sz w:val="24"/>
          <w:szCs w:val="24"/>
          <w:lang w:val="sr-Cyrl-RS"/>
        </w:rPr>
        <w:t xml:space="preserve"> </w:t>
      </w:r>
      <w:r w:rsidR="00E5431A" w:rsidRPr="00936566">
        <w:rPr>
          <w:rStyle w:val="BodyTextChar"/>
          <w:sz w:val="24"/>
          <w:szCs w:val="24"/>
        </w:rPr>
        <w:t>Период реализације пројекта је био новембар 2018 - новембар 2019, а вредност пројекта 300.000 евра.</w:t>
      </w:r>
    </w:p>
    <w:p w:rsidR="002A6B43" w:rsidRPr="00936566" w:rsidRDefault="00E5431A" w:rsidP="002A6B43">
      <w:pPr>
        <w:pStyle w:val="BodyText"/>
        <w:spacing w:after="0"/>
        <w:ind w:firstLine="720"/>
        <w:jc w:val="both"/>
        <w:rPr>
          <w:sz w:val="24"/>
          <w:szCs w:val="24"/>
        </w:rPr>
      </w:pPr>
      <w:r w:rsidRPr="00936566">
        <w:rPr>
          <w:rStyle w:val="BodyTextChar"/>
          <w:sz w:val="24"/>
          <w:szCs w:val="24"/>
        </w:rPr>
        <w:t>Резултати пројекта</w:t>
      </w:r>
      <w:r w:rsidR="002A6B43" w:rsidRPr="00936566">
        <w:rPr>
          <w:rStyle w:val="BodyTextChar"/>
          <w:sz w:val="24"/>
          <w:szCs w:val="24"/>
          <w:lang w:val="sr-Cyrl-RS"/>
        </w:rPr>
        <w:t xml:space="preserve"> који ће се имплементирати у наре</w:t>
      </w:r>
      <w:r w:rsidR="006D1FA1">
        <w:rPr>
          <w:rStyle w:val="BodyTextChar"/>
          <w:sz w:val="24"/>
          <w:szCs w:val="24"/>
          <w:lang w:val="sr-Cyrl-RS"/>
        </w:rPr>
        <w:t>д</w:t>
      </w:r>
      <w:r w:rsidR="002A6B43" w:rsidRPr="00936566">
        <w:rPr>
          <w:rStyle w:val="BodyTextChar"/>
          <w:sz w:val="24"/>
          <w:szCs w:val="24"/>
          <w:lang w:val="sr-Cyrl-RS"/>
        </w:rPr>
        <w:t>ном периоду</w:t>
      </w:r>
      <w:r w:rsidRPr="00936566">
        <w:rPr>
          <w:rStyle w:val="BodyTextChar"/>
          <w:sz w:val="24"/>
          <w:szCs w:val="24"/>
          <w:lang w:val="sr-Cyrl-RS"/>
        </w:rPr>
        <w:t xml:space="preserve"> су</w:t>
      </w:r>
      <w:r w:rsidRPr="00936566">
        <w:rPr>
          <w:rStyle w:val="BodyTextChar"/>
          <w:sz w:val="24"/>
          <w:szCs w:val="24"/>
        </w:rPr>
        <w:t>:</w:t>
      </w:r>
    </w:p>
    <w:p w:rsidR="00E5431A" w:rsidRPr="00936566" w:rsidRDefault="002A6B43" w:rsidP="00E83B0D">
      <w:pPr>
        <w:pStyle w:val="BodyText"/>
        <w:spacing w:after="0"/>
        <w:ind w:firstLine="720"/>
        <w:jc w:val="both"/>
        <w:rPr>
          <w:sz w:val="24"/>
          <w:szCs w:val="24"/>
        </w:rPr>
      </w:pPr>
      <w:r w:rsidRPr="00936566">
        <w:rPr>
          <w:sz w:val="24"/>
          <w:szCs w:val="24"/>
          <w:lang w:val="sr-Cyrl-RS"/>
        </w:rPr>
        <w:t xml:space="preserve">- </w:t>
      </w:r>
      <w:r w:rsidR="00E5431A" w:rsidRPr="00936566">
        <w:rPr>
          <w:rStyle w:val="BodyTextChar"/>
          <w:sz w:val="24"/>
          <w:szCs w:val="24"/>
          <w:lang w:val="sr-Cyrl-RS"/>
        </w:rPr>
        <w:t>А</w:t>
      </w:r>
      <w:r w:rsidR="00E5431A" w:rsidRPr="00936566">
        <w:rPr>
          <w:rStyle w:val="BodyTextChar"/>
          <w:sz w:val="24"/>
          <w:szCs w:val="24"/>
        </w:rPr>
        <w:t>нализа најбоље праксе у пет одабраних ЕУ земаља у погледу запошљавања припадника националних мањина и спровођењ</w:t>
      </w:r>
      <w:r w:rsidR="00E83B0D">
        <w:rPr>
          <w:rStyle w:val="BodyTextChar"/>
          <w:sz w:val="24"/>
          <w:szCs w:val="24"/>
          <w:lang w:val="sr-Cyrl-RS"/>
        </w:rPr>
        <w:t>а</w:t>
      </w:r>
      <w:r w:rsidR="00E5431A" w:rsidRPr="00936566">
        <w:rPr>
          <w:rStyle w:val="BodyTextChar"/>
          <w:sz w:val="24"/>
          <w:szCs w:val="24"/>
        </w:rPr>
        <w:t xml:space="preserve"> афирмативних мера за њихово запошљавање;</w:t>
      </w:r>
    </w:p>
    <w:p w:rsidR="00E5431A" w:rsidRPr="00936566" w:rsidRDefault="00E83B0D" w:rsidP="00E83B0D">
      <w:pPr>
        <w:pStyle w:val="BodyText"/>
        <w:widowControl w:val="0"/>
        <w:spacing w:after="0"/>
        <w:jc w:val="both"/>
        <w:rPr>
          <w:sz w:val="24"/>
          <w:szCs w:val="24"/>
        </w:rPr>
      </w:pPr>
      <w:r>
        <w:rPr>
          <w:rStyle w:val="BodyTextChar"/>
          <w:sz w:val="24"/>
          <w:szCs w:val="24"/>
          <w:lang w:val="sr-Cyrl-RS"/>
        </w:rPr>
        <w:tab/>
      </w:r>
      <w:r w:rsidR="002A6B43" w:rsidRPr="00936566">
        <w:rPr>
          <w:rStyle w:val="BodyTextChar"/>
          <w:sz w:val="24"/>
          <w:szCs w:val="24"/>
          <w:lang w:val="sr-Cyrl-RS"/>
        </w:rPr>
        <w:t xml:space="preserve">- </w:t>
      </w:r>
      <w:r w:rsidR="00E5431A" w:rsidRPr="00936566">
        <w:rPr>
          <w:rStyle w:val="BodyTextChar"/>
          <w:sz w:val="24"/>
          <w:szCs w:val="24"/>
          <w:lang w:val="sr-Cyrl-RS"/>
        </w:rPr>
        <w:t>А</w:t>
      </w:r>
      <w:r w:rsidR="00E5431A" w:rsidRPr="00936566">
        <w:rPr>
          <w:rStyle w:val="BodyTextChar"/>
          <w:sz w:val="24"/>
          <w:szCs w:val="24"/>
        </w:rPr>
        <w:t>нализа правног оквира у Р</w:t>
      </w:r>
      <w:r w:rsidR="00A31E06">
        <w:rPr>
          <w:rStyle w:val="BodyTextChar"/>
          <w:sz w:val="24"/>
          <w:szCs w:val="24"/>
          <w:lang w:val="sr-Cyrl-RS"/>
        </w:rPr>
        <w:t>епублике</w:t>
      </w:r>
      <w:r w:rsidR="00E5431A" w:rsidRPr="00936566">
        <w:rPr>
          <w:rStyle w:val="BodyTextChar"/>
          <w:sz w:val="24"/>
          <w:szCs w:val="24"/>
        </w:rPr>
        <w:t xml:space="preserve"> Србији којим се регулише запошљавање и правни статус запослених који су припадници националних мањина у јавном сектору;</w:t>
      </w:r>
    </w:p>
    <w:p w:rsidR="00E5431A" w:rsidRPr="00936566" w:rsidRDefault="00E83B0D" w:rsidP="00E83B0D">
      <w:pPr>
        <w:pStyle w:val="BodyText"/>
        <w:widowControl w:val="0"/>
        <w:spacing w:after="0"/>
        <w:jc w:val="both"/>
        <w:rPr>
          <w:sz w:val="24"/>
          <w:szCs w:val="24"/>
        </w:rPr>
      </w:pPr>
      <w:r>
        <w:rPr>
          <w:rStyle w:val="BodyTextChar"/>
          <w:sz w:val="24"/>
          <w:szCs w:val="24"/>
          <w:lang w:val="sr-Cyrl-RS"/>
        </w:rPr>
        <w:tab/>
      </w:r>
      <w:r w:rsidR="002A6B43" w:rsidRPr="00936566">
        <w:rPr>
          <w:rStyle w:val="BodyTextChar"/>
          <w:sz w:val="24"/>
          <w:szCs w:val="24"/>
          <w:lang w:val="sr-Cyrl-RS"/>
        </w:rPr>
        <w:t xml:space="preserve">- </w:t>
      </w:r>
      <w:r w:rsidR="00E5431A" w:rsidRPr="00936566">
        <w:rPr>
          <w:rStyle w:val="BodyTextChar"/>
          <w:sz w:val="24"/>
          <w:szCs w:val="24"/>
        </w:rPr>
        <w:t>Развој методологије за спровођење ситуационе анализе у вези броја запослених припадника националних мањина у органима државне управе;</w:t>
      </w:r>
    </w:p>
    <w:p w:rsidR="00E5431A" w:rsidRPr="00936566" w:rsidRDefault="00E83B0D" w:rsidP="00E83B0D">
      <w:pPr>
        <w:pStyle w:val="BodyText"/>
        <w:widowControl w:val="0"/>
        <w:tabs>
          <w:tab w:val="left" w:pos="426"/>
        </w:tabs>
        <w:spacing w:after="0"/>
        <w:jc w:val="both"/>
        <w:rPr>
          <w:sz w:val="24"/>
          <w:szCs w:val="24"/>
        </w:rPr>
      </w:pPr>
      <w:r>
        <w:rPr>
          <w:rStyle w:val="BodyTextChar"/>
          <w:sz w:val="24"/>
          <w:szCs w:val="24"/>
          <w:lang w:val="sr-Cyrl-RS"/>
        </w:rPr>
        <w:tab/>
      </w:r>
      <w:r>
        <w:rPr>
          <w:rStyle w:val="BodyTextChar"/>
          <w:sz w:val="24"/>
          <w:szCs w:val="24"/>
          <w:lang w:val="sr-Cyrl-RS"/>
        </w:rPr>
        <w:tab/>
      </w:r>
      <w:r w:rsidR="002A6B43" w:rsidRPr="00936566">
        <w:rPr>
          <w:rStyle w:val="BodyTextChar"/>
          <w:sz w:val="24"/>
          <w:szCs w:val="24"/>
          <w:lang w:val="sr-Cyrl-RS"/>
        </w:rPr>
        <w:t xml:space="preserve">- </w:t>
      </w:r>
      <w:r w:rsidR="00E5431A" w:rsidRPr="00936566">
        <w:rPr>
          <w:rStyle w:val="BodyTextChar"/>
          <w:sz w:val="24"/>
          <w:szCs w:val="24"/>
          <w:lang w:val="sr-Cyrl-RS"/>
        </w:rPr>
        <w:t>П</w:t>
      </w:r>
      <w:r w:rsidR="00E5431A" w:rsidRPr="00936566">
        <w:rPr>
          <w:rStyle w:val="BodyTextChar"/>
          <w:sz w:val="24"/>
          <w:szCs w:val="24"/>
        </w:rPr>
        <w:t>редлог критеријума и стандарда којима се дефинише адекватна заступљеност припадника националних мањина у органима државне управе;</w:t>
      </w:r>
    </w:p>
    <w:p w:rsidR="00E5431A" w:rsidRPr="00936566" w:rsidRDefault="00E83B0D" w:rsidP="00E83B0D">
      <w:pPr>
        <w:pStyle w:val="BodyText"/>
        <w:widowControl w:val="0"/>
        <w:spacing w:after="0"/>
        <w:jc w:val="both"/>
        <w:rPr>
          <w:rStyle w:val="BodyTextChar"/>
          <w:sz w:val="24"/>
          <w:szCs w:val="24"/>
        </w:rPr>
      </w:pPr>
      <w:r>
        <w:rPr>
          <w:rStyle w:val="BodyTextChar"/>
          <w:sz w:val="24"/>
          <w:szCs w:val="24"/>
          <w:lang w:val="sr-Cyrl-RS"/>
        </w:rPr>
        <w:tab/>
      </w:r>
      <w:r w:rsidR="002A6B43" w:rsidRPr="00936566">
        <w:rPr>
          <w:rStyle w:val="BodyTextChar"/>
          <w:sz w:val="24"/>
          <w:szCs w:val="24"/>
          <w:lang w:val="sr-Cyrl-RS"/>
        </w:rPr>
        <w:t xml:space="preserve">- </w:t>
      </w:r>
      <w:r w:rsidR="00E5431A" w:rsidRPr="00936566">
        <w:rPr>
          <w:rStyle w:val="BodyTextChar"/>
          <w:sz w:val="24"/>
          <w:szCs w:val="24"/>
          <w:lang w:val="sr-Cyrl-RS"/>
        </w:rPr>
        <w:t>П</w:t>
      </w:r>
      <w:r w:rsidR="00E5431A" w:rsidRPr="00936566">
        <w:rPr>
          <w:rStyle w:val="BodyTextChar"/>
          <w:sz w:val="24"/>
          <w:szCs w:val="24"/>
        </w:rPr>
        <w:t>репоруке за унапређење постојећег правног оквира.</w:t>
      </w:r>
      <w:r w:rsidR="00E5431A" w:rsidRPr="00936566">
        <w:rPr>
          <w:rStyle w:val="BodyTextChar"/>
          <w:sz w:val="24"/>
          <w:szCs w:val="24"/>
          <w:lang w:val="sr-Cyrl-RS"/>
        </w:rPr>
        <w:t xml:space="preserve"> </w:t>
      </w:r>
    </w:p>
    <w:p w:rsidR="002A6B43" w:rsidRPr="00936566" w:rsidRDefault="002A6B43" w:rsidP="002A6B43">
      <w:pPr>
        <w:pStyle w:val="BodyText"/>
        <w:widowControl w:val="0"/>
        <w:tabs>
          <w:tab w:val="left" w:pos="3154"/>
        </w:tabs>
        <w:spacing w:after="0"/>
        <w:jc w:val="both"/>
        <w:rPr>
          <w:rStyle w:val="BodyTextChar"/>
          <w:sz w:val="24"/>
          <w:szCs w:val="24"/>
          <w:lang w:val="sr-Cyrl-RS"/>
        </w:rPr>
      </w:pPr>
    </w:p>
    <w:p w:rsidR="00936566" w:rsidRPr="00936566" w:rsidRDefault="002A6B43" w:rsidP="00936566">
      <w:pPr>
        <w:pStyle w:val="BodyText"/>
        <w:widowControl w:val="0"/>
        <w:spacing w:after="0" w:line="266" w:lineRule="auto"/>
        <w:jc w:val="both"/>
        <w:rPr>
          <w:rStyle w:val="BodyTextChar"/>
          <w:sz w:val="24"/>
          <w:szCs w:val="24"/>
          <w:lang w:val="sr-Cyrl-RS"/>
        </w:rPr>
      </w:pPr>
      <w:r w:rsidRPr="00936566">
        <w:rPr>
          <w:rStyle w:val="BodyTextChar"/>
          <w:sz w:val="24"/>
          <w:szCs w:val="24"/>
          <w:lang w:val="sr-Cyrl-RS"/>
        </w:rPr>
        <w:tab/>
      </w:r>
      <w:r w:rsidR="005F382D" w:rsidRPr="00936566">
        <w:rPr>
          <w:rStyle w:val="BodyTextChar"/>
          <w:sz w:val="24"/>
          <w:szCs w:val="24"/>
          <w:lang w:val="sr-Cyrl-RS"/>
        </w:rPr>
        <w:t xml:space="preserve">Што се тиче прикупљања података о заступљености припадника националних мањина на покрајинском нивоу организовања јавне управе, најпре би требало истаћи да </w:t>
      </w:r>
      <w:r w:rsidR="005F382D" w:rsidRPr="00936566">
        <w:rPr>
          <w:rStyle w:val="BodyTextChar"/>
          <w:sz w:val="24"/>
          <w:szCs w:val="24"/>
          <w:lang w:val="sr-Cyrl-RS"/>
        </w:rPr>
        <w:lastRenderedPageBreak/>
        <w:t>је изменама и допунама Закона о запосленима у аутономним покрајинама и јединицама локалн</w:t>
      </w:r>
      <w:r w:rsidR="00E83B0D">
        <w:rPr>
          <w:rStyle w:val="BodyTextChar"/>
          <w:sz w:val="24"/>
          <w:szCs w:val="24"/>
          <w:lang w:val="sr-Cyrl-RS"/>
        </w:rPr>
        <w:t>е</w:t>
      </w:r>
      <w:r w:rsidR="005F382D" w:rsidRPr="00936566">
        <w:rPr>
          <w:rStyle w:val="BodyTextChar"/>
          <w:sz w:val="24"/>
          <w:szCs w:val="24"/>
          <w:lang w:val="sr-Cyrl-RS"/>
        </w:rPr>
        <w:t xml:space="preserve"> самоуправ</w:t>
      </w:r>
      <w:r w:rsidR="00E83B0D">
        <w:rPr>
          <w:rStyle w:val="BodyTextChar"/>
          <w:sz w:val="24"/>
          <w:szCs w:val="24"/>
          <w:lang w:val="sr-Cyrl-RS"/>
        </w:rPr>
        <w:t>е</w:t>
      </w:r>
      <w:r w:rsidR="005F382D" w:rsidRPr="00936566">
        <w:rPr>
          <w:rStyle w:val="BodyTextChar"/>
          <w:sz w:val="24"/>
          <w:szCs w:val="24"/>
          <w:lang w:val="sr-Cyrl-RS"/>
        </w:rPr>
        <w:t>,</w:t>
      </w:r>
      <w:r w:rsidR="001710B3">
        <w:rPr>
          <w:rStyle w:val="FootnoteReference"/>
          <w:sz w:val="24"/>
          <w:szCs w:val="24"/>
          <w:lang w:val="sr-Cyrl-RS"/>
        </w:rPr>
        <w:footnoteReference w:id="47"/>
      </w:r>
      <w:r w:rsidR="005F382D" w:rsidRPr="00936566">
        <w:rPr>
          <w:rStyle w:val="BodyTextChar"/>
          <w:sz w:val="24"/>
          <w:szCs w:val="24"/>
          <w:lang w:val="sr-Cyrl-RS"/>
        </w:rPr>
        <w:t xml:space="preserve"> које су у примени од 1. јануара 2019. године, предвиђено да ће органи </w:t>
      </w:r>
      <w:r w:rsidR="00A31E06">
        <w:rPr>
          <w:rStyle w:val="BodyTextChar"/>
          <w:sz w:val="24"/>
          <w:szCs w:val="24"/>
          <w:lang w:val="sr-Cyrl-RS"/>
        </w:rPr>
        <w:t>аутономних покрајина</w:t>
      </w:r>
      <w:r w:rsidR="005F382D" w:rsidRPr="00936566">
        <w:rPr>
          <w:rStyle w:val="BodyTextChar"/>
          <w:sz w:val="24"/>
          <w:szCs w:val="24"/>
          <w:lang w:val="sr-Cyrl-RS"/>
        </w:rPr>
        <w:t xml:space="preserve"> и ЈЛС користити </w:t>
      </w:r>
      <w:r w:rsidR="00A31E06">
        <w:rPr>
          <w:rStyle w:val="BodyTextChar"/>
          <w:sz w:val="24"/>
          <w:szCs w:val="24"/>
          <w:lang w:val="sr-Cyrl-RS"/>
        </w:rPr>
        <w:t xml:space="preserve">Централну кадровску евиденцију </w:t>
      </w:r>
      <w:r w:rsidR="005F382D" w:rsidRPr="00936566">
        <w:rPr>
          <w:rStyle w:val="BodyTextChar"/>
          <w:sz w:val="24"/>
          <w:szCs w:val="24"/>
          <w:lang w:val="sr-Cyrl-RS"/>
        </w:rPr>
        <w:t xml:space="preserve">државних органа за вођење кадровске евиденције својих запослених, као и да ће </w:t>
      </w:r>
      <w:r w:rsidR="00A31E06" w:rsidRPr="00A31E06">
        <w:rPr>
          <w:rStyle w:val="BodyTextChar"/>
          <w:sz w:val="24"/>
          <w:szCs w:val="24"/>
          <w:lang w:val="sr-Cyrl-RS"/>
        </w:rPr>
        <w:t>Служба за управљање кадровима</w:t>
      </w:r>
      <w:r w:rsidR="005F382D" w:rsidRPr="00A31E06">
        <w:rPr>
          <w:rStyle w:val="BodyTextChar"/>
          <w:sz w:val="24"/>
          <w:szCs w:val="24"/>
          <w:lang w:val="sr-Cyrl-RS"/>
        </w:rPr>
        <w:t xml:space="preserve"> на захтев </w:t>
      </w:r>
      <w:r w:rsidR="00A31E06">
        <w:rPr>
          <w:rStyle w:val="BodyTextChar"/>
          <w:sz w:val="24"/>
          <w:szCs w:val="24"/>
          <w:lang w:val="sr-Cyrl-RS"/>
        </w:rPr>
        <w:t>Министарства државне управе и локалне самоуправе</w:t>
      </w:r>
      <w:r w:rsidR="005F382D" w:rsidRPr="00936566">
        <w:rPr>
          <w:rStyle w:val="BodyTextChar"/>
          <w:sz w:val="24"/>
          <w:szCs w:val="24"/>
          <w:lang w:val="sr-Cyrl-RS"/>
        </w:rPr>
        <w:t xml:space="preserve"> моћи да врши обраду ових података. Наиме, чланом 190. став 8. и 9. овог закона прописано је да органи аутономне покрајине, односно јединице локалне самоуправе користе Централну кадровску евиденцију државних органа као информациони систем за вођење кадровске евиденције својих запослених у складу са законом. Служба за управљање кадровима државних органа, на захтев министарства надлежног за послове локалне самоуправе, може вршити обраду података уписаних у кадровске евиденције јединица локалних самоуправа у сврху извршавања послова из надлежности министарства и у складу са законом који уређује заштиту података о личности. </w:t>
      </w:r>
    </w:p>
    <w:p w:rsidR="005F382D" w:rsidRPr="00936566" w:rsidRDefault="00936566" w:rsidP="00936566">
      <w:pPr>
        <w:pStyle w:val="BodyText"/>
        <w:widowControl w:val="0"/>
        <w:spacing w:after="0" w:line="266" w:lineRule="auto"/>
        <w:ind w:firstLine="720"/>
        <w:jc w:val="both"/>
        <w:rPr>
          <w:rStyle w:val="BodyTextChar"/>
          <w:sz w:val="24"/>
          <w:szCs w:val="24"/>
          <w:lang w:val="sr-Cyrl-RS"/>
        </w:rPr>
      </w:pPr>
      <w:r>
        <w:rPr>
          <w:rStyle w:val="BodyTextChar"/>
          <w:sz w:val="24"/>
          <w:szCs w:val="24"/>
          <w:lang w:val="sr-Cyrl-RS"/>
        </w:rPr>
        <w:t>Процентуални</w:t>
      </w:r>
      <w:r w:rsidR="005F382D" w:rsidRPr="00936566">
        <w:rPr>
          <w:rStyle w:val="BodyTextChar"/>
          <w:sz w:val="24"/>
          <w:szCs w:val="24"/>
          <w:lang w:val="sr-Cyrl-RS"/>
        </w:rPr>
        <w:t xml:space="preserve"> подаци</w:t>
      </w:r>
      <w:r w:rsidRPr="00936566">
        <w:rPr>
          <w:rStyle w:val="BodyTextChar"/>
          <w:sz w:val="24"/>
          <w:szCs w:val="24"/>
          <w:lang w:val="sr-Cyrl-RS"/>
        </w:rPr>
        <w:t xml:space="preserve"> о </w:t>
      </w:r>
      <w:r>
        <w:rPr>
          <w:rStyle w:val="BodyTextChar"/>
          <w:sz w:val="24"/>
          <w:szCs w:val="24"/>
          <w:lang w:val="sr-Cyrl-RS"/>
        </w:rPr>
        <w:t>националној</w:t>
      </w:r>
      <w:r w:rsidRPr="00936566">
        <w:rPr>
          <w:rStyle w:val="BodyTextChar"/>
          <w:sz w:val="24"/>
          <w:szCs w:val="24"/>
          <w:lang w:val="sr-Cyrl-RS"/>
        </w:rPr>
        <w:t xml:space="preserve"> структур</w:t>
      </w:r>
      <w:r>
        <w:rPr>
          <w:rStyle w:val="BodyTextChar"/>
          <w:sz w:val="24"/>
          <w:szCs w:val="24"/>
          <w:lang w:val="sr-Cyrl-RS"/>
        </w:rPr>
        <w:t>и</w:t>
      </w:r>
      <w:r w:rsidRPr="00936566">
        <w:rPr>
          <w:rStyle w:val="BodyTextChar"/>
          <w:sz w:val="24"/>
          <w:szCs w:val="24"/>
          <w:lang w:val="sr-Cyrl-RS"/>
        </w:rPr>
        <w:t xml:space="preserve"> запослених у покрајинским органима и стручним службама покрајинске владе </w:t>
      </w:r>
      <w:r>
        <w:rPr>
          <w:rStyle w:val="BodyTextChar"/>
          <w:sz w:val="24"/>
          <w:szCs w:val="24"/>
          <w:lang w:val="sr-Cyrl-RS"/>
        </w:rPr>
        <w:t xml:space="preserve">АП Војводине, </w:t>
      </w:r>
      <w:r w:rsidRPr="00936566">
        <w:rPr>
          <w:rStyle w:val="BodyTextChar"/>
          <w:sz w:val="24"/>
          <w:szCs w:val="24"/>
          <w:lang w:val="sr-Cyrl-RS"/>
        </w:rPr>
        <w:t>на дан 31.3.2022. године</w:t>
      </w:r>
      <w:r>
        <w:rPr>
          <w:rStyle w:val="BodyTextChar"/>
          <w:sz w:val="24"/>
          <w:szCs w:val="24"/>
          <w:lang w:val="sr-Cyrl-RS"/>
        </w:rPr>
        <w:t>,</w:t>
      </w:r>
      <w:r w:rsidR="005F382D" w:rsidRPr="00936566">
        <w:rPr>
          <w:rStyle w:val="BodyTextChar"/>
          <w:sz w:val="24"/>
          <w:szCs w:val="24"/>
          <w:lang w:val="sr-Cyrl-RS"/>
        </w:rPr>
        <w:t xml:space="preserve"> </w:t>
      </w:r>
      <w:r>
        <w:rPr>
          <w:rStyle w:val="BodyTextChar"/>
          <w:sz w:val="24"/>
          <w:szCs w:val="24"/>
          <w:lang w:val="sr-Cyrl-RS"/>
        </w:rPr>
        <w:t>дати су у доњој табели.</w:t>
      </w:r>
    </w:p>
    <w:p w:rsidR="005F382D" w:rsidRDefault="005F382D" w:rsidP="00E5431A">
      <w:pPr>
        <w:pStyle w:val="BodyText"/>
        <w:widowControl w:val="0"/>
        <w:tabs>
          <w:tab w:val="left" w:pos="3154"/>
        </w:tabs>
        <w:spacing w:after="0" w:line="266" w:lineRule="auto"/>
        <w:ind w:left="360"/>
        <w:jc w:val="both"/>
        <w:rPr>
          <w:rStyle w:val="BodyTextChar"/>
          <w:lang w:val="sr-Cyrl-RS"/>
        </w:rPr>
      </w:pPr>
    </w:p>
    <w:tbl>
      <w:tblPr>
        <w:tblStyle w:val="TableGrid"/>
        <w:tblW w:w="0" w:type="auto"/>
        <w:tblLook w:val="04A0" w:firstRow="1" w:lastRow="0" w:firstColumn="1" w:lastColumn="0" w:noHBand="0" w:noVBand="1"/>
      </w:tblPr>
      <w:tblGrid>
        <w:gridCol w:w="3005"/>
        <w:gridCol w:w="3005"/>
        <w:gridCol w:w="3006"/>
      </w:tblGrid>
      <w:tr w:rsidR="00936566" w:rsidRPr="00D61A6E" w:rsidTr="00E84A7A">
        <w:tc>
          <w:tcPr>
            <w:tcW w:w="3005" w:type="dxa"/>
          </w:tcPr>
          <w:p w:rsidR="00936566" w:rsidRPr="00D61A6E" w:rsidRDefault="00936566" w:rsidP="00936566">
            <w:pPr>
              <w:spacing w:after="0"/>
              <w:jc w:val="center"/>
              <w:rPr>
                <w:rFonts w:eastAsia="Times New Roman"/>
                <w:bCs/>
                <w:sz w:val="20"/>
                <w:szCs w:val="20"/>
                <w:lang w:val="sr-Cyrl-RS" w:eastAsia="en-GB"/>
              </w:rPr>
            </w:pPr>
            <w:r w:rsidRPr="00D61A6E">
              <w:rPr>
                <w:rFonts w:eastAsia="Times New Roman"/>
                <w:bCs/>
                <w:sz w:val="20"/>
                <w:szCs w:val="20"/>
                <w:lang w:val="sr-Cyrl-RS" w:eastAsia="en-GB"/>
              </w:rPr>
              <w:t>Национална припадност</w:t>
            </w:r>
          </w:p>
        </w:tc>
        <w:tc>
          <w:tcPr>
            <w:tcW w:w="3005" w:type="dxa"/>
          </w:tcPr>
          <w:p w:rsidR="00936566" w:rsidRPr="00D61A6E" w:rsidRDefault="00936566" w:rsidP="00936566">
            <w:pPr>
              <w:spacing w:after="0"/>
              <w:jc w:val="center"/>
              <w:rPr>
                <w:sz w:val="20"/>
                <w:szCs w:val="20"/>
                <w:lang w:val="sr-Cyrl-RS"/>
              </w:rPr>
            </w:pPr>
            <w:r w:rsidRPr="00D61A6E">
              <w:rPr>
                <w:sz w:val="20"/>
                <w:szCs w:val="20"/>
                <w:lang w:val="sr-Cyrl-RS"/>
              </w:rPr>
              <w:t>Процентуално учешће према попису 2011.</w:t>
            </w:r>
          </w:p>
        </w:tc>
        <w:tc>
          <w:tcPr>
            <w:tcW w:w="3006" w:type="dxa"/>
          </w:tcPr>
          <w:p w:rsidR="00936566" w:rsidRPr="00D61A6E" w:rsidRDefault="00936566" w:rsidP="00936566">
            <w:pPr>
              <w:spacing w:after="0"/>
              <w:jc w:val="center"/>
              <w:rPr>
                <w:sz w:val="20"/>
                <w:szCs w:val="20"/>
                <w:lang w:val="sr-Cyrl-RS"/>
              </w:rPr>
            </w:pPr>
            <w:r w:rsidRPr="00D61A6E">
              <w:rPr>
                <w:sz w:val="20"/>
                <w:szCs w:val="20"/>
                <w:lang w:val="sr-Cyrl-RS"/>
              </w:rPr>
              <w:t xml:space="preserve">Збирни проценат за све </w:t>
            </w:r>
            <w:r w:rsidRPr="00936566">
              <w:rPr>
                <w:sz w:val="20"/>
                <w:szCs w:val="20"/>
                <w:lang w:val="sr-Cyrl-RS"/>
              </w:rPr>
              <w:t>орган</w:t>
            </w:r>
            <w:r>
              <w:rPr>
                <w:sz w:val="20"/>
                <w:szCs w:val="20"/>
                <w:lang w:val="sr-Cyrl-RS"/>
              </w:rPr>
              <w:t>е</w:t>
            </w:r>
            <w:r w:rsidRPr="00936566">
              <w:rPr>
                <w:sz w:val="20"/>
                <w:szCs w:val="20"/>
                <w:lang w:val="sr-Cyrl-RS"/>
              </w:rPr>
              <w:t xml:space="preserve"> и стручн</w:t>
            </w:r>
            <w:r>
              <w:rPr>
                <w:sz w:val="20"/>
                <w:szCs w:val="20"/>
                <w:lang w:val="sr-Cyrl-RS"/>
              </w:rPr>
              <w:t>е</w:t>
            </w:r>
            <w:r w:rsidRPr="00936566">
              <w:rPr>
                <w:sz w:val="20"/>
                <w:szCs w:val="20"/>
                <w:lang w:val="sr-Cyrl-RS"/>
              </w:rPr>
              <w:t xml:space="preserve"> служб</w:t>
            </w:r>
            <w:r>
              <w:rPr>
                <w:sz w:val="20"/>
                <w:szCs w:val="20"/>
                <w:lang w:val="sr-Cyrl-RS"/>
              </w:rPr>
              <w:t>е</w:t>
            </w:r>
          </w:p>
        </w:tc>
      </w:tr>
      <w:tr w:rsidR="00936566" w:rsidRPr="00D61A6E" w:rsidTr="00E84A7A">
        <w:tc>
          <w:tcPr>
            <w:tcW w:w="3005" w:type="dxa"/>
          </w:tcPr>
          <w:p w:rsidR="00936566" w:rsidRPr="00D61A6E" w:rsidRDefault="00936566" w:rsidP="00936566">
            <w:pPr>
              <w:spacing w:after="0"/>
              <w:rPr>
                <w:sz w:val="20"/>
                <w:szCs w:val="20"/>
                <w:lang w:val="sr-Cyrl-RS"/>
              </w:rPr>
            </w:pPr>
            <w:r w:rsidRPr="00D61A6E">
              <w:rPr>
                <w:rFonts w:eastAsia="Times New Roman"/>
                <w:bCs/>
                <w:sz w:val="20"/>
                <w:szCs w:val="20"/>
                <w:lang w:val="sr-Cyrl-RS" w:eastAsia="en-GB"/>
              </w:rPr>
              <w:t>Срби</w:t>
            </w:r>
          </w:p>
        </w:tc>
        <w:tc>
          <w:tcPr>
            <w:tcW w:w="3005" w:type="dxa"/>
          </w:tcPr>
          <w:p w:rsidR="00936566" w:rsidRPr="00D61A6E" w:rsidRDefault="00936566" w:rsidP="00936566">
            <w:pPr>
              <w:spacing w:after="0"/>
              <w:jc w:val="center"/>
              <w:rPr>
                <w:sz w:val="20"/>
                <w:szCs w:val="20"/>
              </w:rPr>
            </w:pPr>
            <w:r w:rsidRPr="00D61A6E">
              <w:rPr>
                <w:sz w:val="20"/>
                <w:szCs w:val="20"/>
              </w:rPr>
              <w:t>66.76</w:t>
            </w:r>
          </w:p>
        </w:tc>
        <w:tc>
          <w:tcPr>
            <w:tcW w:w="3006" w:type="dxa"/>
          </w:tcPr>
          <w:p w:rsidR="00936566" w:rsidRPr="00D61A6E" w:rsidRDefault="00936566" w:rsidP="00936566">
            <w:pPr>
              <w:spacing w:after="0"/>
              <w:jc w:val="center"/>
              <w:rPr>
                <w:sz w:val="20"/>
                <w:szCs w:val="20"/>
              </w:rPr>
            </w:pPr>
            <w:r w:rsidRPr="00D61A6E">
              <w:rPr>
                <w:sz w:val="20"/>
                <w:szCs w:val="20"/>
              </w:rPr>
              <w:t>73.40</w:t>
            </w:r>
          </w:p>
        </w:tc>
      </w:tr>
      <w:tr w:rsidR="00936566" w:rsidRPr="00D61A6E" w:rsidTr="00E84A7A">
        <w:tc>
          <w:tcPr>
            <w:tcW w:w="3005" w:type="dxa"/>
          </w:tcPr>
          <w:p w:rsidR="00936566" w:rsidRPr="00D61A6E" w:rsidRDefault="00936566" w:rsidP="00936566">
            <w:pPr>
              <w:spacing w:after="0"/>
              <w:rPr>
                <w:sz w:val="20"/>
                <w:szCs w:val="20"/>
                <w:lang w:val="sr-Cyrl-RS"/>
              </w:rPr>
            </w:pPr>
            <w:r w:rsidRPr="00D61A6E">
              <w:rPr>
                <w:sz w:val="20"/>
                <w:szCs w:val="20"/>
                <w:lang w:val="sr-Cyrl-RS"/>
              </w:rPr>
              <w:t>Албанци</w:t>
            </w:r>
          </w:p>
        </w:tc>
        <w:tc>
          <w:tcPr>
            <w:tcW w:w="3005" w:type="dxa"/>
          </w:tcPr>
          <w:p w:rsidR="00936566" w:rsidRPr="00D61A6E" w:rsidRDefault="00936566" w:rsidP="00936566">
            <w:pPr>
              <w:spacing w:after="0"/>
              <w:jc w:val="center"/>
              <w:rPr>
                <w:sz w:val="20"/>
                <w:szCs w:val="20"/>
              </w:rPr>
            </w:pPr>
            <w:r w:rsidRPr="00D61A6E">
              <w:rPr>
                <w:sz w:val="20"/>
                <w:szCs w:val="20"/>
              </w:rPr>
              <w:t>0.12</w:t>
            </w:r>
          </w:p>
        </w:tc>
        <w:tc>
          <w:tcPr>
            <w:tcW w:w="3006" w:type="dxa"/>
          </w:tcPr>
          <w:p w:rsidR="00936566" w:rsidRPr="00D61A6E" w:rsidRDefault="00936566" w:rsidP="00936566">
            <w:pPr>
              <w:spacing w:after="0"/>
              <w:jc w:val="center"/>
              <w:rPr>
                <w:sz w:val="20"/>
                <w:szCs w:val="20"/>
              </w:rPr>
            </w:pPr>
            <w:r w:rsidRPr="00D61A6E">
              <w:rPr>
                <w:sz w:val="20"/>
                <w:szCs w:val="20"/>
              </w:rPr>
              <w:t>0.00</w:t>
            </w:r>
          </w:p>
        </w:tc>
      </w:tr>
      <w:tr w:rsidR="00936566" w:rsidRPr="00D61A6E" w:rsidTr="00E84A7A">
        <w:tc>
          <w:tcPr>
            <w:tcW w:w="3005" w:type="dxa"/>
          </w:tcPr>
          <w:p w:rsidR="00936566" w:rsidRPr="00D61A6E" w:rsidRDefault="00936566" w:rsidP="00936566">
            <w:pPr>
              <w:spacing w:after="0"/>
              <w:rPr>
                <w:sz w:val="20"/>
                <w:szCs w:val="20"/>
                <w:lang w:val="sr-Cyrl-RS"/>
              </w:rPr>
            </w:pPr>
            <w:r w:rsidRPr="00D61A6E">
              <w:rPr>
                <w:sz w:val="20"/>
                <w:szCs w:val="20"/>
                <w:lang w:val="sr-Cyrl-RS"/>
              </w:rPr>
              <w:t>Бошњаци</w:t>
            </w:r>
          </w:p>
        </w:tc>
        <w:tc>
          <w:tcPr>
            <w:tcW w:w="3005" w:type="dxa"/>
          </w:tcPr>
          <w:p w:rsidR="00936566" w:rsidRPr="00D61A6E" w:rsidRDefault="00936566" w:rsidP="00936566">
            <w:pPr>
              <w:spacing w:after="0"/>
              <w:jc w:val="center"/>
              <w:rPr>
                <w:sz w:val="20"/>
                <w:szCs w:val="20"/>
              </w:rPr>
            </w:pPr>
            <w:r w:rsidRPr="00D61A6E">
              <w:rPr>
                <w:sz w:val="20"/>
                <w:szCs w:val="20"/>
              </w:rPr>
              <w:t>0.04</w:t>
            </w:r>
          </w:p>
        </w:tc>
        <w:tc>
          <w:tcPr>
            <w:tcW w:w="3006" w:type="dxa"/>
          </w:tcPr>
          <w:p w:rsidR="00936566" w:rsidRPr="00D61A6E" w:rsidRDefault="00936566" w:rsidP="00936566">
            <w:pPr>
              <w:spacing w:after="0"/>
              <w:jc w:val="center"/>
              <w:rPr>
                <w:sz w:val="20"/>
                <w:szCs w:val="20"/>
              </w:rPr>
            </w:pPr>
            <w:r w:rsidRPr="00D61A6E">
              <w:rPr>
                <w:sz w:val="20"/>
                <w:szCs w:val="20"/>
              </w:rPr>
              <w:t>0.00</w:t>
            </w:r>
          </w:p>
        </w:tc>
      </w:tr>
      <w:tr w:rsidR="00936566" w:rsidRPr="00D61A6E" w:rsidTr="00E84A7A">
        <w:tc>
          <w:tcPr>
            <w:tcW w:w="3005" w:type="dxa"/>
          </w:tcPr>
          <w:p w:rsidR="00936566" w:rsidRPr="00D61A6E" w:rsidRDefault="00936566" w:rsidP="00936566">
            <w:pPr>
              <w:spacing w:after="0"/>
              <w:rPr>
                <w:sz w:val="20"/>
                <w:szCs w:val="20"/>
                <w:lang w:val="sr-Cyrl-RS"/>
              </w:rPr>
            </w:pPr>
            <w:r w:rsidRPr="00D61A6E">
              <w:rPr>
                <w:sz w:val="20"/>
                <w:szCs w:val="20"/>
                <w:lang w:val="sr-Cyrl-RS"/>
              </w:rPr>
              <w:t>Бугари</w:t>
            </w:r>
          </w:p>
        </w:tc>
        <w:tc>
          <w:tcPr>
            <w:tcW w:w="3005" w:type="dxa"/>
          </w:tcPr>
          <w:p w:rsidR="00936566" w:rsidRPr="00D61A6E" w:rsidRDefault="00936566" w:rsidP="00936566">
            <w:pPr>
              <w:spacing w:after="0"/>
              <w:jc w:val="center"/>
              <w:rPr>
                <w:sz w:val="20"/>
                <w:szCs w:val="20"/>
              </w:rPr>
            </w:pPr>
            <w:r w:rsidRPr="00D61A6E">
              <w:rPr>
                <w:sz w:val="20"/>
                <w:szCs w:val="20"/>
              </w:rPr>
              <w:t>0.08</w:t>
            </w:r>
          </w:p>
        </w:tc>
        <w:tc>
          <w:tcPr>
            <w:tcW w:w="3006" w:type="dxa"/>
          </w:tcPr>
          <w:p w:rsidR="00936566" w:rsidRPr="00D61A6E" w:rsidRDefault="00936566" w:rsidP="00936566">
            <w:pPr>
              <w:spacing w:after="0"/>
              <w:jc w:val="center"/>
              <w:rPr>
                <w:sz w:val="20"/>
                <w:szCs w:val="20"/>
              </w:rPr>
            </w:pPr>
            <w:r w:rsidRPr="00D61A6E">
              <w:rPr>
                <w:sz w:val="20"/>
                <w:szCs w:val="20"/>
              </w:rPr>
              <w:t>0.00</w:t>
            </w:r>
          </w:p>
        </w:tc>
      </w:tr>
      <w:tr w:rsidR="00936566" w:rsidRPr="00D61A6E" w:rsidTr="00E84A7A">
        <w:tc>
          <w:tcPr>
            <w:tcW w:w="3005" w:type="dxa"/>
          </w:tcPr>
          <w:p w:rsidR="00936566" w:rsidRPr="00D61A6E" w:rsidRDefault="00936566" w:rsidP="00936566">
            <w:pPr>
              <w:spacing w:after="0"/>
              <w:rPr>
                <w:sz w:val="20"/>
                <w:szCs w:val="20"/>
                <w:lang w:val="sr-Cyrl-RS"/>
              </w:rPr>
            </w:pPr>
            <w:r w:rsidRPr="00D61A6E">
              <w:rPr>
                <w:sz w:val="20"/>
                <w:szCs w:val="20"/>
                <w:lang w:val="sr-Cyrl-RS"/>
              </w:rPr>
              <w:t>Буњевци</w:t>
            </w:r>
          </w:p>
        </w:tc>
        <w:tc>
          <w:tcPr>
            <w:tcW w:w="3005" w:type="dxa"/>
          </w:tcPr>
          <w:p w:rsidR="00936566" w:rsidRPr="00D61A6E" w:rsidRDefault="00936566" w:rsidP="00936566">
            <w:pPr>
              <w:spacing w:after="0"/>
              <w:jc w:val="center"/>
              <w:rPr>
                <w:sz w:val="20"/>
                <w:szCs w:val="20"/>
              </w:rPr>
            </w:pPr>
            <w:r w:rsidRPr="002B7C68">
              <w:rPr>
                <w:rFonts w:eastAsia="Times New Roman"/>
                <w:sz w:val="20"/>
                <w:szCs w:val="20"/>
                <w:lang w:eastAsia="en-GB"/>
              </w:rPr>
              <w:t>0.85</w:t>
            </w:r>
          </w:p>
        </w:tc>
        <w:tc>
          <w:tcPr>
            <w:tcW w:w="3006" w:type="dxa"/>
          </w:tcPr>
          <w:p w:rsidR="00936566" w:rsidRPr="00D61A6E" w:rsidRDefault="00936566" w:rsidP="00936566">
            <w:pPr>
              <w:spacing w:after="0"/>
              <w:jc w:val="center"/>
              <w:rPr>
                <w:sz w:val="20"/>
                <w:szCs w:val="20"/>
              </w:rPr>
            </w:pPr>
            <w:r w:rsidRPr="00D61A6E">
              <w:rPr>
                <w:sz w:val="20"/>
                <w:szCs w:val="20"/>
              </w:rPr>
              <w:t>0.20</w:t>
            </w:r>
          </w:p>
        </w:tc>
      </w:tr>
      <w:tr w:rsidR="00936566" w:rsidRPr="00D61A6E" w:rsidTr="00E84A7A">
        <w:tc>
          <w:tcPr>
            <w:tcW w:w="3005" w:type="dxa"/>
          </w:tcPr>
          <w:p w:rsidR="00936566" w:rsidRPr="00D61A6E" w:rsidRDefault="00936566" w:rsidP="00936566">
            <w:pPr>
              <w:spacing w:after="0"/>
              <w:rPr>
                <w:sz w:val="20"/>
                <w:szCs w:val="20"/>
                <w:lang w:val="sr-Cyrl-RS"/>
              </w:rPr>
            </w:pPr>
            <w:r w:rsidRPr="00D61A6E">
              <w:rPr>
                <w:sz w:val="20"/>
                <w:szCs w:val="20"/>
                <w:lang w:val="sr-Cyrl-RS"/>
              </w:rPr>
              <w:t>Власи</w:t>
            </w:r>
          </w:p>
        </w:tc>
        <w:tc>
          <w:tcPr>
            <w:tcW w:w="3005" w:type="dxa"/>
          </w:tcPr>
          <w:p w:rsidR="00936566" w:rsidRPr="00D61A6E" w:rsidRDefault="00936566" w:rsidP="00936566">
            <w:pPr>
              <w:spacing w:after="0"/>
              <w:jc w:val="center"/>
              <w:rPr>
                <w:sz w:val="20"/>
                <w:szCs w:val="20"/>
              </w:rPr>
            </w:pPr>
            <w:r w:rsidRPr="002B7C68">
              <w:rPr>
                <w:rFonts w:eastAsia="Times New Roman"/>
                <w:sz w:val="20"/>
                <w:szCs w:val="20"/>
                <w:lang w:eastAsia="en-GB"/>
              </w:rPr>
              <w:t>0.85</w:t>
            </w:r>
          </w:p>
        </w:tc>
        <w:tc>
          <w:tcPr>
            <w:tcW w:w="3006" w:type="dxa"/>
          </w:tcPr>
          <w:p w:rsidR="00936566" w:rsidRPr="00D61A6E" w:rsidRDefault="00936566" w:rsidP="00936566">
            <w:pPr>
              <w:spacing w:after="0"/>
              <w:jc w:val="center"/>
              <w:rPr>
                <w:sz w:val="20"/>
                <w:szCs w:val="20"/>
              </w:rPr>
            </w:pPr>
            <w:r w:rsidRPr="00D61A6E">
              <w:rPr>
                <w:sz w:val="20"/>
                <w:szCs w:val="20"/>
              </w:rPr>
              <w:t>0.00</w:t>
            </w:r>
          </w:p>
        </w:tc>
      </w:tr>
      <w:tr w:rsidR="00936566" w:rsidRPr="00D61A6E" w:rsidTr="00E84A7A">
        <w:tc>
          <w:tcPr>
            <w:tcW w:w="3005" w:type="dxa"/>
          </w:tcPr>
          <w:p w:rsidR="00936566" w:rsidRPr="00D61A6E" w:rsidRDefault="00936566" w:rsidP="00936566">
            <w:pPr>
              <w:spacing w:after="0"/>
              <w:rPr>
                <w:sz w:val="20"/>
                <w:szCs w:val="20"/>
                <w:lang w:val="sr-Cyrl-RS"/>
              </w:rPr>
            </w:pPr>
            <w:r w:rsidRPr="00D61A6E">
              <w:rPr>
                <w:sz w:val="20"/>
                <w:szCs w:val="20"/>
                <w:lang w:val="sr-Cyrl-RS"/>
              </w:rPr>
              <w:t>Мађари</w:t>
            </w:r>
          </w:p>
        </w:tc>
        <w:tc>
          <w:tcPr>
            <w:tcW w:w="3005" w:type="dxa"/>
          </w:tcPr>
          <w:p w:rsidR="00936566" w:rsidRPr="00D61A6E" w:rsidRDefault="00936566" w:rsidP="00936566">
            <w:pPr>
              <w:spacing w:after="0"/>
              <w:jc w:val="center"/>
              <w:rPr>
                <w:sz w:val="20"/>
                <w:szCs w:val="20"/>
              </w:rPr>
            </w:pPr>
            <w:r w:rsidRPr="002B7C68">
              <w:rPr>
                <w:rFonts w:eastAsia="Times New Roman"/>
                <w:sz w:val="20"/>
                <w:szCs w:val="20"/>
                <w:lang w:eastAsia="en-GB"/>
              </w:rPr>
              <w:t>13.00</w:t>
            </w:r>
          </w:p>
        </w:tc>
        <w:tc>
          <w:tcPr>
            <w:tcW w:w="3006" w:type="dxa"/>
          </w:tcPr>
          <w:p w:rsidR="00936566" w:rsidRPr="00D61A6E" w:rsidRDefault="00936566" w:rsidP="00936566">
            <w:pPr>
              <w:spacing w:after="0"/>
              <w:jc w:val="center"/>
              <w:rPr>
                <w:sz w:val="20"/>
                <w:szCs w:val="20"/>
              </w:rPr>
            </w:pPr>
            <w:r w:rsidRPr="002B7C68">
              <w:rPr>
                <w:rFonts w:eastAsia="Times New Roman"/>
                <w:bCs/>
                <w:sz w:val="20"/>
                <w:szCs w:val="20"/>
                <w:lang w:eastAsia="en-GB"/>
              </w:rPr>
              <w:t>4.87</w:t>
            </w:r>
          </w:p>
        </w:tc>
      </w:tr>
      <w:tr w:rsidR="00936566" w:rsidRPr="00D61A6E" w:rsidTr="00E84A7A">
        <w:tc>
          <w:tcPr>
            <w:tcW w:w="3005" w:type="dxa"/>
          </w:tcPr>
          <w:p w:rsidR="00936566" w:rsidRPr="00D61A6E" w:rsidRDefault="00936566" w:rsidP="00936566">
            <w:pPr>
              <w:spacing w:after="0"/>
              <w:rPr>
                <w:sz w:val="20"/>
                <w:szCs w:val="20"/>
                <w:lang w:val="sr-Cyrl-RS"/>
              </w:rPr>
            </w:pPr>
            <w:r w:rsidRPr="00D61A6E">
              <w:rPr>
                <w:sz w:val="20"/>
                <w:szCs w:val="20"/>
                <w:lang w:val="sr-Cyrl-RS"/>
              </w:rPr>
              <w:t>Македонци</w:t>
            </w:r>
          </w:p>
        </w:tc>
        <w:tc>
          <w:tcPr>
            <w:tcW w:w="3005" w:type="dxa"/>
          </w:tcPr>
          <w:p w:rsidR="00936566" w:rsidRPr="00D61A6E" w:rsidRDefault="00936566" w:rsidP="00936566">
            <w:pPr>
              <w:spacing w:after="0"/>
              <w:jc w:val="center"/>
              <w:rPr>
                <w:sz w:val="20"/>
                <w:szCs w:val="20"/>
              </w:rPr>
            </w:pPr>
            <w:r w:rsidRPr="002B7C68">
              <w:rPr>
                <w:rFonts w:eastAsia="Times New Roman"/>
                <w:sz w:val="20"/>
                <w:szCs w:val="20"/>
                <w:lang w:eastAsia="en-GB"/>
              </w:rPr>
              <w:t>0.54</w:t>
            </w:r>
          </w:p>
        </w:tc>
        <w:tc>
          <w:tcPr>
            <w:tcW w:w="3006" w:type="dxa"/>
          </w:tcPr>
          <w:p w:rsidR="00936566" w:rsidRPr="00D61A6E" w:rsidRDefault="00936566" w:rsidP="00936566">
            <w:pPr>
              <w:spacing w:after="0"/>
              <w:jc w:val="center"/>
              <w:rPr>
                <w:sz w:val="20"/>
                <w:szCs w:val="20"/>
              </w:rPr>
            </w:pPr>
            <w:r w:rsidRPr="002B7C68">
              <w:rPr>
                <w:rFonts w:eastAsia="Times New Roman"/>
                <w:bCs/>
                <w:sz w:val="20"/>
                <w:szCs w:val="20"/>
                <w:lang w:eastAsia="en-GB"/>
              </w:rPr>
              <w:t>0.20</w:t>
            </w:r>
          </w:p>
        </w:tc>
      </w:tr>
      <w:tr w:rsidR="00936566" w:rsidRPr="00D61A6E" w:rsidTr="00E84A7A">
        <w:tc>
          <w:tcPr>
            <w:tcW w:w="3005" w:type="dxa"/>
          </w:tcPr>
          <w:p w:rsidR="00936566" w:rsidRPr="00D61A6E" w:rsidRDefault="00936566" w:rsidP="00936566">
            <w:pPr>
              <w:spacing w:after="0"/>
              <w:rPr>
                <w:sz w:val="20"/>
                <w:szCs w:val="20"/>
                <w:lang w:val="sr-Cyrl-RS"/>
              </w:rPr>
            </w:pPr>
            <w:r w:rsidRPr="00D61A6E">
              <w:rPr>
                <w:sz w:val="20"/>
                <w:szCs w:val="20"/>
                <w:lang w:val="sr-Cyrl-RS"/>
              </w:rPr>
              <w:t>Немци</w:t>
            </w:r>
          </w:p>
        </w:tc>
        <w:tc>
          <w:tcPr>
            <w:tcW w:w="3005" w:type="dxa"/>
          </w:tcPr>
          <w:p w:rsidR="00936566" w:rsidRPr="00D61A6E" w:rsidRDefault="00936566" w:rsidP="00936566">
            <w:pPr>
              <w:spacing w:after="0"/>
              <w:jc w:val="center"/>
              <w:rPr>
                <w:sz w:val="20"/>
                <w:szCs w:val="20"/>
              </w:rPr>
            </w:pPr>
            <w:r w:rsidRPr="002B7C68">
              <w:rPr>
                <w:rFonts w:eastAsia="Times New Roman"/>
                <w:sz w:val="20"/>
                <w:szCs w:val="20"/>
                <w:lang w:eastAsia="en-GB"/>
              </w:rPr>
              <w:t>0.17</w:t>
            </w:r>
          </w:p>
        </w:tc>
        <w:tc>
          <w:tcPr>
            <w:tcW w:w="3006" w:type="dxa"/>
          </w:tcPr>
          <w:p w:rsidR="00936566" w:rsidRPr="00D61A6E" w:rsidRDefault="00936566" w:rsidP="00936566">
            <w:pPr>
              <w:spacing w:after="0"/>
              <w:jc w:val="center"/>
              <w:rPr>
                <w:sz w:val="20"/>
                <w:szCs w:val="20"/>
              </w:rPr>
            </w:pPr>
            <w:r w:rsidRPr="002B7C68">
              <w:rPr>
                <w:rFonts w:eastAsia="Times New Roman"/>
                <w:bCs/>
                <w:sz w:val="20"/>
                <w:szCs w:val="20"/>
                <w:lang w:eastAsia="en-GB"/>
              </w:rPr>
              <w:t>0.10</w:t>
            </w:r>
          </w:p>
        </w:tc>
      </w:tr>
      <w:tr w:rsidR="00936566" w:rsidRPr="00D61A6E" w:rsidTr="00E84A7A">
        <w:tc>
          <w:tcPr>
            <w:tcW w:w="3005" w:type="dxa"/>
          </w:tcPr>
          <w:p w:rsidR="00936566" w:rsidRPr="00D61A6E" w:rsidRDefault="00936566" w:rsidP="00936566">
            <w:pPr>
              <w:spacing w:after="0"/>
              <w:rPr>
                <w:sz w:val="20"/>
                <w:szCs w:val="20"/>
                <w:lang w:val="sr-Cyrl-RS"/>
              </w:rPr>
            </w:pPr>
            <w:r w:rsidRPr="00D61A6E">
              <w:rPr>
                <w:sz w:val="20"/>
                <w:szCs w:val="20"/>
                <w:lang w:val="sr-Cyrl-RS"/>
              </w:rPr>
              <w:t>Роми</w:t>
            </w:r>
          </w:p>
        </w:tc>
        <w:tc>
          <w:tcPr>
            <w:tcW w:w="3005" w:type="dxa"/>
            <w:vAlign w:val="center"/>
          </w:tcPr>
          <w:p w:rsidR="00936566" w:rsidRPr="00D61A6E" w:rsidRDefault="00936566" w:rsidP="00936566">
            <w:pPr>
              <w:spacing w:after="0"/>
              <w:jc w:val="center"/>
              <w:rPr>
                <w:sz w:val="20"/>
                <w:szCs w:val="20"/>
              </w:rPr>
            </w:pPr>
            <w:r w:rsidRPr="00D61A6E">
              <w:rPr>
                <w:sz w:val="20"/>
                <w:szCs w:val="20"/>
              </w:rPr>
              <w:t>2.19</w:t>
            </w:r>
          </w:p>
        </w:tc>
        <w:tc>
          <w:tcPr>
            <w:tcW w:w="3006" w:type="dxa"/>
          </w:tcPr>
          <w:p w:rsidR="00936566" w:rsidRPr="00D61A6E" w:rsidRDefault="00936566" w:rsidP="00936566">
            <w:pPr>
              <w:spacing w:after="0"/>
              <w:jc w:val="center"/>
              <w:rPr>
                <w:sz w:val="20"/>
                <w:szCs w:val="20"/>
              </w:rPr>
            </w:pPr>
            <w:r w:rsidRPr="00D61A6E">
              <w:rPr>
                <w:sz w:val="20"/>
                <w:szCs w:val="20"/>
              </w:rPr>
              <w:t>0.51</w:t>
            </w:r>
          </w:p>
        </w:tc>
      </w:tr>
      <w:tr w:rsidR="00936566" w:rsidRPr="00D61A6E" w:rsidTr="00E84A7A">
        <w:tc>
          <w:tcPr>
            <w:tcW w:w="3005" w:type="dxa"/>
          </w:tcPr>
          <w:p w:rsidR="00936566" w:rsidRPr="00D61A6E" w:rsidRDefault="00936566" w:rsidP="00936566">
            <w:pPr>
              <w:spacing w:after="0"/>
              <w:rPr>
                <w:sz w:val="20"/>
                <w:szCs w:val="20"/>
                <w:lang w:val="sr-Cyrl-RS"/>
              </w:rPr>
            </w:pPr>
            <w:r w:rsidRPr="00D61A6E">
              <w:rPr>
                <w:sz w:val="20"/>
                <w:szCs w:val="20"/>
                <w:lang w:val="sr-Cyrl-RS"/>
              </w:rPr>
              <w:t>Румуни</w:t>
            </w:r>
          </w:p>
        </w:tc>
        <w:tc>
          <w:tcPr>
            <w:tcW w:w="3005" w:type="dxa"/>
          </w:tcPr>
          <w:p w:rsidR="00936566" w:rsidRPr="00D61A6E" w:rsidRDefault="00936566" w:rsidP="00936566">
            <w:pPr>
              <w:spacing w:after="0"/>
              <w:jc w:val="center"/>
              <w:rPr>
                <w:sz w:val="20"/>
                <w:szCs w:val="20"/>
              </w:rPr>
            </w:pPr>
            <w:r w:rsidRPr="002B7C68">
              <w:rPr>
                <w:rFonts w:eastAsia="Times New Roman"/>
                <w:sz w:val="20"/>
                <w:szCs w:val="20"/>
                <w:lang w:eastAsia="en-GB"/>
              </w:rPr>
              <w:t>1.32</w:t>
            </w:r>
          </w:p>
        </w:tc>
        <w:tc>
          <w:tcPr>
            <w:tcW w:w="3006" w:type="dxa"/>
          </w:tcPr>
          <w:p w:rsidR="00936566" w:rsidRPr="00D61A6E" w:rsidRDefault="00936566" w:rsidP="00936566">
            <w:pPr>
              <w:spacing w:after="0"/>
              <w:jc w:val="center"/>
              <w:rPr>
                <w:sz w:val="20"/>
                <w:szCs w:val="20"/>
              </w:rPr>
            </w:pPr>
            <w:r w:rsidRPr="002B7C68">
              <w:rPr>
                <w:rFonts w:eastAsia="Times New Roman"/>
                <w:bCs/>
                <w:sz w:val="20"/>
                <w:szCs w:val="20"/>
                <w:lang w:eastAsia="en-GB"/>
              </w:rPr>
              <w:t>0.91</w:t>
            </w:r>
          </w:p>
        </w:tc>
      </w:tr>
      <w:tr w:rsidR="00936566" w:rsidRPr="00D61A6E" w:rsidTr="00E84A7A">
        <w:tc>
          <w:tcPr>
            <w:tcW w:w="3005" w:type="dxa"/>
          </w:tcPr>
          <w:p w:rsidR="00936566" w:rsidRPr="00D61A6E" w:rsidRDefault="00936566" w:rsidP="00936566">
            <w:pPr>
              <w:spacing w:after="0"/>
              <w:rPr>
                <w:sz w:val="20"/>
                <w:szCs w:val="20"/>
                <w:lang w:val="sr-Cyrl-RS"/>
              </w:rPr>
            </w:pPr>
            <w:r w:rsidRPr="00D61A6E">
              <w:rPr>
                <w:sz w:val="20"/>
                <w:szCs w:val="20"/>
                <w:lang w:val="sr-Cyrl-RS"/>
              </w:rPr>
              <w:t>Руси</w:t>
            </w:r>
          </w:p>
        </w:tc>
        <w:tc>
          <w:tcPr>
            <w:tcW w:w="3005" w:type="dxa"/>
          </w:tcPr>
          <w:p w:rsidR="00936566" w:rsidRPr="00D61A6E" w:rsidRDefault="00936566" w:rsidP="00936566">
            <w:pPr>
              <w:spacing w:after="0"/>
              <w:jc w:val="center"/>
              <w:rPr>
                <w:sz w:val="20"/>
                <w:szCs w:val="20"/>
              </w:rPr>
            </w:pPr>
            <w:r w:rsidRPr="002B7C68">
              <w:rPr>
                <w:rFonts w:eastAsia="Times New Roman"/>
                <w:sz w:val="20"/>
                <w:szCs w:val="20"/>
                <w:lang w:eastAsia="en-GB"/>
              </w:rPr>
              <w:t>0.06</w:t>
            </w:r>
          </w:p>
        </w:tc>
        <w:tc>
          <w:tcPr>
            <w:tcW w:w="3006" w:type="dxa"/>
          </w:tcPr>
          <w:p w:rsidR="00936566" w:rsidRPr="00D61A6E" w:rsidRDefault="00936566" w:rsidP="00936566">
            <w:pPr>
              <w:spacing w:after="0"/>
              <w:jc w:val="center"/>
              <w:rPr>
                <w:sz w:val="20"/>
                <w:szCs w:val="20"/>
              </w:rPr>
            </w:pPr>
            <w:r w:rsidRPr="00D61A6E">
              <w:rPr>
                <w:sz w:val="20"/>
                <w:szCs w:val="20"/>
              </w:rPr>
              <w:t>0.00</w:t>
            </w:r>
          </w:p>
        </w:tc>
      </w:tr>
      <w:tr w:rsidR="00936566" w:rsidRPr="00D61A6E" w:rsidTr="00E84A7A">
        <w:tc>
          <w:tcPr>
            <w:tcW w:w="3005" w:type="dxa"/>
          </w:tcPr>
          <w:p w:rsidR="00936566" w:rsidRPr="00D61A6E" w:rsidRDefault="00936566" w:rsidP="00936566">
            <w:pPr>
              <w:spacing w:after="0"/>
              <w:rPr>
                <w:sz w:val="20"/>
                <w:szCs w:val="20"/>
                <w:lang w:val="sr-Cyrl-RS"/>
              </w:rPr>
            </w:pPr>
            <w:r w:rsidRPr="00D61A6E">
              <w:rPr>
                <w:sz w:val="20"/>
                <w:szCs w:val="20"/>
                <w:lang w:val="sr-Cyrl-RS"/>
              </w:rPr>
              <w:t>Русини</w:t>
            </w:r>
          </w:p>
        </w:tc>
        <w:tc>
          <w:tcPr>
            <w:tcW w:w="3005" w:type="dxa"/>
          </w:tcPr>
          <w:p w:rsidR="00936566" w:rsidRPr="00D61A6E" w:rsidRDefault="00936566" w:rsidP="00936566">
            <w:pPr>
              <w:spacing w:after="0"/>
              <w:jc w:val="center"/>
              <w:rPr>
                <w:sz w:val="20"/>
                <w:szCs w:val="20"/>
              </w:rPr>
            </w:pPr>
            <w:r w:rsidRPr="002B7C68">
              <w:rPr>
                <w:rFonts w:eastAsia="Times New Roman"/>
                <w:sz w:val="20"/>
                <w:szCs w:val="20"/>
                <w:lang w:eastAsia="en-GB"/>
              </w:rPr>
              <w:t>0.72</w:t>
            </w:r>
          </w:p>
        </w:tc>
        <w:tc>
          <w:tcPr>
            <w:tcW w:w="3006" w:type="dxa"/>
          </w:tcPr>
          <w:p w:rsidR="00936566" w:rsidRPr="00D61A6E" w:rsidRDefault="00936566" w:rsidP="00936566">
            <w:pPr>
              <w:spacing w:after="0"/>
              <w:jc w:val="center"/>
              <w:rPr>
                <w:sz w:val="20"/>
                <w:szCs w:val="20"/>
              </w:rPr>
            </w:pPr>
            <w:r w:rsidRPr="002B7C68">
              <w:rPr>
                <w:rFonts w:eastAsia="Times New Roman"/>
                <w:bCs/>
                <w:sz w:val="20"/>
                <w:szCs w:val="20"/>
                <w:lang w:eastAsia="en-GB"/>
              </w:rPr>
              <w:t>1.42</w:t>
            </w:r>
          </w:p>
        </w:tc>
      </w:tr>
      <w:tr w:rsidR="00936566" w:rsidRPr="00D61A6E" w:rsidTr="00E84A7A">
        <w:tc>
          <w:tcPr>
            <w:tcW w:w="3005" w:type="dxa"/>
          </w:tcPr>
          <w:p w:rsidR="00936566" w:rsidRPr="00D61A6E" w:rsidRDefault="00936566" w:rsidP="00936566">
            <w:pPr>
              <w:spacing w:after="0"/>
              <w:rPr>
                <w:sz w:val="20"/>
                <w:szCs w:val="20"/>
                <w:lang w:val="sr-Cyrl-RS"/>
              </w:rPr>
            </w:pPr>
            <w:r w:rsidRPr="00D61A6E">
              <w:rPr>
                <w:sz w:val="20"/>
                <w:szCs w:val="20"/>
                <w:lang w:val="sr-Cyrl-RS"/>
              </w:rPr>
              <w:t>Словаци</w:t>
            </w:r>
          </w:p>
        </w:tc>
        <w:tc>
          <w:tcPr>
            <w:tcW w:w="3005" w:type="dxa"/>
          </w:tcPr>
          <w:p w:rsidR="00936566" w:rsidRPr="00D61A6E" w:rsidRDefault="00936566" w:rsidP="00936566">
            <w:pPr>
              <w:spacing w:after="0"/>
              <w:jc w:val="center"/>
              <w:rPr>
                <w:sz w:val="20"/>
                <w:szCs w:val="20"/>
              </w:rPr>
            </w:pPr>
            <w:r w:rsidRPr="00D61A6E">
              <w:rPr>
                <w:sz w:val="20"/>
                <w:szCs w:val="20"/>
              </w:rPr>
              <w:t>2.60</w:t>
            </w:r>
          </w:p>
        </w:tc>
        <w:tc>
          <w:tcPr>
            <w:tcW w:w="3006" w:type="dxa"/>
          </w:tcPr>
          <w:p w:rsidR="00936566" w:rsidRPr="00D61A6E" w:rsidRDefault="00936566" w:rsidP="00936566">
            <w:pPr>
              <w:spacing w:after="0"/>
              <w:jc w:val="center"/>
              <w:rPr>
                <w:sz w:val="20"/>
                <w:szCs w:val="20"/>
              </w:rPr>
            </w:pPr>
            <w:r w:rsidRPr="00D61A6E">
              <w:rPr>
                <w:bCs/>
                <w:sz w:val="20"/>
                <w:szCs w:val="20"/>
              </w:rPr>
              <w:t>1.62</w:t>
            </w:r>
          </w:p>
        </w:tc>
      </w:tr>
      <w:tr w:rsidR="00936566" w:rsidRPr="00D61A6E" w:rsidTr="00E84A7A">
        <w:tc>
          <w:tcPr>
            <w:tcW w:w="3005" w:type="dxa"/>
          </w:tcPr>
          <w:p w:rsidR="00936566" w:rsidRPr="00D61A6E" w:rsidRDefault="00936566" w:rsidP="00936566">
            <w:pPr>
              <w:spacing w:after="0"/>
              <w:rPr>
                <w:sz w:val="20"/>
                <w:szCs w:val="20"/>
                <w:lang w:val="sr-Cyrl-RS"/>
              </w:rPr>
            </w:pPr>
            <w:r w:rsidRPr="00D61A6E">
              <w:rPr>
                <w:sz w:val="20"/>
                <w:szCs w:val="20"/>
                <w:lang w:val="sr-Cyrl-RS"/>
              </w:rPr>
              <w:t>Словенци</w:t>
            </w:r>
          </w:p>
        </w:tc>
        <w:tc>
          <w:tcPr>
            <w:tcW w:w="3005" w:type="dxa"/>
          </w:tcPr>
          <w:p w:rsidR="00936566" w:rsidRPr="00D61A6E" w:rsidRDefault="00936566" w:rsidP="00936566">
            <w:pPr>
              <w:spacing w:after="0"/>
              <w:jc w:val="center"/>
              <w:rPr>
                <w:sz w:val="20"/>
                <w:szCs w:val="20"/>
              </w:rPr>
            </w:pPr>
            <w:r w:rsidRPr="002B7C68">
              <w:rPr>
                <w:rFonts w:eastAsia="Times New Roman"/>
                <w:sz w:val="20"/>
                <w:szCs w:val="20"/>
                <w:lang w:eastAsia="en-GB"/>
              </w:rPr>
              <w:t>0.09</w:t>
            </w:r>
          </w:p>
        </w:tc>
        <w:tc>
          <w:tcPr>
            <w:tcW w:w="3006" w:type="dxa"/>
          </w:tcPr>
          <w:p w:rsidR="00936566" w:rsidRPr="00D61A6E" w:rsidRDefault="00936566" w:rsidP="00936566">
            <w:pPr>
              <w:spacing w:after="0"/>
              <w:jc w:val="center"/>
              <w:rPr>
                <w:sz w:val="20"/>
                <w:szCs w:val="20"/>
              </w:rPr>
            </w:pPr>
            <w:r w:rsidRPr="002B7C68">
              <w:rPr>
                <w:rFonts w:eastAsia="Times New Roman"/>
                <w:bCs/>
                <w:sz w:val="20"/>
                <w:szCs w:val="20"/>
                <w:lang w:eastAsia="en-GB"/>
              </w:rPr>
              <w:t>0.00</w:t>
            </w:r>
          </w:p>
        </w:tc>
      </w:tr>
      <w:tr w:rsidR="00936566" w:rsidRPr="00D61A6E" w:rsidTr="00E84A7A">
        <w:tc>
          <w:tcPr>
            <w:tcW w:w="3005" w:type="dxa"/>
          </w:tcPr>
          <w:p w:rsidR="00936566" w:rsidRPr="00D61A6E" w:rsidRDefault="00936566" w:rsidP="00936566">
            <w:pPr>
              <w:spacing w:after="0"/>
              <w:rPr>
                <w:sz w:val="20"/>
                <w:szCs w:val="20"/>
                <w:lang w:val="sr-Cyrl-RS"/>
              </w:rPr>
            </w:pPr>
            <w:r w:rsidRPr="00D61A6E">
              <w:rPr>
                <w:sz w:val="20"/>
                <w:szCs w:val="20"/>
                <w:lang w:val="sr-Cyrl-RS"/>
              </w:rPr>
              <w:t>Украјинци</w:t>
            </w:r>
          </w:p>
        </w:tc>
        <w:tc>
          <w:tcPr>
            <w:tcW w:w="3005" w:type="dxa"/>
          </w:tcPr>
          <w:p w:rsidR="00936566" w:rsidRPr="00D61A6E" w:rsidRDefault="00936566" w:rsidP="00936566">
            <w:pPr>
              <w:spacing w:after="0"/>
              <w:jc w:val="center"/>
              <w:rPr>
                <w:sz w:val="20"/>
                <w:szCs w:val="20"/>
              </w:rPr>
            </w:pPr>
            <w:r w:rsidRPr="002B7C68">
              <w:rPr>
                <w:rFonts w:eastAsia="Times New Roman"/>
                <w:sz w:val="20"/>
                <w:szCs w:val="20"/>
                <w:lang w:eastAsia="en-GB"/>
              </w:rPr>
              <w:t>0.22</w:t>
            </w:r>
          </w:p>
        </w:tc>
        <w:tc>
          <w:tcPr>
            <w:tcW w:w="3006" w:type="dxa"/>
          </w:tcPr>
          <w:p w:rsidR="00936566" w:rsidRPr="00D61A6E" w:rsidRDefault="00936566" w:rsidP="00936566">
            <w:pPr>
              <w:spacing w:after="0"/>
              <w:jc w:val="center"/>
              <w:rPr>
                <w:sz w:val="20"/>
                <w:szCs w:val="20"/>
              </w:rPr>
            </w:pPr>
            <w:r w:rsidRPr="002B7C68">
              <w:rPr>
                <w:rFonts w:eastAsia="Times New Roman"/>
                <w:bCs/>
                <w:sz w:val="20"/>
                <w:szCs w:val="20"/>
                <w:lang w:eastAsia="en-GB"/>
              </w:rPr>
              <w:t>0.20</w:t>
            </w:r>
          </w:p>
        </w:tc>
      </w:tr>
      <w:tr w:rsidR="00936566" w:rsidRPr="00D61A6E" w:rsidTr="00E84A7A">
        <w:tc>
          <w:tcPr>
            <w:tcW w:w="3005" w:type="dxa"/>
          </w:tcPr>
          <w:p w:rsidR="00936566" w:rsidRPr="00D61A6E" w:rsidRDefault="00936566" w:rsidP="00936566">
            <w:pPr>
              <w:spacing w:after="0"/>
              <w:rPr>
                <w:sz w:val="20"/>
                <w:szCs w:val="20"/>
                <w:lang w:val="sr-Cyrl-RS"/>
              </w:rPr>
            </w:pPr>
            <w:r w:rsidRPr="00D61A6E">
              <w:rPr>
                <w:sz w:val="20"/>
                <w:szCs w:val="20"/>
                <w:lang w:val="sr-Cyrl-RS"/>
              </w:rPr>
              <w:t>Хрвати</w:t>
            </w:r>
          </w:p>
        </w:tc>
        <w:tc>
          <w:tcPr>
            <w:tcW w:w="3005" w:type="dxa"/>
          </w:tcPr>
          <w:p w:rsidR="00936566" w:rsidRPr="00D61A6E" w:rsidRDefault="00936566" w:rsidP="00936566">
            <w:pPr>
              <w:spacing w:after="0"/>
              <w:jc w:val="center"/>
              <w:rPr>
                <w:sz w:val="20"/>
                <w:szCs w:val="20"/>
              </w:rPr>
            </w:pPr>
            <w:r w:rsidRPr="00D61A6E">
              <w:rPr>
                <w:sz w:val="20"/>
                <w:szCs w:val="20"/>
              </w:rPr>
              <w:t>2.43</w:t>
            </w:r>
          </w:p>
        </w:tc>
        <w:tc>
          <w:tcPr>
            <w:tcW w:w="3006" w:type="dxa"/>
          </w:tcPr>
          <w:p w:rsidR="00936566" w:rsidRPr="00D61A6E" w:rsidRDefault="00936566" w:rsidP="00936566">
            <w:pPr>
              <w:spacing w:after="0"/>
              <w:jc w:val="center"/>
              <w:rPr>
                <w:sz w:val="20"/>
                <w:szCs w:val="20"/>
              </w:rPr>
            </w:pPr>
            <w:r w:rsidRPr="002B7C68">
              <w:rPr>
                <w:rFonts w:eastAsia="Times New Roman"/>
                <w:bCs/>
                <w:sz w:val="20"/>
                <w:szCs w:val="20"/>
                <w:lang w:eastAsia="en-GB"/>
              </w:rPr>
              <w:t>2.13</w:t>
            </w:r>
          </w:p>
        </w:tc>
      </w:tr>
      <w:tr w:rsidR="00936566" w:rsidRPr="00D61A6E" w:rsidTr="00E84A7A">
        <w:tc>
          <w:tcPr>
            <w:tcW w:w="3005" w:type="dxa"/>
          </w:tcPr>
          <w:p w:rsidR="00936566" w:rsidRPr="00D61A6E" w:rsidRDefault="00936566" w:rsidP="00936566">
            <w:pPr>
              <w:spacing w:after="0"/>
              <w:rPr>
                <w:sz w:val="20"/>
                <w:szCs w:val="20"/>
                <w:lang w:val="sr-Cyrl-RS"/>
              </w:rPr>
            </w:pPr>
            <w:r w:rsidRPr="00D61A6E">
              <w:rPr>
                <w:sz w:val="20"/>
                <w:szCs w:val="20"/>
                <w:lang w:val="sr-Cyrl-RS"/>
              </w:rPr>
              <w:t>Црногорци</w:t>
            </w:r>
          </w:p>
        </w:tc>
        <w:tc>
          <w:tcPr>
            <w:tcW w:w="3005" w:type="dxa"/>
          </w:tcPr>
          <w:p w:rsidR="00936566" w:rsidRPr="00D61A6E" w:rsidRDefault="00936566" w:rsidP="00936566">
            <w:pPr>
              <w:spacing w:after="0"/>
              <w:jc w:val="center"/>
              <w:rPr>
                <w:sz w:val="20"/>
                <w:szCs w:val="20"/>
              </w:rPr>
            </w:pPr>
            <w:r w:rsidRPr="002B7C68">
              <w:rPr>
                <w:rFonts w:eastAsia="Times New Roman"/>
                <w:sz w:val="20"/>
                <w:szCs w:val="20"/>
                <w:lang w:eastAsia="en-GB"/>
              </w:rPr>
              <w:t>1.15</w:t>
            </w:r>
          </w:p>
        </w:tc>
        <w:tc>
          <w:tcPr>
            <w:tcW w:w="3006" w:type="dxa"/>
          </w:tcPr>
          <w:p w:rsidR="00936566" w:rsidRPr="00D61A6E" w:rsidRDefault="00936566" w:rsidP="00936566">
            <w:pPr>
              <w:spacing w:after="0"/>
              <w:jc w:val="center"/>
              <w:rPr>
                <w:sz w:val="20"/>
                <w:szCs w:val="20"/>
              </w:rPr>
            </w:pPr>
            <w:r w:rsidRPr="002B7C68">
              <w:rPr>
                <w:rFonts w:eastAsia="Times New Roman"/>
                <w:bCs/>
                <w:sz w:val="20"/>
                <w:szCs w:val="20"/>
                <w:lang w:eastAsia="en-GB"/>
              </w:rPr>
              <w:t>1.62</w:t>
            </w:r>
          </w:p>
        </w:tc>
      </w:tr>
      <w:tr w:rsidR="00936566" w:rsidRPr="00D61A6E" w:rsidTr="00E84A7A">
        <w:tc>
          <w:tcPr>
            <w:tcW w:w="3005" w:type="dxa"/>
          </w:tcPr>
          <w:p w:rsidR="00936566" w:rsidRPr="00D61A6E" w:rsidRDefault="00936566" w:rsidP="00936566">
            <w:pPr>
              <w:spacing w:after="0"/>
              <w:rPr>
                <w:sz w:val="20"/>
                <w:szCs w:val="20"/>
                <w:lang w:val="sr-Cyrl-RS"/>
              </w:rPr>
            </w:pPr>
            <w:r w:rsidRPr="00D61A6E">
              <w:rPr>
                <w:sz w:val="20"/>
                <w:szCs w:val="20"/>
                <w:lang w:val="sr-Cyrl-RS"/>
              </w:rPr>
              <w:t>Нису се изјаснили</w:t>
            </w:r>
          </w:p>
        </w:tc>
        <w:tc>
          <w:tcPr>
            <w:tcW w:w="3005" w:type="dxa"/>
          </w:tcPr>
          <w:p w:rsidR="00936566" w:rsidRPr="00D61A6E" w:rsidRDefault="00936566" w:rsidP="00936566">
            <w:pPr>
              <w:spacing w:after="0"/>
              <w:jc w:val="center"/>
              <w:rPr>
                <w:sz w:val="20"/>
                <w:szCs w:val="20"/>
              </w:rPr>
            </w:pPr>
            <w:r w:rsidRPr="00D61A6E">
              <w:rPr>
                <w:rFonts w:eastAsia="Times New Roman"/>
                <w:bCs/>
                <w:sz w:val="20"/>
                <w:szCs w:val="20"/>
                <w:lang w:eastAsia="en-GB"/>
              </w:rPr>
              <w:t>4.19</w:t>
            </w:r>
          </w:p>
        </w:tc>
        <w:tc>
          <w:tcPr>
            <w:tcW w:w="3006" w:type="dxa"/>
          </w:tcPr>
          <w:p w:rsidR="00936566" w:rsidRPr="00D61A6E" w:rsidRDefault="00936566" w:rsidP="00936566">
            <w:pPr>
              <w:spacing w:after="0"/>
              <w:jc w:val="center"/>
              <w:rPr>
                <w:sz w:val="20"/>
                <w:szCs w:val="20"/>
              </w:rPr>
            </w:pPr>
            <w:r w:rsidRPr="002B7C68">
              <w:rPr>
                <w:rFonts w:eastAsia="Times New Roman"/>
                <w:bCs/>
                <w:sz w:val="20"/>
                <w:szCs w:val="20"/>
                <w:lang w:eastAsia="en-GB"/>
              </w:rPr>
              <w:t>12.18</w:t>
            </w:r>
          </w:p>
        </w:tc>
      </w:tr>
    </w:tbl>
    <w:p w:rsidR="005F382D" w:rsidRDefault="005F382D" w:rsidP="00936566">
      <w:pPr>
        <w:pStyle w:val="BodyText"/>
        <w:widowControl w:val="0"/>
        <w:tabs>
          <w:tab w:val="left" w:pos="3154"/>
        </w:tabs>
        <w:spacing w:after="0" w:line="266" w:lineRule="auto"/>
        <w:jc w:val="both"/>
        <w:rPr>
          <w:highlight w:val="yellow"/>
        </w:rPr>
      </w:pPr>
    </w:p>
    <w:p w:rsidR="00003A66" w:rsidRDefault="00003A66" w:rsidP="00003A66">
      <w:pPr>
        <w:pStyle w:val="BodyText"/>
        <w:widowControl w:val="0"/>
        <w:spacing w:after="0" w:line="266" w:lineRule="auto"/>
        <w:jc w:val="both"/>
        <w:rPr>
          <w:sz w:val="24"/>
          <w:szCs w:val="24"/>
        </w:rPr>
      </w:pPr>
      <w:r>
        <w:rPr>
          <w:sz w:val="24"/>
          <w:szCs w:val="24"/>
        </w:rPr>
        <w:tab/>
      </w:r>
      <w:r w:rsidRPr="00003A66">
        <w:rPr>
          <w:sz w:val="24"/>
          <w:szCs w:val="24"/>
        </w:rPr>
        <w:t xml:space="preserve">У циљу проналажења најбољих решења која се односе на већу заступљеност припадника албанске нациналне мањине у државним органима Министарство за људска и мањинска права и друштвени дијалог </w:t>
      </w:r>
      <w:r w:rsidR="00A31E06">
        <w:rPr>
          <w:sz w:val="24"/>
          <w:szCs w:val="24"/>
          <w:lang w:val="sr-Cyrl-RS"/>
        </w:rPr>
        <w:t xml:space="preserve">је </w:t>
      </w:r>
      <w:r w:rsidRPr="00003A66">
        <w:rPr>
          <w:sz w:val="24"/>
          <w:szCs w:val="24"/>
        </w:rPr>
        <w:t xml:space="preserve">у сарадњи са Службом Координационог тела Владе Републике Србије за општине Прешево, Бујановац и Медвеђа организовало 11. марта 2022. године у Бујановцу друштвени дијалог на тему интеграције/заступљености припадника албанске националне мањине </w:t>
      </w:r>
      <w:r w:rsidR="00A31E06">
        <w:rPr>
          <w:sz w:val="24"/>
          <w:szCs w:val="24"/>
          <w:lang w:val="sr-Cyrl-RS"/>
        </w:rPr>
        <w:t xml:space="preserve">у </w:t>
      </w:r>
      <w:r w:rsidRPr="00003A66">
        <w:rPr>
          <w:sz w:val="24"/>
          <w:szCs w:val="24"/>
        </w:rPr>
        <w:t xml:space="preserve">државним институцијама на локалном нивоу. Као резултат одржаног друштвеног дијалога између представника државних </w:t>
      </w:r>
      <w:r w:rsidRPr="00003A66">
        <w:rPr>
          <w:sz w:val="24"/>
          <w:szCs w:val="24"/>
        </w:rPr>
        <w:lastRenderedPageBreak/>
        <w:t>органа и Националног савета албанске националне мањине формирана је Радна група за израду плана са краткорочним, средњорочним и дугорочним циљевима ради постизања веће интеграције припадника албанске националне мањине у државне институције на локалном нивоу. У раду Радне групе учествују представници Министарства за људска и мањинска права и друштвени дијалог, Министарства правде, Министарства здравља, Министарства за рад, запошљавање, борачка и социјална питања, Министарства грађевинарства, саобраћаја и инфраструктуре, Националног савета албанске националне мањине, Службе Коодинационог тела Владе Републике Србије за општине Прешево, Бујановац и Медвеђа. Представници Мисије ОЕБС-а у Србији присуствују састанцима Радне групе као посматрачи.</w:t>
      </w:r>
      <w:r>
        <w:rPr>
          <w:sz w:val="24"/>
          <w:szCs w:val="24"/>
        </w:rPr>
        <w:t xml:space="preserve"> </w:t>
      </w:r>
      <w:r w:rsidRPr="00003A66">
        <w:rPr>
          <w:sz w:val="24"/>
          <w:szCs w:val="24"/>
        </w:rPr>
        <w:t>Садржај првог стратешког документа који се односи на системско праћење интеграције припадника албанске националне мањине у државне институције на локалном нивоу ће бити усклађен са дефинисаним мерама и циљевима у Акционом плану за остваривање права националних мањина.</w:t>
      </w:r>
    </w:p>
    <w:p w:rsidR="00637F15" w:rsidRPr="00860DEE" w:rsidRDefault="00637F15" w:rsidP="00637F15">
      <w:pPr>
        <w:pStyle w:val="BodyText"/>
        <w:widowControl w:val="0"/>
        <w:spacing w:after="0" w:line="266" w:lineRule="auto"/>
        <w:jc w:val="both"/>
        <w:rPr>
          <w:sz w:val="24"/>
          <w:szCs w:val="24"/>
        </w:rPr>
      </w:pPr>
      <w:r>
        <w:rPr>
          <w:sz w:val="24"/>
          <w:szCs w:val="24"/>
        </w:rPr>
        <w:tab/>
      </w:r>
      <w:r w:rsidRPr="00860DEE">
        <w:rPr>
          <w:sz w:val="24"/>
          <w:szCs w:val="24"/>
        </w:rPr>
        <w:t xml:space="preserve">Министарство државне управе и локалне самоуправе, у складу са обавезом предвиђеном Акционим планом за Поглавље 23, израдило </w:t>
      </w:r>
      <w:r w:rsidRPr="00860DEE">
        <w:rPr>
          <w:sz w:val="24"/>
          <w:szCs w:val="24"/>
          <w:lang w:val="sr-Cyrl-RS"/>
        </w:rPr>
        <w:t xml:space="preserve">је </w:t>
      </w:r>
      <w:r w:rsidRPr="00860DEE">
        <w:rPr>
          <w:sz w:val="24"/>
          <w:szCs w:val="24"/>
        </w:rPr>
        <w:t>Анализу ефеката примене подзаконских аката донетих на основу Закона о запосленима у аутономним покрајинама и јединицама локалне самуправе</w:t>
      </w:r>
      <w:r w:rsidR="00E83B0D" w:rsidRPr="00860DEE">
        <w:rPr>
          <w:sz w:val="24"/>
          <w:szCs w:val="24"/>
          <w:lang w:val="sr-Cyrl-RS"/>
        </w:rPr>
        <w:t xml:space="preserve"> (ЈЛС)</w:t>
      </w:r>
      <w:r w:rsidRPr="00860DEE">
        <w:rPr>
          <w:sz w:val="24"/>
          <w:szCs w:val="24"/>
        </w:rPr>
        <w:t xml:space="preserve">. Циљ наведене анализе је да се утврди да ли се непосредно примењују одредбе Закона о запосленима у </w:t>
      </w:r>
      <w:r w:rsidR="00E83B0D" w:rsidRPr="00860DEE">
        <w:rPr>
          <w:sz w:val="24"/>
          <w:szCs w:val="24"/>
        </w:rPr>
        <w:t>аутономним покрајинама и јединицама локалне самоуправе</w:t>
      </w:r>
      <w:r w:rsidR="00E83B0D" w:rsidRPr="00860DEE">
        <w:rPr>
          <w:sz w:val="24"/>
          <w:szCs w:val="24"/>
          <w:lang w:val="sr-Cyrl-RS"/>
        </w:rPr>
        <w:t xml:space="preserve">, као </w:t>
      </w:r>
      <w:r w:rsidRPr="00860DEE">
        <w:rPr>
          <w:sz w:val="24"/>
          <w:szCs w:val="24"/>
        </w:rPr>
        <w:t>и подзаконски ак</w:t>
      </w:r>
      <w:r w:rsidR="00E83B0D" w:rsidRPr="00860DEE">
        <w:rPr>
          <w:sz w:val="24"/>
          <w:szCs w:val="24"/>
          <w:lang w:val="sr-Cyrl-RS"/>
        </w:rPr>
        <w:t>ти</w:t>
      </w:r>
      <w:r w:rsidRPr="00860DEE">
        <w:rPr>
          <w:sz w:val="24"/>
          <w:szCs w:val="24"/>
        </w:rPr>
        <w:t xml:space="preserve"> донети</w:t>
      </w:r>
      <w:r w:rsidR="00E83B0D" w:rsidRPr="00860DEE">
        <w:rPr>
          <w:sz w:val="24"/>
          <w:szCs w:val="24"/>
        </w:rPr>
        <w:t xml:space="preserve"> ради спровођења овог закона</w:t>
      </w:r>
      <w:r w:rsidRPr="00860DEE">
        <w:rPr>
          <w:sz w:val="24"/>
          <w:szCs w:val="24"/>
        </w:rPr>
        <w:t>. За потребе спровођења наведене анализе Министарство је упутило допис свим јединицама локалне самоуправе (145), а одговоре је доставило 100 ЈЛС</w:t>
      </w:r>
      <w:r w:rsidR="00E83B0D" w:rsidRPr="00860DEE">
        <w:rPr>
          <w:sz w:val="24"/>
          <w:szCs w:val="24"/>
          <w:lang w:val="sr-Cyrl-RS"/>
        </w:rPr>
        <w:t>,</w:t>
      </w:r>
      <w:r w:rsidRPr="00860DEE">
        <w:rPr>
          <w:sz w:val="24"/>
          <w:szCs w:val="24"/>
        </w:rPr>
        <w:t xml:space="preserve"> што чини 68,96%. Од укупног броја ЈЛС, у 43 ЈЛС је у службену употребу уведен неки од језика и писма националних мањина, било на целој или делу територије, од којих је 40 ЈЛС доставило одговор на упитник што чини 93,02% и представља задовољавајући резултат за анализу.</w:t>
      </w:r>
    </w:p>
    <w:p w:rsidR="00637F15" w:rsidRPr="00860DEE" w:rsidRDefault="00637F15" w:rsidP="00637F15">
      <w:pPr>
        <w:pStyle w:val="BodyText"/>
        <w:widowControl w:val="0"/>
        <w:spacing w:after="0" w:line="266" w:lineRule="auto"/>
        <w:ind w:firstLine="720"/>
        <w:jc w:val="both"/>
        <w:rPr>
          <w:sz w:val="24"/>
          <w:szCs w:val="24"/>
        </w:rPr>
      </w:pPr>
      <w:r w:rsidRPr="00860DEE">
        <w:rPr>
          <w:sz w:val="24"/>
          <w:szCs w:val="24"/>
        </w:rPr>
        <w:t xml:space="preserve">Анализом података добијених из одговора на упитник може се закључити да јединице локалне самоуправе по правилу примењују подзаконске акте донете у циљу спровођења </w:t>
      </w:r>
      <w:r w:rsidR="009A5C9B" w:rsidRPr="00860DEE">
        <w:rPr>
          <w:sz w:val="24"/>
          <w:szCs w:val="24"/>
          <w:lang w:val="sr-Cyrl-RS"/>
        </w:rPr>
        <w:t xml:space="preserve">поменутих прописа </w:t>
      </w:r>
      <w:r w:rsidRPr="00860DEE">
        <w:rPr>
          <w:sz w:val="24"/>
          <w:szCs w:val="24"/>
        </w:rPr>
        <w:t xml:space="preserve">којима су прописане афирмативне мере које имају за циљ да допринесу адекватнијој заступљености припадника националних мањина међу запосленима у органима </w:t>
      </w:r>
      <w:r w:rsidR="009A5C9B" w:rsidRPr="00860DEE">
        <w:rPr>
          <w:sz w:val="24"/>
          <w:szCs w:val="24"/>
          <w:lang w:val="sr-Cyrl-RS"/>
        </w:rPr>
        <w:t>аутономних покрајина</w:t>
      </w:r>
      <w:r w:rsidRPr="00860DEE">
        <w:rPr>
          <w:sz w:val="24"/>
          <w:szCs w:val="24"/>
        </w:rPr>
        <w:t xml:space="preserve"> и ЈЛС.</w:t>
      </w:r>
    </w:p>
    <w:p w:rsidR="00637F15" w:rsidRPr="00860DEE" w:rsidRDefault="00637F15" w:rsidP="00637F15">
      <w:pPr>
        <w:pStyle w:val="BodyText"/>
        <w:widowControl w:val="0"/>
        <w:spacing w:after="0" w:line="266" w:lineRule="auto"/>
        <w:ind w:firstLine="720"/>
        <w:jc w:val="both"/>
        <w:rPr>
          <w:sz w:val="24"/>
          <w:szCs w:val="24"/>
        </w:rPr>
      </w:pPr>
      <w:r w:rsidRPr="00860DEE">
        <w:rPr>
          <w:sz w:val="24"/>
          <w:szCs w:val="24"/>
        </w:rPr>
        <w:t xml:space="preserve">Анализа је показала да </w:t>
      </w:r>
      <w:r w:rsidR="009A5C9B" w:rsidRPr="00860DEE">
        <w:rPr>
          <w:sz w:val="24"/>
          <w:szCs w:val="24"/>
          <w:lang w:val="sr-Cyrl-RS"/>
        </w:rPr>
        <w:t xml:space="preserve">је </w:t>
      </w:r>
      <w:r w:rsidRPr="00860DEE">
        <w:rPr>
          <w:sz w:val="24"/>
          <w:szCs w:val="24"/>
        </w:rPr>
        <w:t xml:space="preserve">у 28 </w:t>
      </w:r>
      <w:r w:rsidR="009A5C9B" w:rsidRPr="00860DEE">
        <w:rPr>
          <w:sz w:val="24"/>
          <w:szCs w:val="24"/>
          <w:lang w:val="sr-Cyrl-RS"/>
        </w:rPr>
        <w:t>ЈЛС,</w:t>
      </w:r>
      <w:r w:rsidRPr="00860DEE">
        <w:rPr>
          <w:sz w:val="24"/>
          <w:szCs w:val="24"/>
        </w:rPr>
        <w:t xml:space="preserve"> </w:t>
      </w:r>
      <w:r w:rsidR="009A5C9B" w:rsidRPr="00860DEE">
        <w:rPr>
          <w:sz w:val="24"/>
          <w:szCs w:val="24"/>
        </w:rPr>
        <w:t xml:space="preserve">од 40 ЈЛС које су доставиле одговоре на упитник, а у којима је у службеној употреби језик и писмо националне мањине, </w:t>
      </w:r>
      <w:r w:rsidRPr="00860DEE">
        <w:rPr>
          <w:sz w:val="24"/>
          <w:szCs w:val="24"/>
        </w:rPr>
        <w:t>правилником о организацији и систематизацији радних места утврђено радно место/места за које је као посебан услов прописано познавање језика и писма националн</w:t>
      </w:r>
      <w:r w:rsidR="009A5C9B" w:rsidRPr="00860DEE">
        <w:rPr>
          <w:sz w:val="24"/>
          <w:szCs w:val="24"/>
          <w:lang w:val="sr-Cyrl-RS"/>
        </w:rPr>
        <w:t>е</w:t>
      </w:r>
      <w:r w:rsidRPr="00860DEE">
        <w:rPr>
          <w:sz w:val="24"/>
          <w:szCs w:val="24"/>
        </w:rPr>
        <w:t xml:space="preserve"> мањин</w:t>
      </w:r>
      <w:r w:rsidR="009A5C9B" w:rsidRPr="00860DEE">
        <w:rPr>
          <w:sz w:val="24"/>
          <w:szCs w:val="24"/>
          <w:lang w:val="sr-Cyrl-RS"/>
        </w:rPr>
        <w:t>е</w:t>
      </w:r>
      <w:r w:rsidRPr="00860DEE">
        <w:rPr>
          <w:sz w:val="24"/>
          <w:szCs w:val="24"/>
        </w:rPr>
        <w:t xml:space="preserve"> који су у службеној употреби (70%), што је значајан проценат, посебно што само 3 ЈЛС (6,98%), које имају на својој територији у службеној употреби језик и писмо националне мањине нису доставиле одговоре на упитник. </w:t>
      </w:r>
    </w:p>
    <w:p w:rsidR="00637F15" w:rsidRPr="00860DEE" w:rsidRDefault="00637F15" w:rsidP="00637F15">
      <w:pPr>
        <w:pStyle w:val="BodyText"/>
        <w:widowControl w:val="0"/>
        <w:spacing w:after="0" w:line="266" w:lineRule="auto"/>
        <w:ind w:firstLine="720"/>
        <w:jc w:val="both"/>
        <w:rPr>
          <w:sz w:val="24"/>
          <w:szCs w:val="24"/>
        </w:rPr>
      </w:pPr>
      <w:r w:rsidRPr="00860DEE">
        <w:rPr>
          <w:sz w:val="24"/>
          <w:szCs w:val="24"/>
        </w:rPr>
        <w:t xml:space="preserve">У погледу анализе примене Уредбе о спровођењу интерног и јавног кокурса за попуњавање радних места у аутономним покрајинама и јединицама локалне самоуправе,  може да се изведе закључак да се одредбе ове уредбе директно примењују у спровођењу афирмативних мера у ЈЛС у којима је утврђена потреба за адекватном заступљеношћу. Наиме, анализа је показала да </w:t>
      </w:r>
      <w:r w:rsidR="009A5C9B" w:rsidRPr="00860DEE">
        <w:rPr>
          <w:sz w:val="24"/>
          <w:szCs w:val="24"/>
          <w:lang w:val="sr-Cyrl-RS"/>
        </w:rPr>
        <w:t xml:space="preserve">је </w:t>
      </w:r>
      <w:r w:rsidRPr="00860DEE">
        <w:rPr>
          <w:sz w:val="24"/>
          <w:szCs w:val="24"/>
        </w:rPr>
        <w:t>од 36 ЈЛС</w:t>
      </w:r>
      <w:r w:rsidR="009A5C9B" w:rsidRPr="00860DEE">
        <w:rPr>
          <w:sz w:val="24"/>
          <w:szCs w:val="24"/>
        </w:rPr>
        <w:t xml:space="preserve"> које су доставиле одговор у вези са поменутим питањем, </w:t>
      </w:r>
      <w:r w:rsidRPr="00860DEE">
        <w:rPr>
          <w:sz w:val="24"/>
          <w:szCs w:val="24"/>
        </w:rPr>
        <w:t xml:space="preserve">16 ЈЛС дало потврдан одговор (44,44%), док је одричан одговор дало 20 ЈЛС (55,56%). </w:t>
      </w:r>
    </w:p>
    <w:p w:rsidR="00637F15" w:rsidRPr="00860DEE" w:rsidRDefault="009A5C9B" w:rsidP="00637F15">
      <w:pPr>
        <w:pStyle w:val="BodyText"/>
        <w:widowControl w:val="0"/>
        <w:spacing w:after="0" w:line="266" w:lineRule="auto"/>
        <w:ind w:firstLine="720"/>
        <w:jc w:val="both"/>
        <w:rPr>
          <w:sz w:val="24"/>
          <w:szCs w:val="24"/>
        </w:rPr>
      </w:pPr>
      <w:r w:rsidRPr="00860DEE">
        <w:rPr>
          <w:sz w:val="24"/>
          <w:szCs w:val="24"/>
          <w:lang w:val="sr-Cyrl-RS"/>
        </w:rPr>
        <w:t>Анализа</w:t>
      </w:r>
      <w:r w:rsidR="00860DEE" w:rsidRPr="00860DEE">
        <w:rPr>
          <w:sz w:val="24"/>
          <w:szCs w:val="24"/>
          <w:lang w:val="sr-Cyrl-RS"/>
        </w:rPr>
        <w:t xml:space="preserve"> </w:t>
      </w:r>
      <w:r w:rsidRPr="00860DEE">
        <w:rPr>
          <w:sz w:val="24"/>
          <w:szCs w:val="24"/>
          <w:lang w:val="sr-Cyrl-RS"/>
        </w:rPr>
        <w:t>показ</w:t>
      </w:r>
      <w:r w:rsidR="00860DEE" w:rsidRPr="00860DEE">
        <w:rPr>
          <w:sz w:val="24"/>
          <w:szCs w:val="24"/>
          <w:lang w:val="sr-Cyrl-RS"/>
        </w:rPr>
        <w:t>у</w:t>
      </w:r>
      <w:r w:rsidRPr="00860DEE">
        <w:rPr>
          <w:sz w:val="24"/>
          <w:szCs w:val="24"/>
          <w:lang w:val="sr-Cyrl-RS"/>
        </w:rPr>
        <w:t>је да се р</w:t>
      </w:r>
      <w:r w:rsidR="00637F15" w:rsidRPr="00860DEE">
        <w:rPr>
          <w:sz w:val="24"/>
          <w:szCs w:val="24"/>
        </w:rPr>
        <w:t xml:space="preserve">азлози за </w:t>
      </w:r>
      <w:r w:rsidR="00637F15" w:rsidRPr="00860DEE">
        <w:rPr>
          <w:sz w:val="24"/>
          <w:szCs w:val="24"/>
          <w:lang w:val="sr-Cyrl-RS"/>
        </w:rPr>
        <w:t>непотпуну</w:t>
      </w:r>
      <w:r w:rsidR="00637F15" w:rsidRPr="00860DEE">
        <w:rPr>
          <w:sz w:val="24"/>
          <w:szCs w:val="24"/>
        </w:rPr>
        <w:t xml:space="preserve"> примен</w:t>
      </w:r>
      <w:r w:rsidR="00637F15" w:rsidRPr="00860DEE">
        <w:rPr>
          <w:sz w:val="24"/>
          <w:szCs w:val="24"/>
          <w:lang w:val="sr-Cyrl-RS"/>
        </w:rPr>
        <w:t>у</w:t>
      </w:r>
      <w:r w:rsidR="00637F15" w:rsidRPr="00860DEE">
        <w:rPr>
          <w:sz w:val="24"/>
          <w:szCs w:val="24"/>
        </w:rPr>
        <w:t xml:space="preserve"> ове уредбе могу наћи</w:t>
      </w:r>
      <w:r w:rsidR="00637F15" w:rsidRPr="00860DEE">
        <w:rPr>
          <w:sz w:val="24"/>
          <w:szCs w:val="24"/>
          <w:lang w:val="sr-Cyrl-RS"/>
        </w:rPr>
        <w:t>,</w:t>
      </w:r>
      <w:r w:rsidR="00637F15" w:rsidRPr="00860DEE">
        <w:rPr>
          <w:sz w:val="24"/>
          <w:szCs w:val="24"/>
        </w:rPr>
        <w:t xml:space="preserve"> пре </w:t>
      </w:r>
      <w:r w:rsidR="00637F15" w:rsidRPr="00860DEE">
        <w:rPr>
          <w:sz w:val="24"/>
          <w:szCs w:val="24"/>
        </w:rPr>
        <w:lastRenderedPageBreak/>
        <w:t>свега, у забрани запошљавања у јавном сектору, која је уведена Законом о начину одређивања максималног броја запослених у јавном сектору</w:t>
      </w:r>
      <w:r w:rsidRPr="00860DEE">
        <w:rPr>
          <w:sz w:val="24"/>
          <w:szCs w:val="24"/>
          <w:lang w:val="sr-Cyrl-RS"/>
        </w:rPr>
        <w:t>,</w:t>
      </w:r>
      <w:r w:rsidR="00637F15" w:rsidRPr="00860DEE">
        <w:rPr>
          <w:sz w:val="24"/>
          <w:szCs w:val="24"/>
        </w:rPr>
        <w:t xml:space="preserve"> који је престао да се примењује 31. децембра 2019. године</w:t>
      </w:r>
      <w:r w:rsidRPr="00860DEE">
        <w:rPr>
          <w:sz w:val="24"/>
          <w:szCs w:val="24"/>
          <w:lang w:val="sr-Cyrl-RS"/>
        </w:rPr>
        <w:t>, али се</w:t>
      </w:r>
      <w:r w:rsidR="00637F15" w:rsidRPr="00860DEE">
        <w:rPr>
          <w:sz w:val="24"/>
          <w:szCs w:val="24"/>
        </w:rPr>
        <w:t xml:space="preserve"> наставила ограничењем кој</w:t>
      </w:r>
      <w:r w:rsidR="00860DEE" w:rsidRPr="00860DEE">
        <w:rPr>
          <w:sz w:val="24"/>
          <w:szCs w:val="24"/>
          <w:lang w:val="sr-Cyrl-RS"/>
        </w:rPr>
        <w:t>е</w:t>
      </w:r>
      <w:r w:rsidR="00637F15" w:rsidRPr="00860DEE">
        <w:rPr>
          <w:sz w:val="24"/>
          <w:szCs w:val="24"/>
        </w:rPr>
        <w:t xml:space="preserve"> прописује </w:t>
      </w:r>
      <w:r w:rsidR="00860DEE" w:rsidRPr="00860DEE">
        <w:rPr>
          <w:sz w:val="24"/>
          <w:szCs w:val="24"/>
          <w:lang w:val="sr-Cyrl-RS"/>
        </w:rPr>
        <w:t>з</w:t>
      </w:r>
      <w:r w:rsidR="00637F15" w:rsidRPr="00860DEE">
        <w:rPr>
          <w:sz w:val="24"/>
          <w:szCs w:val="24"/>
        </w:rPr>
        <w:t xml:space="preserve">акон </w:t>
      </w:r>
      <w:r w:rsidR="00860DEE" w:rsidRPr="00860DEE">
        <w:rPr>
          <w:sz w:val="24"/>
          <w:szCs w:val="24"/>
          <w:lang w:val="sr-Cyrl-RS"/>
        </w:rPr>
        <w:t>који уређује</w:t>
      </w:r>
      <w:r w:rsidR="00637F15" w:rsidRPr="00860DEE">
        <w:rPr>
          <w:sz w:val="24"/>
          <w:szCs w:val="24"/>
        </w:rPr>
        <w:t xml:space="preserve"> буџетск</w:t>
      </w:r>
      <w:r w:rsidR="00860DEE" w:rsidRPr="00860DEE">
        <w:rPr>
          <w:sz w:val="24"/>
          <w:szCs w:val="24"/>
          <w:lang w:val="sr-Cyrl-RS"/>
        </w:rPr>
        <w:t>и</w:t>
      </w:r>
      <w:r w:rsidR="00637F15" w:rsidRPr="00860DEE">
        <w:rPr>
          <w:sz w:val="24"/>
          <w:szCs w:val="24"/>
        </w:rPr>
        <w:t xml:space="preserve"> систем, у смислу да је потребно прибавити сагласност од Комисије за давање сагласности за ново запошљавање и додатно радно ангажовање за свако ново запошљавање. </w:t>
      </w:r>
    </w:p>
    <w:p w:rsidR="00637F15" w:rsidRPr="00860DEE" w:rsidRDefault="00637F15" w:rsidP="00637F15">
      <w:pPr>
        <w:pStyle w:val="BodyText"/>
        <w:widowControl w:val="0"/>
        <w:spacing w:after="0" w:line="266" w:lineRule="auto"/>
        <w:ind w:firstLine="720"/>
        <w:jc w:val="both"/>
        <w:rPr>
          <w:sz w:val="24"/>
          <w:szCs w:val="24"/>
        </w:rPr>
      </w:pPr>
      <w:r w:rsidRPr="00860DEE">
        <w:rPr>
          <w:sz w:val="24"/>
          <w:szCs w:val="24"/>
          <w:lang w:val="sr-Cyrl-RS"/>
        </w:rPr>
        <w:t>Осим тога, ј</w:t>
      </w:r>
      <w:r w:rsidRPr="00860DEE">
        <w:rPr>
          <w:sz w:val="24"/>
          <w:szCs w:val="24"/>
        </w:rPr>
        <w:t xml:space="preserve">едан број ЈЛС већ има адекватну заступљеност припадника националних мањина у органима ЈЛС, те с тим у вези нема потребе за применом прописаних афирмативних мера. Поред тога, један од значајних разлога за непоступање ЈЛС по прописаним афирмативним мерама јесте недовољан проценат запослених који су се изјаснили о својој националној припадности (потребно је да се бар 30% укупног броја запослених изјасни о својој националној припадности), што представља предуслов за правилну примену наведених одредби којима су прописане афирмативне мере за запошљавање припадника националних мањина. Анализом су </w:t>
      </w:r>
      <w:r w:rsidR="00860DEE" w:rsidRPr="00860DEE">
        <w:rPr>
          <w:sz w:val="24"/>
          <w:szCs w:val="24"/>
          <w:lang w:val="sr-Cyrl-RS"/>
        </w:rPr>
        <w:t xml:space="preserve">такође </w:t>
      </w:r>
      <w:r w:rsidRPr="00860DEE">
        <w:rPr>
          <w:sz w:val="24"/>
          <w:szCs w:val="24"/>
        </w:rPr>
        <w:t>дате и препоруке ЈЛС за унапређење примене наведених прописа.</w:t>
      </w:r>
    </w:p>
    <w:p w:rsidR="00003A66" w:rsidRPr="006B0D9E" w:rsidRDefault="00003A66" w:rsidP="00936566">
      <w:pPr>
        <w:pStyle w:val="BodyText"/>
        <w:widowControl w:val="0"/>
        <w:tabs>
          <w:tab w:val="left" w:pos="3154"/>
        </w:tabs>
        <w:spacing w:after="0" w:line="266" w:lineRule="auto"/>
        <w:jc w:val="both"/>
        <w:rPr>
          <w:highlight w:val="yellow"/>
        </w:rPr>
      </w:pPr>
    </w:p>
    <w:p w:rsidR="00D135BF" w:rsidRDefault="00D135BF" w:rsidP="00D135BF">
      <w:pPr>
        <w:pStyle w:val="Heading1"/>
      </w:pPr>
      <w:bookmarkStart w:id="6" w:name="_Toc111191322"/>
      <w:r w:rsidRPr="00D135BF">
        <w:t>IV. Даље мере које су предузете за унапређење примене Оквирне конвенције</w:t>
      </w:r>
      <w:bookmarkEnd w:id="6"/>
    </w:p>
    <w:p w:rsidR="0077600F" w:rsidRDefault="0077600F" w:rsidP="0077600F">
      <w:pPr>
        <w:rPr>
          <w:lang w:val="sr-Cyrl-CS"/>
        </w:rPr>
      </w:pPr>
    </w:p>
    <w:p w:rsidR="0077600F" w:rsidRPr="0032712F" w:rsidRDefault="0077600F" w:rsidP="006B575F">
      <w:pPr>
        <w:spacing w:after="0"/>
        <w:jc w:val="both"/>
        <w:rPr>
          <w:b/>
          <w:sz w:val="24"/>
          <w:szCs w:val="24"/>
          <w:lang w:val="sr-Cyrl-RS"/>
        </w:rPr>
      </w:pPr>
      <w:r w:rsidRPr="0032712F">
        <w:rPr>
          <w:b/>
          <w:sz w:val="24"/>
          <w:szCs w:val="24"/>
          <w:lang w:val="sr-Cyrl-RS"/>
        </w:rPr>
        <w:t>а. Мере подузете за имплементацију препорука садржаних у Делу 2 — „Даље препоруке“ Резолуције Комитета министара</w:t>
      </w:r>
    </w:p>
    <w:p w:rsidR="006B575F" w:rsidRPr="006B575F" w:rsidRDefault="006B575F" w:rsidP="006B575F">
      <w:pPr>
        <w:spacing w:after="0"/>
        <w:jc w:val="both"/>
        <w:rPr>
          <w:sz w:val="24"/>
          <w:szCs w:val="24"/>
          <w:lang w:val="sr-Cyrl-CS"/>
        </w:rPr>
      </w:pPr>
    </w:p>
    <w:p w:rsidR="00D135BF" w:rsidRDefault="00D135BF" w:rsidP="006B575F">
      <w:pPr>
        <w:spacing w:after="0"/>
        <w:jc w:val="both"/>
        <w:rPr>
          <w:i/>
          <w:sz w:val="24"/>
          <w:szCs w:val="24"/>
          <w:lang w:val="sr-Cyrl-RS"/>
        </w:rPr>
      </w:pPr>
      <w:r w:rsidRPr="008B4F2C">
        <w:rPr>
          <w:i/>
          <w:sz w:val="24"/>
          <w:szCs w:val="24"/>
          <w:lang w:val="sr-Cyrl-RS"/>
        </w:rPr>
        <w:t>6. Покренути информативну кампању знатно пре следећег пописа, која је посебно усмерена на припаднике националних мањина, којом би се подигла њихова свест о њиховом интересу за учешће у попису, укључујући и могућност вишеструке припадности, као и о предностима учешћа у попису, и о њиховим одговарајућим правима, у циљу успешног комбиновања заштите и промовисања мањинских права уз прикупљање поузданих информација о етничком саставу становништва.</w:t>
      </w:r>
    </w:p>
    <w:p w:rsidR="00D135BF" w:rsidRDefault="00D135BF" w:rsidP="00D135BF">
      <w:pPr>
        <w:spacing w:after="0"/>
        <w:jc w:val="both"/>
        <w:rPr>
          <w:i/>
          <w:sz w:val="24"/>
          <w:szCs w:val="24"/>
          <w:lang w:val="sr-Cyrl-RS"/>
        </w:rPr>
      </w:pPr>
    </w:p>
    <w:p w:rsidR="00D135BF" w:rsidRPr="008B4F2C" w:rsidRDefault="00D135BF" w:rsidP="00D135BF">
      <w:pPr>
        <w:spacing w:after="0"/>
        <w:ind w:firstLine="720"/>
        <w:jc w:val="both"/>
        <w:rPr>
          <w:sz w:val="24"/>
          <w:szCs w:val="24"/>
          <w:lang w:val="sr-Cyrl-RS"/>
        </w:rPr>
      </w:pPr>
      <w:r w:rsidRPr="008B4F2C">
        <w:rPr>
          <w:sz w:val="24"/>
          <w:szCs w:val="24"/>
          <w:lang w:val="sr-Cyrl-RS"/>
        </w:rPr>
        <w:t>Попис становништва, домаћинстава и станова у Републици С</w:t>
      </w:r>
      <w:r w:rsidR="00CC11E2">
        <w:rPr>
          <w:sz w:val="24"/>
          <w:szCs w:val="24"/>
          <w:lang w:val="sr-Cyrl-RS"/>
        </w:rPr>
        <w:t>рбији је због неповољне епидемиолошке</w:t>
      </w:r>
      <w:r w:rsidRPr="008B4F2C">
        <w:rPr>
          <w:sz w:val="24"/>
          <w:szCs w:val="24"/>
          <w:lang w:val="sr-Cyrl-RS"/>
        </w:rPr>
        <w:t xml:space="preserve"> ситуације изазване пандемијом </w:t>
      </w:r>
      <w:r w:rsidR="0046735E">
        <w:rPr>
          <w:sz w:val="24"/>
          <w:szCs w:val="24"/>
          <w:lang w:val="sr-Cyrl-RS"/>
        </w:rPr>
        <w:t>КОВИД</w:t>
      </w:r>
      <w:r w:rsidRPr="008B4F2C">
        <w:rPr>
          <w:sz w:val="24"/>
          <w:szCs w:val="24"/>
          <w:lang w:val="sr-Cyrl-RS"/>
        </w:rPr>
        <w:t xml:space="preserve">-19 одложен за октобар 2022. године, услед чега је одложен значајан број припремних активности, укључујући и активности у вези са медијском кампањом. </w:t>
      </w:r>
    </w:p>
    <w:p w:rsidR="00D135BF" w:rsidRDefault="00D135BF" w:rsidP="00D135BF">
      <w:pPr>
        <w:spacing w:after="0"/>
        <w:ind w:firstLine="720"/>
        <w:jc w:val="both"/>
        <w:rPr>
          <w:sz w:val="24"/>
          <w:szCs w:val="24"/>
          <w:lang w:val="sr-Cyrl-RS"/>
        </w:rPr>
      </w:pPr>
      <w:r>
        <w:rPr>
          <w:sz w:val="24"/>
          <w:szCs w:val="24"/>
          <w:lang w:val="sr-Cyrl-RS"/>
        </w:rPr>
        <w:t xml:space="preserve">Републички завод за статистику </w:t>
      </w:r>
      <w:r w:rsidRPr="008B4F2C">
        <w:rPr>
          <w:sz w:val="24"/>
          <w:szCs w:val="24"/>
          <w:lang w:val="sr-Cyrl-RS"/>
        </w:rPr>
        <w:t xml:space="preserve">је из средстава опредељених за Попис ангажовао специјализовану агенцију која припрема и реализује медијску кампању. Кампања за Попис 2022. ће, као и у претходном попису, на националном нивоу бити јединствена, на српском језику, док ће се на језике националних мањина преводити промотивни материјали за коришћење на локалном нивоу (билборди, флајери и сл.). Један од промотивних канала је и специјализовани </w:t>
      </w:r>
      <w:r w:rsidR="0046735E">
        <w:rPr>
          <w:sz w:val="24"/>
          <w:szCs w:val="24"/>
          <w:lang w:val="sr-Cyrl-RS"/>
        </w:rPr>
        <w:t>в</w:t>
      </w:r>
      <w:r w:rsidRPr="008B4F2C">
        <w:rPr>
          <w:sz w:val="24"/>
          <w:szCs w:val="24"/>
          <w:lang w:val="sr-Cyrl-RS"/>
        </w:rPr>
        <w:t>еб сајт Пописа, који ће садржати све релевантне информације о значају пописа, начину прикупљања и коришћења пописних података, заштити пописних података, садржају пописних упитника, могућностима учествовања у попису</w:t>
      </w:r>
      <w:r w:rsidR="009F4C14">
        <w:rPr>
          <w:sz w:val="24"/>
          <w:szCs w:val="24"/>
          <w:lang w:val="sr-Cyrl-RS"/>
        </w:rPr>
        <w:t>,</w:t>
      </w:r>
      <w:r w:rsidRPr="008B4F2C">
        <w:rPr>
          <w:sz w:val="24"/>
          <w:szCs w:val="24"/>
          <w:lang w:val="sr-Cyrl-RS"/>
        </w:rPr>
        <w:t xml:space="preserve"> итд. Комплетан садржај пописног сајта биће доступан на српском (ћирилица и латиница) и енглеском језику, док ће </w:t>
      </w:r>
      <w:r w:rsidRPr="009F4C14">
        <w:rPr>
          <w:sz w:val="24"/>
          <w:szCs w:val="24"/>
          <w:lang w:val="sr-Cyrl-RS"/>
        </w:rPr>
        <w:t>мето</w:t>
      </w:r>
      <w:r w:rsidR="00CC11E2" w:rsidRPr="009F4C14">
        <w:rPr>
          <w:sz w:val="24"/>
          <w:szCs w:val="24"/>
          <w:lang w:val="sr-Cyrl-RS"/>
        </w:rPr>
        <w:t>до</w:t>
      </w:r>
      <w:r w:rsidRPr="009F4C14">
        <w:rPr>
          <w:sz w:val="24"/>
          <w:szCs w:val="24"/>
          <w:lang w:val="sr-Cyrl-RS"/>
        </w:rPr>
        <w:t>лошка објашњења, пописни упитници, јавни позив и други материјали од значаја за националне мањине бити доступни и на језицима националних мањина.</w:t>
      </w:r>
      <w:r w:rsidRPr="008B4F2C">
        <w:rPr>
          <w:sz w:val="24"/>
          <w:szCs w:val="24"/>
          <w:lang w:val="sr-Cyrl-RS"/>
        </w:rPr>
        <w:t xml:space="preserve"> Поред тога, предвиђено је да се промоција </w:t>
      </w:r>
      <w:r w:rsidRPr="008B4F2C">
        <w:rPr>
          <w:sz w:val="24"/>
          <w:szCs w:val="24"/>
          <w:lang w:val="sr-Cyrl-RS"/>
        </w:rPr>
        <w:lastRenderedPageBreak/>
        <w:t>пописа и подизања свести грађана о значају прикупљања пописних података, реализује и кроз јавна обраћања релевантних личности из различитих друштвених сфера путем штампаних и електронских медија или путем предавања, трибина и сл.</w:t>
      </w:r>
      <w:r>
        <w:rPr>
          <w:sz w:val="24"/>
          <w:szCs w:val="24"/>
          <w:lang w:val="sr-Cyrl-RS"/>
        </w:rPr>
        <w:t>,</w:t>
      </w:r>
      <w:r w:rsidRPr="008B4F2C">
        <w:rPr>
          <w:sz w:val="24"/>
          <w:szCs w:val="24"/>
          <w:lang w:val="sr-Cyrl-RS"/>
        </w:rPr>
        <w:t xml:space="preserve"> што може бити прилика и за представнике националних мањина да се обрате својим циљним групама и истакну значај пописних података за оставаривање права националних мањина. Такође, национални савети </w:t>
      </w:r>
      <w:r w:rsidR="00CC11E2">
        <w:rPr>
          <w:sz w:val="24"/>
          <w:szCs w:val="24"/>
          <w:lang w:val="sr-Cyrl-RS"/>
        </w:rPr>
        <w:t xml:space="preserve">ће </w:t>
      </w:r>
      <w:r w:rsidRPr="008B4F2C">
        <w:rPr>
          <w:sz w:val="24"/>
          <w:szCs w:val="24"/>
          <w:lang w:val="sr-Cyrl-RS"/>
        </w:rPr>
        <w:t>организ</w:t>
      </w:r>
      <w:r w:rsidR="00CC11E2">
        <w:rPr>
          <w:sz w:val="24"/>
          <w:szCs w:val="24"/>
          <w:lang w:val="sr-Cyrl-RS"/>
        </w:rPr>
        <w:t xml:space="preserve">овати </w:t>
      </w:r>
      <w:r w:rsidRPr="008B4F2C">
        <w:rPr>
          <w:sz w:val="24"/>
          <w:szCs w:val="24"/>
          <w:lang w:val="sr-Cyrl-RS"/>
        </w:rPr>
        <w:t xml:space="preserve">посебне скупове у циљу промоције пописа, а </w:t>
      </w:r>
      <w:r>
        <w:rPr>
          <w:sz w:val="24"/>
          <w:szCs w:val="24"/>
          <w:lang w:val="sr-Cyrl-RS"/>
        </w:rPr>
        <w:t>Завод</w:t>
      </w:r>
      <w:r w:rsidRPr="008B4F2C">
        <w:rPr>
          <w:sz w:val="24"/>
          <w:szCs w:val="24"/>
          <w:lang w:val="sr-Cyrl-RS"/>
        </w:rPr>
        <w:t xml:space="preserve"> је отворен да помогне свима делегирањем својих представника.</w:t>
      </w:r>
    </w:p>
    <w:p w:rsidR="00427AED" w:rsidRPr="00427AED" w:rsidRDefault="00427AED" w:rsidP="00427AED">
      <w:pPr>
        <w:spacing w:after="0"/>
        <w:ind w:firstLine="720"/>
        <w:jc w:val="both"/>
        <w:rPr>
          <w:sz w:val="24"/>
          <w:szCs w:val="24"/>
          <w:lang w:val="sr-Cyrl-RS"/>
        </w:rPr>
      </w:pPr>
      <w:r w:rsidRPr="00427AED">
        <w:rPr>
          <w:sz w:val="24"/>
          <w:szCs w:val="24"/>
          <w:lang w:val="sr-Cyrl-RS"/>
        </w:rPr>
        <w:t xml:space="preserve">Промоцију пописа и кампању информисања припадника националних мањина о свим значајним аспектима спровођења пописа, могућностима учествовања у прикупљању података, значају акције и правима и слободама припадника националних мањина </w:t>
      </w:r>
      <w:r>
        <w:rPr>
          <w:sz w:val="24"/>
          <w:szCs w:val="24"/>
          <w:lang w:val="sr-Cyrl-RS"/>
        </w:rPr>
        <w:t>Завод</w:t>
      </w:r>
      <w:r w:rsidRPr="00427AED">
        <w:rPr>
          <w:sz w:val="24"/>
          <w:szCs w:val="24"/>
          <w:lang w:val="sr-Cyrl-RS"/>
        </w:rPr>
        <w:t xml:space="preserve"> је почео значајно пре званичне медијске кампање, у току четвр</w:t>
      </w:r>
      <w:r w:rsidR="006D1FA1">
        <w:rPr>
          <w:sz w:val="24"/>
          <w:szCs w:val="24"/>
          <w:lang w:val="sr-Cyrl-RS"/>
        </w:rPr>
        <w:t>т</w:t>
      </w:r>
      <w:r w:rsidRPr="00427AED">
        <w:rPr>
          <w:sz w:val="24"/>
          <w:szCs w:val="24"/>
          <w:lang w:val="sr-Cyrl-RS"/>
        </w:rPr>
        <w:t xml:space="preserve">ог квартала 2021. године. У сарадњи са </w:t>
      </w:r>
      <w:r>
        <w:rPr>
          <w:sz w:val="24"/>
          <w:szCs w:val="24"/>
          <w:lang w:val="sr-Cyrl-RS"/>
        </w:rPr>
        <w:t>ОЕБС</w:t>
      </w:r>
      <w:r w:rsidRPr="00427AED">
        <w:rPr>
          <w:sz w:val="24"/>
          <w:szCs w:val="24"/>
          <w:lang w:val="sr-Cyrl-RS"/>
        </w:rPr>
        <w:t xml:space="preserve">-ом реализоване </w:t>
      </w:r>
      <w:r>
        <w:rPr>
          <w:sz w:val="24"/>
          <w:szCs w:val="24"/>
          <w:lang w:val="sr-Cyrl-RS"/>
        </w:rPr>
        <w:t xml:space="preserve">су </w:t>
      </w:r>
      <w:r w:rsidRPr="00427AED">
        <w:rPr>
          <w:sz w:val="24"/>
          <w:szCs w:val="24"/>
          <w:lang w:val="sr-Cyrl-RS"/>
        </w:rPr>
        <w:t xml:space="preserve">три радионице на којима су родитељи деце која користе услуге свратишта, претежно припадници ромске националне мањине, упознати са основним карактеристикама и значајем пописа. </w:t>
      </w:r>
      <w:r>
        <w:rPr>
          <w:sz w:val="24"/>
          <w:szCs w:val="24"/>
          <w:lang w:val="sr-Cyrl-RS"/>
        </w:rPr>
        <w:t>Осим тога, у</w:t>
      </w:r>
      <w:r w:rsidRPr="00427AED">
        <w:rPr>
          <w:sz w:val="24"/>
          <w:szCs w:val="24"/>
          <w:lang w:val="sr-Cyrl-RS"/>
        </w:rPr>
        <w:t xml:space="preserve"> организацији </w:t>
      </w:r>
      <w:r>
        <w:rPr>
          <w:sz w:val="24"/>
          <w:szCs w:val="24"/>
          <w:lang w:val="sr-Cyrl-RS"/>
        </w:rPr>
        <w:t>Националног савета бошњачке националне мањине</w:t>
      </w:r>
      <w:r w:rsidRPr="00427AED">
        <w:rPr>
          <w:sz w:val="24"/>
          <w:szCs w:val="24"/>
          <w:lang w:val="sr-Cyrl-RS"/>
        </w:rPr>
        <w:t xml:space="preserve"> одржан је састанак у Новом Пазару на којем се са представницима бошњачке националне мањине из више </w:t>
      </w:r>
      <w:r>
        <w:rPr>
          <w:sz w:val="24"/>
          <w:szCs w:val="24"/>
          <w:lang w:val="sr-Cyrl-RS"/>
        </w:rPr>
        <w:t>јединица локалне самоуправе</w:t>
      </w:r>
      <w:r w:rsidRPr="00427AED">
        <w:rPr>
          <w:sz w:val="24"/>
          <w:szCs w:val="24"/>
          <w:lang w:val="sr-Cyrl-RS"/>
        </w:rPr>
        <w:t xml:space="preserve"> разговарало о значају пописа, начину прикупљања пописних података, </w:t>
      </w:r>
      <w:r w:rsidR="009F4C14">
        <w:rPr>
          <w:sz w:val="24"/>
          <w:szCs w:val="24"/>
          <w:lang w:val="sr-Cyrl-RS"/>
        </w:rPr>
        <w:t>као и о другим питањима од значаја за спровођење пописа</w:t>
      </w:r>
      <w:r w:rsidRPr="00427AED">
        <w:rPr>
          <w:sz w:val="24"/>
          <w:szCs w:val="24"/>
          <w:lang w:val="sr-Cyrl-RS"/>
        </w:rPr>
        <w:t xml:space="preserve">. </w:t>
      </w:r>
      <w:r>
        <w:rPr>
          <w:sz w:val="24"/>
          <w:szCs w:val="24"/>
          <w:lang w:val="sr-Cyrl-RS"/>
        </w:rPr>
        <w:t>Сви н</w:t>
      </w:r>
      <w:r w:rsidRPr="00427AED">
        <w:rPr>
          <w:sz w:val="24"/>
          <w:szCs w:val="24"/>
          <w:lang w:val="sr-Cyrl-RS"/>
        </w:rPr>
        <w:t xml:space="preserve">ационални савети су информисани о томе да су представници </w:t>
      </w:r>
      <w:r>
        <w:rPr>
          <w:sz w:val="24"/>
          <w:szCs w:val="24"/>
          <w:lang w:val="sr-Cyrl-RS"/>
        </w:rPr>
        <w:t>Завода</w:t>
      </w:r>
      <w:r w:rsidRPr="00427AED">
        <w:rPr>
          <w:sz w:val="24"/>
          <w:szCs w:val="24"/>
          <w:lang w:val="sr-Cyrl-RS"/>
        </w:rPr>
        <w:t xml:space="preserve"> на располагању да учествују у свим радионицама, трибинама и састанцима које национални савети организују у циљу што бољег информисања припадника националних</w:t>
      </w:r>
      <w:r w:rsidR="003E5BD1">
        <w:rPr>
          <w:sz w:val="24"/>
          <w:szCs w:val="24"/>
          <w:lang w:val="sr-Cyrl-RS"/>
        </w:rPr>
        <w:t xml:space="preserve"> мањина</w:t>
      </w:r>
      <w:r w:rsidRPr="00427AED">
        <w:rPr>
          <w:sz w:val="24"/>
          <w:szCs w:val="24"/>
          <w:lang w:val="sr-Cyrl-RS"/>
        </w:rPr>
        <w:t>.</w:t>
      </w:r>
    </w:p>
    <w:p w:rsidR="00427AED" w:rsidRDefault="00427AED" w:rsidP="00427AED">
      <w:pPr>
        <w:spacing w:after="0"/>
        <w:ind w:firstLine="720"/>
        <w:jc w:val="both"/>
        <w:rPr>
          <w:sz w:val="24"/>
          <w:szCs w:val="24"/>
          <w:lang w:val="sr-Cyrl-RS"/>
        </w:rPr>
      </w:pPr>
      <w:r w:rsidRPr="00427AED">
        <w:rPr>
          <w:sz w:val="24"/>
          <w:szCs w:val="24"/>
          <w:lang w:val="sr-Cyrl-RS"/>
        </w:rPr>
        <w:t xml:space="preserve">Званично ће медијска промоција пописа започети у мају 2022. године, када ће </w:t>
      </w:r>
      <w:r>
        <w:rPr>
          <w:sz w:val="24"/>
          <w:szCs w:val="24"/>
          <w:lang w:val="sr-Cyrl-RS"/>
        </w:rPr>
        <w:t>Завод</w:t>
      </w:r>
      <w:r w:rsidRPr="00427AED">
        <w:rPr>
          <w:sz w:val="24"/>
          <w:szCs w:val="24"/>
          <w:lang w:val="sr-Cyrl-RS"/>
        </w:rPr>
        <w:t xml:space="preserve"> почети и са реализацијом јединствене националне кампање намењене припадницима националних мањина. У организацији Министарства за људска и мањинска права и друштвени дијалог очекује се припрема посебних информативних кампања на језицима и писмима националних мањина у складу са оперативним планом медијске кампање </w:t>
      </w:r>
      <w:r>
        <w:rPr>
          <w:sz w:val="24"/>
          <w:szCs w:val="24"/>
          <w:lang w:val="sr-Cyrl-RS"/>
        </w:rPr>
        <w:t>Завода</w:t>
      </w:r>
      <w:r w:rsidRPr="00427AED">
        <w:rPr>
          <w:sz w:val="24"/>
          <w:szCs w:val="24"/>
          <w:lang w:val="sr-Cyrl-RS"/>
        </w:rPr>
        <w:t>.</w:t>
      </w:r>
    </w:p>
    <w:p w:rsidR="00427AED" w:rsidRPr="008B4F2C" w:rsidRDefault="00427AED" w:rsidP="00D135BF">
      <w:pPr>
        <w:spacing w:after="0"/>
        <w:ind w:firstLine="720"/>
        <w:jc w:val="both"/>
        <w:rPr>
          <w:sz w:val="24"/>
          <w:szCs w:val="24"/>
          <w:lang w:val="sr-Cyrl-RS"/>
        </w:rPr>
      </w:pPr>
    </w:p>
    <w:p w:rsidR="00D135BF" w:rsidRDefault="00D135BF" w:rsidP="00D135BF">
      <w:pPr>
        <w:spacing w:after="0"/>
        <w:jc w:val="both"/>
        <w:rPr>
          <w:i/>
          <w:sz w:val="24"/>
          <w:szCs w:val="24"/>
          <w:lang w:val="sr-Cyrl-RS"/>
        </w:rPr>
      </w:pPr>
      <w:r w:rsidRPr="00E019A6">
        <w:rPr>
          <w:i/>
          <w:sz w:val="24"/>
          <w:szCs w:val="24"/>
          <w:lang w:val="sr-Cyrl-RS"/>
        </w:rPr>
        <w:t>7. Обезбедити ефективно учешће припадника националних мањина у планирању пописне методологије и у организацији и функционисању таквих процеса, укључујући и пописиваче; објавити све информације о пописној методологији и циљу прикупљања података на језицима националних мањина.</w:t>
      </w:r>
    </w:p>
    <w:p w:rsidR="00D135BF" w:rsidRPr="00E019A6" w:rsidRDefault="00D135BF" w:rsidP="00D135BF">
      <w:pPr>
        <w:spacing w:after="0"/>
        <w:jc w:val="both"/>
        <w:rPr>
          <w:i/>
          <w:sz w:val="24"/>
          <w:szCs w:val="24"/>
          <w:lang w:val="sr-Cyrl-RS"/>
        </w:rPr>
      </w:pPr>
    </w:p>
    <w:p w:rsidR="003E5BD1" w:rsidRDefault="00D135BF" w:rsidP="003E5BD1">
      <w:pPr>
        <w:spacing w:after="0"/>
        <w:ind w:firstLine="720"/>
        <w:jc w:val="both"/>
        <w:rPr>
          <w:sz w:val="24"/>
          <w:szCs w:val="24"/>
          <w:lang w:val="sr-Cyrl-RS"/>
        </w:rPr>
      </w:pPr>
      <w:r w:rsidRPr="00E019A6">
        <w:rPr>
          <w:sz w:val="24"/>
          <w:szCs w:val="24"/>
          <w:lang w:val="sr-Cyrl-RS"/>
        </w:rPr>
        <w:t xml:space="preserve">Пописна методологија </w:t>
      </w:r>
      <w:r w:rsidR="0088779A">
        <w:rPr>
          <w:sz w:val="24"/>
          <w:szCs w:val="24"/>
          <w:lang w:val="sr-Cyrl-RS"/>
        </w:rPr>
        <w:t xml:space="preserve">за Попис 2022. године </w:t>
      </w:r>
      <w:r w:rsidRPr="00E019A6">
        <w:rPr>
          <w:sz w:val="24"/>
          <w:szCs w:val="24"/>
          <w:lang w:val="sr-Cyrl-RS"/>
        </w:rPr>
        <w:t xml:space="preserve">је у потпуности у складу са међународним препорукама које су заједно припрмили </w:t>
      </w:r>
      <w:r w:rsidRPr="00E019A6">
        <w:rPr>
          <w:sz w:val="24"/>
          <w:szCs w:val="24"/>
        </w:rPr>
        <w:t xml:space="preserve">UNECE </w:t>
      </w:r>
      <w:r w:rsidRPr="00E019A6">
        <w:rPr>
          <w:sz w:val="24"/>
          <w:szCs w:val="24"/>
          <w:lang w:val="sr-Cyrl-RS"/>
        </w:rPr>
        <w:t>и Евростат, а усвојила Конференција европских статистичара</w:t>
      </w:r>
      <w:r>
        <w:rPr>
          <w:sz w:val="24"/>
          <w:szCs w:val="24"/>
          <w:lang w:val="sr-Cyrl-RS"/>
        </w:rPr>
        <w:t>,</w:t>
      </w:r>
      <w:r>
        <w:rPr>
          <w:rStyle w:val="FootnoteReference"/>
          <w:sz w:val="24"/>
          <w:szCs w:val="24"/>
          <w:lang w:val="sr-Cyrl-RS"/>
        </w:rPr>
        <w:footnoteReference w:id="48"/>
      </w:r>
      <w:r w:rsidRPr="00E019A6">
        <w:rPr>
          <w:sz w:val="24"/>
          <w:szCs w:val="24"/>
          <w:lang w:val="sr-Cyrl-RS"/>
        </w:rPr>
        <w:t xml:space="preserve"> </w:t>
      </w:r>
      <w:r>
        <w:rPr>
          <w:sz w:val="24"/>
          <w:szCs w:val="24"/>
          <w:lang w:val="sr-Cyrl-RS"/>
        </w:rPr>
        <w:t xml:space="preserve">као </w:t>
      </w:r>
      <w:r w:rsidRPr="00E019A6">
        <w:rPr>
          <w:sz w:val="24"/>
          <w:szCs w:val="24"/>
          <w:lang w:val="sr-Cyrl-RS"/>
        </w:rPr>
        <w:t xml:space="preserve">и са уредбама Европске комисије: Framework Regulation (EC)763/2008, Commission Implementing Regulation (EU) 2017/543, Commission Regulation (EU) 2017/712, Commission Implementing Regulation (EU) 2017/881 и др.). </w:t>
      </w:r>
    </w:p>
    <w:p w:rsidR="003E5BD1" w:rsidRPr="003E5BD1" w:rsidRDefault="00D135BF" w:rsidP="003E5BD1">
      <w:pPr>
        <w:spacing w:after="0"/>
        <w:ind w:firstLine="720"/>
        <w:jc w:val="both"/>
        <w:rPr>
          <w:sz w:val="24"/>
          <w:szCs w:val="24"/>
          <w:lang w:val="sr-Cyrl-RS"/>
        </w:rPr>
      </w:pPr>
      <w:r w:rsidRPr="00E019A6">
        <w:rPr>
          <w:sz w:val="24"/>
          <w:szCs w:val="24"/>
          <w:lang w:val="sr-Cyrl-RS"/>
        </w:rPr>
        <w:t xml:space="preserve">Све информације о Попису 2022. које су од посебног значаја за националне мањине, укључујући методолошка објашњења, </w:t>
      </w:r>
      <w:r w:rsidR="009F4C14">
        <w:rPr>
          <w:sz w:val="24"/>
          <w:szCs w:val="24"/>
          <w:lang w:val="sr-Cyrl-RS"/>
        </w:rPr>
        <w:t>пописне упитнике</w:t>
      </w:r>
      <w:r w:rsidR="009F4C14" w:rsidRPr="009F4C14">
        <w:rPr>
          <w:sz w:val="24"/>
          <w:szCs w:val="24"/>
          <w:lang w:val="sr-Cyrl-RS"/>
        </w:rPr>
        <w:t xml:space="preserve"> </w:t>
      </w:r>
      <w:r w:rsidRPr="00E019A6">
        <w:rPr>
          <w:sz w:val="24"/>
          <w:szCs w:val="24"/>
          <w:lang w:val="sr-Cyrl-RS"/>
        </w:rPr>
        <w:t xml:space="preserve">као и информације о значају пописа, начину и циљу прикупљања података, начину коришћења и заштити </w:t>
      </w:r>
      <w:r w:rsidRPr="00E019A6">
        <w:rPr>
          <w:sz w:val="24"/>
          <w:szCs w:val="24"/>
          <w:lang w:val="sr-Cyrl-RS"/>
        </w:rPr>
        <w:lastRenderedPageBreak/>
        <w:t>пописних података и др. биће доступне на сајту пописа и на језицима националних мањина.</w:t>
      </w:r>
      <w:r w:rsidR="003E5BD1" w:rsidRPr="003E5BD1">
        <w:t xml:space="preserve"> </w:t>
      </w:r>
      <w:r w:rsidR="003E5BD1" w:rsidRPr="003E5BD1">
        <w:rPr>
          <w:sz w:val="24"/>
          <w:szCs w:val="24"/>
          <w:lang w:val="sr-Cyrl-RS"/>
        </w:rPr>
        <w:t>Републички завод за статистику је организовао и финансирао превођење пописних упитника на 13 језика националних мањина (aлбански, босански, бугарски, буњевачки, влашки, мађарски, македонски, ромски, румунски, русински, словачки, хрватски и црногорски). Изабрани су језици мањина које испуњавају следеће критеријуме: да национална мањина, према подацима Пописа 2011, има најмање 10</w:t>
      </w:r>
      <w:r w:rsidR="0033642F">
        <w:rPr>
          <w:sz w:val="24"/>
          <w:szCs w:val="24"/>
          <w:lang w:val="sr-Cyrl-RS"/>
        </w:rPr>
        <w:t>.</w:t>
      </w:r>
      <w:r w:rsidR="003E5BD1" w:rsidRPr="003E5BD1">
        <w:rPr>
          <w:sz w:val="24"/>
          <w:szCs w:val="24"/>
          <w:lang w:val="sr-Cyrl-RS"/>
        </w:rPr>
        <w:t>000 припадника, да има формиран национални савет и да су језик и писмо стандардизовани. Процес превођења организован је тако да је Завод, након што су упитници преведени од стране преводилаца које су одабрали национални савети, превод ставио у форму упитника, кој</w:t>
      </w:r>
      <w:r w:rsidR="00787968">
        <w:rPr>
          <w:sz w:val="24"/>
          <w:szCs w:val="24"/>
          <w:lang w:val="sr-Cyrl-RS"/>
        </w:rPr>
        <w:t>и</w:t>
      </w:r>
      <w:r w:rsidR="003E5BD1" w:rsidRPr="003E5BD1">
        <w:rPr>
          <w:sz w:val="24"/>
          <w:szCs w:val="24"/>
          <w:lang w:val="sr-Cyrl-RS"/>
        </w:rPr>
        <w:t xml:space="preserve"> су национални савети верификовали, након чега је Завод штампао Вишејезичну збирку упитника, која поред наведених језика садржи и упитнике на српском (ћирилица и латиница) и енглеском језику. Пописивачи на терен носе ову збирку, како би испитаници могли да прочитају питања на која треба да од</w:t>
      </w:r>
      <w:r w:rsidR="003E5BD1">
        <w:rPr>
          <w:sz w:val="24"/>
          <w:szCs w:val="24"/>
          <w:lang w:val="sr-Cyrl-RS"/>
        </w:rPr>
        <w:t xml:space="preserve">говоре на свом матерњем језику. </w:t>
      </w:r>
      <w:r w:rsidR="003E5BD1" w:rsidRPr="003E5BD1">
        <w:rPr>
          <w:sz w:val="24"/>
          <w:szCs w:val="24"/>
          <w:lang w:val="sr-Cyrl-RS"/>
        </w:rPr>
        <w:t>Поред овога, Завод је у сарадњи са ОЕБС-ом организовао превођење на још седам језика националних мањина</w:t>
      </w:r>
      <w:r w:rsidR="003E5BD1">
        <w:rPr>
          <w:sz w:val="24"/>
          <w:szCs w:val="24"/>
          <w:lang w:val="sr-Cyrl-RS"/>
        </w:rPr>
        <w:t xml:space="preserve"> (грчки, немачки, пољски, руски, словеначки, украјински и чешки),</w:t>
      </w:r>
      <w:r w:rsidR="003E5BD1" w:rsidRPr="003E5BD1">
        <w:rPr>
          <w:sz w:val="24"/>
          <w:szCs w:val="24"/>
          <w:lang w:val="sr-Cyrl-RS"/>
        </w:rPr>
        <w:t xml:space="preserve"> тако да ће на пописном сајту бити доступни пописни упитници на 20 језика националних мањина. Такође, на језике националних мањина биће преведен и конкурс за пописиваче.</w:t>
      </w:r>
    </w:p>
    <w:p w:rsidR="00D135BF" w:rsidRDefault="00D135BF" w:rsidP="00D135BF">
      <w:pPr>
        <w:spacing w:after="0"/>
        <w:ind w:firstLine="720"/>
        <w:jc w:val="both"/>
        <w:rPr>
          <w:sz w:val="24"/>
          <w:szCs w:val="24"/>
          <w:lang w:val="sr-Cyrl-RS"/>
        </w:rPr>
      </w:pPr>
      <w:r w:rsidRPr="00FC6147">
        <w:rPr>
          <w:sz w:val="24"/>
          <w:szCs w:val="24"/>
          <w:lang w:val="sr-Cyrl-RS"/>
        </w:rPr>
        <w:t>Републички завод за статистику</w:t>
      </w:r>
      <w:r w:rsidRPr="00E019A6">
        <w:rPr>
          <w:sz w:val="24"/>
          <w:szCs w:val="24"/>
          <w:lang w:val="sr-Cyrl-RS"/>
        </w:rPr>
        <w:t xml:space="preserve"> традиционално, дуги низ година</w:t>
      </w:r>
      <w:r>
        <w:rPr>
          <w:sz w:val="24"/>
          <w:szCs w:val="24"/>
          <w:lang w:val="sr-Cyrl-RS"/>
        </w:rPr>
        <w:t>,</w:t>
      </w:r>
      <w:r w:rsidRPr="00E019A6">
        <w:rPr>
          <w:sz w:val="24"/>
          <w:szCs w:val="24"/>
          <w:lang w:val="sr-Cyrl-RS"/>
        </w:rPr>
        <w:t xml:space="preserve"> у току припрема и реализације пописа интензивно сарађује са представницима националних мањина и државним органима и организацијама које се баве питањима националних мањина.</w:t>
      </w:r>
      <w:r>
        <w:rPr>
          <w:sz w:val="24"/>
          <w:szCs w:val="24"/>
          <w:lang w:val="sr-Cyrl-RS"/>
        </w:rPr>
        <w:t xml:space="preserve"> </w:t>
      </w:r>
    </w:p>
    <w:p w:rsidR="00D135BF" w:rsidRPr="00E019A6" w:rsidRDefault="00D135BF" w:rsidP="00D135BF">
      <w:pPr>
        <w:spacing w:after="0"/>
        <w:ind w:firstLine="720"/>
        <w:jc w:val="both"/>
        <w:rPr>
          <w:sz w:val="24"/>
          <w:szCs w:val="24"/>
          <w:lang w:val="sr-Cyrl-RS"/>
        </w:rPr>
      </w:pPr>
      <w:r w:rsidRPr="00E019A6">
        <w:rPr>
          <w:sz w:val="24"/>
          <w:szCs w:val="24"/>
          <w:lang w:val="sr-Cyrl-RS"/>
        </w:rPr>
        <w:t>Током 2019. године реализоване су консултације са различитим експертима ЕУ у циљу ефикасније припреме и реализације пописа и процене усклађености са европским статистичким стандардима. Током мисије експерта за комуникацију</w:t>
      </w:r>
      <w:r>
        <w:rPr>
          <w:sz w:val="24"/>
          <w:szCs w:val="24"/>
          <w:lang w:val="sr-Cyrl-RS"/>
        </w:rPr>
        <w:t>,</w:t>
      </w:r>
      <w:r w:rsidRPr="00E019A6">
        <w:rPr>
          <w:sz w:val="24"/>
          <w:szCs w:val="24"/>
          <w:lang w:val="sr-Cyrl-RS"/>
        </w:rPr>
        <w:t xml:space="preserve"> састанцима су присуствовали и представници националних савета националних мањина и невладиних организација које се баве питањима Рома.</w:t>
      </w:r>
    </w:p>
    <w:p w:rsidR="00D135BF" w:rsidRPr="009F4C14" w:rsidRDefault="00D135BF" w:rsidP="00D135BF">
      <w:pPr>
        <w:spacing w:after="0"/>
        <w:ind w:firstLine="720"/>
        <w:jc w:val="both"/>
        <w:rPr>
          <w:sz w:val="24"/>
          <w:szCs w:val="24"/>
          <w:lang w:val="sr-Cyrl-RS"/>
        </w:rPr>
      </w:pPr>
      <w:r w:rsidRPr="00E019A6">
        <w:rPr>
          <w:sz w:val="24"/>
          <w:szCs w:val="24"/>
          <w:lang w:val="sr-Cyrl-RS"/>
        </w:rPr>
        <w:t xml:space="preserve">У фебруару 2020. </w:t>
      </w:r>
      <w:r w:rsidR="0036704D">
        <w:rPr>
          <w:sz w:val="24"/>
          <w:szCs w:val="24"/>
          <w:lang w:val="sr-Cyrl-RS"/>
        </w:rPr>
        <w:t xml:space="preserve">године </w:t>
      </w:r>
      <w:r w:rsidRPr="00E019A6">
        <w:rPr>
          <w:sz w:val="24"/>
          <w:szCs w:val="24"/>
          <w:lang w:val="sr-Cyrl-RS"/>
        </w:rPr>
        <w:t xml:space="preserve">представници Координације националних савета националних мањина учествовали су на саветовању „У сусрет Попису“ које је </w:t>
      </w:r>
      <w:r>
        <w:rPr>
          <w:sz w:val="24"/>
          <w:szCs w:val="24"/>
          <w:lang w:val="sr-Cyrl-RS"/>
        </w:rPr>
        <w:t>Завод</w:t>
      </w:r>
      <w:r w:rsidRPr="00E019A6">
        <w:rPr>
          <w:sz w:val="24"/>
          <w:szCs w:val="24"/>
          <w:lang w:val="sr-Cyrl-RS"/>
        </w:rPr>
        <w:t xml:space="preserve"> организовао, а на којем је представљен Закон о попису</w:t>
      </w:r>
      <w:r>
        <w:rPr>
          <w:rStyle w:val="FootnoteReference"/>
          <w:sz w:val="24"/>
          <w:szCs w:val="24"/>
          <w:lang w:val="sr-Cyrl-RS"/>
        </w:rPr>
        <w:footnoteReference w:id="49"/>
      </w:r>
      <w:r w:rsidRPr="00E019A6">
        <w:rPr>
          <w:sz w:val="24"/>
          <w:szCs w:val="24"/>
          <w:lang w:val="sr-Cyrl-RS"/>
        </w:rPr>
        <w:t xml:space="preserve"> и садржај пописних упитника.</w:t>
      </w:r>
      <w:r>
        <w:rPr>
          <w:sz w:val="24"/>
          <w:szCs w:val="24"/>
          <w:lang w:val="sr-Cyrl-RS"/>
        </w:rPr>
        <w:t xml:space="preserve"> </w:t>
      </w:r>
      <w:r w:rsidRPr="00E019A6">
        <w:rPr>
          <w:sz w:val="24"/>
          <w:szCs w:val="24"/>
          <w:lang w:val="sr-Cyrl-RS"/>
        </w:rPr>
        <w:t>Током 2020. године реализовано је више састанака са представницима Националног савета ромске националне мањине ради договора о организацији и начину пописивања ромског становништва које живи у неформалним и подстандардним насељима.</w:t>
      </w:r>
      <w:r w:rsidR="009F4C14" w:rsidRPr="009F4C14">
        <w:t xml:space="preserve"> </w:t>
      </w:r>
      <w:r w:rsidR="009F4C14" w:rsidRPr="009F4C14">
        <w:rPr>
          <w:sz w:val="24"/>
          <w:szCs w:val="24"/>
          <w:lang w:val="sr-Cyrl-RS"/>
        </w:rPr>
        <w:t>Такође, на састанку са представницима Националног савета бошњачке националне мањине разговарало се и о условима за пријављивање за рад на попису и начину селекције кандидата за инструкторе и пописиваче.</w:t>
      </w:r>
    </w:p>
    <w:p w:rsidR="00D135BF" w:rsidRPr="00E019A6" w:rsidRDefault="00D135BF" w:rsidP="00D135BF">
      <w:pPr>
        <w:spacing w:after="0"/>
        <w:ind w:firstLine="720"/>
        <w:jc w:val="both"/>
        <w:rPr>
          <w:color w:val="FF0000"/>
          <w:sz w:val="24"/>
          <w:szCs w:val="24"/>
          <w:lang w:val="sr-Cyrl-RS"/>
        </w:rPr>
      </w:pPr>
      <w:r>
        <w:rPr>
          <w:sz w:val="24"/>
          <w:szCs w:val="24"/>
          <w:lang w:val="sr-Cyrl-RS"/>
        </w:rPr>
        <w:t>З</w:t>
      </w:r>
      <w:r w:rsidRPr="00FC6147">
        <w:rPr>
          <w:sz w:val="24"/>
          <w:szCs w:val="24"/>
          <w:lang w:val="sr-Cyrl-RS"/>
        </w:rPr>
        <w:t>а реализацију пописа</w:t>
      </w:r>
      <w:r>
        <w:rPr>
          <w:sz w:val="24"/>
          <w:szCs w:val="24"/>
          <w:lang w:val="sr-Cyrl-RS"/>
        </w:rPr>
        <w:t>,</w:t>
      </w:r>
      <w:r w:rsidRPr="00FC6147">
        <w:rPr>
          <w:sz w:val="24"/>
          <w:szCs w:val="24"/>
          <w:lang w:val="sr-Cyrl-RS"/>
        </w:rPr>
        <w:t xml:space="preserve"> </w:t>
      </w:r>
      <w:r>
        <w:rPr>
          <w:sz w:val="24"/>
          <w:szCs w:val="24"/>
          <w:lang w:val="sr-Cyrl-RS"/>
        </w:rPr>
        <w:t>н</w:t>
      </w:r>
      <w:r w:rsidRPr="00E019A6">
        <w:rPr>
          <w:sz w:val="24"/>
          <w:szCs w:val="24"/>
          <w:lang w:val="sr-Cyrl-RS"/>
        </w:rPr>
        <w:t>а локалном нивоу</w:t>
      </w:r>
      <w:r>
        <w:rPr>
          <w:sz w:val="24"/>
          <w:szCs w:val="24"/>
          <w:lang w:val="sr-Cyrl-RS"/>
        </w:rPr>
        <w:t xml:space="preserve"> Завод</w:t>
      </w:r>
      <w:r w:rsidRPr="00E019A6">
        <w:rPr>
          <w:sz w:val="24"/>
          <w:szCs w:val="24"/>
          <w:lang w:val="sr-Cyrl-RS"/>
        </w:rPr>
        <w:t xml:space="preserve"> у свакој општини/граду формира пописну комисију и ангажује инструкторе и пописиваче. Селекција кандидата за рад </w:t>
      </w:r>
      <w:r w:rsidR="0033642F">
        <w:rPr>
          <w:sz w:val="24"/>
          <w:szCs w:val="24"/>
          <w:lang w:val="sr-Cyrl-RS"/>
        </w:rPr>
        <w:t>на</w:t>
      </w:r>
      <w:r w:rsidRPr="00E019A6">
        <w:rPr>
          <w:sz w:val="24"/>
          <w:szCs w:val="24"/>
          <w:lang w:val="sr-Cyrl-RS"/>
        </w:rPr>
        <w:t xml:space="preserve"> попису врши се на основу унапред дефинисаних</w:t>
      </w:r>
      <w:r w:rsidRPr="00E019A6">
        <w:rPr>
          <w:sz w:val="24"/>
          <w:szCs w:val="24"/>
          <w:lang w:val="en-US"/>
        </w:rPr>
        <w:t xml:space="preserve">, </w:t>
      </w:r>
      <w:r w:rsidRPr="00E019A6">
        <w:rPr>
          <w:sz w:val="24"/>
          <w:szCs w:val="24"/>
          <w:lang w:val="sr-Cyrl-RS"/>
        </w:rPr>
        <w:t>јединствених и јавно доступних критеријума и процедура. Сви учесници ангажују се из редова локалног становништва и на тај начин се обезбеђује заступљеност припадника националних мањина</w:t>
      </w:r>
      <w:r>
        <w:rPr>
          <w:sz w:val="24"/>
          <w:szCs w:val="24"/>
          <w:lang w:val="sr-Cyrl-RS"/>
        </w:rPr>
        <w:t xml:space="preserve"> </w:t>
      </w:r>
      <w:r w:rsidRPr="00E019A6">
        <w:rPr>
          <w:sz w:val="24"/>
          <w:szCs w:val="24"/>
          <w:lang w:val="sr-Cyrl-RS"/>
        </w:rPr>
        <w:t xml:space="preserve">у вишенационалним срединама. </w:t>
      </w:r>
      <w:r w:rsidR="00E12DBA">
        <w:rPr>
          <w:sz w:val="24"/>
          <w:szCs w:val="24"/>
          <w:lang w:val="sr-Cyrl-RS"/>
        </w:rPr>
        <w:t>На специјализованом</w:t>
      </w:r>
      <w:r w:rsidR="00E12DBA" w:rsidRPr="00E12DBA">
        <w:rPr>
          <w:sz w:val="24"/>
          <w:szCs w:val="24"/>
          <w:lang w:val="sr-Cyrl-RS"/>
        </w:rPr>
        <w:t xml:space="preserve"> </w:t>
      </w:r>
      <w:r w:rsidR="0033642F">
        <w:rPr>
          <w:sz w:val="24"/>
          <w:szCs w:val="24"/>
          <w:lang w:val="sr-Cyrl-RS"/>
        </w:rPr>
        <w:t>в</w:t>
      </w:r>
      <w:r w:rsidR="00E12DBA" w:rsidRPr="00E12DBA">
        <w:rPr>
          <w:sz w:val="24"/>
          <w:szCs w:val="24"/>
          <w:lang w:val="sr-Cyrl-RS"/>
        </w:rPr>
        <w:t>еб сајт</w:t>
      </w:r>
      <w:r w:rsidR="00E12DBA">
        <w:rPr>
          <w:sz w:val="24"/>
          <w:szCs w:val="24"/>
          <w:lang w:val="sr-Cyrl-RS"/>
        </w:rPr>
        <w:t>у</w:t>
      </w:r>
      <w:r w:rsidR="00E12DBA" w:rsidRPr="00E12DBA">
        <w:rPr>
          <w:sz w:val="24"/>
          <w:szCs w:val="24"/>
          <w:lang w:val="sr-Cyrl-RS"/>
        </w:rPr>
        <w:t xml:space="preserve"> Пописа</w:t>
      </w:r>
      <w:r w:rsidR="00E12DBA">
        <w:rPr>
          <w:sz w:val="24"/>
          <w:szCs w:val="24"/>
          <w:lang w:val="sr-Cyrl-RS"/>
        </w:rPr>
        <w:t xml:space="preserve"> на језицима </w:t>
      </w:r>
      <w:r w:rsidR="00E12DBA">
        <w:rPr>
          <w:sz w:val="24"/>
          <w:szCs w:val="24"/>
          <w:lang w:val="sr-Cyrl-RS"/>
        </w:rPr>
        <w:lastRenderedPageBreak/>
        <w:t xml:space="preserve">националниих мањина садржана су </w:t>
      </w:r>
      <w:r w:rsidR="00E12DBA" w:rsidRPr="00E12DBA">
        <w:rPr>
          <w:sz w:val="24"/>
          <w:szCs w:val="24"/>
          <w:lang w:val="sr-Cyrl-RS"/>
        </w:rPr>
        <w:t xml:space="preserve">и </w:t>
      </w:r>
      <w:r w:rsidR="00E12DBA">
        <w:rPr>
          <w:sz w:val="24"/>
          <w:szCs w:val="24"/>
          <w:lang w:val="sr-Cyrl-RS"/>
        </w:rPr>
        <w:t xml:space="preserve">обавештења о </w:t>
      </w:r>
      <w:r w:rsidR="00E12DBA" w:rsidRPr="00E12DBA">
        <w:rPr>
          <w:sz w:val="24"/>
          <w:szCs w:val="24"/>
          <w:lang w:val="sr-Cyrl-RS"/>
        </w:rPr>
        <w:t>начину и рок</w:t>
      </w:r>
      <w:r w:rsidR="00E12DBA">
        <w:rPr>
          <w:sz w:val="24"/>
          <w:szCs w:val="24"/>
          <w:lang w:val="sr-Cyrl-RS"/>
        </w:rPr>
        <w:t xml:space="preserve">овима пријављивања кандидата. </w:t>
      </w:r>
      <w:r w:rsidRPr="00E019A6">
        <w:rPr>
          <w:sz w:val="24"/>
          <w:szCs w:val="24"/>
          <w:lang w:val="sr-Cyrl-RS"/>
        </w:rPr>
        <w:t xml:space="preserve">За пописивање у подстандардним ромским насељима додатно се као асистенти пописивача ангажују Роми који живе у тим насељима. Поред тога, планирао је да, као и у претходном попису, у појединим општинама са вишенационалним саставом становништва у састав пописне комисије, која на локалном нивоу спроводи организационе и логистичке послове, буде укључен и по један представник Координације националних савета националних мањина. </w:t>
      </w:r>
    </w:p>
    <w:p w:rsidR="0088779A" w:rsidRPr="0088779A" w:rsidRDefault="0088779A" w:rsidP="0088779A">
      <w:pPr>
        <w:spacing w:after="0"/>
        <w:ind w:firstLine="720"/>
        <w:jc w:val="both"/>
        <w:rPr>
          <w:sz w:val="24"/>
          <w:szCs w:val="24"/>
          <w:lang w:val="sr-Cyrl-RS"/>
        </w:rPr>
      </w:pPr>
      <w:r w:rsidRPr="0088779A">
        <w:rPr>
          <w:sz w:val="24"/>
          <w:szCs w:val="24"/>
          <w:lang w:val="sr-Cyrl-RS"/>
        </w:rPr>
        <w:t>У циљу ефективног укључивања припадника националних мањина у припреми и организацији Пописа становништва, домаћинстава и станова, у сарадњи са Координацијом националних савета националних мањина, у марту 2021. године је формирана Радна група за координацију пописних активности у вези са питањима од значаја за националне мањине. Радну групу чине, поред четири представника Републичког завода за статистику, три представника Координације (из три национална савета) и један представник Министарства за људска и мањинска права и друштвени дијалог.</w:t>
      </w:r>
    </w:p>
    <w:p w:rsidR="0088779A" w:rsidRPr="0088779A" w:rsidRDefault="0088779A" w:rsidP="0088779A">
      <w:pPr>
        <w:spacing w:after="0"/>
        <w:ind w:firstLine="720"/>
        <w:jc w:val="both"/>
        <w:rPr>
          <w:sz w:val="24"/>
          <w:szCs w:val="24"/>
          <w:lang w:val="sr-Cyrl-RS"/>
        </w:rPr>
      </w:pPr>
      <w:r w:rsidRPr="0088779A">
        <w:rPr>
          <w:sz w:val="24"/>
          <w:szCs w:val="24"/>
          <w:lang w:val="sr-Cyrl-RS"/>
        </w:rPr>
        <w:t>Основни задаци Радне групе су следећи:</w:t>
      </w:r>
    </w:p>
    <w:p w:rsidR="0088779A" w:rsidRPr="0088779A" w:rsidRDefault="0088779A" w:rsidP="0088779A">
      <w:pPr>
        <w:spacing w:after="0"/>
        <w:ind w:firstLine="720"/>
        <w:jc w:val="both"/>
        <w:rPr>
          <w:sz w:val="24"/>
          <w:szCs w:val="24"/>
          <w:lang w:val="sr-Cyrl-RS"/>
        </w:rPr>
      </w:pPr>
      <w:r>
        <w:rPr>
          <w:sz w:val="24"/>
          <w:szCs w:val="24"/>
          <w:lang w:val="sr-Cyrl-RS"/>
        </w:rPr>
        <w:t xml:space="preserve">- </w:t>
      </w:r>
      <w:r w:rsidRPr="0088779A">
        <w:rPr>
          <w:sz w:val="24"/>
          <w:szCs w:val="24"/>
          <w:lang w:val="sr-Cyrl-RS"/>
        </w:rPr>
        <w:t>дефинисање области сарадње са националним саветима националних мањина на пописним активностима, на националном и локалном нивоу;</w:t>
      </w:r>
    </w:p>
    <w:p w:rsidR="0088779A" w:rsidRPr="0088779A" w:rsidRDefault="0088779A" w:rsidP="0088779A">
      <w:pPr>
        <w:spacing w:after="0"/>
        <w:ind w:firstLine="720"/>
        <w:jc w:val="both"/>
        <w:rPr>
          <w:sz w:val="24"/>
          <w:szCs w:val="24"/>
          <w:lang w:val="sr-Cyrl-RS"/>
        </w:rPr>
      </w:pPr>
      <w:r>
        <w:rPr>
          <w:sz w:val="24"/>
          <w:szCs w:val="24"/>
          <w:lang w:val="sr-Cyrl-RS"/>
        </w:rPr>
        <w:t xml:space="preserve">- </w:t>
      </w:r>
      <w:r w:rsidRPr="0088779A">
        <w:rPr>
          <w:sz w:val="24"/>
          <w:szCs w:val="24"/>
          <w:lang w:val="sr-Cyrl-RS"/>
        </w:rPr>
        <w:t>препознавање потенцијалних изазова и дефинисање активности које могу умањити ефекат ризика на реализацију пописних активности;</w:t>
      </w:r>
    </w:p>
    <w:p w:rsidR="0088779A" w:rsidRPr="0088779A" w:rsidRDefault="0088779A" w:rsidP="0088779A">
      <w:pPr>
        <w:spacing w:after="0"/>
        <w:ind w:firstLine="720"/>
        <w:jc w:val="both"/>
        <w:rPr>
          <w:sz w:val="24"/>
          <w:szCs w:val="24"/>
          <w:lang w:val="sr-Cyrl-RS"/>
        </w:rPr>
      </w:pPr>
      <w:r>
        <w:rPr>
          <w:sz w:val="24"/>
          <w:szCs w:val="24"/>
          <w:lang w:val="sr-Cyrl-RS"/>
        </w:rPr>
        <w:t xml:space="preserve">- </w:t>
      </w:r>
      <w:r w:rsidRPr="0088779A">
        <w:rPr>
          <w:sz w:val="24"/>
          <w:szCs w:val="24"/>
          <w:lang w:val="sr-Cyrl-RS"/>
        </w:rPr>
        <w:t xml:space="preserve">организација активности у вези са превођењем пописног материјала на језике националних мањина; </w:t>
      </w:r>
    </w:p>
    <w:p w:rsidR="0088779A" w:rsidRPr="0088779A" w:rsidRDefault="0088779A" w:rsidP="0088779A">
      <w:pPr>
        <w:spacing w:after="0"/>
        <w:ind w:firstLine="720"/>
        <w:jc w:val="both"/>
        <w:rPr>
          <w:sz w:val="24"/>
          <w:szCs w:val="24"/>
          <w:lang w:val="sr-Cyrl-RS"/>
        </w:rPr>
      </w:pPr>
      <w:r>
        <w:rPr>
          <w:sz w:val="24"/>
          <w:szCs w:val="24"/>
          <w:lang w:val="sr-Cyrl-RS"/>
        </w:rPr>
        <w:t xml:space="preserve">- </w:t>
      </w:r>
      <w:r w:rsidRPr="0088779A">
        <w:rPr>
          <w:sz w:val="24"/>
          <w:szCs w:val="24"/>
          <w:lang w:val="sr-Cyrl-RS"/>
        </w:rPr>
        <w:t>дефинисање начина промоције значаја пописа за припаднике националних мањина;</w:t>
      </w:r>
    </w:p>
    <w:p w:rsidR="0088779A" w:rsidRPr="0088779A" w:rsidRDefault="0088779A" w:rsidP="0088779A">
      <w:pPr>
        <w:spacing w:after="0"/>
        <w:ind w:firstLine="720"/>
        <w:jc w:val="both"/>
        <w:rPr>
          <w:sz w:val="24"/>
          <w:szCs w:val="24"/>
          <w:lang w:val="sr-Cyrl-RS"/>
        </w:rPr>
      </w:pPr>
      <w:r>
        <w:rPr>
          <w:sz w:val="24"/>
          <w:szCs w:val="24"/>
          <w:lang w:val="sr-Cyrl-RS"/>
        </w:rPr>
        <w:t xml:space="preserve">- </w:t>
      </w:r>
      <w:r w:rsidRPr="0088779A">
        <w:rPr>
          <w:sz w:val="24"/>
          <w:szCs w:val="24"/>
          <w:lang w:val="sr-Cyrl-RS"/>
        </w:rPr>
        <w:t>координација активности на промоцији пописа и активности на превођењу и дистрибуцији промотивног материјала;</w:t>
      </w:r>
    </w:p>
    <w:p w:rsidR="0088779A" w:rsidRPr="0088779A" w:rsidRDefault="0088779A" w:rsidP="0088779A">
      <w:pPr>
        <w:spacing w:after="0"/>
        <w:ind w:firstLine="720"/>
        <w:jc w:val="both"/>
        <w:rPr>
          <w:sz w:val="24"/>
          <w:szCs w:val="24"/>
          <w:lang w:val="sr-Cyrl-RS"/>
        </w:rPr>
      </w:pPr>
      <w:r>
        <w:rPr>
          <w:sz w:val="24"/>
          <w:szCs w:val="24"/>
          <w:lang w:val="sr-Cyrl-RS"/>
        </w:rPr>
        <w:t xml:space="preserve">- </w:t>
      </w:r>
      <w:r w:rsidRPr="0088779A">
        <w:rPr>
          <w:sz w:val="24"/>
          <w:szCs w:val="24"/>
          <w:lang w:val="sr-Cyrl-RS"/>
        </w:rPr>
        <w:t xml:space="preserve">друге активности од заначаја за квалитетну реализацију пописа.  </w:t>
      </w:r>
    </w:p>
    <w:p w:rsidR="0088779A" w:rsidRDefault="0088779A" w:rsidP="0088779A">
      <w:pPr>
        <w:spacing w:after="0"/>
        <w:ind w:firstLine="720"/>
        <w:jc w:val="both"/>
        <w:rPr>
          <w:sz w:val="24"/>
          <w:szCs w:val="24"/>
          <w:lang w:val="sr-Cyrl-RS"/>
        </w:rPr>
      </w:pPr>
    </w:p>
    <w:p w:rsidR="0088779A" w:rsidRPr="0088779A" w:rsidRDefault="0088779A" w:rsidP="0088779A">
      <w:pPr>
        <w:spacing w:after="0"/>
        <w:ind w:firstLine="720"/>
        <w:jc w:val="both"/>
        <w:rPr>
          <w:sz w:val="24"/>
          <w:szCs w:val="24"/>
          <w:lang w:val="sr-Cyrl-RS"/>
        </w:rPr>
      </w:pPr>
      <w:r w:rsidRPr="0088779A">
        <w:rPr>
          <w:sz w:val="24"/>
          <w:szCs w:val="24"/>
          <w:lang w:val="sr-Cyrl-RS"/>
        </w:rPr>
        <w:t>У складу са позитивним искуством из претходног пописа, а у оквиру Радне групе, договорено је укључивање 88 представника Координације националних савета националних мањина у састав пописних комисија, у јединицама локалне самоуправе са национално мешовитим саставом становништва (74 пописне комисије).</w:t>
      </w:r>
    </w:p>
    <w:p w:rsidR="0088779A" w:rsidRDefault="0088779A" w:rsidP="0088779A">
      <w:pPr>
        <w:spacing w:after="0"/>
        <w:ind w:firstLine="720"/>
        <w:jc w:val="both"/>
        <w:rPr>
          <w:sz w:val="24"/>
          <w:szCs w:val="24"/>
          <w:lang w:val="sr-Cyrl-RS"/>
        </w:rPr>
      </w:pPr>
      <w:r w:rsidRPr="0088779A">
        <w:rPr>
          <w:sz w:val="24"/>
          <w:szCs w:val="24"/>
          <w:lang w:val="sr-Cyrl-RS"/>
        </w:rPr>
        <w:t>Поред тога, планирано је да се у сарадњи са Националним саветом ромске националне мањине ангажују асистенати пописивача за подршку током пописивања у подстандардним насељима.</w:t>
      </w:r>
    </w:p>
    <w:p w:rsidR="00C83DFA" w:rsidRDefault="00C83DFA" w:rsidP="00C83DFA">
      <w:pPr>
        <w:spacing w:after="0"/>
        <w:ind w:firstLine="720"/>
        <w:jc w:val="both"/>
        <w:rPr>
          <w:sz w:val="24"/>
          <w:szCs w:val="24"/>
          <w:lang w:val="sr-Cyrl-RS"/>
        </w:rPr>
      </w:pPr>
      <w:r w:rsidRPr="00DE16BA">
        <w:rPr>
          <w:sz w:val="24"/>
          <w:szCs w:val="24"/>
          <w:lang w:val="sr-Cyrl-RS"/>
        </w:rPr>
        <w:t>Национални савет бошњачке националне мањине у прилогу за овај изваштај наводи</w:t>
      </w:r>
      <w:r w:rsidRPr="00DE16BA">
        <w:rPr>
          <w:sz w:val="24"/>
          <w:szCs w:val="24"/>
        </w:rPr>
        <w:t xml:space="preserve"> </w:t>
      </w:r>
      <w:r w:rsidRPr="00DE16BA">
        <w:rPr>
          <w:sz w:val="24"/>
          <w:szCs w:val="24"/>
          <w:lang w:val="sr-Cyrl-RS"/>
        </w:rPr>
        <w:t xml:space="preserve">да је представник овог савета укључен у рад Радне групе за координацију пописних активности у вези са питањима од значаја за националне мањине коју је формирао Републички завод за статистику. </w:t>
      </w:r>
      <w:r w:rsidR="00DE16BA" w:rsidRPr="00DE16BA">
        <w:rPr>
          <w:sz w:val="24"/>
          <w:szCs w:val="24"/>
          <w:lang w:val="sr-Cyrl-RS"/>
        </w:rPr>
        <w:t>Тај савет наводи и да би е</w:t>
      </w:r>
      <w:r w:rsidRPr="00DE16BA">
        <w:rPr>
          <w:sz w:val="24"/>
          <w:szCs w:val="24"/>
          <w:lang w:val="sr-Cyrl-RS"/>
        </w:rPr>
        <w:t>вентуално изјашњавање у етничком смислу методом вишеструке припадности мог</w:t>
      </w:r>
      <w:r w:rsidR="00DE16BA" w:rsidRPr="00DE16BA">
        <w:rPr>
          <w:sz w:val="24"/>
          <w:szCs w:val="24"/>
          <w:lang w:val="sr-Cyrl-RS"/>
        </w:rPr>
        <w:t>ло</w:t>
      </w:r>
      <w:r w:rsidRPr="00DE16BA">
        <w:rPr>
          <w:sz w:val="24"/>
          <w:szCs w:val="24"/>
          <w:lang w:val="sr-Cyrl-RS"/>
        </w:rPr>
        <w:t xml:space="preserve"> ослабити права бошњачке националне заједнице и појачати њихову асимилацију. </w:t>
      </w:r>
    </w:p>
    <w:p w:rsidR="00BC1742" w:rsidRDefault="00BC1742" w:rsidP="00BC1742">
      <w:pPr>
        <w:spacing w:after="0"/>
        <w:jc w:val="both"/>
        <w:rPr>
          <w:sz w:val="24"/>
          <w:szCs w:val="24"/>
          <w:lang w:val="sr-Cyrl-RS"/>
        </w:rPr>
      </w:pPr>
    </w:p>
    <w:p w:rsidR="00BC1742" w:rsidRDefault="00BC1742" w:rsidP="00BC1742">
      <w:pPr>
        <w:spacing w:after="0"/>
        <w:jc w:val="both"/>
        <w:rPr>
          <w:i/>
          <w:sz w:val="24"/>
          <w:szCs w:val="24"/>
          <w:lang w:val="sr-Cyrl-RS"/>
        </w:rPr>
      </w:pPr>
      <w:r w:rsidRPr="0026255A">
        <w:rPr>
          <w:i/>
          <w:sz w:val="24"/>
          <w:szCs w:val="24"/>
          <w:lang w:val="sr-Cyrl-RS"/>
        </w:rPr>
        <w:t xml:space="preserve">8. Обезбедити да права припадника националних мањина на оснивање верских институција, организација или удружења буду ефективно загарантована законом и </w:t>
      </w:r>
      <w:r w:rsidRPr="0026255A">
        <w:rPr>
          <w:i/>
          <w:sz w:val="24"/>
          <w:szCs w:val="24"/>
          <w:lang w:val="sr-Cyrl-RS"/>
        </w:rPr>
        <w:lastRenderedPageBreak/>
        <w:t>праксом, укључујући обезбеђивањем да законске одредбе којима се регулишу верске заједнице не дозвољавају дискриминацију, укључујући и забрану дискриминације оних које су бројчано мање, нарочито у погледу приступа правном субјективитету или пореском статусу.</w:t>
      </w:r>
    </w:p>
    <w:p w:rsidR="00BC1742" w:rsidRDefault="00BC1742" w:rsidP="00BC1742">
      <w:pPr>
        <w:spacing w:after="0"/>
        <w:jc w:val="both"/>
        <w:rPr>
          <w:i/>
          <w:sz w:val="24"/>
          <w:szCs w:val="24"/>
          <w:lang w:val="sr-Cyrl-RS"/>
        </w:rPr>
      </w:pPr>
    </w:p>
    <w:p w:rsidR="00BC1742" w:rsidRPr="0026255A" w:rsidRDefault="00BC1742" w:rsidP="00BC1742">
      <w:pPr>
        <w:spacing w:after="0"/>
        <w:ind w:firstLine="720"/>
        <w:jc w:val="both"/>
        <w:rPr>
          <w:sz w:val="24"/>
          <w:szCs w:val="24"/>
          <w:lang w:val="sr-Cyrl-RS"/>
        </w:rPr>
      </w:pPr>
      <w:r w:rsidRPr="0026255A">
        <w:rPr>
          <w:sz w:val="24"/>
          <w:szCs w:val="24"/>
          <w:lang w:val="sr-Cyrl-RS"/>
        </w:rPr>
        <w:t>Закон о црквама и верским заједницама</w:t>
      </w:r>
      <w:r>
        <w:rPr>
          <w:rStyle w:val="FootnoteReference"/>
          <w:sz w:val="24"/>
          <w:szCs w:val="24"/>
          <w:lang w:val="sr-Cyrl-RS"/>
        </w:rPr>
        <w:footnoteReference w:id="50"/>
      </w:r>
      <w:r w:rsidRPr="0026255A">
        <w:rPr>
          <w:sz w:val="24"/>
          <w:szCs w:val="24"/>
          <w:lang w:val="sr-Cyrl-RS"/>
        </w:rPr>
        <w:t xml:space="preserve"> </w:t>
      </w:r>
      <w:r>
        <w:rPr>
          <w:sz w:val="24"/>
          <w:szCs w:val="24"/>
          <w:lang w:val="sr-Cyrl-RS"/>
        </w:rPr>
        <w:t>утврђује</w:t>
      </w:r>
      <w:r w:rsidRPr="0026255A">
        <w:rPr>
          <w:sz w:val="24"/>
          <w:szCs w:val="24"/>
          <w:lang w:val="sr-Cyrl-RS"/>
        </w:rPr>
        <w:t xml:space="preserve"> да „грађани имају слободу удруживања и јавног окупљања ради испољавања верских убеђења, у складу са Уставом и законом“, као и да имају „слободу приступања црквама и верским заједницама, у складу са законом“. </w:t>
      </w:r>
      <w:r w:rsidR="009F4C14">
        <w:rPr>
          <w:sz w:val="24"/>
          <w:szCs w:val="24"/>
          <w:lang w:val="sr-Cyrl-RS"/>
        </w:rPr>
        <w:t xml:space="preserve">У том смислу, јасно је да </w:t>
      </w:r>
      <w:r w:rsidR="00565E7E">
        <w:rPr>
          <w:sz w:val="24"/>
          <w:szCs w:val="24"/>
          <w:lang w:val="sr-Cyrl-RS"/>
        </w:rPr>
        <w:t xml:space="preserve">је </w:t>
      </w:r>
      <w:r w:rsidR="00565E7E" w:rsidRPr="00565E7E">
        <w:rPr>
          <w:sz w:val="24"/>
          <w:szCs w:val="24"/>
          <w:lang w:val="sr-Cyrl-RS"/>
        </w:rPr>
        <w:t>прав</w:t>
      </w:r>
      <w:r w:rsidR="00565E7E">
        <w:rPr>
          <w:sz w:val="24"/>
          <w:szCs w:val="24"/>
          <w:lang w:val="sr-Cyrl-RS"/>
        </w:rPr>
        <w:t>о</w:t>
      </w:r>
      <w:r w:rsidR="00565E7E" w:rsidRPr="00565E7E">
        <w:rPr>
          <w:sz w:val="24"/>
          <w:szCs w:val="24"/>
          <w:lang w:val="sr-Cyrl-RS"/>
        </w:rPr>
        <w:t xml:space="preserve"> припадника националних мањина на оснивање верских институција, организација или удружења ефективно загарантован</w:t>
      </w:r>
      <w:r w:rsidR="00565E7E">
        <w:rPr>
          <w:sz w:val="24"/>
          <w:szCs w:val="24"/>
          <w:lang w:val="sr-Cyrl-RS"/>
        </w:rPr>
        <w:t xml:space="preserve">о законом. </w:t>
      </w:r>
      <w:r w:rsidRPr="0026255A">
        <w:rPr>
          <w:sz w:val="24"/>
          <w:szCs w:val="24"/>
          <w:lang w:val="sr-Cyrl-RS"/>
        </w:rPr>
        <w:t xml:space="preserve">У пракси, у Републици Србији постоје цркве и верске заједнице које као своје већинске чланове имају припаднике националних мањина, као што су Римокатоличка црква, </w:t>
      </w:r>
      <w:r>
        <w:rPr>
          <w:sz w:val="24"/>
          <w:szCs w:val="24"/>
          <w:lang w:val="sr-Cyrl-RS"/>
        </w:rPr>
        <w:t>п</w:t>
      </w:r>
      <w:r w:rsidRPr="0026255A">
        <w:rPr>
          <w:sz w:val="24"/>
          <w:szCs w:val="24"/>
          <w:lang w:val="sr-Cyrl-RS"/>
        </w:rPr>
        <w:t xml:space="preserve">ротестантске цркве, Исламска заједница Србије, Исламска заједница у Србији, Јеврејска заједница, итд. Оне у складу са поменутим Законом, односно одредбама које им гарантују аутономни статус у односу на државне органе, уживају и остварују право оснивања верских институција, организација и удружења у свом саставу. </w:t>
      </w:r>
      <w:r>
        <w:rPr>
          <w:sz w:val="24"/>
          <w:szCs w:val="24"/>
          <w:lang w:val="sr-Cyrl-RS"/>
        </w:rPr>
        <w:t>У Републици Србији делују</w:t>
      </w:r>
      <w:r w:rsidRPr="0026255A">
        <w:rPr>
          <w:sz w:val="24"/>
          <w:szCs w:val="24"/>
          <w:lang w:val="sr-Cyrl-RS"/>
        </w:rPr>
        <w:t xml:space="preserve"> </w:t>
      </w:r>
      <w:r>
        <w:rPr>
          <w:sz w:val="24"/>
          <w:szCs w:val="24"/>
          <w:lang w:val="sr-Cyrl-RS"/>
        </w:rPr>
        <w:t>у</w:t>
      </w:r>
      <w:r w:rsidRPr="0026255A">
        <w:rPr>
          <w:sz w:val="24"/>
          <w:szCs w:val="24"/>
          <w:lang w:val="sr-Cyrl-RS"/>
        </w:rPr>
        <w:t>дружења „Марија“ и „Каритас“ унутар Римокатоличк</w:t>
      </w:r>
      <w:r>
        <w:rPr>
          <w:sz w:val="24"/>
          <w:szCs w:val="24"/>
          <w:lang w:val="sr-Cyrl-RS"/>
        </w:rPr>
        <w:t>е</w:t>
      </w:r>
      <w:r w:rsidRPr="0026255A">
        <w:rPr>
          <w:sz w:val="24"/>
          <w:szCs w:val="24"/>
          <w:lang w:val="sr-Cyrl-RS"/>
        </w:rPr>
        <w:t xml:space="preserve"> цркв</w:t>
      </w:r>
      <w:r>
        <w:rPr>
          <w:sz w:val="24"/>
          <w:szCs w:val="24"/>
          <w:lang w:val="sr-Cyrl-RS"/>
        </w:rPr>
        <w:t>е</w:t>
      </w:r>
      <w:r w:rsidRPr="0026255A">
        <w:rPr>
          <w:sz w:val="24"/>
          <w:szCs w:val="24"/>
          <w:lang w:val="sr-Cyrl-RS"/>
        </w:rPr>
        <w:t xml:space="preserve">, „Гајрет“ у оквиру Исламске заједнице Србије, „Екуменска хуманитарна организација (ЕХО)“ у оквиру Потестантских цркава </w:t>
      </w:r>
      <w:r w:rsidR="0033642F">
        <w:rPr>
          <w:sz w:val="24"/>
          <w:szCs w:val="24"/>
          <w:lang w:val="sr-Cyrl-RS"/>
        </w:rPr>
        <w:t>р</w:t>
      </w:r>
      <w:r w:rsidRPr="0026255A">
        <w:rPr>
          <w:sz w:val="24"/>
          <w:szCs w:val="24"/>
          <w:lang w:val="sr-Cyrl-RS"/>
        </w:rPr>
        <w:t>еформације, „Хабад Србија“ у оквиру Јеврејске заједнице, итд.</w:t>
      </w:r>
    </w:p>
    <w:p w:rsidR="00BC1742" w:rsidRPr="0026255A" w:rsidRDefault="00BC1742" w:rsidP="00BC1742">
      <w:pPr>
        <w:spacing w:after="0"/>
        <w:ind w:firstLine="720"/>
        <w:jc w:val="both"/>
        <w:rPr>
          <w:sz w:val="24"/>
          <w:szCs w:val="24"/>
          <w:lang w:val="sr-Cyrl-RS"/>
        </w:rPr>
      </w:pPr>
      <w:r w:rsidRPr="0026255A">
        <w:rPr>
          <w:sz w:val="24"/>
          <w:szCs w:val="24"/>
          <w:lang w:val="sr-Cyrl-RS"/>
        </w:rPr>
        <w:t>Такође, Законом о забрани дискриминације изричито је прописана забрана верске дискриминације, која подразумева поступање супротно начелу слободног испољавања вере или уверења, односно „ускраћивање лицу или групи лица права на стицање, одржавање, изражавање и промену вере или уверења“, као и „права да се приватно или јавно изнесе или поступи сходно својим уверењима“. Њиме је забрањена и дискриминација „националних мањина и њихових припадника на основу националне припадности, етничког порекла, верских уверења и језика“.</w:t>
      </w:r>
    </w:p>
    <w:p w:rsidR="00BC1742" w:rsidRDefault="00BC1742" w:rsidP="00BC1742">
      <w:pPr>
        <w:spacing w:after="0"/>
        <w:ind w:firstLine="720"/>
        <w:jc w:val="both"/>
        <w:rPr>
          <w:sz w:val="24"/>
          <w:szCs w:val="24"/>
          <w:lang w:val="sr-Cyrl-RS"/>
        </w:rPr>
      </w:pPr>
      <w:r w:rsidRPr="0026255A">
        <w:rPr>
          <w:sz w:val="24"/>
          <w:szCs w:val="24"/>
          <w:lang w:val="sr-Cyrl-RS"/>
        </w:rPr>
        <w:t>Кривичним закоником</w:t>
      </w:r>
      <w:r>
        <w:rPr>
          <w:rStyle w:val="FootnoteReference"/>
          <w:sz w:val="24"/>
          <w:szCs w:val="24"/>
          <w:lang w:val="sr-Cyrl-RS"/>
        </w:rPr>
        <w:footnoteReference w:id="51"/>
      </w:r>
      <w:r w:rsidRPr="0026255A">
        <w:rPr>
          <w:sz w:val="24"/>
          <w:szCs w:val="24"/>
          <w:lang w:val="sr-Cyrl-RS"/>
        </w:rPr>
        <w:t xml:space="preserve"> дефинисана су и прописана бројна кривична дела против нарушавања слободе веровања, исповедања или дискриминације по верској основи</w:t>
      </w:r>
      <w:r>
        <w:rPr>
          <w:sz w:val="24"/>
          <w:szCs w:val="24"/>
          <w:lang w:val="sr-Cyrl-RS"/>
        </w:rPr>
        <w:t xml:space="preserve">, између осталог, </w:t>
      </w:r>
      <w:r w:rsidRPr="0026255A">
        <w:rPr>
          <w:sz w:val="24"/>
          <w:szCs w:val="24"/>
          <w:lang w:val="sr-Cyrl-RS"/>
        </w:rPr>
        <w:t>„повреда слободе исповедања вере и вршења верских обреда“ за које ће се починилац „казнити новчаном казном или затвором до једне године“, „повреда угледа због расне, верске, националне или друге припадности</w:t>
      </w:r>
      <w:r>
        <w:rPr>
          <w:sz w:val="24"/>
          <w:szCs w:val="24"/>
          <w:lang w:val="sr-Cyrl-RS"/>
        </w:rPr>
        <w:t>,</w:t>
      </w:r>
      <w:r w:rsidRPr="0026255A">
        <w:rPr>
          <w:sz w:val="24"/>
          <w:szCs w:val="24"/>
          <w:lang w:val="sr-Cyrl-RS"/>
        </w:rPr>
        <w:t xml:space="preserve"> због којег ће се починилац такође казнити новчаном казном или затвором до годину дана</w:t>
      </w:r>
      <w:r>
        <w:rPr>
          <w:sz w:val="24"/>
          <w:szCs w:val="24"/>
          <w:lang w:val="sr-Cyrl-RS"/>
        </w:rPr>
        <w:t xml:space="preserve">, </w:t>
      </w:r>
      <w:r w:rsidRPr="0026255A">
        <w:rPr>
          <w:sz w:val="24"/>
          <w:szCs w:val="24"/>
          <w:lang w:val="sr-Cyrl-RS"/>
        </w:rPr>
        <w:t>као и „изазивање националне, расне и верске мржње и нетрпељивости међу народима и етничким заједницама у Србији за које је запрећена казна „затвором од шест месеци до пет година“.</w:t>
      </w:r>
    </w:p>
    <w:p w:rsidR="00565E7E" w:rsidRPr="0026255A" w:rsidRDefault="00565E7E" w:rsidP="00BC1742">
      <w:pPr>
        <w:spacing w:after="0"/>
        <w:ind w:firstLine="720"/>
        <w:jc w:val="both"/>
        <w:rPr>
          <w:sz w:val="24"/>
          <w:szCs w:val="24"/>
          <w:lang w:val="sr-Cyrl-RS"/>
        </w:rPr>
      </w:pPr>
      <w:r>
        <w:rPr>
          <w:sz w:val="24"/>
          <w:szCs w:val="24"/>
          <w:lang w:val="sr-Cyrl-RS"/>
        </w:rPr>
        <w:t>З</w:t>
      </w:r>
      <w:r w:rsidRPr="00565E7E">
        <w:rPr>
          <w:sz w:val="24"/>
          <w:szCs w:val="24"/>
          <w:lang w:val="sr-Cyrl-RS"/>
        </w:rPr>
        <w:t xml:space="preserve">аконске одредбе </w:t>
      </w:r>
      <w:r>
        <w:rPr>
          <w:sz w:val="24"/>
          <w:szCs w:val="24"/>
          <w:lang w:val="sr-Cyrl-RS"/>
        </w:rPr>
        <w:t xml:space="preserve">садржане у Закону о црквама и верским заједницама </w:t>
      </w:r>
      <w:r w:rsidRPr="00565E7E">
        <w:rPr>
          <w:sz w:val="24"/>
          <w:szCs w:val="24"/>
          <w:lang w:val="sr-Cyrl-RS"/>
        </w:rPr>
        <w:t xml:space="preserve">којима се регулишу верске заједнице не дозвољавају </w:t>
      </w:r>
      <w:r>
        <w:rPr>
          <w:sz w:val="24"/>
          <w:szCs w:val="24"/>
          <w:lang w:val="sr-Cyrl-RS"/>
        </w:rPr>
        <w:t>било какав облик дискриминације. П</w:t>
      </w:r>
      <w:r w:rsidRPr="00565E7E">
        <w:rPr>
          <w:sz w:val="24"/>
          <w:szCs w:val="24"/>
          <w:lang w:val="sr-Cyrl-RS"/>
        </w:rPr>
        <w:t>одатак да је од усвајања Закона о црквама и верским заједницама (2006) до 2021. године у Републици Србији регистровано чак 27 нових верских субјеката сведочи у којој мери регул</w:t>
      </w:r>
      <w:r w:rsidR="00EC3AE2">
        <w:rPr>
          <w:sz w:val="24"/>
          <w:szCs w:val="24"/>
          <w:lang w:val="sr-Cyrl-RS"/>
        </w:rPr>
        <w:t>а</w:t>
      </w:r>
      <w:r w:rsidRPr="00565E7E">
        <w:rPr>
          <w:sz w:val="24"/>
          <w:szCs w:val="24"/>
          <w:lang w:val="sr-Cyrl-RS"/>
        </w:rPr>
        <w:t>тива и верска политика имају либералан карактер, чак и у односу на многе земље Европске уније. Ту тезу не мо</w:t>
      </w:r>
      <w:r>
        <w:rPr>
          <w:sz w:val="24"/>
          <w:szCs w:val="24"/>
          <w:lang w:val="sr-Cyrl-RS"/>
        </w:rPr>
        <w:t>же</w:t>
      </w:r>
      <w:r w:rsidRPr="00565E7E">
        <w:rPr>
          <w:sz w:val="24"/>
          <w:szCs w:val="24"/>
          <w:lang w:val="sr-Cyrl-RS"/>
        </w:rPr>
        <w:t xml:space="preserve"> да </w:t>
      </w:r>
      <w:r>
        <w:rPr>
          <w:sz w:val="24"/>
          <w:szCs w:val="24"/>
          <w:lang w:val="sr-Cyrl-RS"/>
        </w:rPr>
        <w:t>оспори</w:t>
      </w:r>
      <w:r w:rsidRPr="00565E7E">
        <w:rPr>
          <w:sz w:val="24"/>
          <w:szCs w:val="24"/>
          <w:lang w:val="sr-Cyrl-RS"/>
        </w:rPr>
        <w:t xml:space="preserve"> постојање искључиво терминолошке </w:t>
      </w:r>
      <w:r w:rsidRPr="00565E7E">
        <w:rPr>
          <w:sz w:val="24"/>
          <w:szCs w:val="24"/>
          <w:lang w:val="sr-Cyrl-RS"/>
        </w:rPr>
        <w:lastRenderedPageBreak/>
        <w:t xml:space="preserve">дистинкције и различито прописана процедура за стицање правног субјективитета „традиционалних“ и „нетрадиционалних“ верских субјеката. Наиме, потпуно је логично и оправдано што надлежни државни орган у складу са чланом 18. наведеног Закона верском субјекту који жели први пут да се региструје („нетрадиционални“), а за разлику од оних који се само поново уписују у Регистар („традиционални“), тражи „Одлуку о оснивању верске организације са потписима и идентификационим бројевима докумената најмање 0,001% пунолетних држављана Србије или оних који имају пребивалиште у њој...“, „Статут или други документ верске организације...“, „приказ верског учења, обреда и циљева...“, као и „податке о сталним приходима верске организације“. Те податке 2006. године </w:t>
      </w:r>
      <w:r>
        <w:rPr>
          <w:sz w:val="24"/>
          <w:szCs w:val="24"/>
          <w:lang w:val="sr-Cyrl-RS"/>
        </w:rPr>
        <w:t xml:space="preserve">у време доношења Закона о црквама и верским заједницама </w:t>
      </w:r>
      <w:r w:rsidRPr="00565E7E">
        <w:rPr>
          <w:sz w:val="24"/>
          <w:szCs w:val="24"/>
          <w:lang w:val="sr-Cyrl-RS"/>
        </w:rPr>
        <w:t xml:space="preserve">није било потребно поново тражити Српској православној цркви, Римокатоличкој цркви, </w:t>
      </w:r>
      <w:r>
        <w:rPr>
          <w:sz w:val="24"/>
          <w:szCs w:val="24"/>
          <w:lang w:val="sr-Cyrl-RS"/>
        </w:rPr>
        <w:t>п</w:t>
      </w:r>
      <w:r w:rsidRPr="00565E7E">
        <w:rPr>
          <w:sz w:val="24"/>
          <w:szCs w:val="24"/>
          <w:lang w:val="sr-Cyrl-RS"/>
        </w:rPr>
        <w:t xml:space="preserve">ротестантским црквама, Исламској заједници или Јеврејској заједници („традиционалним“ верским субјектима), јер оне имају „вишевековни историјски континуитет и правни субјективитет“ у Србији „у складу са посебним Законима“, још из 1929, 1930, 1931. године. </w:t>
      </w:r>
      <w:r>
        <w:rPr>
          <w:sz w:val="24"/>
          <w:szCs w:val="24"/>
          <w:lang w:val="sr-Cyrl-RS"/>
        </w:rPr>
        <w:t>И</w:t>
      </w:r>
      <w:r w:rsidRPr="00565E7E">
        <w:rPr>
          <w:sz w:val="24"/>
          <w:szCs w:val="24"/>
          <w:lang w:val="sr-Cyrl-RS"/>
        </w:rPr>
        <w:t>стичемо да постојање и деловање било ког верског субјекта у Републици Србији није условљено његовом регистрацијом. Она му само пружа могућност за стицање правног субјективитета, који ј</w:t>
      </w:r>
      <w:r w:rsidR="008B5120">
        <w:rPr>
          <w:sz w:val="24"/>
          <w:szCs w:val="24"/>
          <w:lang w:val="sr-Cyrl-RS"/>
        </w:rPr>
        <w:t xml:space="preserve">е нужна </w:t>
      </w:r>
      <w:r w:rsidRPr="00565E7E">
        <w:rPr>
          <w:sz w:val="24"/>
          <w:szCs w:val="24"/>
          <w:lang w:val="sr-Cyrl-RS"/>
        </w:rPr>
        <w:t xml:space="preserve">претпоставка </w:t>
      </w:r>
      <w:r w:rsidR="008B5120">
        <w:rPr>
          <w:sz w:val="24"/>
          <w:szCs w:val="24"/>
          <w:lang w:val="sr-Cyrl-RS"/>
        </w:rPr>
        <w:t>за учествовање у правном промету и за остваривање одређених бенефиција</w:t>
      </w:r>
      <w:r w:rsidRPr="00565E7E">
        <w:rPr>
          <w:sz w:val="24"/>
          <w:szCs w:val="24"/>
          <w:lang w:val="sr-Cyrl-RS"/>
        </w:rPr>
        <w:t>, примера ради, добијања финансијске помоћи државе.</w:t>
      </w:r>
    </w:p>
    <w:p w:rsidR="00BC1742" w:rsidRPr="00FD0E4D" w:rsidRDefault="008B5120" w:rsidP="00BC1742">
      <w:pPr>
        <w:spacing w:after="0"/>
        <w:ind w:firstLine="720"/>
        <w:jc w:val="both"/>
        <w:rPr>
          <w:sz w:val="24"/>
          <w:szCs w:val="24"/>
        </w:rPr>
      </w:pPr>
      <w:r>
        <w:rPr>
          <w:sz w:val="24"/>
          <w:szCs w:val="24"/>
          <w:lang w:val="sr-Cyrl-RS"/>
        </w:rPr>
        <w:t>Да је у правном поретку Републике Србије забрана</w:t>
      </w:r>
      <w:r w:rsidRPr="008B5120">
        <w:rPr>
          <w:sz w:val="24"/>
          <w:szCs w:val="24"/>
          <w:lang w:val="sr-Cyrl-RS"/>
        </w:rPr>
        <w:t xml:space="preserve"> дискриминације верских институција, организација или удружења које су бројчано мање</w:t>
      </w:r>
      <w:r>
        <w:rPr>
          <w:sz w:val="24"/>
          <w:szCs w:val="24"/>
          <w:lang w:val="sr-Cyrl-RS"/>
        </w:rPr>
        <w:t xml:space="preserve"> осигурана не само </w:t>
      </w:r>
      <w:r w:rsidRPr="008B5120">
        <w:rPr>
          <w:sz w:val="24"/>
          <w:szCs w:val="24"/>
          <w:lang w:val="sr-Cyrl-RS"/>
        </w:rPr>
        <w:t>у погледу приступа правном субјективитету</w:t>
      </w:r>
      <w:r>
        <w:rPr>
          <w:sz w:val="24"/>
          <w:szCs w:val="24"/>
          <w:lang w:val="sr-Cyrl-RS"/>
        </w:rPr>
        <w:t>, већ и у погледу</w:t>
      </w:r>
      <w:r w:rsidRPr="008B5120">
        <w:rPr>
          <w:sz w:val="24"/>
          <w:szCs w:val="24"/>
          <w:lang w:val="sr-Cyrl-RS"/>
        </w:rPr>
        <w:t xml:space="preserve"> </w:t>
      </w:r>
      <w:r>
        <w:rPr>
          <w:sz w:val="24"/>
          <w:szCs w:val="24"/>
          <w:lang w:val="sr-Cyrl-RS"/>
        </w:rPr>
        <w:t xml:space="preserve">пореског статуса речито сведочи податак да је </w:t>
      </w:r>
      <w:r w:rsidR="00BC1742" w:rsidRPr="0026255A">
        <w:rPr>
          <w:sz w:val="24"/>
          <w:szCs w:val="24"/>
          <w:lang w:val="sr-Cyrl-RS"/>
        </w:rPr>
        <w:t>Законом о порезу на додату вредност</w:t>
      </w:r>
      <w:r w:rsidR="00BC1742">
        <w:rPr>
          <w:rStyle w:val="FootnoteReference"/>
          <w:sz w:val="24"/>
          <w:szCs w:val="24"/>
          <w:lang w:val="sr-Cyrl-RS"/>
        </w:rPr>
        <w:footnoteReference w:id="52"/>
      </w:r>
      <w:r w:rsidR="00BC1742" w:rsidRPr="0026255A">
        <w:rPr>
          <w:sz w:val="24"/>
          <w:szCs w:val="24"/>
          <w:lang w:val="sr-Cyrl-RS"/>
        </w:rPr>
        <w:t xml:space="preserve"> јасно прописано да су </w:t>
      </w:r>
      <w:r w:rsidR="00BC1742" w:rsidRPr="00143B10">
        <w:rPr>
          <w:sz w:val="24"/>
          <w:szCs w:val="24"/>
          <w:lang w:val="sr-Cyrl-RS"/>
        </w:rPr>
        <w:t>порез</w:t>
      </w:r>
      <w:r w:rsidR="00BC1742">
        <w:rPr>
          <w:sz w:val="24"/>
          <w:szCs w:val="24"/>
          <w:lang w:val="sr-Cyrl-RS"/>
        </w:rPr>
        <w:t>а</w:t>
      </w:r>
      <w:r w:rsidR="00BC1742" w:rsidRPr="00143B10">
        <w:rPr>
          <w:sz w:val="24"/>
          <w:szCs w:val="24"/>
          <w:lang w:val="sr-Cyrl-RS"/>
        </w:rPr>
        <w:t xml:space="preserve"> на додату вредност</w:t>
      </w:r>
      <w:r w:rsidR="00BC1742" w:rsidRPr="0026255A">
        <w:rPr>
          <w:sz w:val="24"/>
          <w:szCs w:val="24"/>
          <w:lang w:val="sr-Cyrl-RS"/>
        </w:rPr>
        <w:t xml:space="preserve"> ослобођене све регистроване цркве и верске заједнице у случају делатности пружања „услуге верског карактера“.</w:t>
      </w:r>
      <w:r w:rsidR="00FD0E4D">
        <w:rPr>
          <w:sz w:val="24"/>
          <w:szCs w:val="24"/>
        </w:rPr>
        <w:t xml:space="preserve"> </w:t>
      </w:r>
      <w:r w:rsidR="00FD0E4D" w:rsidRPr="00FD0E4D">
        <w:rPr>
          <w:sz w:val="24"/>
          <w:szCs w:val="24"/>
        </w:rPr>
        <w:t>Дакле, ни у овом случају суштински не постоји никаква практична дискриминација верских субјеката („традиционаних“ и „нетрадиционалних“) у Републици Србији.</w:t>
      </w:r>
    </w:p>
    <w:p w:rsidR="00BC1742" w:rsidRDefault="00BC1742" w:rsidP="00BC1742">
      <w:pPr>
        <w:spacing w:after="0"/>
        <w:jc w:val="both"/>
        <w:rPr>
          <w:sz w:val="24"/>
          <w:szCs w:val="24"/>
          <w:lang w:val="sr-Cyrl-RS"/>
        </w:rPr>
      </w:pPr>
    </w:p>
    <w:p w:rsidR="00B23084" w:rsidRPr="001955AE" w:rsidRDefault="00B23084" w:rsidP="00B23084">
      <w:pPr>
        <w:spacing w:after="0"/>
        <w:jc w:val="both"/>
        <w:rPr>
          <w:i/>
          <w:sz w:val="24"/>
          <w:szCs w:val="24"/>
          <w:lang w:val="sr-Cyrl-RS"/>
        </w:rPr>
      </w:pPr>
      <w:r w:rsidRPr="001955AE">
        <w:rPr>
          <w:i/>
          <w:sz w:val="24"/>
          <w:szCs w:val="24"/>
          <w:lang w:val="sr-Cyrl-RS"/>
        </w:rPr>
        <w:t>9. Блиско пратити утицај процеса приватизације на мањинске медије и наручити израду свеобухватне и независне студије о овој теми; предузети неопходне мере за обезбеђивање одрживе уредничке и финансијске независности свих мањинских медија, укључујући и оне повезане са националним саветима националних мањина.</w:t>
      </w:r>
    </w:p>
    <w:p w:rsidR="00B23084" w:rsidRPr="00544F32" w:rsidRDefault="00B23084" w:rsidP="00B23084">
      <w:pPr>
        <w:spacing w:after="0"/>
        <w:jc w:val="both"/>
        <w:rPr>
          <w:i/>
          <w:sz w:val="24"/>
          <w:szCs w:val="24"/>
          <w:highlight w:val="yellow"/>
          <w:lang w:val="sr-Cyrl-RS"/>
        </w:rPr>
      </w:pPr>
    </w:p>
    <w:p w:rsidR="00FE5CA3" w:rsidRPr="00FE5CA3" w:rsidRDefault="00FE5CA3" w:rsidP="00FE5CA3">
      <w:pPr>
        <w:spacing w:after="0"/>
        <w:ind w:firstLine="720"/>
        <w:jc w:val="both"/>
        <w:rPr>
          <w:sz w:val="24"/>
          <w:szCs w:val="24"/>
          <w:lang w:val="sr-Cyrl-RS"/>
        </w:rPr>
      </w:pPr>
      <w:r w:rsidRPr="00FE5CA3">
        <w:rPr>
          <w:sz w:val="24"/>
          <w:szCs w:val="24"/>
          <w:lang w:val="sr-Cyrl-RS"/>
        </w:rPr>
        <w:t xml:space="preserve">Процес приватизације, као саставни део медијске реформе започете пре више од десет година, окончан је током извештајног периода. Због бојазни да би процес приватизације могао да доведе до гашења медија који емитују/објављују садржај и на језицима националних мањина, утицај тог процеса је континуирано праћен, како од стране државе, тако и од стране других релевантних актера у области информисања, пре свега новинарских удружења и медијских експерата. У вези са тим, протеклих година објављено је више независних истраживања и публикација која се, у целини или </w:t>
      </w:r>
      <w:r w:rsidRPr="00FE5CA3">
        <w:rPr>
          <w:sz w:val="24"/>
          <w:szCs w:val="24"/>
          <w:lang w:val="sr-Cyrl-RS"/>
        </w:rPr>
        <w:lastRenderedPageBreak/>
        <w:t>делимично, баве том темом. Примера ради, у оквиру пројекта „Вишејезични медији - три године после приватизације“</w:t>
      </w:r>
      <w:r>
        <w:rPr>
          <w:rStyle w:val="FootnoteReference"/>
          <w:sz w:val="24"/>
          <w:szCs w:val="24"/>
          <w:lang w:val="sr-Cyrl-RS"/>
        </w:rPr>
        <w:footnoteReference w:id="53"/>
      </w:r>
      <w:r w:rsidRPr="00FE5CA3">
        <w:rPr>
          <w:sz w:val="24"/>
          <w:szCs w:val="24"/>
          <w:lang w:val="sr-Cyrl-RS"/>
        </w:rPr>
        <w:t xml:space="preserve">  у децембру 2018. године објављено је истраживање о ефектима приватизације на одрживост и рад вишејезичних медија - да ли у приватизованим медијима и даље постоје програми на мањинским језицима и у ком обиму, да ли је било промена у броју запослених у односу на 2016. години када је рађено претходно истраживање, каква је финансијска ситуација медија и да ли пројектно суфинансирање помаже одрживости програма на мањинским језицима. Начелан закључак наведеног истраживања је да се положај приватизованих мањинских медија није значајно мењао од 2016. године.</w:t>
      </w:r>
      <w:r w:rsidR="009460C5">
        <w:rPr>
          <w:rStyle w:val="FootnoteReference"/>
          <w:sz w:val="24"/>
          <w:szCs w:val="24"/>
          <w:lang w:val="sr-Cyrl-RS"/>
        </w:rPr>
        <w:footnoteReference w:id="54"/>
      </w:r>
      <w:r w:rsidRPr="00FE5CA3">
        <w:rPr>
          <w:sz w:val="24"/>
          <w:szCs w:val="24"/>
          <w:lang w:val="sr-Cyrl-RS"/>
        </w:rPr>
        <w:t xml:space="preserve">  Такође, крајем 2020. године објављена је студија ,,Медији на језицима националних мањина - истраживање и анализа”,</w:t>
      </w:r>
      <w:r w:rsidR="009460C5">
        <w:rPr>
          <w:rStyle w:val="FootnoteReference"/>
          <w:sz w:val="24"/>
          <w:szCs w:val="24"/>
          <w:lang w:val="sr-Cyrl-RS"/>
        </w:rPr>
        <w:footnoteReference w:id="55"/>
      </w:r>
      <w:r w:rsidRPr="00FE5CA3">
        <w:rPr>
          <w:sz w:val="24"/>
          <w:szCs w:val="24"/>
          <w:lang w:val="sr-Cyrl-RS"/>
        </w:rPr>
        <w:t xml:space="preserve">  која је подржана од стране Мисије ОЕБС-а у Србији и у којој су, између осталог, представљени подаци о медијима који имају медијске садржаје на мањинским језицима, како по језику националне мањине, тако и према врсти медија (радио, телевизија, интернет и штампа). Према резултатима наведеног истраживања</w:t>
      </w:r>
      <w:r>
        <w:rPr>
          <w:sz w:val="24"/>
          <w:szCs w:val="24"/>
        </w:rPr>
        <w:t>,</w:t>
      </w:r>
      <w:r w:rsidRPr="00FE5CA3">
        <w:rPr>
          <w:sz w:val="24"/>
          <w:szCs w:val="24"/>
          <w:lang w:val="sr-Cyrl-RS"/>
        </w:rPr>
        <w:t xml:space="preserve"> </w:t>
      </w:r>
      <w:r>
        <w:rPr>
          <w:sz w:val="24"/>
          <w:szCs w:val="24"/>
          <w:lang w:val="sr-Cyrl-RS"/>
        </w:rPr>
        <w:t>у Републици Србији</w:t>
      </w:r>
      <w:r>
        <w:rPr>
          <w:sz w:val="24"/>
          <w:szCs w:val="24"/>
        </w:rPr>
        <w:t xml:space="preserve"> </w:t>
      </w:r>
      <w:r w:rsidRPr="00FE5CA3">
        <w:rPr>
          <w:sz w:val="24"/>
          <w:szCs w:val="24"/>
          <w:lang w:val="sr-Cyrl-RS"/>
        </w:rPr>
        <w:t>постој</w:t>
      </w:r>
      <w:r>
        <w:rPr>
          <w:sz w:val="24"/>
          <w:szCs w:val="24"/>
        </w:rPr>
        <w:t>e</w:t>
      </w:r>
      <w:r w:rsidRPr="00FE5CA3">
        <w:rPr>
          <w:sz w:val="24"/>
          <w:szCs w:val="24"/>
          <w:lang w:val="sr-Cyrl-RS"/>
        </w:rPr>
        <w:t xml:space="preserve"> 163 медија који извештавају у целини или делимично на језицима националних мањина. У питању су медији којима су издавачи национални савети националних мањина, као и медији у приватном власништву, укључујући и медије организација цивилног друштва.</w:t>
      </w:r>
      <w:r w:rsidR="00EB7AF6">
        <w:rPr>
          <w:rStyle w:val="FootnoteReference"/>
          <w:sz w:val="24"/>
          <w:szCs w:val="24"/>
          <w:lang w:val="sr-Cyrl-RS"/>
        </w:rPr>
        <w:footnoteReference w:id="56"/>
      </w:r>
      <w:r w:rsidRPr="00FE5CA3">
        <w:rPr>
          <w:sz w:val="24"/>
          <w:szCs w:val="24"/>
          <w:lang w:val="sr-Cyrl-RS"/>
        </w:rPr>
        <w:t xml:space="preserve"> Јавна политика Републике Србије оличена у Стратегији развоја система јавног информисања у Републици Србији за период 2020-2025. године, резултати ових и других  истраживања, као и чињеница да убрзани технолошки развој нужно намеће питање разматрања могућности за веће искоришћавање потенцијала друштвених мрежа и других платформи у информисању на мањинским језицима, наводе на закључак да је тематика ,,израде студије” о приватизацији медија у контексту остваривања мањинских права увелико превазиђена.</w:t>
      </w:r>
    </w:p>
    <w:p w:rsidR="00FE5CA3" w:rsidRPr="00FE5CA3" w:rsidRDefault="00FE5CA3" w:rsidP="00FE5CA3">
      <w:pPr>
        <w:spacing w:after="0"/>
        <w:jc w:val="both"/>
        <w:rPr>
          <w:sz w:val="24"/>
          <w:szCs w:val="24"/>
          <w:lang w:val="sr-Cyrl-RS"/>
        </w:rPr>
      </w:pPr>
      <w:r w:rsidRPr="00FE5CA3">
        <w:rPr>
          <w:sz w:val="24"/>
          <w:szCs w:val="24"/>
          <w:lang w:val="sr-Cyrl-RS"/>
        </w:rPr>
        <w:tab/>
        <w:t xml:space="preserve">Финансијска независност медија је један од предуслова за обезбеђивање независности уређивачке политике медија. Медијска реформа, правно уобличена законима из 2014. године,  састојала се у изласку државе из власништва над медијима, између осталог, у циљу смањења било каквог утицаја на функционисање и рад медија. У складу са важећим законским решењима, држава у медијску сферу интервенише како би грађанима, укључујући и припаднике националних мањина, путем конкурсног суфинансирања, обезбедила квалитетно информисање, ослобођено од политичких, економских и других утицаја. Додатно, када је реч о економском положају мањинских медија, треба имати на уму да садржаји тих медија нису комерцијалног карактера те је конкурсно финансирање важан извор прихода за такве медије и њихову финансијску одрживост у условима слободне тржишне утакмице. У оквиру пројекта „Отвореним подацима до квалитетнијег пројектног суфинансирања медијских садржаја“, који је </w:t>
      </w:r>
      <w:r w:rsidRPr="00FE5CA3">
        <w:rPr>
          <w:sz w:val="24"/>
          <w:szCs w:val="24"/>
          <w:lang w:val="sr-Cyrl-RS"/>
        </w:rPr>
        <w:lastRenderedPageBreak/>
        <w:t>реализовао Центар за одрживе заједнице у сарадњи са Мисијом ОЕБС-а у Србији и Министарством културе и информисања</w:t>
      </w:r>
      <w:r>
        <w:rPr>
          <w:sz w:val="24"/>
          <w:szCs w:val="24"/>
          <w:lang w:val="sr-Cyrl-RS"/>
        </w:rPr>
        <w:t>,</w:t>
      </w:r>
      <w:r w:rsidRPr="00FE5CA3">
        <w:rPr>
          <w:sz w:val="24"/>
          <w:szCs w:val="24"/>
          <w:lang w:val="sr-Cyrl-RS"/>
        </w:rPr>
        <w:t xml:space="preserve"> објављени су подаци из поступка конкурсног суфинансирања који су спровели сви нивои јавне власти у периоду од почетка 2015. до децембра 2021. године. Подаци не обухватају тзв. појединачна давања, односно средства која се расподељују одлуком руководиоца органа надлежног за послове јавног информисања без спровођења јавног конкурса. Када је реч мањинским садржајима приватних медија, укључујући и медије организација цивилног друштва, подаци указују на то да је у извештајном периоду дошло до благог увећања висине средстава која су издвојена за такве садржаје. Мањински садржаји су у 2017. години суфинансирани у укупном износу од 763</w:t>
      </w:r>
      <w:r>
        <w:rPr>
          <w:sz w:val="24"/>
          <w:szCs w:val="24"/>
          <w:lang w:val="sr-Cyrl-RS"/>
        </w:rPr>
        <w:t>.</w:t>
      </w:r>
      <w:r w:rsidRPr="00FE5CA3">
        <w:rPr>
          <w:sz w:val="24"/>
          <w:szCs w:val="24"/>
          <w:lang w:val="sr-Cyrl-RS"/>
        </w:rPr>
        <w:t>658 евра, док је у 2021. години, прецизније до децембра 2021. године за такве садржаје путем пројектног суфинансирања издвојено укупно 841</w:t>
      </w:r>
      <w:r>
        <w:rPr>
          <w:sz w:val="24"/>
          <w:szCs w:val="24"/>
          <w:lang w:val="sr-Cyrl-RS"/>
        </w:rPr>
        <w:t>.</w:t>
      </w:r>
      <w:r w:rsidRPr="00FE5CA3">
        <w:rPr>
          <w:sz w:val="24"/>
          <w:szCs w:val="24"/>
          <w:lang w:val="sr-Cyrl-RS"/>
        </w:rPr>
        <w:t>669 евра.</w:t>
      </w:r>
      <w:r w:rsidR="00EB7AF6">
        <w:rPr>
          <w:rStyle w:val="FootnoteReference"/>
          <w:sz w:val="24"/>
          <w:szCs w:val="24"/>
          <w:lang w:val="sr-Cyrl-RS"/>
        </w:rPr>
        <w:footnoteReference w:id="57"/>
      </w:r>
      <w:r w:rsidRPr="00FE5CA3">
        <w:rPr>
          <w:sz w:val="24"/>
          <w:szCs w:val="24"/>
          <w:lang w:val="sr-Cyrl-RS"/>
        </w:rPr>
        <w:t xml:space="preserve">  </w:t>
      </w:r>
    </w:p>
    <w:p w:rsidR="00C32454" w:rsidRDefault="00FE5CA3" w:rsidP="00FE5CA3">
      <w:pPr>
        <w:spacing w:after="0"/>
        <w:jc w:val="both"/>
        <w:rPr>
          <w:sz w:val="24"/>
          <w:szCs w:val="24"/>
          <w:lang w:val="sr-Cyrl-RS"/>
        </w:rPr>
      </w:pPr>
      <w:r w:rsidRPr="00FE5CA3">
        <w:rPr>
          <w:sz w:val="24"/>
          <w:szCs w:val="24"/>
          <w:lang w:val="sr-Cyrl-RS"/>
        </w:rPr>
        <w:tab/>
        <w:t>Обезбеђивање одрживе уредничке независности медија представља изазов за већину демократских држава, чак и оних најразвијенијих са тзв. традицијом високог нивоа медијских слобода. Надлежни органи Републике Србије понављају став да је сврсисходно додатно унапредити механизме којима ће се штитити уређивачка независност медија, али на начин да се не наруши принцип аутономије медија који произилази из члана 10. Европске конвенције о заштити људских права и основних слобода. Поред поштовања независности медија, када су у питању медији чији су посредни оснивачи национални савети националних мањина, држава мора водити рачуна и о поштовању мањинске самоуправе која је гарантован</w:t>
      </w:r>
      <w:r>
        <w:rPr>
          <w:sz w:val="24"/>
          <w:szCs w:val="24"/>
          <w:lang w:val="sr-Cyrl-RS"/>
        </w:rPr>
        <w:t>а</w:t>
      </w:r>
      <w:r w:rsidRPr="00FE5CA3">
        <w:rPr>
          <w:sz w:val="24"/>
          <w:szCs w:val="24"/>
          <w:lang w:val="sr-Cyrl-RS"/>
        </w:rPr>
        <w:t xml:space="preserve"> Уставом, законима и потврђеним међународним уговорима. Акционим планом за спровођење Стратегије развоја система јавног информисања у Републици Србији</w:t>
      </w:r>
      <w:r w:rsidR="00EB7AF6">
        <w:rPr>
          <w:rStyle w:val="FootnoteReference"/>
          <w:sz w:val="24"/>
          <w:szCs w:val="24"/>
          <w:lang w:val="sr-Cyrl-RS"/>
        </w:rPr>
        <w:footnoteReference w:id="58"/>
      </w:r>
      <w:r w:rsidRPr="00FE5CA3">
        <w:rPr>
          <w:sz w:val="24"/>
          <w:szCs w:val="24"/>
          <w:lang w:val="sr-Cyrl-RS"/>
        </w:rPr>
        <w:t xml:space="preserve"> предвиђена је измена Закона о јавнoм информисању и медијима како би се успоставиле гаранције уређивачке независности медија, код издавача медија чији су оснивачи национални савети националних мањина. Ипак, измене закона нису неопходан услов да се код издавача медија чији су оснивачи национални савети националних мањина успоставе гаранције уређивачке независности медија, односно изради интерни документ који би био основ за даље уређење односа између оснивача-власника и самог медија, а чија израда у овом тренутку зависи искључиво од воље оснивача, односно  националног савета националне мањине. У том смислу, позитиван је пример пилот пројекта из 2019. години, у оквиру којег су Новинско-издавачка установа „Руске слово” и Национални савет русинске националне мањине</w:t>
      </w:r>
      <w:r>
        <w:rPr>
          <w:sz w:val="24"/>
          <w:szCs w:val="24"/>
          <w:lang w:val="sr-Cyrl-RS"/>
        </w:rPr>
        <w:t>,</w:t>
      </w:r>
      <w:r w:rsidRPr="00FE5CA3">
        <w:rPr>
          <w:sz w:val="24"/>
          <w:szCs w:val="24"/>
          <w:lang w:val="sr-Cyrl-RS"/>
        </w:rPr>
        <w:t xml:space="preserve"> уз посредство Независног друштва новинара Војводине и Мисије ОЕБС у Србији</w:t>
      </w:r>
      <w:r>
        <w:rPr>
          <w:sz w:val="24"/>
          <w:szCs w:val="24"/>
          <w:lang w:val="sr-Cyrl-RS"/>
        </w:rPr>
        <w:t>,</w:t>
      </w:r>
      <w:r w:rsidRPr="00FE5CA3">
        <w:rPr>
          <w:sz w:val="24"/>
          <w:szCs w:val="24"/>
          <w:lang w:val="sr-Cyrl-RS"/>
        </w:rPr>
        <w:t xml:space="preserve"> израдили саморегулаторни механизам који ће обезбедити интерне процедуре, правила и кодекс за унапређење уређивачке независности и медијског професионализма у НИУ „Руске слово”. Ова издавачка установа је изразила спремност да своје знање и искуство подели и са другим мањинским медијима чији су оснивачи национални савети националних мањина.</w:t>
      </w:r>
    </w:p>
    <w:p w:rsidR="00FE5CA3" w:rsidRDefault="00FE5CA3" w:rsidP="00FE5CA3">
      <w:pPr>
        <w:spacing w:after="0"/>
        <w:jc w:val="both"/>
        <w:rPr>
          <w:i/>
          <w:sz w:val="24"/>
          <w:szCs w:val="24"/>
          <w:lang w:val="sr-Cyrl-RS"/>
        </w:rPr>
      </w:pPr>
    </w:p>
    <w:p w:rsidR="00E72ED5" w:rsidRDefault="00E72ED5" w:rsidP="00E72ED5">
      <w:pPr>
        <w:spacing w:after="0"/>
        <w:jc w:val="both"/>
        <w:rPr>
          <w:i/>
          <w:sz w:val="24"/>
          <w:szCs w:val="24"/>
          <w:lang w:val="sr-Cyrl-RS"/>
        </w:rPr>
      </w:pPr>
      <w:r w:rsidRPr="001208F9">
        <w:rPr>
          <w:i/>
          <w:sz w:val="24"/>
          <w:szCs w:val="24"/>
          <w:lang w:val="sr-Cyrl-RS"/>
        </w:rPr>
        <w:t xml:space="preserve">10. У подручјима која су традиционално настањена припадницима националних мањина или где они живе у великом броју, прикупити податке о броју мањинских језика које </w:t>
      </w:r>
      <w:r w:rsidRPr="001208F9">
        <w:rPr>
          <w:i/>
          <w:sz w:val="24"/>
          <w:szCs w:val="24"/>
          <w:lang w:val="sr-Cyrl-RS"/>
        </w:rPr>
        <w:lastRenderedPageBreak/>
        <w:t>говоре државни службеници у државној, покрајинској и локалној управи и, у светлу таквих података, предузети потребне мере, укључујући адекватну обуку за припаднике националних мањина како би се обезбедило да број мањинских језика које говоре државни службеници у државној, покрајинској и локалној управи у највећој могућој мери одговара уделу становништва које говори мањинске језике; информисати све припаднике националних мањина, у подручјима о којима је реч, да имају право да користе свој мањински језик у општењу са државном, покрајинском и локалном управом; наручити израду студије у циљу процене нивоа спровођења законских одредби о службеној употреби мањинских језика и обезбедити да се у свим општинама, у којима су испуњени законски услови, мањински језици ефективно користе у службеној употреби.</w:t>
      </w:r>
    </w:p>
    <w:p w:rsidR="00E72ED5" w:rsidRDefault="00E72ED5" w:rsidP="00E72ED5">
      <w:pPr>
        <w:spacing w:after="0"/>
        <w:jc w:val="both"/>
        <w:rPr>
          <w:i/>
          <w:sz w:val="24"/>
          <w:szCs w:val="24"/>
          <w:lang w:val="sr-Cyrl-RS"/>
        </w:rPr>
      </w:pPr>
    </w:p>
    <w:p w:rsidR="00736E42" w:rsidRDefault="00736E42" w:rsidP="00E72ED5">
      <w:pPr>
        <w:spacing w:after="0"/>
        <w:jc w:val="both"/>
        <w:rPr>
          <w:i/>
          <w:sz w:val="24"/>
          <w:szCs w:val="24"/>
          <w:lang w:val="sr-Cyrl-RS"/>
        </w:rPr>
      </w:pPr>
      <w:r>
        <w:rPr>
          <w:i/>
          <w:sz w:val="24"/>
          <w:szCs w:val="24"/>
          <w:lang w:val="sr-Cyrl-RS"/>
        </w:rPr>
        <w:t>Прикупљање података</w:t>
      </w:r>
      <w:r w:rsidR="00F237B2">
        <w:rPr>
          <w:i/>
          <w:sz w:val="24"/>
          <w:szCs w:val="24"/>
          <w:lang w:val="sr-Cyrl-RS"/>
        </w:rPr>
        <w:t xml:space="preserve">, подстицаји </w:t>
      </w:r>
      <w:r>
        <w:rPr>
          <w:i/>
          <w:sz w:val="24"/>
          <w:szCs w:val="24"/>
          <w:lang w:val="sr-Cyrl-RS"/>
        </w:rPr>
        <w:t xml:space="preserve">и обуке </w:t>
      </w:r>
    </w:p>
    <w:p w:rsidR="00736E42" w:rsidRPr="00736E42" w:rsidRDefault="00736E42" w:rsidP="00E72ED5">
      <w:pPr>
        <w:spacing w:after="0"/>
        <w:jc w:val="both"/>
        <w:rPr>
          <w:i/>
          <w:sz w:val="24"/>
          <w:szCs w:val="24"/>
          <w:lang w:val="sr-Cyrl-RS"/>
        </w:rPr>
      </w:pPr>
    </w:p>
    <w:p w:rsidR="00E72ED5" w:rsidRDefault="00E72ED5" w:rsidP="00E72ED5">
      <w:pPr>
        <w:spacing w:after="0"/>
        <w:ind w:firstLine="720"/>
        <w:jc w:val="both"/>
        <w:rPr>
          <w:sz w:val="24"/>
          <w:szCs w:val="24"/>
          <w:lang w:val="sr-Cyrl-RS"/>
        </w:rPr>
      </w:pPr>
      <w:r>
        <w:rPr>
          <w:sz w:val="24"/>
          <w:szCs w:val="24"/>
          <w:lang w:val="sr-Cyrl-RS"/>
        </w:rPr>
        <w:t>Б</w:t>
      </w:r>
      <w:r w:rsidRPr="00D61022">
        <w:rPr>
          <w:sz w:val="24"/>
          <w:szCs w:val="24"/>
          <w:lang w:val="sr-Cyrl-RS"/>
        </w:rPr>
        <w:t>аза података, кој</w:t>
      </w:r>
      <w:r>
        <w:rPr>
          <w:sz w:val="24"/>
          <w:szCs w:val="24"/>
          <w:lang w:val="sr-Cyrl-RS"/>
        </w:rPr>
        <w:t>а</w:t>
      </w:r>
      <w:r w:rsidRPr="00D61022">
        <w:rPr>
          <w:sz w:val="24"/>
          <w:szCs w:val="24"/>
          <w:lang w:val="sr-Cyrl-RS"/>
        </w:rPr>
        <w:t xml:space="preserve"> обухват</w:t>
      </w:r>
      <w:r>
        <w:rPr>
          <w:sz w:val="24"/>
          <w:szCs w:val="24"/>
          <w:lang w:val="sr-Cyrl-RS"/>
        </w:rPr>
        <w:t>а</w:t>
      </w:r>
      <w:r w:rsidRPr="00D61022">
        <w:rPr>
          <w:sz w:val="24"/>
          <w:szCs w:val="24"/>
          <w:lang w:val="sr-Cyrl-RS"/>
        </w:rPr>
        <w:t xml:space="preserve"> и податке о броју мањинских језика које говоре службеници у покрајинској и локалној управи на територији АП</w:t>
      </w:r>
      <w:r>
        <w:rPr>
          <w:sz w:val="24"/>
          <w:szCs w:val="24"/>
          <w:lang w:val="sr-Cyrl-RS"/>
        </w:rPr>
        <w:t xml:space="preserve"> </w:t>
      </w:r>
      <w:r w:rsidRPr="00D61022">
        <w:rPr>
          <w:sz w:val="24"/>
          <w:szCs w:val="24"/>
          <w:lang w:val="sr-Cyrl-RS"/>
        </w:rPr>
        <w:t>В</w:t>
      </w:r>
      <w:r>
        <w:rPr>
          <w:sz w:val="24"/>
          <w:szCs w:val="24"/>
          <w:lang w:val="sr-Cyrl-RS"/>
        </w:rPr>
        <w:t xml:space="preserve">ојводине  доступна је на сајту </w:t>
      </w:r>
      <w:r w:rsidRPr="00D61022">
        <w:rPr>
          <w:sz w:val="24"/>
          <w:szCs w:val="24"/>
          <w:lang w:val="sr-Cyrl-RS"/>
        </w:rPr>
        <w:t>Покрајинског секретаријата за образовање, прописе, управу и националне мањине - националне заједнице</w:t>
      </w:r>
      <w:r w:rsidR="0033642F">
        <w:rPr>
          <w:sz w:val="24"/>
          <w:szCs w:val="24"/>
          <w:lang w:val="sr-Cyrl-RS"/>
        </w:rPr>
        <w:t>.</w:t>
      </w:r>
      <w:r>
        <w:rPr>
          <w:rStyle w:val="FootnoteReference"/>
          <w:sz w:val="24"/>
          <w:szCs w:val="24"/>
          <w:lang w:val="sr-Cyrl-RS"/>
        </w:rPr>
        <w:footnoteReference w:id="59"/>
      </w:r>
      <w:r w:rsidRPr="00D61022">
        <w:rPr>
          <w:sz w:val="24"/>
          <w:szCs w:val="24"/>
          <w:lang w:val="sr-Cyrl-RS"/>
        </w:rPr>
        <w:t xml:space="preserve"> База података је израђена на основу анкете коју Секретаријат спроводи сваке године. Питања обухваћена анкетом</w:t>
      </w:r>
      <w:r>
        <w:rPr>
          <w:sz w:val="24"/>
          <w:szCs w:val="24"/>
          <w:lang w:val="sr-Cyrl-RS"/>
        </w:rPr>
        <w:t>,</w:t>
      </w:r>
      <w:r w:rsidRPr="00D61022">
        <w:rPr>
          <w:sz w:val="24"/>
          <w:szCs w:val="24"/>
          <w:lang w:val="sr-Cyrl-RS"/>
        </w:rPr>
        <w:t xml:space="preserve"> </w:t>
      </w:r>
      <w:r>
        <w:rPr>
          <w:sz w:val="24"/>
          <w:szCs w:val="24"/>
          <w:lang w:val="sr-Cyrl-RS"/>
        </w:rPr>
        <w:t xml:space="preserve">између осталог, </w:t>
      </w:r>
      <w:r w:rsidRPr="00D61022">
        <w:rPr>
          <w:sz w:val="24"/>
          <w:szCs w:val="24"/>
          <w:lang w:val="sr-Cyrl-RS"/>
        </w:rPr>
        <w:t xml:space="preserve"> </w:t>
      </w:r>
      <w:r>
        <w:rPr>
          <w:sz w:val="24"/>
          <w:szCs w:val="24"/>
          <w:lang w:val="sr-Cyrl-RS"/>
        </w:rPr>
        <w:t>односе се на:</w:t>
      </w:r>
      <w:r w:rsidRPr="00D61022">
        <w:rPr>
          <w:sz w:val="24"/>
          <w:szCs w:val="24"/>
          <w:lang w:val="sr-Cyrl-RS"/>
        </w:rPr>
        <w:t xml:space="preserve"> матерњи језик запослених; језик на коме је стечено основно и средње образовање запослених; број запослених који познају језик националне мањине који је у службеној употреби; укупан број радних места на којима је актом о систематизацији прописано познавање језика националне мањине; средства додељена у претходном периоду од Секретаријата на конкурсима за унапређивање вишејезичности на територији АП Војводине; на који начин је странкама омогућено да користе језик националне мањине у службеној употреби; доступност формулара и других образаца које странке користе на језицима националних мањина у службеној употреби</w:t>
      </w:r>
      <w:r w:rsidR="00A02117">
        <w:rPr>
          <w:sz w:val="24"/>
          <w:szCs w:val="24"/>
          <w:lang w:val="sr-Cyrl-RS"/>
        </w:rPr>
        <w:t>,</w:t>
      </w:r>
      <w:r>
        <w:rPr>
          <w:sz w:val="24"/>
          <w:szCs w:val="24"/>
          <w:lang w:val="sr-Cyrl-RS"/>
        </w:rPr>
        <w:t xml:space="preserve"> итд</w:t>
      </w:r>
      <w:r w:rsidRPr="00D61022">
        <w:rPr>
          <w:sz w:val="24"/>
          <w:szCs w:val="24"/>
          <w:lang w:val="sr-Cyrl-RS"/>
        </w:rPr>
        <w:t xml:space="preserve">. </w:t>
      </w:r>
    </w:p>
    <w:p w:rsidR="001A732C" w:rsidRDefault="00C32454" w:rsidP="00E72ED5">
      <w:pPr>
        <w:spacing w:after="0"/>
        <w:ind w:firstLine="720"/>
        <w:jc w:val="both"/>
        <w:rPr>
          <w:sz w:val="24"/>
          <w:szCs w:val="24"/>
          <w:lang w:val="sr-Cyrl-RS"/>
        </w:rPr>
      </w:pPr>
      <w:r w:rsidRPr="00C32454">
        <w:rPr>
          <w:sz w:val="24"/>
          <w:szCs w:val="24"/>
          <w:lang w:val="sr-Cyrl-RS"/>
        </w:rPr>
        <w:t>Према подацима из ове базе, о</w:t>
      </w:r>
      <w:r w:rsidR="001A732C" w:rsidRPr="00C32454">
        <w:rPr>
          <w:sz w:val="24"/>
          <w:szCs w:val="24"/>
          <w:lang w:val="sr-Cyrl-RS"/>
        </w:rPr>
        <w:t>д укупно 45 јединица локалне самоуправе на територији АП Војводине, актом о систематизацији радних места, у 23 јединице локалне самоуправе на територији АП Војводине предвиђена су радна места на којима је услов познавање неког од језика националних мањина у службеној употреби, док од 23 органа, организације и службе АП Војводине, такав услов постоји за поједина радна места у четири органа.</w:t>
      </w:r>
    </w:p>
    <w:p w:rsidR="008A7E1F" w:rsidRDefault="008A7E1F" w:rsidP="00A02117">
      <w:pPr>
        <w:spacing w:after="0"/>
        <w:ind w:firstLine="720"/>
        <w:jc w:val="both"/>
        <w:rPr>
          <w:rFonts w:eastAsia="Times New Roman"/>
          <w:bCs/>
          <w:sz w:val="24"/>
          <w:szCs w:val="24"/>
          <w:lang w:val="sr-Cyrl-RS" w:eastAsia="en-GB"/>
        </w:rPr>
      </w:pPr>
      <w:r w:rsidRPr="004C23EE">
        <w:rPr>
          <w:rFonts w:eastAsia="Times New Roman"/>
          <w:bCs/>
          <w:sz w:val="24"/>
          <w:szCs w:val="24"/>
          <w:lang w:val="sr-Cyrl-RS" w:eastAsia="en-GB"/>
        </w:rPr>
        <w:t>Укупан број запослених</w:t>
      </w:r>
      <w:r>
        <w:rPr>
          <w:rFonts w:eastAsia="Times New Roman"/>
          <w:bCs/>
          <w:sz w:val="24"/>
          <w:szCs w:val="24"/>
          <w:lang w:val="sr-Cyrl-RS" w:eastAsia="en-GB"/>
        </w:rPr>
        <w:t xml:space="preserve"> у јавној управи на територији АП Војводине је</w:t>
      </w:r>
      <w:r w:rsidRPr="004C23EE">
        <w:rPr>
          <w:rFonts w:eastAsia="Times New Roman"/>
          <w:bCs/>
          <w:sz w:val="24"/>
          <w:szCs w:val="24"/>
          <w:lang w:val="sr-Cyrl-RS" w:eastAsia="en-GB"/>
        </w:rPr>
        <w:t xml:space="preserve"> 6.774</w:t>
      </w:r>
      <w:r>
        <w:rPr>
          <w:rFonts w:eastAsia="Times New Roman"/>
          <w:bCs/>
          <w:sz w:val="24"/>
          <w:szCs w:val="24"/>
          <w:lang w:val="sr-Cyrl-RS" w:eastAsia="en-GB"/>
        </w:rPr>
        <w:t xml:space="preserve"> (о</w:t>
      </w:r>
      <w:r w:rsidRPr="004C23EE">
        <w:rPr>
          <w:rFonts w:eastAsia="Times New Roman"/>
          <w:bCs/>
          <w:sz w:val="24"/>
          <w:szCs w:val="24"/>
          <w:lang w:val="sr-Cyrl-RS" w:eastAsia="en-GB"/>
        </w:rPr>
        <w:t xml:space="preserve">ргани локалне самоуправе </w:t>
      </w:r>
      <w:r>
        <w:rPr>
          <w:rFonts w:eastAsia="Times New Roman"/>
          <w:bCs/>
          <w:sz w:val="24"/>
          <w:szCs w:val="24"/>
          <w:lang w:val="sr-Cyrl-RS" w:eastAsia="en-GB"/>
        </w:rPr>
        <w:t xml:space="preserve">- </w:t>
      </w:r>
      <w:r w:rsidRPr="004C23EE">
        <w:rPr>
          <w:rFonts w:eastAsia="Times New Roman"/>
          <w:bCs/>
          <w:sz w:val="24"/>
          <w:szCs w:val="24"/>
          <w:lang w:val="sr-Cyrl-RS" w:eastAsia="en-GB"/>
        </w:rPr>
        <w:t>5.594</w:t>
      </w:r>
      <w:r>
        <w:rPr>
          <w:rFonts w:eastAsia="Times New Roman"/>
          <w:bCs/>
          <w:sz w:val="24"/>
          <w:szCs w:val="24"/>
          <w:lang w:val="sr-Cyrl-RS" w:eastAsia="en-GB"/>
        </w:rPr>
        <w:t>, о</w:t>
      </w:r>
      <w:r w:rsidRPr="004C23EE">
        <w:rPr>
          <w:rFonts w:eastAsia="Times New Roman"/>
          <w:bCs/>
          <w:sz w:val="24"/>
          <w:szCs w:val="24"/>
          <w:lang w:val="sr-Cyrl-RS" w:eastAsia="en-GB"/>
        </w:rPr>
        <w:t xml:space="preserve">ргани АП Војводине </w:t>
      </w:r>
      <w:r>
        <w:rPr>
          <w:rFonts w:eastAsia="Times New Roman"/>
          <w:bCs/>
          <w:sz w:val="24"/>
          <w:szCs w:val="24"/>
          <w:lang w:val="sr-Cyrl-RS" w:eastAsia="en-GB"/>
        </w:rPr>
        <w:t xml:space="preserve">- </w:t>
      </w:r>
      <w:r w:rsidRPr="004C23EE">
        <w:rPr>
          <w:rFonts w:eastAsia="Times New Roman"/>
          <w:bCs/>
          <w:sz w:val="24"/>
          <w:szCs w:val="24"/>
          <w:lang w:val="sr-Cyrl-RS" w:eastAsia="en-GB"/>
        </w:rPr>
        <w:t>1.180</w:t>
      </w:r>
      <w:r>
        <w:rPr>
          <w:rFonts w:eastAsia="Times New Roman"/>
          <w:bCs/>
          <w:sz w:val="24"/>
          <w:szCs w:val="24"/>
          <w:lang w:val="sr-Cyrl-RS" w:eastAsia="en-GB"/>
        </w:rPr>
        <w:t>). Доње табеле садрже релевантне податке.</w:t>
      </w:r>
    </w:p>
    <w:p w:rsidR="008A7E1F" w:rsidRPr="004C23EE" w:rsidRDefault="008A7E1F" w:rsidP="00A02117">
      <w:pPr>
        <w:spacing w:after="0"/>
        <w:rPr>
          <w:rFonts w:eastAsia="Times New Roman"/>
          <w:bCs/>
          <w:sz w:val="24"/>
          <w:szCs w:val="24"/>
          <w:lang w:val="sr-Cyrl-RS" w:eastAsia="en-GB"/>
        </w:rPr>
      </w:pPr>
    </w:p>
    <w:p w:rsidR="008A7E1F" w:rsidRDefault="008A7E1F" w:rsidP="008A7E1F">
      <w:pPr>
        <w:spacing w:after="0" w:line="240" w:lineRule="auto"/>
        <w:ind w:left="2880"/>
        <w:rPr>
          <w:rFonts w:eastAsia="Times New Roman"/>
          <w:sz w:val="20"/>
          <w:szCs w:val="20"/>
          <w:lang w:val="sr-Cyrl-RS" w:eastAsia="en-GB"/>
        </w:rPr>
      </w:pPr>
      <w:r>
        <w:rPr>
          <w:rFonts w:eastAsia="Times New Roman"/>
          <w:sz w:val="20"/>
          <w:szCs w:val="20"/>
          <w:lang w:val="sr-Cyrl-RS" w:eastAsia="en-GB"/>
        </w:rPr>
        <w:t xml:space="preserve">     </w:t>
      </w:r>
      <w:r w:rsidR="00A02117">
        <w:rPr>
          <w:rFonts w:eastAsia="Times New Roman"/>
          <w:sz w:val="20"/>
          <w:szCs w:val="20"/>
          <w:lang w:val="sr-Cyrl-RS" w:eastAsia="en-GB"/>
        </w:rPr>
        <w:t xml:space="preserve">  </w:t>
      </w:r>
      <w:r w:rsidRPr="004C23EE">
        <w:rPr>
          <w:rFonts w:eastAsia="Times New Roman"/>
          <w:sz w:val="20"/>
          <w:szCs w:val="20"/>
          <w:lang w:val="sr-Cyrl-RS" w:eastAsia="en-GB"/>
        </w:rPr>
        <w:t>Матерњи језик запослених</w:t>
      </w:r>
    </w:p>
    <w:tbl>
      <w:tblPr>
        <w:tblStyle w:val="TableGrid"/>
        <w:tblW w:w="0" w:type="auto"/>
        <w:tblInd w:w="1832" w:type="dxa"/>
        <w:tblLook w:val="04A0" w:firstRow="1" w:lastRow="0" w:firstColumn="1" w:lastColumn="0" w:noHBand="0" w:noVBand="1"/>
      </w:tblPr>
      <w:tblGrid>
        <w:gridCol w:w="2676"/>
        <w:gridCol w:w="2676"/>
      </w:tblGrid>
      <w:tr w:rsidR="008A7E1F" w:rsidRPr="00EC5282" w:rsidTr="00705426">
        <w:trPr>
          <w:trHeight w:val="245"/>
        </w:trPr>
        <w:tc>
          <w:tcPr>
            <w:tcW w:w="2676" w:type="dxa"/>
          </w:tcPr>
          <w:p w:rsidR="008A7E1F" w:rsidRPr="00EC5282" w:rsidRDefault="008A7E1F" w:rsidP="00A02117">
            <w:pPr>
              <w:spacing w:after="0"/>
              <w:rPr>
                <w:sz w:val="20"/>
                <w:szCs w:val="20"/>
                <w:lang w:val="sr-Cyrl-RS"/>
              </w:rPr>
            </w:pPr>
            <w:r w:rsidRPr="00EC5282">
              <w:rPr>
                <w:sz w:val="20"/>
                <w:szCs w:val="20"/>
                <w:lang w:val="sr-Cyrl-RS"/>
              </w:rPr>
              <w:t>српски језик</w:t>
            </w:r>
          </w:p>
        </w:tc>
        <w:tc>
          <w:tcPr>
            <w:tcW w:w="2676" w:type="dxa"/>
          </w:tcPr>
          <w:p w:rsidR="008A7E1F" w:rsidRPr="00EC5282" w:rsidRDefault="008A7E1F" w:rsidP="00A02117">
            <w:pPr>
              <w:spacing w:after="0"/>
              <w:rPr>
                <w:sz w:val="20"/>
                <w:szCs w:val="20"/>
                <w:lang w:val="sr-Cyrl-RS"/>
              </w:rPr>
            </w:pPr>
            <w:r w:rsidRPr="00EC5282">
              <w:rPr>
                <w:sz w:val="20"/>
                <w:szCs w:val="20"/>
                <w:lang w:val="sr-Cyrl-RS"/>
              </w:rPr>
              <w:t>5.270 (77</w:t>
            </w:r>
            <w:r>
              <w:rPr>
                <w:sz w:val="20"/>
                <w:szCs w:val="20"/>
                <w:lang w:val="sr-Cyrl-RS"/>
              </w:rPr>
              <w:t>,</w:t>
            </w:r>
            <w:r w:rsidRPr="00EC5282">
              <w:rPr>
                <w:sz w:val="20"/>
                <w:szCs w:val="20"/>
                <w:lang w:val="sr-Cyrl-RS"/>
              </w:rPr>
              <w:t>8%)</w:t>
            </w:r>
          </w:p>
        </w:tc>
      </w:tr>
      <w:tr w:rsidR="008A7E1F" w:rsidRPr="00EC5282" w:rsidTr="00705426">
        <w:trPr>
          <w:trHeight w:val="245"/>
        </w:trPr>
        <w:tc>
          <w:tcPr>
            <w:tcW w:w="2676" w:type="dxa"/>
          </w:tcPr>
          <w:p w:rsidR="008A7E1F" w:rsidRPr="00EC5282" w:rsidRDefault="008A7E1F" w:rsidP="00A02117">
            <w:pPr>
              <w:spacing w:after="0"/>
              <w:rPr>
                <w:sz w:val="20"/>
                <w:szCs w:val="20"/>
                <w:lang w:val="sr-Cyrl-RS"/>
              </w:rPr>
            </w:pPr>
            <w:r w:rsidRPr="00EC5282">
              <w:rPr>
                <w:sz w:val="20"/>
                <w:szCs w:val="20"/>
                <w:lang w:val="sr-Cyrl-RS"/>
              </w:rPr>
              <w:t>мађарски језик</w:t>
            </w:r>
          </w:p>
        </w:tc>
        <w:tc>
          <w:tcPr>
            <w:tcW w:w="2676" w:type="dxa"/>
          </w:tcPr>
          <w:p w:rsidR="008A7E1F" w:rsidRPr="00EC5282" w:rsidRDefault="008A7E1F" w:rsidP="00A02117">
            <w:pPr>
              <w:spacing w:after="0"/>
              <w:rPr>
                <w:sz w:val="20"/>
                <w:szCs w:val="20"/>
                <w:lang w:val="sr-Cyrl-RS"/>
              </w:rPr>
            </w:pPr>
            <w:r w:rsidRPr="00EC5282">
              <w:rPr>
                <w:sz w:val="20"/>
                <w:szCs w:val="20"/>
                <w:lang w:val="sr-Cyrl-RS"/>
              </w:rPr>
              <w:t>613 (9</w:t>
            </w:r>
            <w:r>
              <w:rPr>
                <w:sz w:val="20"/>
                <w:szCs w:val="20"/>
                <w:lang w:val="sr-Cyrl-RS"/>
              </w:rPr>
              <w:t>,</w:t>
            </w:r>
            <w:r w:rsidRPr="00EC5282">
              <w:rPr>
                <w:sz w:val="20"/>
                <w:szCs w:val="20"/>
                <w:lang w:val="sr-Cyrl-RS"/>
              </w:rPr>
              <w:t>05%)</w:t>
            </w:r>
          </w:p>
        </w:tc>
      </w:tr>
      <w:tr w:rsidR="008A7E1F" w:rsidRPr="00EC5282" w:rsidTr="00705426">
        <w:trPr>
          <w:trHeight w:val="245"/>
        </w:trPr>
        <w:tc>
          <w:tcPr>
            <w:tcW w:w="2676" w:type="dxa"/>
          </w:tcPr>
          <w:p w:rsidR="008A7E1F" w:rsidRPr="00EC5282" w:rsidRDefault="008A7E1F" w:rsidP="00A02117">
            <w:pPr>
              <w:spacing w:after="0"/>
              <w:rPr>
                <w:sz w:val="20"/>
                <w:szCs w:val="20"/>
                <w:lang w:val="sr-Cyrl-RS"/>
              </w:rPr>
            </w:pPr>
            <w:r w:rsidRPr="00EC5282">
              <w:rPr>
                <w:sz w:val="20"/>
                <w:szCs w:val="20"/>
                <w:lang w:val="sr-Cyrl-RS"/>
              </w:rPr>
              <w:t>остали</w:t>
            </w:r>
          </w:p>
        </w:tc>
        <w:tc>
          <w:tcPr>
            <w:tcW w:w="2676" w:type="dxa"/>
          </w:tcPr>
          <w:p w:rsidR="008A7E1F" w:rsidRPr="00EC5282" w:rsidRDefault="008A7E1F" w:rsidP="00A02117">
            <w:pPr>
              <w:spacing w:after="0"/>
              <w:rPr>
                <w:sz w:val="20"/>
                <w:szCs w:val="20"/>
                <w:lang w:val="sr-Cyrl-RS"/>
              </w:rPr>
            </w:pPr>
            <w:r w:rsidRPr="00EC5282">
              <w:rPr>
                <w:sz w:val="20"/>
                <w:szCs w:val="20"/>
                <w:lang w:val="sr-Cyrl-RS"/>
              </w:rPr>
              <w:t>443 (6</w:t>
            </w:r>
            <w:r>
              <w:rPr>
                <w:sz w:val="20"/>
                <w:szCs w:val="20"/>
                <w:lang w:val="sr-Cyrl-RS"/>
              </w:rPr>
              <w:t>,</w:t>
            </w:r>
            <w:r w:rsidRPr="00EC5282">
              <w:rPr>
                <w:sz w:val="20"/>
                <w:szCs w:val="20"/>
                <w:lang w:val="sr-Cyrl-RS"/>
              </w:rPr>
              <w:t>54%)</w:t>
            </w:r>
          </w:p>
        </w:tc>
      </w:tr>
      <w:tr w:rsidR="008A7E1F" w:rsidRPr="00EC5282" w:rsidTr="00705426">
        <w:trPr>
          <w:trHeight w:val="245"/>
        </w:trPr>
        <w:tc>
          <w:tcPr>
            <w:tcW w:w="2676" w:type="dxa"/>
          </w:tcPr>
          <w:p w:rsidR="008A7E1F" w:rsidRPr="00EC5282" w:rsidRDefault="008A7E1F" w:rsidP="00A02117">
            <w:pPr>
              <w:spacing w:after="0"/>
              <w:rPr>
                <w:sz w:val="20"/>
                <w:szCs w:val="20"/>
                <w:lang w:val="sr-Cyrl-RS"/>
              </w:rPr>
            </w:pPr>
            <w:r w:rsidRPr="00EC5282">
              <w:rPr>
                <w:sz w:val="20"/>
                <w:szCs w:val="20"/>
                <w:lang w:val="sr-Cyrl-RS"/>
              </w:rPr>
              <w:t>нису се изјаснили</w:t>
            </w:r>
          </w:p>
        </w:tc>
        <w:tc>
          <w:tcPr>
            <w:tcW w:w="2676" w:type="dxa"/>
          </w:tcPr>
          <w:p w:rsidR="008A7E1F" w:rsidRPr="00EC5282" w:rsidRDefault="008A7E1F" w:rsidP="00A02117">
            <w:pPr>
              <w:spacing w:after="0"/>
              <w:rPr>
                <w:sz w:val="20"/>
                <w:szCs w:val="20"/>
                <w:lang w:val="sr-Cyrl-RS"/>
              </w:rPr>
            </w:pPr>
            <w:r w:rsidRPr="00EC5282">
              <w:rPr>
                <w:sz w:val="20"/>
                <w:szCs w:val="20"/>
                <w:lang w:val="sr-Cyrl-RS"/>
              </w:rPr>
              <w:t>176 (2</w:t>
            </w:r>
            <w:r>
              <w:rPr>
                <w:sz w:val="20"/>
                <w:szCs w:val="20"/>
                <w:lang w:val="sr-Cyrl-RS"/>
              </w:rPr>
              <w:t>,</w:t>
            </w:r>
            <w:r w:rsidRPr="00EC5282">
              <w:rPr>
                <w:sz w:val="20"/>
                <w:szCs w:val="20"/>
                <w:lang w:val="sr-Cyrl-RS"/>
              </w:rPr>
              <w:t>6%)</w:t>
            </w:r>
          </w:p>
        </w:tc>
      </w:tr>
      <w:tr w:rsidR="008A7E1F" w:rsidRPr="00EC5282" w:rsidTr="00705426">
        <w:trPr>
          <w:trHeight w:val="245"/>
        </w:trPr>
        <w:tc>
          <w:tcPr>
            <w:tcW w:w="2676" w:type="dxa"/>
          </w:tcPr>
          <w:p w:rsidR="008A7E1F" w:rsidRPr="00EC5282" w:rsidRDefault="008A7E1F" w:rsidP="00A02117">
            <w:pPr>
              <w:spacing w:after="0"/>
              <w:rPr>
                <w:sz w:val="20"/>
                <w:szCs w:val="20"/>
                <w:lang w:val="sr-Cyrl-RS"/>
              </w:rPr>
            </w:pPr>
            <w:r w:rsidRPr="00EC5282">
              <w:rPr>
                <w:sz w:val="20"/>
                <w:szCs w:val="20"/>
                <w:lang w:val="sr-Cyrl-RS"/>
              </w:rPr>
              <w:t>словачки језик</w:t>
            </w:r>
          </w:p>
        </w:tc>
        <w:tc>
          <w:tcPr>
            <w:tcW w:w="2676" w:type="dxa"/>
          </w:tcPr>
          <w:p w:rsidR="008A7E1F" w:rsidRPr="00EC5282" w:rsidRDefault="008A7E1F" w:rsidP="00A02117">
            <w:pPr>
              <w:spacing w:after="0"/>
              <w:rPr>
                <w:sz w:val="20"/>
                <w:szCs w:val="20"/>
                <w:lang w:val="sr-Cyrl-RS"/>
              </w:rPr>
            </w:pPr>
            <w:r w:rsidRPr="00EC5282">
              <w:rPr>
                <w:sz w:val="20"/>
                <w:szCs w:val="20"/>
                <w:lang w:val="sr-Cyrl-RS"/>
              </w:rPr>
              <w:t>122 (1</w:t>
            </w:r>
            <w:r>
              <w:rPr>
                <w:sz w:val="20"/>
                <w:szCs w:val="20"/>
                <w:lang w:val="sr-Cyrl-RS"/>
              </w:rPr>
              <w:t>,</w:t>
            </w:r>
            <w:r w:rsidRPr="00EC5282">
              <w:rPr>
                <w:sz w:val="20"/>
                <w:szCs w:val="20"/>
                <w:lang w:val="sr-Cyrl-RS"/>
              </w:rPr>
              <w:t>8%)</w:t>
            </w:r>
          </w:p>
        </w:tc>
      </w:tr>
      <w:tr w:rsidR="008A7E1F" w:rsidRPr="00EC5282" w:rsidTr="00705426">
        <w:trPr>
          <w:trHeight w:val="245"/>
        </w:trPr>
        <w:tc>
          <w:tcPr>
            <w:tcW w:w="2676" w:type="dxa"/>
          </w:tcPr>
          <w:p w:rsidR="008A7E1F" w:rsidRPr="00EC5282" w:rsidRDefault="008A7E1F" w:rsidP="00A02117">
            <w:pPr>
              <w:spacing w:after="0"/>
              <w:rPr>
                <w:sz w:val="20"/>
                <w:szCs w:val="20"/>
                <w:lang w:val="sr-Cyrl-RS"/>
              </w:rPr>
            </w:pPr>
            <w:r w:rsidRPr="00EC5282">
              <w:rPr>
                <w:sz w:val="20"/>
                <w:szCs w:val="20"/>
                <w:lang w:val="sr-Cyrl-RS"/>
              </w:rPr>
              <w:lastRenderedPageBreak/>
              <w:t>румунски језик</w:t>
            </w:r>
          </w:p>
        </w:tc>
        <w:tc>
          <w:tcPr>
            <w:tcW w:w="2676" w:type="dxa"/>
          </w:tcPr>
          <w:p w:rsidR="008A7E1F" w:rsidRPr="00EC5282" w:rsidRDefault="008A7E1F" w:rsidP="00A02117">
            <w:pPr>
              <w:spacing w:after="0"/>
              <w:rPr>
                <w:sz w:val="20"/>
                <w:szCs w:val="20"/>
                <w:lang w:val="sr-Cyrl-RS"/>
              </w:rPr>
            </w:pPr>
            <w:r w:rsidRPr="00EC5282">
              <w:rPr>
                <w:sz w:val="20"/>
                <w:szCs w:val="20"/>
                <w:lang w:val="sr-Cyrl-RS"/>
              </w:rPr>
              <w:t>72 (1</w:t>
            </w:r>
            <w:r>
              <w:rPr>
                <w:sz w:val="20"/>
                <w:szCs w:val="20"/>
                <w:lang w:val="sr-Cyrl-RS"/>
              </w:rPr>
              <w:t>,</w:t>
            </w:r>
            <w:r w:rsidRPr="00EC5282">
              <w:rPr>
                <w:sz w:val="20"/>
                <w:szCs w:val="20"/>
                <w:lang w:val="sr-Cyrl-RS"/>
              </w:rPr>
              <w:t>06%)</w:t>
            </w:r>
          </w:p>
        </w:tc>
      </w:tr>
      <w:tr w:rsidR="008A7E1F" w:rsidRPr="00EC5282" w:rsidTr="00705426">
        <w:trPr>
          <w:trHeight w:val="245"/>
        </w:trPr>
        <w:tc>
          <w:tcPr>
            <w:tcW w:w="2676" w:type="dxa"/>
          </w:tcPr>
          <w:p w:rsidR="008A7E1F" w:rsidRPr="00EC5282" w:rsidRDefault="008A7E1F" w:rsidP="00A02117">
            <w:pPr>
              <w:spacing w:after="0"/>
              <w:rPr>
                <w:sz w:val="20"/>
                <w:szCs w:val="20"/>
                <w:lang w:val="sr-Cyrl-RS"/>
              </w:rPr>
            </w:pPr>
            <w:r w:rsidRPr="00EC5282">
              <w:rPr>
                <w:sz w:val="20"/>
                <w:szCs w:val="20"/>
                <w:lang w:val="sr-Cyrl-RS"/>
              </w:rPr>
              <w:t>хрватски језик</w:t>
            </w:r>
          </w:p>
        </w:tc>
        <w:tc>
          <w:tcPr>
            <w:tcW w:w="2676" w:type="dxa"/>
          </w:tcPr>
          <w:p w:rsidR="008A7E1F" w:rsidRPr="00EC5282" w:rsidRDefault="008A7E1F" w:rsidP="00A02117">
            <w:pPr>
              <w:spacing w:after="0"/>
              <w:rPr>
                <w:sz w:val="20"/>
                <w:szCs w:val="20"/>
                <w:lang w:val="sr-Cyrl-RS"/>
              </w:rPr>
            </w:pPr>
            <w:r w:rsidRPr="00EC5282">
              <w:rPr>
                <w:sz w:val="20"/>
                <w:szCs w:val="20"/>
                <w:lang w:val="sr-Cyrl-RS"/>
              </w:rPr>
              <w:t>36 (0</w:t>
            </w:r>
            <w:r>
              <w:rPr>
                <w:sz w:val="20"/>
                <w:szCs w:val="20"/>
                <w:lang w:val="sr-Cyrl-RS"/>
              </w:rPr>
              <w:t>,</w:t>
            </w:r>
            <w:r w:rsidRPr="00EC5282">
              <w:rPr>
                <w:sz w:val="20"/>
                <w:szCs w:val="20"/>
                <w:lang w:val="sr-Cyrl-RS"/>
              </w:rPr>
              <w:t>53%)</w:t>
            </w:r>
          </w:p>
        </w:tc>
      </w:tr>
      <w:tr w:rsidR="008A7E1F" w:rsidRPr="00EC5282" w:rsidTr="00705426">
        <w:trPr>
          <w:trHeight w:val="245"/>
        </w:trPr>
        <w:tc>
          <w:tcPr>
            <w:tcW w:w="2676" w:type="dxa"/>
          </w:tcPr>
          <w:p w:rsidR="008A7E1F" w:rsidRPr="00EC5282" w:rsidRDefault="008A7E1F" w:rsidP="00A02117">
            <w:pPr>
              <w:spacing w:after="0"/>
              <w:rPr>
                <w:sz w:val="20"/>
                <w:szCs w:val="20"/>
                <w:lang w:val="sr-Cyrl-RS"/>
              </w:rPr>
            </w:pPr>
            <w:r w:rsidRPr="00EC5282">
              <w:rPr>
                <w:sz w:val="20"/>
                <w:szCs w:val="20"/>
                <w:lang w:val="sr-Cyrl-RS"/>
              </w:rPr>
              <w:t>русински језик</w:t>
            </w:r>
          </w:p>
        </w:tc>
        <w:tc>
          <w:tcPr>
            <w:tcW w:w="2676" w:type="dxa"/>
          </w:tcPr>
          <w:p w:rsidR="008A7E1F" w:rsidRPr="00EC5282" w:rsidRDefault="008A7E1F" w:rsidP="00A02117">
            <w:pPr>
              <w:spacing w:after="0"/>
              <w:rPr>
                <w:sz w:val="20"/>
                <w:szCs w:val="20"/>
                <w:lang w:val="sr-Cyrl-RS"/>
              </w:rPr>
            </w:pPr>
            <w:r w:rsidRPr="00EC5282">
              <w:rPr>
                <w:sz w:val="20"/>
                <w:szCs w:val="20"/>
                <w:lang w:val="sr-Cyrl-RS"/>
              </w:rPr>
              <w:t>29 (0</w:t>
            </w:r>
            <w:r>
              <w:rPr>
                <w:sz w:val="20"/>
                <w:szCs w:val="20"/>
                <w:lang w:val="sr-Cyrl-RS"/>
              </w:rPr>
              <w:t>,</w:t>
            </w:r>
            <w:r w:rsidRPr="00EC5282">
              <w:rPr>
                <w:sz w:val="20"/>
                <w:szCs w:val="20"/>
                <w:lang w:val="sr-Cyrl-RS"/>
              </w:rPr>
              <w:t>43%)</w:t>
            </w:r>
          </w:p>
        </w:tc>
      </w:tr>
      <w:tr w:rsidR="008A7E1F" w:rsidRPr="00EC5282" w:rsidTr="00705426">
        <w:trPr>
          <w:trHeight w:val="245"/>
        </w:trPr>
        <w:tc>
          <w:tcPr>
            <w:tcW w:w="2676" w:type="dxa"/>
          </w:tcPr>
          <w:p w:rsidR="008A7E1F" w:rsidRPr="00EC5282" w:rsidRDefault="008A7E1F" w:rsidP="00A02117">
            <w:pPr>
              <w:spacing w:after="0"/>
              <w:rPr>
                <w:sz w:val="20"/>
                <w:szCs w:val="20"/>
                <w:lang w:val="sr-Cyrl-RS"/>
              </w:rPr>
            </w:pPr>
            <w:r w:rsidRPr="00EC5282">
              <w:rPr>
                <w:sz w:val="20"/>
                <w:szCs w:val="20"/>
                <w:lang w:val="sr-Cyrl-RS"/>
              </w:rPr>
              <w:t>црногорски језик</w:t>
            </w:r>
          </w:p>
        </w:tc>
        <w:tc>
          <w:tcPr>
            <w:tcW w:w="2676" w:type="dxa"/>
          </w:tcPr>
          <w:p w:rsidR="008A7E1F" w:rsidRPr="00EC5282" w:rsidRDefault="008A7E1F" w:rsidP="00A02117">
            <w:pPr>
              <w:spacing w:after="0"/>
              <w:rPr>
                <w:sz w:val="20"/>
                <w:szCs w:val="20"/>
                <w:lang w:val="sr-Cyrl-RS"/>
              </w:rPr>
            </w:pPr>
            <w:r w:rsidRPr="00EC5282">
              <w:rPr>
                <w:sz w:val="20"/>
                <w:szCs w:val="20"/>
                <w:lang w:val="sr-Cyrl-RS"/>
              </w:rPr>
              <w:t>13 (0</w:t>
            </w:r>
            <w:r>
              <w:rPr>
                <w:sz w:val="20"/>
                <w:szCs w:val="20"/>
                <w:lang w:val="sr-Cyrl-RS"/>
              </w:rPr>
              <w:t>,</w:t>
            </w:r>
            <w:r w:rsidRPr="00EC5282">
              <w:rPr>
                <w:sz w:val="20"/>
                <w:szCs w:val="20"/>
                <w:lang w:val="sr-Cyrl-RS"/>
              </w:rPr>
              <w:t>19%)</w:t>
            </w:r>
          </w:p>
        </w:tc>
      </w:tr>
    </w:tbl>
    <w:p w:rsidR="008A7E1F" w:rsidRDefault="008A7E1F" w:rsidP="008A7E1F">
      <w:pPr>
        <w:spacing w:after="0" w:line="240" w:lineRule="auto"/>
        <w:ind w:left="720" w:firstLine="720"/>
        <w:rPr>
          <w:rFonts w:eastAsia="Times New Roman"/>
          <w:bCs/>
          <w:sz w:val="20"/>
          <w:szCs w:val="20"/>
          <w:lang w:val="sr-Cyrl-RS" w:eastAsia="en-GB"/>
        </w:rPr>
      </w:pPr>
    </w:p>
    <w:p w:rsidR="008A7E1F" w:rsidRDefault="008A7E1F" w:rsidP="008A7E1F">
      <w:pPr>
        <w:spacing w:after="0" w:line="240" w:lineRule="auto"/>
        <w:ind w:left="720" w:firstLine="720"/>
        <w:rPr>
          <w:rFonts w:eastAsia="Times New Roman"/>
          <w:bCs/>
          <w:sz w:val="20"/>
          <w:szCs w:val="20"/>
          <w:lang w:val="sr-Cyrl-RS" w:eastAsia="en-GB"/>
        </w:rPr>
      </w:pPr>
      <w:r>
        <w:rPr>
          <w:rFonts w:eastAsia="Times New Roman"/>
          <w:bCs/>
          <w:sz w:val="20"/>
          <w:szCs w:val="20"/>
          <w:lang w:val="sr-Cyrl-RS" w:eastAsia="en-GB"/>
        </w:rPr>
        <w:t xml:space="preserve">     </w:t>
      </w:r>
      <w:r w:rsidRPr="004C23EE">
        <w:rPr>
          <w:rFonts w:eastAsia="Times New Roman"/>
          <w:bCs/>
          <w:sz w:val="20"/>
          <w:szCs w:val="20"/>
          <w:lang w:val="sr-Cyrl-RS" w:eastAsia="en-GB"/>
        </w:rPr>
        <w:t>Језик на коме је стечено основно и средње образовање запослених</w:t>
      </w:r>
    </w:p>
    <w:tbl>
      <w:tblPr>
        <w:tblStyle w:val="TableGrid"/>
        <w:tblW w:w="0" w:type="auto"/>
        <w:tblInd w:w="1832" w:type="dxa"/>
        <w:tblLook w:val="04A0" w:firstRow="1" w:lastRow="0" w:firstColumn="1" w:lastColumn="0" w:noHBand="0" w:noVBand="1"/>
      </w:tblPr>
      <w:tblGrid>
        <w:gridCol w:w="2676"/>
        <w:gridCol w:w="2676"/>
      </w:tblGrid>
      <w:tr w:rsidR="008A7E1F" w:rsidRPr="004C23EE" w:rsidTr="00705426">
        <w:trPr>
          <w:trHeight w:val="245"/>
        </w:trPr>
        <w:tc>
          <w:tcPr>
            <w:tcW w:w="2676" w:type="dxa"/>
          </w:tcPr>
          <w:p w:rsidR="008A7E1F" w:rsidRPr="004C23EE" w:rsidRDefault="008A7E1F" w:rsidP="00A02117">
            <w:pPr>
              <w:spacing w:after="0"/>
              <w:rPr>
                <w:sz w:val="20"/>
                <w:szCs w:val="20"/>
                <w:lang w:val="sr-Cyrl-RS"/>
              </w:rPr>
            </w:pPr>
            <w:r w:rsidRPr="004C23EE">
              <w:rPr>
                <w:sz w:val="20"/>
                <w:szCs w:val="20"/>
                <w:lang w:val="sr-Cyrl-RS"/>
              </w:rPr>
              <w:t>српски језик</w:t>
            </w:r>
          </w:p>
        </w:tc>
        <w:tc>
          <w:tcPr>
            <w:tcW w:w="2676" w:type="dxa"/>
          </w:tcPr>
          <w:p w:rsidR="008A7E1F" w:rsidRPr="004C23EE" w:rsidRDefault="008A7E1F" w:rsidP="00A02117">
            <w:pPr>
              <w:spacing w:after="0"/>
              <w:rPr>
                <w:sz w:val="20"/>
                <w:szCs w:val="20"/>
                <w:lang w:val="sr-Cyrl-RS"/>
              </w:rPr>
            </w:pPr>
            <w:r w:rsidRPr="004C23EE">
              <w:rPr>
                <w:sz w:val="20"/>
                <w:szCs w:val="20"/>
                <w:lang w:val="sr-Cyrl-RS"/>
              </w:rPr>
              <w:t>5.643 (83.3%)</w:t>
            </w:r>
          </w:p>
        </w:tc>
      </w:tr>
      <w:tr w:rsidR="008A7E1F" w:rsidRPr="004C23EE" w:rsidTr="00705426">
        <w:trPr>
          <w:trHeight w:val="245"/>
        </w:trPr>
        <w:tc>
          <w:tcPr>
            <w:tcW w:w="2676" w:type="dxa"/>
          </w:tcPr>
          <w:p w:rsidR="008A7E1F" w:rsidRPr="004C23EE" w:rsidRDefault="008A7E1F" w:rsidP="00A02117">
            <w:pPr>
              <w:spacing w:after="0"/>
              <w:rPr>
                <w:sz w:val="20"/>
                <w:szCs w:val="20"/>
                <w:lang w:val="sr-Cyrl-RS"/>
              </w:rPr>
            </w:pPr>
            <w:r w:rsidRPr="004C23EE">
              <w:rPr>
                <w:sz w:val="20"/>
                <w:szCs w:val="20"/>
                <w:lang w:val="sr-Cyrl-RS"/>
              </w:rPr>
              <w:t>мађарски језик</w:t>
            </w:r>
          </w:p>
        </w:tc>
        <w:tc>
          <w:tcPr>
            <w:tcW w:w="2676" w:type="dxa"/>
          </w:tcPr>
          <w:p w:rsidR="008A7E1F" w:rsidRPr="004C23EE" w:rsidRDefault="008A7E1F" w:rsidP="00A02117">
            <w:pPr>
              <w:spacing w:after="0"/>
              <w:rPr>
                <w:sz w:val="20"/>
                <w:szCs w:val="20"/>
                <w:lang w:val="sr-Cyrl-RS"/>
              </w:rPr>
            </w:pPr>
            <w:r w:rsidRPr="004C23EE">
              <w:rPr>
                <w:sz w:val="20"/>
                <w:szCs w:val="20"/>
                <w:lang w:val="sr-Cyrl-RS"/>
              </w:rPr>
              <w:t>503 (7.43%)</w:t>
            </w:r>
          </w:p>
        </w:tc>
      </w:tr>
      <w:tr w:rsidR="008A7E1F" w:rsidRPr="004C23EE" w:rsidTr="00705426">
        <w:trPr>
          <w:trHeight w:val="245"/>
        </w:trPr>
        <w:tc>
          <w:tcPr>
            <w:tcW w:w="2676" w:type="dxa"/>
          </w:tcPr>
          <w:p w:rsidR="008A7E1F" w:rsidRPr="004C23EE" w:rsidRDefault="008A7E1F" w:rsidP="00A02117">
            <w:pPr>
              <w:spacing w:after="0"/>
              <w:rPr>
                <w:sz w:val="20"/>
                <w:szCs w:val="20"/>
                <w:lang w:val="sr-Cyrl-RS"/>
              </w:rPr>
            </w:pPr>
            <w:r w:rsidRPr="004C23EE">
              <w:rPr>
                <w:sz w:val="20"/>
                <w:szCs w:val="20"/>
                <w:lang w:val="sr-Cyrl-RS"/>
              </w:rPr>
              <w:t>остали</w:t>
            </w:r>
          </w:p>
        </w:tc>
        <w:tc>
          <w:tcPr>
            <w:tcW w:w="2676" w:type="dxa"/>
          </w:tcPr>
          <w:p w:rsidR="008A7E1F" w:rsidRPr="004C23EE" w:rsidRDefault="008A7E1F" w:rsidP="00A02117">
            <w:pPr>
              <w:spacing w:after="0"/>
              <w:rPr>
                <w:sz w:val="20"/>
                <w:szCs w:val="20"/>
                <w:lang w:val="sr-Cyrl-RS"/>
              </w:rPr>
            </w:pPr>
            <w:r w:rsidRPr="004C23EE">
              <w:rPr>
                <w:sz w:val="20"/>
                <w:szCs w:val="20"/>
                <w:lang w:val="sr-Cyrl-RS"/>
              </w:rPr>
              <w:t>442 (6.52%)</w:t>
            </w:r>
          </w:p>
        </w:tc>
      </w:tr>
      <w:tr w:rsidR="008A7E1F" w:rsidRPr="004C23EE" w:rsidTr="00705426">
        <w:trPr>
          <w:trHeight w:val="245"/>
        </w:trPr>
        <w:tc>
          <w:tcPr>
            <w:tcW w:w="2676" w:type="dxa"/>
          </w:tcPr>
          <w:p w:rsidR="008A7E1F" w:rsidRPr="004C23EE" w:rsidRDefault="008A7E1F" w:rsidP="00A02117">
            <w:pPr>
              <w:spacing w:after="0"/>
              <w:rPr>
                <w:sz w:val="20"/>
                <w:szCs w:val="20"/>
                <w:lang w:val="sr-Cyrl-RS"/>
              </w:rPr>
            </w:pPr>
            <w:r w:rsidRPr="004C23EE">
              <w:rPr>
                <w:sz w:val="20"/>
                <w:szCs w:val="20"/>
                <w:lang w:val="sr-Cyrl-RS"/>
              </w:rPr>
              <w:t>словачки језик</w:t>
            </w:r>
          </w:p>
        </w:tc>
        <w:tc>
          <w:tcPr>
            <w:tcW w:w="2676" w:type="dxa"/>
          </w:tcPr>
          <w:p w:rsidR="008A7E1F" w:rsidRPr="004C23EE" w:rsidRDefault="008A7E1F" w:rsidP="00A02117">
            <w:pPr>
              <w:spacing w:after="0"/>
              <w:rPr>
                <w:sz w:val="20"/>
                <w:szCs w:val="20"/>
                <w:lang w:val="sr-Cyrl-RS"/>
              </w:rPr>
            </w:pPr>
            <w:r w:rsidRPr="004C23EE">
              <w:rPr>
                <w:sz w:val="20"/>
                <w:szCs w:val="20"/>
                <w:lang w:val="sr-Cyrl-RS"/>
              </w:rPr>
              <w:t>89 (1.31%)</w:t>
            </w:r>
          </w:p>
        </w:tc>
      </w:tr>
      <w:tr w:rsidR="008A7E1F" w:rsidRPr="004C23EE" w:rsidTr="00705426">
        <w:trPr>
          <w:trHeight w:val="245"/>
        </w:trPr>
        <w:tc>
          <w:tcPr>
            <w:tcW w:w="2676" w:type="dxa"/>
          </w:tcPr>
          <w:p w:rsidR="008A7E1F" w:rsidRPr="004C23EE" w:rsidRDefault="008A7E1F" w:rsidP="00A02117">
            <w:pPr>
              <w:spacing w:after="0"/>
              <w:rPr>
                <w:sz w:val="20"/>
                <w:szCs w:val="20"/>
                <w:lang w:val="sr-Cyrl-RS"/>
              </w:rPr>
            </w:pPr>
            <w:r w:rsidRPr="004C23EE">
              <w:rPr>
                <w:sz w:val="20"/>
                <w:szCs w:val="20"/>
                <w:lang w:val="sr-Cyrl-RS"/>
              </w:rPr>
              <w:t>румунски језик</w:t>
            </w:r>
          </w:p>
        </w:tc>
        <w:tc>
          <w:tcPr>
            <w:tcW w:w="2676" w:type="dxa"/>
          </w:tcPr>
          <w:p w:rsidR="008A7E1F" w:rsidRPr="004C23EE" w:rsidRDefault="008A7E1F" w:rsidP="00A02117">
            <w:pPr>
              <w:spacing w:after="0"/>
              <w:rPr>
                <w:sz w:val="20"/>
                <w:szCs w:val="20"/>
                <w:lang w:val="sr-Cyrl-RS"/>
              </w:rPr>
            </w:pPr>
            <w:r w:rsidRPr="004C23EE">
              <w:rPr>
                <w:sz w:val="20"/>
                <w:szCs w:val="20"/>
                <w:lang w:val="sr-Cyrl-RS"/>
              </w:rPr>
              <w:t>45 (0.66%)</w:t>
            </w:r>
          </w:p>
        </w:tc>
      </w:tr>
      <w:tr w:rsidR="008A7E1F" w:rsidRPr="004C23EE" w:rsidTr="00705426">
        <w:trPr>
          <w:trHeight w:val="245"/>
        </w:trPr>
        <w:tc>
          <w:tcPr>
            <w:tcW w:w="2676" w:type="dxa"/>
          </w:tcPr>
          <w:p w:rsidR="008A7E1F" w:rsidRPr="004C23EE" w:rsidRDefault="008A7E1F" w:rsidP="00A02117">
            <w:pPr>
              <w:spacing w:after="0"/>
              <w:rPr>
                <w:sz w:val="20"/>
                <w:szCs w:val="20"/>
                <w:lang w:val="sr-Cyrl-RS"/>
              </w:rPr>
            </w:pPr>
            <w:r w:rsidRPr="004C23EE">
              <w:rPr>
                <w:sz w:val="20"/>
                <w:szCs w:val="20"/>
                <w:lang w:val="sr-Cyrl-RS"/>
              </w:rPr>
              <w:t>хрватски језик</w:t>
            </w:r>
          </w:p>
        </w:tc>
        <w:tc>
          <w:tcPr>
            <w:tcW w:w="2676" w:type="dxa"/>
          </w:tcPr>
          <w:p w:rsidR="008A7E1F" w:rsidRPr="004C23EE" w:rsidRDefault="008A7E1F" w:rsidP="00A02117">
            <w:pPr>
              <w:spacing w:after="0"/>
              <w:rPr>
                <w:sz w:val="20"/>
                <w:szCs w:val="20"/>
                <w:lang w:val="sr-Cyrl-RS"/>
              </w:rPr>
            </w:pPr>
            <w:r w:rsidRPr="004C23EE">
              <w:rPr>
                <w:sz w:val="20"/>
                <w:szCs w:val="20"/>
                <w:lang w:val="sr-Cyrl-RS"/>
              </w:rPr>
              <w:t>24 (0.35%)</w:t>
            </w:r>
          </w:p>
        </w:tc>
      </w:tr>
      <w:tr w:rsidR="008A7E1F" w:rsidRPr="004C23EE" w:rsidTr="00705426">
        <w:trPr>
          <w:trHeight w:val="245"/>
        </w:trPr>
        <w:tc>
          <w:tcPr>
            <w:tcW w:w="2676" w:type="dxa"/>
          </w:tcPr>
          <w:p w:rsidR="008A7E1F" w:rsidRPr="004C23EE" w:rsidRDefault="008A7E1F" w:rsidP="00A02117">
            <w:pPr>
              <w:spacing w:after="0"/>
              <w:rPr>
                <w:sz w:val="20"/>
                <w:szCs w:val="20"/>
                <w:lang w:val="sr-Cyrl-RS"/>
              </w:rPr>
            </w:pPr>
            <w:r w:rsidRPr="004C23EE">
              <w:rPr>
                <w:sz w:val="20"/>
                <w:szCs w:val="20"/>
                <w:lang w:val="sr-Cyrl-RS"/>
              </w:rPr>
              <w:t>нису се изјаснили</w:t>
            </w:r>
          </w:p>
        </w:tc>
        <w:tc>
          <w:tcPr>
            <w:tcW w:w="2676" w:type="dxa"/>
          </w:tcPr>
          <w:p w:rsidR="008A7E1F" w:rsidRPr="004C23EE" w:rsidRDefault="008A7E1F" w:rsidP="00A02117">
            <w:pPr>
              <w:spacing w:after="0"/>
              <w:rPr>
                <w:sz w:val="20"/>
                <w:szCs w:val="20"/>
                <w:lang w:val="sr-Cyrl-RS"/>
              </w:rPr>
            </w:pPr>
            <w:r w:rsidRPr="004C23EE">
              <w:rPr>
                <w:sz w:val="20"/>
                <w:szCs w:val="20"/>
                <w:lang w:val="sr-Cyrl-RS"/>
              </w:rPr>
              <w:t>13 (0.19%)</w:t>
            </w:r>
          </w:p>
        </w:tc>
      </w:tr>
      <w:tr w:rsidR="008A7E1F" w:rsidRPr="004C23EE" w:rsidTr="00705426">
        <w:trPr>
          <w:trHeight w:val="245"/>
        </w:trPr>
        <w:tc>
          <w:tcPr>
            <w:tcW w:w="2676" w:type="dxa"/>
          </w:tcPr>
          <w:p w:rsidR="008A7E1F" w:rsidRPr="004C23EE" w:rsidRDefault="008A7E1F" w:rsidP="00A02117">
            <w:pPr>
              <w:spacing w:after="0"/>
              <w:rPr>
                <w:sz w:val="20"/>
                <w:szCs w:val="20"/>
                <w:lang w:val="sr-Cyrl-RS"/>
              </w:rPr>
            </w:pPr>
            <w:r w:rsidRPr="004C23EE">
              <w:rPr>
                <w:sz w:val="20"/>
                <w:szCs w:val="20"/>
                <w:lang w:val="sr-Cyrl-RS"/>
              </w:rPr>
              <w:t>русински језик</w:t>
            </w:r>
          </w:p>
        </w:tc>
        <w:tc>
          <w:tcPr>
            <w:tcW w:w="2676" w:type="dxa"/>
          </w:tcPr>
          <w:p w:rsidR="008A7E1F" w:rsidRPr="004C23EE" w:rsidRDefault="008A7E1F" w:rsidP="00A02117">
            <w:pPr>
              <w:spacing w:after="0"/>
              <w:rPr>
                <w:sz w:val="20"/>
                <w:szCs w:val="20"/>
                <w:lang w:val="sr-Cyrl-RS"/>
              </w:rPr>
            </w:pPr>
            <w:r w:rsidRPr="004C23EE">
              <w:rPr>
                <w:sz w:val="20"/>
                <w:szCs w:val="20"/>
                <w:lang w:val="sr-Cyrl-RS"/>
              </w:rPr>
              <w:t>11 (0.16%)</w:t>
            </w:r>
          </w:p>
        </w:tc>
      </w:tr>
      <w:tr w:rsidR="008A7E1F" w:rsidRPr="004C23EE" w:rsidTr="00705426">
        <w:trPr>
          <w:trHeight w:val="245"/>
        </w:trPr>
        <w:tc>
          <w:tcPr>
            <w:tcW w:w="2676" w:type="dxa"/>
          </w:tcPr>
          <w:p w:rsidR="008A7E1F" w:rsidRPr="004C23EE" w:rsidRDefault="008A7E1F" w:rsidP="00A02117">
            <w:pPr>
              <w:spacing w:after="0"/>
              <w:rPr>
                <w:sz w:val="20"/>
                <w:szCs w:val="20"/>
                <w:lang w:val="sr-Cyrl-RS"/>
              </w:rPr>
            </w:pPr>
            <w:r w:rsidRPr="004C23EE">
              <w:rPr>
                <w:sz w:val="20"/>
                <w:szCs w:val="20"/>
                <w:lang w:val="sr-Cyrl-RS"/>
              </w:rPr>
              <w:t>црногорски језик</w:t>
            </w:r>
          </w:p>
        </w:tc>
        <w:tc>
          <w:tcPr>
            <w:tcW w:w="2676" w:type="dxa"/>
          </w:tcPr>
          <w:p w:rsidR="008A7E1F" w:rsidRPr="004C23EE" w:rsidRDefault="008A7E1F" w:rsidP="00A02117">
            <w:pPr>
              <w:spacing w:after="0"/>
              <w:rPr>
                <w:sz w:val="20"/>
                <w:szCs w:val="20"/>
                <w:lang w:val="sr-Cyrl-RS"/>
              </w:rPr>
            </w:pPr>
            <w:r w:rsidRPr="004C23EE">
              <w:rPr>
                <w:sz w:val="20"/>
                <w:szCs w:val="20"/>
                <w:lang w:val="sr-Cyrl-RS"/>
              </w:rPr>
              <w:t>4 (0.06%)</w:t>
            </w:r>
          </w:p>
        </w:tc>
      </w:tr>
    </w:tbl>
    <w:p w:rsidR="008A7E1F" w:rsidRDefault="008A7E1F" w:rsidP="008A7E1F">
      <w:pPr>
        <w:spacing w:after="0" w:line="240" w:lineRule="auto"/>
        <w:rPr>
          <w:rFonts w:eastAsia="Times New Roman"/>
          <w:b/>
          <w:bCs/>
          <w:sz w:val="24"/>
          <w:szCs w:val="24"/>
          <w:lang w:eastAsia="en-GB"/>
        </w:rPr>
      </w:pPr>
    </w:p>
    <w:p w:rsidR="008A7E1F" w:rsidRDefault="008A7E1F" w:rsidP="008A7E1F">
      <w:pPr>
        <w:spacing w:after="0" w:line="240" w:lineRule="auto"/>
        <w:ind w:firstLine="720"/>
        <w:rPr>
          <w:rFonts w:eastAsia="Times New Roman"/>
          <w:bCs/>
          <w:color w:val="222222"/>
          <w:sz w:val="20"/>
          <w:szCs w:val="20"/>
          <w:lang w:val="sr-Cyrl-RS" w:eastAsia="en-GB"/>
        </w:rPr>
      </w:pPr>
      <w:r>
        <w:rPr>
          <w:rFonts w:eastAsia="Times New Roman"/>
          <w:bCs/>
          <w:color w:val="222222"/>
          <w:sz w:val="20"/>
          <w:szCs w:val="20"/>
          <w:lang w:val="sr-Cyrl-RS" w:eastAsia="en-GB"/>
        </w:rPr>
        <w:t xml:space="preserve">  </w:t>
      </w:r>
      <w:r>
        <w:rPr>
          <w:rFonts w:eastAsia="Times New Roman"/>
          <w:bCs/>
          <w:color w:val="222222"/>
          <w:sz w:val="20"/>
          <w:szCs w:val="20"/>
          <w:lang w:val="sr-Cyrl-RS" w:eastAsia="en-GB"/>
        </w:rPr>
        <w:tab/>
      </w:r>
      <w:r>
        <w:rPr>
          <w:rFonts w:eastAsia="Times New Roman"/>
          <w:bCs/>
          <w:color w:val="222222"/>
          <w:sz w:val="20"/>
          <w:szCs w:val="20"/>
          <w:lang w:val="sr-Cyrl-RS" w:eastAsia="en-GB"/>
        </w:rPr>
        <w:tab/>
      </w:r>
      <w:r w:rsidRPr="004C23EE">
        <w:rPr>
          <w:rFonts w:eastAsia="Times New Roman"/>
          <w:bCs/>
          <w:color w:val="222222"/>
          <w:sz w:val="20"/>
          <w:szCs w:val="20"/>
          <w:lang w:val="sr-Cyrl-RS" w:eastAsia="en-GB"/>
        </w:rPr>
        <w:t xml:space="preserve">Број запослених који познају језик националне мањине </w:t>
      </w:r>
    </w:p>
    <w:p w:rsidR="008A7E1F" w:rsidRPr="004C23EE" w:rsidRDefault="008A7E1F" w:rsidP="008A7E1F">
      <w:pPr>
        <w:spacing w:after="0" w:line="240" w:lineRule="auto"/>
        <w:ind w:left="2880"/>
        <w:rPr>
          <w:rFonts w:eastAsia="Times New Roman"/>
          <w:bCs/>
          <w:color w:val="222222"/>
          <w:sz w:val="20"/>
          <w:szCs w:val="20"/>
          <w:lang w:val="sr-Cyrl-RS" w:eastAsia="en-GB"/>
        </w:rPr>
      </w:pPr>
      <w:r>
        <w:rPr>
          <w:rFonts w:eastAsia="Times New Roman"/>
          <w:bCs/>
          <w:color w:val="222222"/>
          <w:sz w:val="20"/>
          <w:szCs w:val="20"/>
          <w:lang w:val="sr-Cyrl-RS" w:eastAsia="en-GB"/>
        </w:rPr>
        <w:t xml:space="preserve">      </w:t>
      </w:r>
      <w:r w:rsidRPr="004C23EE">
        <w:rPr>
          <w:rFonts w:eastAsia="Times New Roman"/>
          <w:bCs/>
          <w:color w:val="222222"/>
          <w:sz w:val="20"/>
          <w:szCs w:val="20"/>
          <w:lang w:val="sr-Cyrl-RS" w:eastAsia="en-GB"/>
        </w:rPr>
        <w:t>који је у службеној употреби</w:t>
      </w:r>
    </w:p>
    <w:tbl>
      <w:tblPr>
        <w:tblStyle w:val="TableGrid"/>
        <w:tblW w:w="0" w:type="auto"/>
        <w:tblInd w:w="1832" w:type="dxa"/>
        <w:tblLook w:val="04A0" w:firstRow="1" w:lastRow="0" w:firstColumn="1" w:lastColumn="0" w:noHBand="0" w:noVBand="1"/>
      </w:tblPr>
      <w:tblGrid>
        <w:gridCol w:w="2676"/>
        <w:gridCol w:w="2676"/>
      </w:tblGrid>
      <w:tr w:rsidR="008A7E1F" w:rsidRPr="004C23EE" w:rsidTr="00705426">
        <w:trPr>
          <w:trHeight w:val="245"/>
        </w:trPr>
        <w:tc>
          <w:tcPr>
            <w:tcW w:w="2676" w:type="dxa"/>
          </w:tcPr>
          <w:p w:rsidR="008A7E1F" w:rsidRPr="004C23EE" w:rsidRDefault="008A7E1F" w:rsidP="00A02117">
            <w:pPr>
              <w:spacing w:after="0"/>
              <w:rPr>
                <w:sz w:val="20"/>
                <w:szCs w:val="20"/>
                <w:lang w:val="sr-Cyrl-RS"/>
              </w:rPr>
            </w:pPr>
            <w:r w:rsidRPr="004C23EE">
              <w:rPr>
                <w:sz w:val="20"/>
                <w:szCs w:val="20"/>
                <w:lang w:val="sr-Cyrl-RS"/>
              </w:rPr>
              <w:t>мађарски језик</w:t>
            </w:r>
          </w:p>
        </w:tc>
        <w:tc>
          <w:tcPr>
            <w:tcW w:w="2676" w:type="dxa"/>
          </w:tcPr>
          <w:p w:rsidR="008A7E1F" w:rsidRPr="004C23EE" w:rsidRDefault="008A7E1F" w:rsidP="00A02117">
            <w:pPr>
              <w:spacing w:after="0"/>
              <w:rPr>
                <w:sz w:val="20"/>
                <w:szCs w:val="20"/>
                <w:lang w:val="sr-Cyrl-RS"/>
              </w:rPr>
            </w:pPr>
            <w:r w:rsidRPr="004C23EE">
              <w:rPr>
                <w:sz w:val="20"/>
                <w:szCs w:val="20"/>
                <w:lang w:val="sr-Cyrl-RS"/>
              </w:rPr>
              <w:t>813</w:t>
            </w:r>
          </w:p>
        </w:tc>
      </w:tr>
      <w:tr w:rsidR="008A7E1F" w:rsidRPr="004C23EE" w:rsidTr="00705426">
        <w:trPr>
          <w:trHeight w:val="245"/>
        </w:trPr>
        <w:tc>
          <w:tcPr>
            <w:tcW w:w="2676" w:type="dxa"/>
          </w:tcPr>
          <w:p w:rsidR="008A7E1F" w:rsidRPr="004C23EE" w:rsidRDefault="008A7E1F" w:rsidP="00A02117">
            <w:pPr>
              <w:spacing w:after="0"/>
              <w:rPr>
                <w:sz w:val="20"/>
                <w:szCs w:val="20"/>
                <w:lang w:val="sr-Cyrl-RS"/>
              </w:rPr>
            </w:pPr>
            <w:r w:rsidRPr="004C23EE">
              <w:rPr>
                <w:sz w:val="20"/>
                <w:szCs w:val="20"/>
                <w:lang w:val="sr-Cyrl-RS"/>
              </w:rPr>
              <w:t>хрватски језик</w:t>
            </w:r>
          </w:p>
        </w:tc>
        <w:tc>
          <w:tcPr>
            <w:tcW w:w="2676" w:type="dxa"/>
          </w:tcPr>
          <w:p w:rsidR="008A7E1F" w:rsidRPr="004C23EE" w:rsidRDefault="008A7E1F" w:rsidP="00A02117">
            <w:pPr>
              <w:spacing w:after="0"/>
              <w:rPr>
                <w:sz w:val="20"/>
                <w:szCs w:val="20"/>
                <w:lang w:val="sr-Cyrl-RS"/>
              </w:rPr>
            </w:pPr>
            <w:r w:rsidRPr="004C23EE">
              <w:rPr>
                <w:sz w:val="20"/>
                <w:szCs w:val="20"/>
                <w:lang w:val="sr-Cyrl-RS"/>
              </w:rPr>
              <w:t>310</w:t>
            </w:r>
          </w:p>
        </w:tc>
      </w:tr>
      <w:tr w:rsidR="008A7E1F" w:rsidRPr="004C23EE" w:rsidTr="00705426">
        <w:trPr>
          <w:trHeight w:val="245"/>
        </w:trPr>
        <w:tc>
          <w:tcPr>
            <w:tcW w:w="2676" w:type="dxa"/>
          </w:tcPr>
          <w:p w:rsidR="008A7E1F" w:rsidRPr="004C23EE" w:rsidRDefault="008A7E1F" w:rsidP="00A02117">
            <w:pPr>
              <w:spacing w:after="0"/>
              <w:rPr>
                <w:sz w:val="20"/>
                <w:szCs w:val="20"/>
                <w:lang w:val="sr-Cyrl-RS"/>
              </w:rPr>
            </w:pPr>
            <w:r w:rsidRPr="004C23EE">
              <w:rPr>
                <w:sz w:val="20"/>
                <w:szCs w:val="20"/>
                <w:lang w:val="sr-Cyrl-RS"/>
              </w:rPr>
              <w:t>словачки језик</w:t>
            </w:r>
          </w:p>
        </w:tc>
        <w:tc>
          <w:tcPr>
            <w:tcW w:w="2676" w:type="dxa"/>
          </w:tcPr>
          <w:p w:rsidR="008A7E1F" w:rsidRPr="004C23EE" w:rsidRDefault="008A7E1F" w:rsidP="00A02117">
            <w:pPr>
              <w:spacing w:after="0"/>
              <w:rPr>
                <w:sz w:val="20"/>
                <w:szCs w:val="20"/>
                <w:lang w:val="sr-Cyrl-RS"/>
              </w:rPr>
            </w:pPr>
            <w:r w:rsidRPr="004C23EE">
              <w:rPr>
                <w:sz w:val="20"/>
                <w:szCs w:val="20"/>
                <w:lang w:val="sr-Cyrl-RS"/>
              </w:rPr>
              <w:t>147</w:t>
            </w:r>
          </w:p>
        </w:tc>
      </w:tr>
      <w:tr w:rsidR="008A7E1F" w:rsidRPr="004C23EE" w:rsidTr="00705426">
        <w:trPr>
          <w:trHeight w:val="245"/>
        </w:trPr>
        <w:tc>
          <w:tcPr>
            <w:tcW w:w="2676" w:type="dxa"/>
          </w:tcPr>
          <w:p w:rsidR="008A7E1F" w:rsidRPr="004C23EE" w:rsidRDefault="008A7E1F" w:rsidP="00A02117">
            <w:pPr>
              <w:spacing w:after="0"/>
              <w:rPr>
                <w:sz w:val="20"/>
                <w:szCs w:val="20"/>
                <w:lang w:val="sr-Cyrl-RS"/>
              </w:rPr>
            </w:pPr>
            <w:r w:rsidRPr="004C23EE">
              <w:rPr>
                <w:sz w:val="20"/>
                <w:szCs w:val="20"/>
                <w:lang w:val="sr-Cyrl-RS"/>
              </w:rPr>
              <w:t>румунски језик</w:t>
            </w:r>
          </w:p>
        </w:tc>
        <w:tc>
          <w:tcPr>
            <w:tcW w:w="2676" w:type="dxa"/>
          </w:tcPr>
          <w:p w:rsidR="008A7E1F" w:rsidRPr="004C23EE" w:rsidRDefault="008A7E1F" w:rsidP="00A02117">
            <w:pPr>
              <w:spacing w:after="0"/>
              <w:rPr>
                <w:sz w:val="20"/>
                <w:szCs w:val="20"/>
                <w:lang w:val="sr-Cyrl-RS"/>
              </w:rPr>
            </w:pPr>
            <w:r w:rsidRPr="004C23EE">
              <w:rPr>
                <w:sz w:val="20"/>
                <w:szCs w:val="20"/>
                <w:lang w:val="sr-Cyrl-RS"/>
              </w:rPr>
              <w:t>65</w:t>
            </w:r>
          </w:p>
        </w:tc>
      </w:tr>
      <w:tr w:rsidR="008A7E1F" w:rsidRPr="004C23EE" w:rsidTr="00705426">
        <w:trPr>
          <w:trHeight w:val="245"/>
        </w:trPr>
        <w:tc>
          <w:tcPr>
            <w:tcW w:w="2676" w:type="dxa"/>
          </w:tcPr>
          <w:p w:rsidR="008A7E1F" w:rsidRPr="004C23EE" w:rsidRDefault="008A7E1F" w:rsidP="00A02117">
            <w:pPr>
              <w:spacing w:after="0"/>
              <w:rPr>
                <w:sz w:val="20"/>
                <w:szCs w:val="20"/>
                <w:lang w:val="sr-Cyrl-RS"/>
              </w:rPr>
            </w:pPr>
            <w:r w:rsidRPr="004C23EE">
              <w:rPr>
                <w:sz w:val="20"/>
                <w:szCs w:val="20"/>
                <w:lang w:val="sr-Cyrl-RS"/>
              </w:rPr>
              <w:t>црногорски језик</w:t>
            </w:r>
          </w:p>
        </w:tc>
        <w:tc>
          <w:tcPr>
            <w:tcW w:w="2676" w:type="dxa"/>
          </w:tcPr>
          <w:p w:rsidR="008A7E1F" w:rsidRPr="004C23EE" w:rsidRDefault="008A7E1F" w:rsidP="00A02117">
            <w:pPr>
              <w:spacing w:after="0"/>
              <w:rPr>
                <w:sz w:val="20"/>
                <w:szCs w:val="20"/>
                <w:lang w:val="sr-Cyrl-RS"/>
              </w:rPr>
            </w:pPr>
            <w:r w:rsidRPr="004C23EE">
              <w:rPr>
                <w:sz w:val="20"/>
                <w:szCs w:val="20"/>
                <w:lang w:val="sr-Cyrl-RS"/>
              </w:rPr>
              <w:t>46</w:t>
            </w:r>
          </w:p>
        </w:tc>
      </w:tr>
      <w:tr w:rsidR="008A7E1F" w:rsidRPr="004C23EE" w:rsidTr="00705426">
        <w:trPr>
          <w:trHeight w:val="245"/>
        </w:trPr>
        <w:tc>
          <w:tcPr>
            <w:tcW w:w="2676" w:type="dxa"/>
          </w:tcPr>
          <w:p w:rsidR="008A7E1F" w:rsidRPr="004C23EE" w:rsidRDefault="008A7E1F" w:rsidP="00A02117">
            <w:pPr>
              <w:spacing w:after="0"/>
              <w:rPr>
                <w:sz w:val="20"/>
                <w:szCs w:val="20"/>
                <w:lang w:val="sr-Cyrl-RS"/>
              </w:rPr>
            </w:pPr>
            <w:r w:rsidRPr="004C23EE">
              <w:rPr>
                <w:sz w:val="20"/>
                <w:szCs w:val="20"/>
                <w:lang w:val="sr-Cyrl-RS"/>
              </w:rPr>
              <w:t>русински језик</w:t>
            </w:r>
          </w:p>
        </w:tc>
        <w:tc>
          <w:tcPr>
            <w:tcW w:w="2676" w:type="dxa"/>
          </w:tcPr>
          <w:p w:rsidR="008A7E1F" w:rsidRPr="004C23EE" w:rsidRDefault="008A7E1F" w:rsidP="00A02117">
            <w:pPr>
              <w:spacing w:after="0"/>
              <w:rPr>
                <w:sz w:val="20"/>
                <w:szCs w:val="20"/>
                <w:lang w:val="sr-Cyrl-RS"/>
              </w:rPr>
            </w:pPr>
            <w:r w:rsidRPr="004C23EE">
              <w:rPr>
                <w:sz w:val="20"/>
                <w:szCs w:val="20"/>
                <w:lang w:val="sr-Cyrl-RS"/>
              </w:rPr>
              <w:t>40</w:t>
            </w:r>
          </w:p>
        </w:tc>
      </w:tr>
      <w:tr w:rsidR="008A7E1F" w:rsidRPr="004C23EE" w:rsidTr="00705426">
        <w:trPr>
          <w:trHeight w:val="245"/>
        </w:trPr>
        <w:tc>
          <w:tcPr>
            <w:tcW w:w="2676" w:type="dxa"/>
          </w:tcPr>
          <w:p w:rsidR="008A7E1F" w:rsidRPr="004C23EE" w:rsidRDefault="008A7E1F" w:rsidP="00A02117">
            <w:pPr>
              <w:spacing w:after="0"/>
              <w:rPr>
                <w:sz w:val="20"/>
                <w:szCs w:val="20"/>
                <w:lang w:val="sr-Cyrl-RS"/>
              </w:rPr>
            </w:pPr>
            <w:r w:rsidRPr="004C23EE">
              <w:rPr>
                <w:sz w:val="20"/>
                <w:szCs w:val="20"/>
                <w:lang w:val="sr-Cyrl-RS"/>
              </w:rPr>
              <w:t>остали</w:t>
            </w:r>
          </w:p>
        </w:tc>
        <w:tc>
          <w:tcPr>
            <w:tcW w:w="2676" w:type="dxa"/>
          </w:tcPr>
          <w:p w:rsidR="008A7E1F" w:rsidRPr="004C23EE" w:rsidRDefault="008A7E1F" w:rsidP="00A02117">
            <w:pPr>
              <w:spacing w:after="0"/>
              <w:rPr>
                <w:sz w:val="20"/>
                <w:szCs w:val="20"/>
                <w:lang w:val="sr-Cyrl-RS"/>
              </w:rPr>
            </w:pPr>
            <w:r w:rsidRPr="004C23EE">
              <w:rPr>
                <w:sz w:val="20"/>
                <w:szCs w:val="20"/>
                <w:lang w:val="sr-Cyrl-RS"/>
              </w:rPr>
              <w:t>19</w:t>
            </w:r>
          </w:p>
        </w:tc>
      </w:tr>
    </w:tbl>
    <w:p w:rsidR="008A7E1F" w:rsidRDefault="008A7E1F" w:rsidP="008A7E1F">
      <w:pPr>
        <w:spacing w:after="0" w:line="240" w:lineRule="auto"/>
        <w:rPr>
          <w:rFonts w:ascii="Tahoma" w:eastAsia="Times New Roman" w:hAnsi="Tahoma" w:cs="Tahoma"/>
          <w:b/>
          <w:bCs/>
          <w:color w:val="222222"/>
          <w:sz w:val="20"/>
          <w:szCs w:val="20"/>
          <w:lang w:eastAsia="en-GB"/>
        </w:rPr>
      </w:pPr>
    </w:p>
    <w:p w:rsidR="002360A1" w:rsidRDefault="002360A1" w:rsidP="00F237B2">
      <w:pPr>
        <w:spacing w:after="0"/>
        <w:ind w:firstLine="720"/>
        <w:jc w:val="both"/>
        <w:rPr>
          <w:sz w:val="24"/>
          <w:szCs w:val="24"/>
          <w:lang w:val="sr-Cyrl-RS"/>
        </w:rPr>
      </w:pPr>
      <w:r>
        <w:rPr>
          <w:sz w:val="24"/>
          <w:szCs w:val="24"/>
          <w:lang w:val="sr-Cyrl-RS"/>
        </w:rPr>
        <w:t xml:space="preserve">Осим података садржаних у Четвртом државном извештају у вези са бројем запослених службеника који говоре мањинске језике, у извештајном периоду тадашња Канцеларија за људска и мањинска права је наставила да прикупља </w:t>
      </w:r>
      <w:r w:rsidR="00F237B2">
        <w:rPr>
          <w:sz w:val="24"/>
          <w:szCs w:val="24"/>
          <w:lang w:val="sr-Cyrl-RS"/>
        </w:rPr>
        <w:t>одговарајуће податке. За потребе израде посеб</w:t>
      </w:r>
      <w:r w:rsidR="00B46F8C">
        <w:rPr>
          <w:sz w:val="24"/>
          <w:szCs w:val="24"/>
          <w:lang w:val="sr-Cyrl-RS"/>
        </w:rPr>
        <w:t>н</w:t>
      </w:r>
      <w:r w:rsidR="00F237B2">
        <w:rPr>
          <w:sz w:val="24"/>
          <w:szCs w:val="24"/>
          <w:lang w:val="sr-Cyrl-RS"/>
        </w:rPr>
        <w:t xml:space="preserve">е студије која је представљала </w:t>
      </w:r>
      <w:r w:rsidRPr="002360A1">
        <w:rPr>
          <w:sz w:val="24"/>
          <w:szCs w:val="24"/>
          <w:lang w:val="sr-Cyrl-RS"/>
        </w:rPr>
        <w:t>резултат је сарадње Канцеларије за људска и мањинска права Владе Републике Србије и Мисије ОЕБС-а у Републици Србији</w:t>
      </w:r>
      <w:r w:rsidR="00F237B2">
        <w:rPr>
          <w:sz w:val="24"/>
          <w:szCs w:val="24"/>
          <w:lang w:val="sr-Cyrl-RS"/>
        </w:rPr>
        <w:t>, а чија је о</w:t>
      </w:r>
      <w:r w:rsidRPr="002360A1">
        <w:rPr>
          <w:sz w:val="24"/>
          <w:szCs w:val="24"/>
          <w:lang w:val="sr-Cyrl-RS"/>
        </w:rPr>
        <w:t>сновна намена да послужи као водич за примену прописа којима се у Републици Србији уређује материја употребе језика и писама националних мањина у јединицама локалне самоуправе</w:t>
      </w:r>
      <w:r w:rsidR="008F046F">
        <w:rPr>
          <w:sz w:val="24"/>
          <w:szCs w:val="24"/>
          <w:lang w:val="sr-Cyrl-RS"/>
        </w:rPr>
        <w:t xml:space="preserve"> (ЈЛС)</w:t>
      </w:r>
      <w:r w:rsidRPr="002360A1">
        <w:rPr>
          <w:sz w:val="24"/>
          <w:szCs w:val="24"/>
          <w:lang w:val="sr-Cyrl-RS"/>
        </w:rPr>
        <w:t xml:space="preserve">, сачињен је екстензиван упитник који је прослеђен свим јединицама локалне самоуправе у Републици Србији, </w:t>
      </w:r>
      <w:r w:rsidR="00F237B2">
        <w:rPr>
          <w:sz w:val="24"/>
          <w:szCs w:val="24"/>
          <w:lang w:val="sr-Cyrl-RS"/>
        </w:rPr>
        <w:t>(</w:t>
      </w:r>
      <w:r w:rsidRPr="002360A1">
        <w:rPr>
          <w:sz w:val="24"/>
          <w:szCs w:val="24"/>
          <w:lang w:val="sr-Cyrl-RS"/>
        </w:rPr>
        <w:t>о чему ће на одговарајућим местима бити више речи</w:t>
      </w:r>
      <w:r w:rsidR="00F237B2">
        <w:rPr>
          <w:sz w:val="24"/>
          <w:szCs w:val="24"/>
          <w:lang w:val="sr-Cyrl-RS"/>
        </w:rPr>
        <w:t>)</w:t>
      </w:r>
      <w:r w:rsidRPr="002360A1">
        <w:rPr>
          <w:sz w:val="24"/>
          <w:szCs w:val="24"/>
          <w:lang w:val="sr-Cyrl-RS"/>
        </w:rPr>
        <w:t>.</w:t>
      </w:r>
    </w:p>
    <w:p w:rsidR="002360A1" w:rsidRPr="002360A1" w:rsidRDefault="00F237B2" w:rsidP="002360A1">
      <w:pPr>
        <w:spacing w:after="0"/>
        <w:ind w:firstLine="720"/>
        <w:jc w:val="both"/>
        <w:rPr>
          <w:sz w:val="24"/>
          <w:szCs w:val="24"/>
          <w:lang w:val="sr-Cyrl-RS"/>
        </w:rPr>
      </w:pPr>
      <w:r>
        <w:rPr>
          <w:sz w:val="24"/>
          <w:szCs w:val="24"/>
          <w:lang w:val="sr-Cyrl-RS"/>
        </w:rPr>
        <w:t>О</w:t>
      </w:r>
      <w:r w:rsidR="002360A1" w:rsidRPr="002360A1">
        <w:rPr>
          <w:sz w:val="24"/>
          <w:szCs w:val="24"/>
          <w:lang w:val="sr-Cyrl-RS"/>
        </w:rPr>
        <w:t xml:space="preserve">д укупно 172 </w:t>
      </w:r>
      <w:r w:rsidR="008F046F">
        <w:rPr>
          <w:sz w:val="24"/>
          <w:szCs w:val="24"/>
          <w:lang w:val="sr-Cyrl-RS"/>
        </w:rPr>
        <w:t>ЈЛС</w:t>
      </w:r>
      <w:r w:rsidR="002360A1" w:rsidRPr="002360A1">
        <w:rPr>
          <w:sz w:val="24"/>
          <w:szCs w:val="24"/>
          <w:lang w:val="sr-Cyrl-RS"/>
        </w:rPr>
        <w:t xml:space="preserve"> </w:t>
      </w:r>
      <w:r w:rsidR="008F046F" w:rsidRPr="00287115">
        <w:rPr>
          <w:sz w:val="24"/>
          <w:szCs w:val="24"/>
          <w:lang w:val="sr-Cyrl-RS"/>
        </w:rPr>
        <w:t>и градске општине</w:t>
      </w:r>
      <w:r w:rsidR="008F046F">
        <w:rPr>
          <w:sz w:val="24"/>
          <w:szCs w:val="24"/>
          <w:lang w:val="sr-Cyrl-RS"/>
        </w:rPr>
        <w:t xml:space="preserve"> </w:t>
      </w:r>
      <w:r w:rsidR="002360A1" w:rsidRPr="002360A1">
        <w:rPr>
          <w:sz w:val="24"/>
          <w:szCs w:val="24"/>
          <w:lang w:val="sr-Cyrl-RS"/>
        </w:rPr>
        <w:t>којима је овај упитник прослеђен, у 54 постоји службена употреба језика и писама</w:t>
      </w:r>
      <w:r w:rsidR="008F046F">
        <w:rPr>
          <w:sz w:val="24"/>
          <w:szCs w:val="24"/>
          <w:lang w:val="sr-Cyrl-RS"/>
        </w:rPr>
        <w:t>.</w:t>
      </w:r>
      <w:r w:rsidR="002360A1" w:rsidRPr="002360A1">
        <w:rPr>
          <w:sz w:val="24"/>
          <w:szCs w:val="24"/>
          <w:lang w:val="sr-Cyrl-RS"/>
        </w:rPr>
        <w:t xml:space="preserve"> </w:t>
      </w:r>
      <w:r w:rsidR="008F046F">
        <w:rPr>
          <w:sz w:val="24"/>
          <w:szCs w:val="24"/>
          <w:lang w:val="sr-Cyrl-RS"/>
        </w:rPr>
        <w:t>О</w:t>
      </w:r>
      <w:r w:rsidR="002360A1" w:rsidRPr="002360A1">
        <w:rPr>
          <w:sz w:val="24"/>
          <w:szCs w:val="24"/>
          <w:lang w:val="sr-Cyrl-RS"/>
        </w:rPr>
        <w:t xml:space="preserve">дговоре </w:t>
      </w:r>
      <w:r w:rsidR="008F046F">
        <w:rPr>
          <w:sz w:val="24"/>
          <w:szCs w:val="24"/>
          <w:lang w:val="sr-Cyrl-RS"/>
        </w:rPr>
        <w:t xml:space="preserve">су </w:t>
      </w:r>
      <w:r w:rsidR="002360A1" w:rsidRPr="002360A1">
        <w:rPr>
          <w:sz w:val="24"/>
          <w:szCs w:val="24"/>
          <w:lang w:val="sr-Cyrl-RS"/>
        </w:rPr>
        <w:t>доставил</w:t>
      </w:r>
      <w:r w:rsidR="008F046F">
        <w:rPr>
          <w:sz w:val="24"/>
          <w:szCs w:val="24"/>
          <w:lang w:val="sr-Cyrl-RS"/>
        </w:rPr>
        <w:t>е</w:t>
      </w:r>
      <w:r w:rsidR="002360A1" w:rsidRPr="002360A1">
        <w:rPr>
          <w:sz w:val="24"/>
          <w:szCs w:val="24"/>
          <w:lang w:val="sr-Cyrl-RS"/>
        </w:rPr>
        <w:t xml:space="preserve"> 32 </w:t>
      </w:r>
      <w:r w:rsidR="008F046F">
        <w:rPr>
          <w:sz w:val="24"/>
          <w:szCs w:val="24"/>
          <w:lang w:val="sr-Cyrl-RS"/>
        </w:rPr>
        <w:t>ЈЛС</w:t>
      </w:r>
      <w:r w:rsidR="002360A1" w:rsidRPr="002360A1">
        <w:rPr>
          <w:sz w:val="24"/>
          <w:szCs w:val="24"/>
          <w:lang w:val="sr-Cyrl-RS"/>
        </w:rPr>
        <w:t xml:space="preserve"> у којима се остварује сужбена употреба језика и писама националних мањина</w:t>
      </w:r>
      <w:r w:rsidR="008F046F">
        <w:rPr>
          <w:sz w:val="24"/>
          <w:szCs w:val="24"/>
          <w:lang w:val="sr-Cyrl-RS"/>
        </w:rPr>
        <w:t xml:space="preserve"> (</w:t>
      </w:r>
      <w:r w:rsidR="008F046F" w:rsidRPr="002360A1">
        <w:rPr>
          <w:sz w:val="24"/>
          <w:szCs w:val="24"/>
          <w:lang w:val="sr-Cyrl-RS"/>
        </w:rPr>
        <w:t>59,26 %</w:t>
      </w:r>
      <w:r w:rsidR="008F046F">
        <w:rPr>
          <w:sz w:val="24"/>
          <w:szCs w:val="24"/>
          <w:lang w:val="sr-Cyrl-RS"/>
        </w:rPr>
        <w:t>)</w:t>
      </w:r>
      <w:r w:rsidR="002360A1" w:rsidRPr="002360A1">
        <w:rPr>
          <w:sz w:val="24"/>
          <w:szCs w:val="24"/>
          <w:lang w:val="sr-Cyrl-RS"/>
        </w:rPr>
        <w:t xml:space="preserve">, од чега је 27 </w:t>
      </w:r>
      <w:r w:rsidR="008F046F">
        <w:rPr>
          <w:sz w:val="24"/>
          <w:szCs w:val="24"/>
          <w:lang w:val="sr-Cyrl-RS"/>
        </w:rPr>
        <w:t>ЈЛС</w:t>
      </w:r>
      <w:r w:rsidR="002360A1" w:rsidRPr="002360A1">
        <w:rPr>
          <w:sz w:val="24"/>
          <w:szCs w:val="24"/>
          <w:lang w:val="sr-Cyrl-RS"/>
        </w:rPr>
        <w:t xml:space="preserve"> у којима се службена употреба језика и писама остварује на читавој територији.</w:t>
      </w:r>
    </w:p>
    <w:p w:rsidR="002360A1" w:rsidRDefault="002360A1" w:rsidP="002360A1">
      <w:pPr>
        <w:spacing w:after="0"/>
        <w:ind w:firstLine="720"/>
        <w:jc w:val="both"/>
        <w:rPr>
          <w:sz w:val="24"/>
          <w:szCs w:val="24"/>
          <w:lang w:val="sr-Cyrl-RS"/>
        </w:rPr>
      </w:pPr>
      <w:r w:rsidRPr="002360A1">
        <w:rPr>
          <w:sz w:val="24"/>
          <w:szCs w:val="24"/>
          <w:lang w:val="sr-Cyrl-RS"/>
        </w:rPr>
        <w:t xml:space="preserve">Први сет питања у упитнику односио се на кадровске капацитете </w:t>
      </w:r>
      <w:r w:rsidR="008F046F">
        <w:rPr>
          <w:sz w:val="24"/>
          <w:szCs w:val="24"/>
          <w:lang w:val="sr-Cyrl-RS"/>
        </w:rPr>
        <w:t>ЈЛС</w:t>
      </w:r>
      <w:r w:rsidRPr="002360A1">
        <w:rPr>
          <w:sz w:val="24"/>
          <w:szCs w:val="24"/>
          <w:lang w:val="sr-Cyrl-RS"/>
        </w:rPr>
        <w:t>. На питање да ли је систематизацијом радних места у управи прописано да је за одређене послове потребно познавање неког од језика националних мањина који су уведени у службену употребу</w:t>
      </w:r>
      <w:r w:rsidR="008F046F">
        <w:rPr>
          <w:sz w:val="24"/>
          <w:szCs w:val="24"/>
          <w:lang w:val="sr-Cyrl-RS"/>
        </w:rPr>
        <w:t>,</w:t>
      </w:r>
      <w:r w:rsidRPr="002360A1">
        <w:rPr>
          <w:sz w:val="24"/>
          <w:szCs w:val="24"/>
          <w:lang w:val="sr-Cyrl-RS"/>
        </w:rPr>
        <w:t xml:space="preserve"> потврдно је одговорило 17 </w:t>
      </w:r>
      <w:r w:rsidR="008F046F">
        <w:rPr>
          <w:sz w:val="24"/>
          <w:szCs w:val="24"/>
          <w:lang w:val="sr-Cyrl-RS"/>
        </w:rPr>
        <w:t xml:space="preserve">ЈЛС, </w:t>
      </w:r>
      <w:r w:rsidRPr="002360A1">
        <w:rPr>
          <w:sz w:val="24"/>
          <w:szCs w:val="24"/>
          <w:lang w:val="sr-Cyrl-RS"/>
        </w:rPr>
        <w:t xml:space="preserve">што чини 53,12 % од укупног броја оних у којима је језик и писмо националне мањине у служеној употреби и које су доставиле своје одговоре. Услов познавања неког од језика националних мањина који су уведени у службену употребу систематизацијом радних места у управи није прописан у 15 или 46,87 % </w:t>
      </w:r>
      <w:r w:rsidR="008F046F">
        <w:rPr>
          <w:sz w:val="24"/>
          <w:szCs w:val="24"/>
          <w:lang w:val="sr-Cyrl-RS"/>
        </w:rPr>
        <w:t>ЈЛС</w:t>
      </w:r>
      <w:r w:rsidRPr="002360A1">
        <w:rPr>
          <w:sz w:val="24"/>
          <w:szCs w:val="24"/>
          <w:lang w:val="sr-Cyrl-RS"/>
        </w:rPr>
        <w:t xml:space="preserve"> у којима је језик и писмо националне мањине у служеној употреби и које </w:t>
      </w:r>
      <w:r w:rsidRPr="002360A1">
        <w:rPr>
          <w:sz w:val="24"/>
          <w:szCs w:val="24"/>
          <w:lang w:val="sr-Cyrl-RS"/>
        </w:rPr>
        <w:lastRenderedPageBreak/>
        <w:t xml:space="preserve">су доставиле своје одговоре. Евиденцију о матерњим језицима запослених у управи води 20 или 62,5 % </w:t>
      </w:r>
      <w:r w:rsidR="008F046F">
        <w:rPr>
          <w:sz w:val="24"/>
          <w:szCs w:val="24"/>
          <w:lang w:val="sr-Cyrl-RS"/>
        </w:rPr>
        <w:t>ЈЛС</w:t>
      </w:r>
      <w:r w:rsidRPr="002360A1">
        <w:rPr>
          <w:sz w:val="24"/>
          <w:szCs w:val="24"/>
          <w:lang w:val="sr-Cyrl-RS"/>
        </w:rPr>
        <w:t xml:space="preserve">, док такву евиденцију нема 12 или 37,5% </w:t>
      </w:r>
      <w:r w:rsidR="008F046F">
        <w:rPr>
          <w:sz w:val="24"/>
          <w:szCs w:val="24"/>
          <w:lang w:val="sr-Cyrl-RS"/>
        </w:rPr>
        <w:t>ЈЛС</w:t>
      </w:r>
      <w:r w:rsidRPr="002360A1">
        <w:rPr>
          <w:sz w:val="24"/>
          <w:szCs w:val="24"/>
          <w:lang w:val="sr-Cyrl-RS"/>
        </w:rPr>
        <w:t xml:space="preserve"> које су доставиле одговоре на овај упитник, а у којима су језици и писма националних мањина у службеној употреби.</w:t>
      </w:r>
    </w:p>
    <w:p w:rsidR="006B575F" w:rsidRDefault="006B575F" w:rsidP="002360A1">
      <w:pPr>
        <w:spacing w:after="0"/>
        <w:ind w:firstLine="720"/>
        <w:jc w:val="both"/>
        <w:rPr>
          <w:sz w:val="24"/>
          <w:szCs w:val="24"/>
          <w:lang w:val="sr-Cyrl-RS"/>
        </w:rPr>
      </w:pPr>
      <w:r w:rsidRPr="00DE16BA">
        <w:rPr>
          <w:sz w:val="24"/>
          <w:szCs w:val="24"/>
          <w:lang w:val="sr-Cyrl-RS"/>
        </w:rPr>
        <w:t>Национални савет бошњачке националне мањине у прилогу за овај извештај наводи да не постоји евиденција о томе колико државних службеника запослених у државним или локалним управама говоре босански језик и да се не предузимају мере подршке, нити организују обуке за коришћење босанск</w:t>
      </w:r>
      <w:r w:rsidR="00DE16BA" w:rsidRPr="00DE16BA">
        <w:rPr>
          <w:sz w:val="24"/>
          <w:szCs w:val="24"/>
          <w:lang w:val="sr-Cyrl-RS"/>
        </w:rPr>
        <w:t>ог</w:t>
      </w:r>
      <w:r w:rsidRPr="00DE16BA">
        <w:rPr>
          <w:sz w:val="24"/>
          <w:szCs w:val="24"/>
          <w:lang w:val="sr-Cyrl-RS"/>
        </w:rPr>
        <w:t xml:space="preserve"> језик</w:t>
      </w:r>
      <w:r w:rsidR="00DE16BA" w:rsidRPr="00DE16BA">
        <w:rPr>
          <w:sz w:val="24"/>
          <w:szCs w:val="24"/>
          <w:lang w:val="sr-Cyrl-RS"/>
        </w:rPr>
        <w:t>а</w:t>
      </w:r>
      <w:r w:rsidRPr="00DE16BA">
        <w:rPr>
          <w:sz w:val="24"/>
          <w:szCs w:val="24"/>
          <w:lang w:val="sr-Cyrl-RS"/>
        </w:rPr>
        <w:t>.</w:t>
      </w:r>
    </w:p>
    <w:p w:rsidR="00E72ED5" w:rsidRDefault="00F237B2" w:rsidP="00125EF7">
      <w:pPr>
        <w:spacing w:after="0"/>
        <w:ind w:firstLine="720"/>
        <w:jc w:val="both"/>
        <w:rPr>
          <w:sz w:val="24"/>
          <w:szCs w:val="24"/>
          <w:lang w:val="sr-Cyrl-RS"/>
        </w:rPr>
      </w:pPr>
      <w:r w:rsidRPr="00F237B2">
        <w:rPr>
          <w:sz w:val="24"/>
          <w:szCs w:val="24"/>
          <w:lang w:val="sr-Cyrl-RS"/>
        </w:rPr>
        <w:t>Покрајинск</w:t>
      </w:r>
      <w:r>
        <w:rPr>
          <w:sz w:val="24"/>
          <w:szCs w:val="24"/>
          <w:lang w:val="sr-Cyrl-RS"/>
        </w:rPr>
        <w:t>и</w:t>
      </w:r>
      <w:r w:rsidRPr="00F237B2">
        <w:rPr>
          <w:sz w:val="24"/>
          <w:szCs w:val="24"/>
          <w:lang w:val="sr-Cyrl-RS"/>
        </w:rPr>
        <w:t xml:space="preserve"> секретаријат за образовање, прописе, управу и националне мањине - националне заједнице</w:t>
      </w:r>
      <w:r w:rsidR="00E72ED5">
        <w:rPr>
          <w:sz w:val="24"/>
          <w:szCs w:val="24"/>
          <w:lang w:val="sr-Cyrl-RS"/>
        </w:rPr>
        <w:t xml:space="preserve"> </w:t>
      </w:r>
      <w:r w:rsidR="00E72ED5" w:rsidRPr="00D61022">
        <w:rPr>
          <w:sz w:val="24"/>
          <w:szCs w:val="24"/>
          <w:lang w:val="sr-Cyrl-RS"/>
        </w:rPr>
        <w:t xml:space="preserve">путем Конкурса за доделу буџетских средстава органима и организацијама у </w:t>
      </w:r>
      <w:r w:rsidR="00E72ED5">
        <w:rPr>
          <w:sz w:val="24"/>
          <w:szCs w:val="24"/>
          <w:lang w:val="sr-Cyrl-RS"/>
        </w:rPr>
        <w:t>АП</w:t>
      </w:r>
      <w:r w:rsidR="00E72ED5" w:rsidRPr="00D61022">
        <w:rPr>
          <w:sz w:val="24"/>
          <w:szCs w:val="24"/>
          <w:lang w:val="sr-Cyrl-RS"/>
        </w:rPr>
        <w:t xml:space="preserve"> Војводини у чијем раду су у службеној употреби језици и писма националних мањина – националних заједница, сваке године додељује средства из буџета АП</w:t>
      </w:r>
      <w:r w:rsidR="00E72ED5">
        <w:rPr>
          <w:sz w:val="24"/>
          <w:szCs w:val="24"/>
          <w:lang w:val="sr-Cyrl-RS"/>
        </w:rPr>
        <w:t xml:space="preserve"> </w:t>
      </w:r>
      <w:r w:rsidR="00E72ED5" w:rsidRPr="00D61022">
        <w:rPr>
          <w:sz w:val="24"/>
          <w:szCs w:val="24"/>
          <w:lang w:val="sr-Cyrl-RS"/>
        </w:rPr>
        <w:t>В</w:t>
      </w:r>
      <w:r w:rsidR="00E72ED5">
        <w:rPr>
          <w:sz w:val="24"/>
          <w:szCs w:val="24"/>
          <w:lang w:val="sr-Cyrl-RS"/>
        </w:rPr>
        <w:t>ојводине</w:t>
      </w:r>
      <w:r w:rsidR="00E72ED5" w:rsidRPr="00D61022">
        <w:rPr>
          <w:sz w:val="24"/>
          <w:szCs w:val="24"/>
          <w:lang w:val="sr-Cyrl-RS"/>
        </w:rPr>
        <w:t xml:space="preserve"> за унапређивање службене употребе језика и писама националих мањина. Средства се додељују за органе јединица локалне самоуправе у којима је статутом утврђена службена употреба језика и писама националних мањина и за месне заједнице на територији градова и општина, али и за друге органе, организације, службе и установе, кориснике буџетских средстава, који имају седиште на територији локалне самоуправе (школе, јавна предузећа и др</w:t>
      </w:r>
      <w:r w:rsidR="00E72ED5">
        <w:rPr>
          <w:sz w:val="24"/>
          <w:szCs w:val="24"/>
          <w:lang w:val="sr-Cyrl-RS"/>
        </w:rPr>
        <w:t>.</w:t>
      </w:r>
      <w:r w:rsidR="00E72ED5" w:rsidRPr="00D61022">
        <w:rPr>
          <w:sz w:val="24"/>
          <w:szCs w:val="24"/>
          <w:lang w:val="sr-Cyrl-RS"/>
        </w:rPr>
        <w:t>). Средства се</w:t>
      </w:r>
      <w:r>
        <w:rPr>
          <w:sz w:val="24"/>
          <w:szCs w:val="24"/>
          <w:lang w:val="sr-Cyrl-RS"/>
        </w:rPr>
        <w:t>, између осталог,</w:t>
      </w:r>
      <w:r w:rsidR="00E72ED5" w:rsidRPr="00D61022">
        <w:rPr>
          <w:sz w:val="24"/>
          <w:szCs w:val="24"/>
          <w:lang w:val="sr-Cyrl-RS"/>
        </w:rPr>
        <w:t xml:space="preserve"> додељују </w:t>
      </w:r>
      <w:r>
        <w:rPr>
          <w:sz w:val="24"/>
          <w:szCs w:val="24"/>
          <w:lang w:val="sr-Cyrl-RS"/>
        </w:rPr>
        <w:t xml:space="preserve">и </w:t>
      </w:r>
      <w:r w:rsidR="00E72ED5" w:rsidRPr="00D61022">
        <w:rPr>
          <w:sz w:val="24"/>
          <w:szCs w:val="24"/>
          <w:lang w:val="sr-Cyrl-RS"/>
        </w:rPr>
        <w:t xml:space="preserve">за развој система електронске управе за рад у условима вишејезичности. </w:t>
      </w:r>
    </w:p>
    <w:p w:rsidR="00E72ED5" w:rsidRDefault="00E72ED5" w:rsidP="00E72ED5">
      <w:pPr>
        <w:spacing w:after="0"/>
        <w:ind w:firstLine="720"/>
        <w:jc w:val="both"/>
        <w:rPr>
          <w:sz w:val="24"/>
          <w:szCs w:val="24"/>
          <w:lang w:val="sr-Cyrl-RS"/>
        </w:rPr>
      </w:pPr>
      <w:r w:rsidRPr="00D61022">
        <w:rPr>
          <w:sz w:val="24"/>
          <w:szCs w:val="24"/>
          <w:lang w:val="sr-Cyrl-RS"/>
        </w:rPr>
        <w:t xml:space="preserve">Поред наведеног, </w:t>
      </w:r>
      <w:r>
        <w:rPr>
          <w:sz w:val="24"/>
          <w:szCs w:val="24"/>
          <w:lang w:val="sr-Cyrl-RS"/>
        </w:rPr>
        <w:t>С</w:t>
      </w:r>
      <w:r w:rsidRPr="00D61022">
        <w:rPr>
          <w:sz w:val="24"/>
          <w:szCs w:val="24"/>
          <w:lang w:val="sr-Cyrl-RS"/>
        </w:rPr>
        <w:t xml:space="preserve">екретаријат организује </w:t>
      </w:r>
      <w:r>
        <w:rPr>
          <w:sz w:val="24"/>
          <w:szCs w:val="24"/>
          <w:lang w:val="sr-Cyrl-RS"/>
        </w:rPr>
        <w:t xml:space="preserve">и </w:t>
      </w:r>
      <w:r w:rsidRPr="00D61022">
        <w:rPr>
          <w:sz w:val="24"/>
          <w:szCs w:val="24"/>
          <w:lang w:val="sr-Cyrl-RS"/>
        </w:rPr>
        <w:t xml:space="preserve">полагање испита из страног језика и језика националних </w:t>
      </w:r>
      <w:r w:rsidR="00DD24A7">
        <w:rPr>
          <w:sz w:val="24"/>
          <w:szCs w:val="24"/>
          <w:lang w:val="sr-Cyrl-RS"/>
        </w:rPr>
        <w:t>мањина</w:t>
      </w:r>
      <w:r w:rsidRPr="00D61022">
        <w:rPr>
          <w:sz w:val="24"/>
          <w:szCs w:val="24"/>
          <w:lang w:val="sr-Cyrl-RS"/>
        </w:rPr>
        <w:t xml:space="preserve"> за рад у органима управе и издаје уверења о познавању страног језика - језика националне мањине. </w:t>
      </w:r>
      <w:r>
        <w:rPr>
          <w:sz w:val="24"/>
          <w:szCs w:val="24"/>
          <w:lang w:val="sr-Cyrl-RS"/>
        </w:rPr>
        <w:t>До 2020. године</w:t>
      </w:r>
      <w:r w:rsidRPr="00D61022">
        <w:rPr>
          <w:sz w:val="24"/>
          <w:szCs w:val="24"/>
          <w:lang w:val="sr-Cyrl-RS"/>
        </w:rPr>
        <w:t xml:space="preserve"> </w:t>
      </w:r>
      <w:r>
        <w:rPr>
          <w:sz w:val="24"/>
          <w:szCs w:val="24"/>
          <w:lang w:val="sr-Cyrl-RS"/>
        </w:rPr>
        <w:t>С</w:t>
      </w:r>
      <w:r w:rsidRPr="00D61022">
        <w:rPr>
          <w:sz w:val="24"/>
          <w:szCs w:val="24"/>
          <w:lang w:val="sr-Cyrl-RS"/>
        </w:rPr>
        <w:t xml:space="preserve">екретаријат </w:t>
      </w:r>
      <w:r>
        <w:rPr>
          <w:sz w:val="24"/>
          <w:szCs w:val="24"/>
          <w:lang w:val="sr-Cyrl-RS"/>
        </w:rPr>
        <w:t>је</w:t>
      </w:r>
      <w:r w:rsidRPr="00D61022">
        <w:rPr>
          <w:sz w:val="24"/>
          <w:szCs w:val="24"/>
          <w:lang w:val="sr-Cyrl-RS"/>
        </w:rPr>
        <w:t xml:space="preserve"> организовао терминолошке и језичке семинаре у области права на језицима националних мањина. </w:t>
      </w:r>
      <w:r>
        <w:rPr>
          <w:sz w:val="24"/>
          <w:szCs w:val="24"/>
          <w:lang w:val="sr-Cyrl-RS"/>
        </w:rPr>
        <w:t>П</w:t>
      </w:r>
      <w:r w:rsidRPr="00D61022">
        <w:rPr>
          <w:sz w:val="24"/>
          <w:szCs w:val="24"/>
          <w:lang w:val="sr-Cyrl-RS"/>
        </w:rPr>
        <w:t>рви семинар о службеној употреби мађарског језика у органима управе и правосуђу</w:t>
      </w:r>
      <w:r>
        <w:rPr>
          <w:sz w:val="24"/>
          <w:szCs w:val="24"/>
          <w:lang w:val="sr-Cyrl-RS"/>
        </w:rPr>
        <w:t xml:space="preserve"> организован је 2003</w:t>
      </w:r>
      <w:r w:rsidRPr="00D61022">
        <w:rPr>
          <w:sz w:val="24"/>
          <w:szCs w:val="24"/>
          <w:lang w:val="sr-Cyrl-RS"/>
        </w:rPr>
        <w:t>.</w:t>
      </w:r>
      <w:r>
        <w:rPr>
          <w:sz w:val="24"/>
          <w:szCs w:val="24"/>
          <w:lang w:val="sr-Cyrl-RS"/>
        </w:rPr>
        <w:t xml:space="preserve"> године</w:t>
      </w:r>
      <w:r w:rsidRPr="00D61022">
        <w:rPr>
          <w:sz w:val="24"/>
          <w:szCs w:val="24"/>
          <w:lang w:val="sr-Cyrl-RS"/>
        </w:rPr>
        <w:t xml:space="preserve"> Захваљујући великом интересовању, семинар се отад редовно одржава сваке године. Циљ ових семинара јесте стручно усавршавање лица са знањем </w:t>
      </w:r>
      <w:r>
        <w:rPr>
          <w:sz w:val="24"/>
          <w:szCs w:val="24"/>
          <w:lang w:val="sr-Cyrl-RS"/>
        </w:rPr>
        <w:t>мађарског језика</w:t>
      </w:r>
      <w:r w:rsidRPr="00D61022">
        <w:rPr>
          <w:sz w:val="24"/>
          <w:szCs w:val="24"/>
          <w:lang w:val="sr-Cyrl-RS"/>
        </w:rPr>
        <w:t xml:space="preserve">, запослених у органима управе или правосуђу, који воде поступке, односно комуницирају са странкама на том језику. </w:t>
      </w:r>
      <w:r>
        <w:rPr>
          <w:sz w:val="24"/>
          <w:szCs w:val="24"/>
          <w:lang w:val="sr-Cyrl-RS"/>
        </w:rPr>
        <w:t xml:space="preserve">Први семинар </w:t>
      </w:r>
      <w:r w:rsidRPr="007A6373">
        <w:rPr>
          <w:sz w:val="24"/>
          <w:szCs w:val="24"/>
          <w:lang w:val="sr-Cyrl-RS"/>
        </w:rPr>
        <w:t xml:space="preserve">такве врсте на румунском језику </w:t>
      </w:r>
      <w:r>
        <w:rPr>
          <w:sz w:val="24"/>
          <w:szCs w:val="24"/>
          <w:lang w:val="sr-Cyrl-RS"/>
        </w:rPr>
        <w:t xml:space="preserve">организован је </w:t>
      </w:r>
      <w:r w:rsidRPr="00D61022">
        <w:rPr>
          <w:sz w:val="24"/>
          <w:szCs w:val="24"/>
          <w:lang w:val="sr-Cyrl-RS"/>
        </w:rPr>
        <w:t xml:space="preserve">2004. године. </w:t>
      </w:r>
    </w:p>
    <w:p w:rsidR="00F237B2" w:rsidRPr="00D61022" w:rsidRDefault="00F237B2" w:rsidP="00F237B2">
      <w:pPr>
        <w:spacing w:after="0"/>
        <w:ind w:firstLine="720"/>
        <w:jc w:val="both"/>
        <w:rPr>
          <w:sz w:val="24"/>
          <w:szCs w:val="24"/>
          <w:lang w:val="sr-Cyrl-RS"/>
        </w:rPr>
      </w:pPr>
      <w:r w:rsidRPr="00D61022">
        <w:rPr>
          <w:sz w:val="24"/>
          <w:szCs w:val="24"/>
          <w:lang w:val="sr-Cyrl-RS"/>
        </w:rPr>
        <w:t>Служба за управљање људским ресурсима Покрајинске владе, у оквиру свог Општег програма обуке у области стручног усавршавања и развоја језичких компетенција, организује обуку из језика националних мањина, која има за циљ оспособљавање полазника за употребу језика националних мањина, а као циљна група препознати су сви запослени у покрајинским органима. Према подацима службе у периоду 2011-2014, било је 10 полазника који су завршили обуку из мађарског језика, а у периоду 2015-2018</w:t>
      </w:r>
      <w:r>
        <w:rPr>
          <w:sz w:val="24"/>
          <w:szCs w:val="24"/>
          <w:lang w:val="sr-Cyrl-RS"/>
        </w:rPr>
        <w:t>,</w:t>
      </w:r>
      <w:r w:rsidRPr="00D61022">
        <w:rPr>
          <w:sz w:val="24"/>
          <w:szCs w:val="24"/>
          <w:lang w:val="sr-Cyrl-RS"/>
        </w:rPr>
        <w:t xml:space="preserve"> услед малог одзива заинтересованих полазника, </w:t>
      </w:r>
      <w:r>
        <w:rPr>
          <w:sz w:val="24"/>
          <w:szCs w:val="24"/>
          <w:lang w:val="sr-Cyrl-RS"/>
        </w:rPr>
        <w:t xml:space="preserve">обука </w:t>
      </w:r>
      <w:r w:rsidRPr="00D61022">
        <w:rPr>
          <w:sz w:val="24"/>
          <w:szCs w:val="24"/>
          <w:lang w:val="sr-Cyrl-RS"/>
        </w:rPr>
        <w:t>није организована. У 2019. години организована је обука из мађарског језика за 6 полазника</w:t>
      </w:r>
      <w:r>
        <w:rPr>
          <w:sz w:val="24"/>
          <w:szCs w:val="24"/>
          <w:lang w:val="sr-Cyrl-RS"/>
        </w:rPr>
        <w:t>, док</w:t>
      </w:r>
      <w:r w:rsidRPr="00D61022">
        <w:rPr>
          <w:sz w:val="24"/>
          <w:szCs w:val="24"/>
          <w:lang w:val="sr-Cyrl-RS"/>
        </w:rPr>
        <w:t xml:space="preserve"> </w:t>
      </w:r>
      <w:r>
        <w:rPr>
          <w:sz w:val="24"/>
          <w:szCs w:val="24"/>
          <w:lang w:val="sr-Cyrl-RS"/>
        </w:rPr>
        <w:t>у</w:t>
      </w:r>
      <w:r w:rsidRPr="00D61022">
        <w:rPr>
          <w:sz w:val="24"/>
          <w:szCs w:val="24"/>
          <w:lang w:val="sr-Cyrl-RS"/>
        </w:rPr>
        <w:t xml:space="preserve"> 2020</w:t>
      </w:r>
      <w:r>
        <w:rPr>
          <w:sz w:val="24"/>
          <w:szCs w:val="24"/>
          <w:lang w:val="sr-Cyrl-RS"/>
        </w:rPr>
        <w:t>.</w:t>
      </w:r>
      <w:r w:rsidRPr="00D61022">
        <w:rPr>
          <w:sz w:val="24"/>
          <w:szCs w:val="24"/>
          <w:lang w:val="sr-Cyrl-RS"/>
        </w:rPr>
        <w:t xml:space="preserve"> и 2021. години </w:t>
      </w:r>
      <w:r w:rsidRPr="007A6373">
        <w:rPr>
          <w:sz w:val="24"/>
          <w:szCs w:val="24"/>
          <w:lang w:val="sr-Cyrl-RS"/>
        </w:rPr>
        <w:t xml:space="preserve">обука </w:t>
      </w:r>
      <w:r w:rsidRPr="00D61022">
        <w:rPr>
          <w:sz w:val="24"/>
          <w:szCs w:val="24"/>
          <w:lang w:val="sr-Cyrl-RS"/>
        </w:rPr>
        <w:t>није била организована из епидемиолошких разлога.</w:t>
      </w:r>
      <w:r w:rsidR="00EC3AE2">
        <w:rPr>
          <w:sz w:val="24"/>
          <w:szCs w:val="24"/>
          <w:lang w:val="sr-Cyrl-RS"/>
        </w:rPr>
        <w:t xml:space="preserve"> И поред могућности службе за ор</w:t>
      </w:r>
      <w:r w:rsidRPr="00D61022">
        <w:rPr>
          <w:sz w:val="24"/>
          <w:szCs w:val="24"/>
          <w:lang w:val="sr-Cyrl-RS"/>
        </w:rPr>
        <w:t xml:space="preserve">ганизовање обуке из свих језика националних мањина који су у службеној употреби у покрајинским органима, </w:t>
      </w:r>
      <w:r>
        <w:rPr>
          <w:sz w:val="24"/>
          <w:szCs w:val="24"/>
          <w:lang w:val="sr-Cyrl-RS"/>
        </w:rPr>
        <w:t>обука</w:t>
      </w:r>
      <w:r w:rsidRPr="00D61022">
        <w:rPr>
          <w:sz w:val="24"/>
          <w:szCs w:val="24"/>
          <w:lang w:val="sr-Cyrl-RS"/>
        </w:rPr>
        <w:t xml:space="preserve"> се организује само за мађарски језик, и то не сваке године, услед малог одзива заинтересованих полазаника. Коришћењем ове могућности за бесплатну обуку запослених лица у покрајинским органима, по</w:t>
      </w:r>
      <w:r w:rsidR="001F38D8">
        <w:rPr>
          <w:sz w:val="24"/>
          <w:szCs w:val="24"/>
          <w:lang w:val="sr-Cyrl-RS"/>
        </w:rPr>
        <w:t>в</w:t>
      </w:r>
      <w:r w:rsidRPr="00D61022">
        <w:rPr>
          <w:sz w:val="24"/>
          <w:szCs w:val="24"/>
          <w:lang w:val="sr-Cyrl-RS"/>
        </w:rPr>
        <w:t>ећава се језички капацитет и квалитета кадрова у покрајинским органима.</w:t>
      </w:r>
    </w:p>
    <w:p w:rsidR="00E72ED5" w:rsidRDefault="00F237B2" w:rsidP="00E72ED5">
      <w:pPr>
        <w:spacing w:after="0"/>
        <w:ind w:firstLine="720"/>
        <w:jc w:val="both"/>
        <w:rPr>
          <w:sz w:val="24"/>
          <w:szCs w:val="24"/>
          <w:lang w:val="sr-Cyrl-RS"/>
        </w:rPr>
      </w:pPr>
      <w:r>
        <w:rPr>
          <w:sz w:val="24"/>
          <w:szCs w:val="24"/>
          <w:lang w:val="sr-Cyrl-RS"/>
        </w:rPr>
        <w:lastRenderedPageBreak/>
        <w:t xml:space="preserve">Сличне мере се предузимају и на државном нивоу. </w:t>
      </w:r>
      <w:r w:rsidR="00E72ED5" w:rsidRPr="00E92219">
        <w:rPr>
          <w:sz w:val="24"/>
          <w:szCs w:val="24"/>
          <w:lang w:val="sr-Cyrl-RS"/>
        </w:rPr>
        <w:t xml:space="preserve">Национална академија за јавну управу сваке године развија програме стручног усавршавања запослених у државним органима и јединицама локалне самоуправе. У оквиру наведених програма предвиђене су и обуке из области заштите људских права. </w:t>
      </w:r>
    </w:p>
    <w:p w:rsidR="00E72ED5" w:rsidRPr="00E92219" w:rsidRDefault="00E72ED5" w:rsidP="00E72ED5">
      <w:pPr>
        <w:spacing w:after="0"/>
        <w:ind w:firstLine="720"/>
        <w:jc w:val="both"/>
        <w:rPr>
          <w:sz w:val="24"/>
          <w:szCs w:val="24"/>
          <w:lang w:val="sr-Cyrl-RS"/>
        </w:rPr>
      </w:pPr>
      <w:r w:rsidRPr="00E92219">
        <w:rPr>
          <w:sz w:val="24"/>
          <w:szCs w:val="24"/>
          <w:lang w:val="sr-Cyrl-RS"/>
        </w:rPr>
        <w:t xml:space="preserve">Стручно усавршавање запослених </w:t>
      </w:r>
      <w:r>
        <w:rPr>
          <w:sz w:val="24"/>
          <w:szCs w:val="24"/>
          <w:lang w:val="sr-Cyrl-RS"/>
        </w:rPr>
        <w:t xml:space="preserve">у јединцима локалне самоуправе </w:t>
      </w:r>
      <w:r w:rsidRPr="00E92219">
        <w:rPr>
          <w:sz w:val="24"/>
          <w:szCs w:val="24"/>
          <w:lang w:val="sr-Cyrl-RS"/>
        </w:rPr>
        <w:t>заснива се на следећим програмима обуке: Општи програм обуке, Програм обуке руководилаца и посебни програми обуке у складу са специфичним потребама из делокруга и надлежности јединица локалне самоуправе. Општи програм обуке за запослене у јединицама локалне самоуправе за сваку годину доноси Влада на предлог Националне академије за јавну управу, у складу са Законом. Овај програм, у оквиру Општег програма обуке континуираног стручног усавршавања између осталих, обухвата и област стручног усавршавања Развој језичких компетенција, у оквиру које су, у циљу оспособљавања службеника за употребу језика националних мањина, утврђени програми обуке за учење језика националних мањина</w:t>
      </w:r>
      <w:r>
        <w:rPr>
          <w:sz w:val="24"/>
          <w:szCs w:val="24"/>
          <w:lang w:val="sr-Cyrl-RS"/>
        </w:rPr>
        <w:t>,</w:t>
      </w:r>
      <w:r w:rsidRPr="00E92219">
        <w:rPr>
          <w:sz w:val="24"/>
          <w:szCs w:val="24"/>
          <w:lang w:val="sr-Cyrl-RS"/>
        </w:rPr>
        <w:t xml:space="preserve"> и то: мађарског и албанског језика (ниво А1, А2, Б1 и Б2 Заједничког европског оквира за учење страних језика). Такође, у циљу унапређења знања запослених припадника националних мањина у </w:t>
      </w:r>
      <w:r>
        <w:rPr>
          <w:sz w:val="24"/>
          <w:szCs w:val="24"/>
          <w:lang w:val="sr-Cyrl-RS"/>
        </w:rPr>
        <w:t>јединицама локалне самоуправе</w:t>
      </w:r>
      <w:r w:rsidRPr="00E92219">
        <w:rPr>
          <w:sz w:val="24"/>
          <w:szCs w:val="24"/>
          <w:lang w:val="sr-Cyrl-RS"/>
        </w:rPr>
        <w:t xml:space="preserve"> из српског језика за његово активно коришћење у радном окружењу предвиђена је могућност учења српског језика (ниво Б1,</w:t>
      </w:r>
      <w:r w:rsidR="003417CD">
        <w:rPr>
          <w:sz w:val="24"/>
          <w:szCs w:val="24"/>
          <w:lang w:val="sr-Cyrl-RS"/>
        </w:rPr>
        <w:t xml:space="preserve"> </w:t>
      </w:r>
      <w:r w:rsidRPr="00E92219">
        <w:rPr>
          <w:sz w:val="24"/>
          <w:szCs w:val="24"/>
          <w:lang w:val="sr-Cyrl-RS"/>
        </w:rPr>
        <w:t xml:space="preserve">Б2 и Ц1 Заједничког европског оквира за учење страних језика). </w:t>
      </w:r>
    </w:p>
    <w:p w:rsidR="00E72ED5" w:rsidRPr="00B22E95" w:rsidRDefault="00E72ED5" w:rsidP="00E72ED5">
      <w:pPr>
        <w:spacing w:after="0"/>
        <w:ind w:firstLine="720"/>
        <w:jc w:val="both"/>
        <w:rPr>
          <w:sz w:val="24"/>
          <w:szCs w:val="24"/>
          <w:lang w:val="sr-Cyrl-RS"/>
        </w:rPr>
      </w:pPr>
      <w:r w:rsidRPr="00E92219">
        <w:rPr>
          <w:sz w:val="24"/>
          <w:szCs w:val="24"/>
          <w:lang w:val="sr-Cyrl-RS"/>
        </w:rPr>
        <w:t>Такође, сагласно овом закону, јединице локалне самоуправе, ради подизања нивоа знања и вештина запослених на појединим радним местима или врсти послова из изворног делокруга и надлежности јединице локалне самоуправе, доноси посебне програме стручног усавршавања, на основу претходно спроведене анализе потреба за стручним усавршавањем.</w:t>
      </w:r>
    </w:p>
    <w:p w:rsidR="00E72ED5" w:rsidRPr="00E92219" w:rsidRDefault="00E72ED5" w:rsidP="00E72ED5">
      <w:pPr>
        <w:spacing w:after="0"/>
        <w:ind w:firstLine="720"/>
        <w:jc w:val="both"/>
        <w:rPr>
          <w:sz w:val="24"/>
          <w:szCs w:val="24"/>
          <w:lang w:val="sr-Cyrl-RS"/>
        </w:rPr>
      </w:pPr>
      <w:r w:rsidRPr="00E92219">
        <w:rPr>
          <w:sz w:val="24"/>
          <w:szCs w:val="24"/>
          <w:lang w:val="sr-Cyrl-RS"/>
        </w:rPr>
        <w:t xml:space="preserve">У Општем програму обука државних службеника за 2021. годину предвиђена је обука Права припадника националних мањина. Такође, на LMS платформи Академије доступна је онлајн обука Права припадника националних мањина са посебним акцентом на службену употребу језика и писама националних мањина. У сарадњи са ОЕБС-ом у току је рад на развоју још једне онлајн обуке напредног нивоа која ће се такође односити на службену употребу језика и писама националних мањина.  </w:t>
      </w:r>
    </w:p>
    <w:p w:rsidR="00E72ED5" w:rsidRPr="00D61022" w:rsidRDefault="00E72ED5" w:rsidP="00E72ED5">
      <w:pPr>
        <w:spacing w:after="0"/>
        <w:ind w:firstLine="720"/>
        <w:jc w:val="both"/>
        <w:rPr>
          <w:sz w:val="24"/>
          <w:szCs w:val="24"/>
          <w:lang w:val="sr-Cyrl-RS"/>
        </w:rPr>
      </w:pPr>
      <w:r w:rsidRPr="00E92219">
        <w:rPr>
          <w:sz w:val="24"/>
          <w:szCs w:val="24"/>
          <w:lang w:val="sr-Cyrl-RS"/>
        </w:rPr>
        <w:t>У Општем програму обуке запослених у јединицама локалне самоуправе за 2021. годину, у оквиру тематске области Развој језичких компетенција, предвиђене су обуке за мађарски и албанс</w:t>
      </w:r>
      <w:r>
        <w:rPr>
          <w:sz w:val="24"/>
          <w:szCs w:val="24"/>
          <w:lang w:val="sr-Cyrl-RS"/>
        </w:rPr>
        <w:t xml:space="preserve">ки језик (ниво А1, А2, Б1, Б2). </w:t>
      </w:r>
      <w:r w:rsidRPr="00E92219">
        <w:rPr>
          <w:sz w:val="24"/>
          <w:szCs w:val="24"/>
          <w:lang w:val="sr-Cyrl-RS"/>
        </w:rPr>
        <w:t>У Секторском програму континуираног стручног усавршавања запослених у јединицама локалне самоуправе за 2021. годину предвиђена је обука Остваривање права припадника националних мањина у јединицама локалне самоуправе.</w:t>
      </w:r>
    </w:p>
    <w:p w:rsidR="00736E42" w:rsidRDefault="00736E42" w:rsidP="00736E42">
      <w:pPr>
        <w:spacing w:after="0"/>
        <w:jc w:val="both"/>
        <w:rPr>
          <w:sz w:val="24"/>
          <w:szCs w:val="24"/>
          <w:lang w:val="sr-Cyrl-RS"/>
        </w:rPr>
      </w:pPr>
    </w:p>
    <w:p w:rsidR="009C5E17" w:rsidRDefault="009C5E17" w:rsidP="00736E42">
      <w:pPr>
        <w:spacing w:after="0"/>
        <w:jc w:val="both"/>
        <w:rPr>
          <w:i/>
          <w:sz w:val="24"/>
          <w:szCs w:val="24"/>
          <w:lang w:val="sr-Cyrl-RS"/>
        </w:rPr>
      </w:pPr>
      <w:r>
        <w:rPr>
          <w:i/>
          <w:sz w:val="24"/>
          <w:szCs w:val="24"/>
          <w:lang w:val="sr-Cyrl-RS"/>
        </w:rPr>
        <w:t>И</w:t>
      </w:r>
      <w:r w:rsidRPr="001208F9">
        <w:rPr>
          <w:i/>
          <w:sz w:val="24"/>
          <w:szCs w:val="24"/>
          <w:lang w:val="sr-Cyrl-RS"/>
        </w:rPr>
        <w:t>нформиса</w:t>
      </w:r>
      <w:r>
        <w:rPr>
          <w:i/>
          <w:sz w:val="24"/>
          <w:szCs w:val="24"/>
          <w:lang w:val="sr-Cyrl-RS"/>
        </w:rPr>
        <w:t>ње</w:t>
      </w:r>
      <w:r w:rsidRPr="001208F9">
        <w:rPr>
          <w:i/>
          <w:sz w:val="24"/>
          <w:szCs w:val="24"/>
          <w:lang w:val="sr-Cyrl-RS"/>
        </w:rPr>
        <w:t xml:space="preserve"> припадник</w:t>
      </w:r>
      <w:r>
        <w:rPr>
          <w:i/>
          <w:sz w:val="24"/>
          <w:szCs w:val="24"/>
          <w:lang w:val="sr-Cyrl-RS"/>
        </w:rPr>
        <w:t>а</w:t>
      </w:r>
      <w:r w:rsidRPr="001208F9">
        <w:rPr>
          <w:i/>
          <w:sz w:val="24"/>
          <w:szCs w:val="24"/>
          <w:lang w:val="sr-Cyrl-RS"/>
        </w:rPr>
        <w:t xml:space="preserve"> мањина</w:t>
      </w:r>
      <w:r>
        <w:rPr>
          <w:i/>
          <w:sz w:val="24"/>
          <w:szCs w:val="24"/>
          <w:lang w:val="sr-Cyrl-RS"/>
        </w:rPr>
        <w:t>,</w:t>
      </w:r>
      <w:r w:rsidRPr="001208F9">
        <w:rPr>
          <w:i/>
          <w:sz w:val="24"/>
          <w:szCs w:val="24"/>
          <w:lang w:val="sr-Cyrl-RS"/>
        </w:rPr>
        <w:t xml:space="preserve"> студије </w:t>
      </w:r>
      <w:r>
        <w:rPr>
          <w:i/>
          <w:sz w:val="24"/>
          <w:szCs w:val="24"/>
          <w:lang w:val="sr-Cyrl-RS"/>
        </w:rPr>
        <w:t>о</w:t>
      </w:r>
      <w:r w:rsidRPr="001208F9">
        <w:rPr>
          <w:i/>
          <w:sz w:val="24"/>
          <w:szCs w:val="24"/>
          <w:lang w:val="sr-Cyrl-RS"/>
        </w:rPr>
        <w:t xml:space="preserve"> спровођењ</w:t>
      </w:r>
      <w:r>
        <w:rPr>
          <w:i/>
          <w:sz w:val="24"/>
          <w:szCs w:val="24"/>
          <w:lang w:val="sr-Cyrl-RS"/>
        </w:rPr>
        <w:t>у</w:t>
      </w:r>
      <w:r w:rsidRPr="001208F9">
        <w:rPr>
          <w:i/>
          <w:sz w:val="24"/>
          <w:szCs w:val="24"/>
          <w:lang w:val="sr-Cyrl-RS"/>
        </w:rPr>
        <w:t xml:space="preserve"> законских одредби и ефективно кори</w:t>
      </w:r>
      <w:r>
        <w:rPr>
          <w:i/>
          <w:sz w:val="24"/>
          <w:szCs w:val="24"/>
          <w:lang w:val="sr-Cyrl-RS"/>
        </w:rPr>
        <w:t xml:space="preserve">шћење </w:t>
      </w:r>
      <w:r w:rsidRPr="001208F9">
        <w:rPr>
          <w:i/>
          <w:sz w:val="24"/>
          <w:szCs w:val="24"/>
          <w:lang w:val="sr-Cyrl-RS"/>
        </w:rPr>
        <w:t xml:space="preserve"> </w:t>
      </w:r>
      <w:r>
        <w:rPr>
          <w:i/>
          <w:sz w:val="24"/>
          <w:szCs w:val="24"/>
          <w:lang w:val="sr-Cyrl-RS"/>
        </w:rPr>
        <w:t xml:space="preserve">језика </w:t>
      </w:r>
      <w:r w:rsidRPr="001208F9">
        <w:rPr>
          <w:i/>
          <w:sz w:val="24"/>
          <w:szCs w:val="24"/>
          <w:lang w:val="sr-Cyrl-RS"/>
        </w:rPr>
        <w:t>у службеној употреби</w:t>
      </w:r>
    </w:p>
    <w:p w:rsidR="009C5E17" w:rsidRDefault="009C5E17" w:rsidP="00736E42">
      <w:pPr>
        <w:spacing w:after="0"/>
        <w:jc w:val="both"/>
        <w:rPr>
          <w:sz w:val="24"/>
          <w:szCs w:val="24"/>
          <w:lang w:val="sr-Cyrl-RS"/>
        </w:rPr>
      </w:pPr>
    </w:p>
    <w:p w:rsidR="009C5E17" w:rsidRPr="00287C0A" w:rsidRDefault="009C5E17" w:rsidP="00B46F8C">
      <w:pPr>
        <w:spacing w:after="0"/>
        <w:jc w:val="both"/>
        <w:rPr>
          <w:i/>
          <w:sz w:val="24"/>
          <w:szCs w:val="24"/>
          <w:lang w:val="en-GB"/>
        </w:rPr>
      </w:pPr>
      <w:r>
        <w:rPr>
          <w:sz w:val="24"/>
          <w:szCs w:val="24"/>
          <w:lang w:val="sr-Cyrl-RS"/>
        </w:rPr>
        <w:tab/>
        <w:t xml:space="preserve">Информисање припадника националних мањина о </w:t>
      </w:r>
      <w:r w:rsidRPr="009C5E17">
        <w:rPr>
          <w:sz w:val="24"/>
          <w:szCs w:val="24"/>
          <w:lang w:val="sr-Cyrl-RS"/>
        </w:rPr>
        <w:t>прав</w:t>
      </w:r>
      <w:r>
        <w:rPr>
          <w:sz w:val="24"/>
          <w:szCs w:val="24"/>
          <w:lang w:val="sr-Cyrl-RS"/>
        </w:rPr>
        <w:t>у</w:t>
      </w:r>
      <w:r w:rsidRPr="009C5E17">
        <w:rPr>
          <w:sz w:val="24"/>
          <w:szCs w:val="24"/>
          <w:lang w:val="sr-Cyrl-RS"/>
        </w:rPr>
        <w:t xml:space="preserve"> да користе свој мањински језик у општењу са државном, покрајинском и локалном управом</w:t>
      </w:r>
      <w:r>
        <w:rPr>
          <w:sz w:val="24"/>
          <w:szCs w:val="24"/>
          <w:lang w:val="sr-Cyrl-RS"/>
        </w:rPr>
        <w:t xml:space="preserve"> с</w:t>
      </w:r>
      <w:r w:rsidR="008B14B2">
        <w:rPr>
          <w:sz w:val="24"/>
          <w:szCs w:val="24"/>
          <w:lang w:val="sr-Cyrl-RS"/>
        </w:rPr>
        <w:t>проводи се на различите начине, најчешће посредством информационих табли и осталих</w:t>
      </w:r>
      <w:r w:rsidR="008B14B2" w:rsidRPr="008B14B2">
        <w:rPr>
          <w:sz w:val="24"/>
          <w:szCs w:val="24"/>
          <w:lang w:val="sr-Cyrl-RS"/>
        </w:rPr>
        <w:t xml:space="preserve"> обавештења за странке</w:t>
      </w:r>
      <w:r w:rsidR="008B14B2">
        <w:rPr>
          <w:sz w:val="24"/>
          <w:szCs w:val="24"/>
          <w:lang w:val="sr-Cyrl-RS"/>
        </w:rPr>
        <w:t xml:space="preserve">, посредством </w:t>
      </w:r>
      <w:r w:rsidR="008B14B2" w:rsidRPr="008B14B2">
        <w:rPr>
          <w:sz w:val="24"/>
          <w:szCs w:val="24"/>
          <w:lang w:val="sr-Cyrl-RS"/>
        </w:rPr>
        <w:t>интернет страница</w:t>
      </w:r>
      <w:r w:rsidR="008B14B2">
        <w:rPr>
          <w:sz w:val="24"/>
          <w:szCs w:val="24"/>
          <w:lang w:val="sr-Cyrl-RS"/>
        </w:rPr>
        <w:t xml:space="preserve"> одговарајућих органа, </w:t>
      </w:r>
      <w:r w:rsidR="008B14B2">
        <w:rPr>
          <w:sz w:val="24"/>
          <w:szCs w:val="24"/>
          <w:lang w:val="sr-Cyrl-RS"/>
        </w:rPr>
        <w:lastRenderedPageBreak/>
        <w:t>организација и служби</w:t>
      </w:r>
      <w:r w:rsidR="00287C0A">
        <w:rPr>
          <w:sz w:val="24"/>
          <w:szCs w:val="24"/>
          <w:lang w:val="en-GB"/>
        </w:rPr>
        <w:t xml:space="preserve">, </w:t>
      </w:r>
      <w:r w:rsidR="00287C0A" w:rsidRPr="00287C0A">
        <w:rPr>
          <w:sz w:val="24"/>
          <w:szCs w:val="24"/>
          <w:lang w:val="en-GB"/>
        </w:rPr>
        <w:t>као и</w:t>
      </w:r>
      <w:r w:rsidR="00287C0A">
        <w:rPr>
          <w:sz w:val="24"/>
          <w:szCs w:val="24"/>
          <w:lang w:val="en-GB"/>
        </w:rPr>
        <w:t xml:space="preserve"> </w:t>
      </w:r>
      <w:r w:rsidR="00287C0A">
        <w:rPr>
          <w:sz w:val="24"/>
          <w:szCs w:val="24"/>
          <w:lang w:val="sr-Cyrl-RS"/>
        </w:rPr>
        <w:t>посредством информатора о њиховом раду који се обавезно објављују на њиховим интернет страницама</w:t>
      </w:r>
      <w:r w:rsidR="008B14B2">
        <w:rPr>
          <w:sz w:val="24"/>
          <w:szCs w:val="24"/>
          <w:lang w:val="sr-Cyrl-RS"/>
        </w:rPr>
        <w:t xml:space="preserve">. </w:t>
      </w:r>
      <w:r w:rsidR="00287C0A">
        <w:rPr>
          <w:sz w:val="24"/>
          <w:szCs w:val="24"/>
          <w:lang w:val="sr-Cyrl-RS"/>
        </w:rPr>
        <w:t xml:space="preserve">Наиме, према Уредби </w:t>
      </w:r>
      <w:r w:rsidR="00287C0A" w:rsidRPr="00287C0A">
        <w:rPr>
          <w:sz w:val="24"/>
          <w:szCs w:val="24"/>
          <w:lang w:val="sr-Cyrl-RS"/>
        </w:rPr>
        <w:t>о ближим условима за израду и одржавање веб презентације органа</w:t>
      </w:r>
      <w:r w:rsidR="00287C0A">
        <w:rPr>
          <w:rStyle w:val="FootnoteReference"/>
          <w:sz w:val="24"/>
          <w:szCs w:val="24"/>
          <w:lang w:val="sr-Cyrl-RS"/>
        </w:rPr>
        <w:footnoteReference w:id="60"/>
      </w:r>
      <w:r w:rsidR="00287C0A" w:rsidRPr="00287C0A">
        <w:rPr>
          <w:sz w:val="24"/>
          <w:szCs w:val="24"/>
          <w:lang w:val="sr-Cyrl-RS"/>
        </w:rPr>
        <w:t xml:space="preserve"> </w:t>
      </w:r>
      <w:r w:rsidR="00287C0A">
        <w:rPr>
          <w:sz w:val="24"/>
          <w:szCs w:val="24"/>
          <w:lang w:val="sr-Cyrl-RS"/>
        </w:rPr>
        <w:t>којом је регулисана израда</w:t>
      </w:r>
      <w:r w:rsidR="00287C0A" w:rsidRPr="00287C0A">
        <w:rPr>
          <w:sz w:val="24"/>
          <w:szCs w:val="24"/>
          <w:lang w:val="sr-Cyrl-RS"/>
        </w:rPr>
        <w:t xml:space="preserve"> и одржавање веб презентација државних органа и организација, органа и организација покрајинске аутономије, органа и организација јединица локалне самоуправе, установа, јавних предузећа, посебних органа преко којих се остварује регулаторна функција и правних и физичких лица којима су поверена јавна овлашћења</w:t>
      </w:r>
      <w:r w:rsidR="003B7207">
        <w:rPr>
          <w:sz w:val="24"/>
          <w:szCs w:val="24"/>
          <w:lang w:val="sr-Cyrl-RS"/>
        </w:rPr>
        <w:t>, наведени субјекти су дужни да израде</w:t>
      </w:r>
      <w:r w:rsidR="003B7207" w:rsidRPr="003B7207">
        <w:rPr>
          <w:sz w:val="24"/>
          <w:szCs w:val="24"/>
          <w:lang w:val="sr-Cyrl-RS"/>
        </w:rPr>
        <w:t xml:space="preserve"> веб презентацију на језику и писму који су у службеној употреби у складу са прописом којим се уређује службена употреба језика и писама</w:t>
      </w:r>
      <w:r w:rsidR="003B7207">
        <w:rPr>
          <w:sz w:val="24"/>
          <w:szCs w:val="24"/>
          <w:lang w:val="sr-Cyrl-RS"/>
        </w:rPr>
        <w:t xml:space="preserve">. Такође, </w:t>
      </w:r>
      <w:r w:rsidR="00287C0A">
        <w:rPr>
          <w:sz w:val="24"/>
          <w:szCs w:val="24"/>
          <w:lang w:val="sr-Cyrl-RS"/>
        </w:rPr>
        <w:t>према Упутству за израду и објављивање информатора о раду</w:t>
      </w:r>
      <w:r w:rsidR="00287C0A">
        <w:rPr>
          <w:rStyle w:val="FootnoteReference"/>
          <w:sz w:val="24"/>
          <w:szCs w:val="24"/>
          <w:lang w:val="sr-Cyrl-RS"/>
        </w:rPr>
        <w:footnoteReference w:id="61"/>
      </w:r>
      <w:r w:rsidR="00287C0A">
        <w:rPr>
          <w:sz w:val="24"/>
          <w:szCs w:val="24"/>
          <w:lang w:val="sr-Cyrl-RS"/>
        </w:rPr>
        <w:t xml:space="preserve"> које се односи на државне органе, органе</w:t>
      </w:r>
      <w:r w:rsidR="00287C0A" w:rsidRPr="00287C0A">
        <w:rPr>
          <w:sz w:val="24"/>
          <w:szCs w:val="24"/>
          <w:lang w:val="sr-Cyrl-RS"/>
        </w:rPr>
        <w:t xml:space="preserve"> територијалне аутономије, ор</w:t>
      </w:r>
      <w:r w:rsidR="00287C0A">
        <w:rPr>
          <w:sz w:val="24"/>
          <w:szCs w:val="24"/>
          <w:lang w:val="sr-Cyrl-RS"/>
        </w:rPr>
        <w:t>гане</w:t>
      </w:r>
      <w:r w:rsidR="00287C0A" w:rsidRPr="00287C0A">
        <w:rPr>
          <w:sz w:val="24"/>
          <w:szCs w:val="24"/>
          <w:lang w:val="sr-Cyrl-RS"/>
        </w:rPr>
        <w:t xml:space="preserve"> л</w:t>
      </w:r>
      <w:r w:rsidR="00287C0A">
        <w:rPr>
          <w:sz w:val="24"/>
          <w:szCs w:val="24"/>
          <w:lang w:val="sr-Cyrl-RS"/>
        </w:rPr>
        <w:t>окалне самоуправе и организације</w:t>
      </w:r>
      <w:r w:rsidR="00287C0A" w:rsidRPr="00287C0A">
        <w:rPr>
          <w:sz w:val="24"/>
          <w:szCs w:val="24"/>
          <w:lang w:val="sr-Cyrl-RS"/>
        </w:rPr>
        <w:t xml:space="preserve"> којима је поверено вршење јавних овлашћења</w:t>
      </w:r>
      <w:r w:rsidR="003B7207">
        <w:rPr>
          <w:sz w:val="24"/>
          <w:szCs w:val="24"/>
          <w:lang w:val="sr-Cyrl-RS"/>
        </w:rPr>
        <w:t>, наведени субјекти израђују</w:t>
      </w:r>
      <w:r w:rsidR="003B7207" w:rsidRPr="003B7207">
        <w:rPr>
          <w:sz w:val="24"/>
          <w:szCs w:val="24"/>
          <w:lang w:val="sr-Cyrl-RS"/>
        </w:rPr>
        <w:t xml:space="preserve"> информатор на језицима националних мањина који су у службеној употреби на територији која обухвата </w:t>
      </w:r>
      <w:r w:rsidR="003B7207">
        <w:rPr>
          <w:sz w:val="24"/>
          <w:szCs w:val="24"/>
          <w:lang w:val="sr-Cyrl-RS"/>
        </w:rPr>
        <w:t>њихово седиште</w:t>
      </w:r>
      <w:r w:rsidR="003B7207" w:rsidRPr="003B7207">
        <w:rPr>
          <w:sz w:val="24"/>
          <w:szCs w:val="24"/>
          <w:lang w:val="sr-Cyrl-RS"/>
        </w:rPr>
        <w:t>.</w:t>
      </w:r>
      <w:r w:rsidR="003B7207">
        <w:rPr>
          <w:sz w:val="24"/>
          <w:szCs w:val="24"/>
          <w:lang w:val="sr-Cyrl-RS"/>
        </w:rPr>
        <w:t xml:space="preserve"> </w:t>
      </w:r>
      <w:r w:rsidR="003B7207" w:rsidRPr="003B7207">
        <w:rPr>
          <w:sz w:val="24"/>
          <w:szCs w:val="24"/>
          <w:lang w:val="sr-Cyrl-RS"/>
        </w:rPr>
        <w:t>Информатор на језику националне мањине објављује се на верзији веб-презентације која је израђена на језику те националне мањине.</w:t>
      </w:r>
      <w:r w:rsidR="003B7207">
        <w:rPr>
          <w:sz w:val="24"/>
          <w:szCs w:val="24"/>
          <w:lang w:val="sr-Cyrl-RS"/>
        </w:rPr>
        <w:t xml:space="preserve"> </w:t>
      </w:r>
      <w:r w:rsidR="003B7207" w:rsidRPr="003B7207">
        <w:rPr>
          <w:sz w:val="24"/>
          <w:szCs w:val="24"/>
          <w:lang w:val="sr-Cyrl-RS"/>
        </w:rPr>
        <w:t>Уколико не постоји верзија веб-презентације на језику националне мањине, информатор израђен на језику националне мањине се објављује на српској верзији веб-презентације.</w:t>
      </w:r>
      <w:r w:rsidR="003B7207">
        <w:rPr>
          <w:sz w:val="24"/>
          <w:szCs w:val="24"/>
          <w:lang w:val="sr-Cyrl-RS"/>
        </w:rPr>
        <w:t xml:space="preserve"> </w:t>
      </w:r>
    </w:p>
    <w:p w:rsidR="00736E42" w:rsidRDefault="00736E42" w:rsidP="00B46F8C">
      <w:pPr>
        <w:spacing w:after="0"/>
        <w:ind w:firstLine="720"/>
        <w:jc w:val="both"/>
        <w:rPr>
          <w:sz w:val="24"/>
          <w:szCs w:val="24"/>
          <w:lang w:val="sr-Cyrl-RS"/>
        </w:rPr>
      </w:pPr>
      <w:r>
        <w:rPr>
          <w:sz w:val="24"/>
          <w:szCs w:val="24"/>
          <w:lang w:val="sr-Cyrl-RS"/>
        </w:rPr>
        <w:t>У</w:t>
      </w:r>
      <w:r w:rsidRPr="00940762">
        <w:rPr>
          <w:sz w:val="24"/>
          <w:szCs w:val="24"/>
          <w:lang w:val="sr-Cyrl-RS"/>
        </w:rPr>
        <w:t xml:space="preserve"> </w:t>
      </w:r>
      <w:r w:rsidR="003B7207">
        <w:rPr>
          <w:sz w:val="24"/>
          <w:szCs w:val="24"/>
          <w:lang w:val="sr-Cyrl-RS"/>
        </w:rPr>
        <w:t>извештајном периоду сачињено је више студија</w:t>
      </w:r>
      <w:r w:rsidR="003B7207" w:rsidRPr="003B7207">
        <w:rPr>
          <w:sz w:val="24"/>
          <w:szCs w:val="24"/>
          <w:lang w:val="sr-Cyrl-RS"/>
        </w:rPr>
        <w:t xml:space="preserve"> о спровођењу законских одредби</w:t>
      </w:r>
      <w:r w:rsidR="003B7207">
        <w:rPr>
          <w:sz w:val="24"/>
          <w:szCs w:val="24"/>
          <w:lang w:val="sr-Cyrl-RS"/>
        </w:rPr>
        <w:t xml:space="preserve"> о праву припадника националних мањина </w:t>
      </w:r>
      <w:r w:rsidR="003B7207" w:rsidRPr="003B7207">
        <w:rPr>
          <w:sz w:val="24"/>
          <w:szCs w:val="24"/>
          <w:lang w:val="sr-Cyrl-RS"/>
        </w:rPr>
        <w:t>да користе свој мањински језик у општењу са државном, покрајинском и локалном управом</w:t>
      </w:r>
      <w:r w:rsidR="003B7207">
        <w:rPr>
          <w:sz w:val="24"/>
          <w:szCs w:val="24"/>
          <w:lang w:val="sr-Cyrl-RS"/>
        </w:rPr>
        <w:t>. У</w:t>
      </w:r>
      <w:r w:rsidR="003B7207" w:rsidRPr="003B7207">
        <w:rPr>
          <w:sz w:val="24"/>
          <w:szCs w:val="24"/>
          <w:lang w:val="sr-Cyrl-RS"/>
        </w:rPr>
        <w:t xml:space="preserve"> </w:t>
      </w:r>
      <w:r w:rsidRPr="00940762">
        <w:rPr>
          <w:sz w:val="24"/>
          <w:szCs w:val="24"/>
          <w:lang w:val="sr-Cyrl-RS"/>
        </w:rPr>
        <w:t>оквиру пројекта „</w:t>
      </w:r>
      <w:r>
        <w:rPr>
          <w:sz w:val="24"/>
          <w:szCs w:val="24"/>
          <w:lang w:val="sr-Cyrl-RS"/>
        </w:rPr>
        <w:t>Јачање заштите националних мањина</w:t>
      </w:r>
      <w:r w:rsidRPr="00940762">
        <w:rPr>
          <w:sz w:val="24"/>
          <w:szCs w:val="24"/>
          <w:lang w:val="sr-Cyrl-RS"/>
        </w:rPr>
        <w:t xml:space="preserve"> у Србији”, који је део заједничког програма Европске уније/Савета Европе „Horizontal Facility за Западни Балкан и Турску</w:t>
      </w:r>
      <w:r>
        <w:rPr>
          <w:sz w:val="24"/>
          <w:szCs w:val="24"/>
          <w:lang w:val="sr-Cyrl-RS"/>
        </w:rPr>
        <w:t>“, који се спроводио у периоду од 2016. до 2018. године, независни консултант је изадио „</w:t>
      </w:r>
      <w:r w:rsidRPr="00E26231">
        <w:rPr>
          <w:sz w:val="24"/>
          <w:szCs w:val="24"/>
          <w:lang w:val="sr-Cyrl-RS"/>
        </w:rPr>
        <w:t>Извештај о употреби језика националних мањина у односима са државним органима</w:t>
      </w:r>
      <w:r>
        <w:rPr>
          <w:sz w:val="24"/>
          <w:szCs w:val="24"/>
          <w:lang w:val="sr-Cyrl-RS"/>
        </w:rPr>
        <w:t>“</w:t>
      </w:r>
      <w:r>
        <w:rPr>
          <w:i/>
          <w:sz w:val="24"/>
          <w:szCs w:val="24"/>
          <w:lang w:val="sr-Cyrl-RS"/>
        </w:rPr>
        <w:t xml:space="preserve">. </w:t>
      </w:r>
      <w:r w:rsidRPr="00E26231">
        <w:rPr>
          <w:sz w:val="24"/>
          <w:szCs w:val="24"/>
          <w:lang w:val="sr-Cyrl-RS"/>
        </w:rPr>
        <w:t xml:space="preserve">У овом извештају наводи се </w:t>
      </w:r>
      <w:r>
        <w:rPr>
          <w:sz w:val="24"/>
          <w:szCs w:val="24"/>
          <w:lang w:val="sr-Cyrl-RS"/>
        </w:rPr>
        <w:t xml:space="preserve">да </w:t>
      </w:r>
      <w:r w:rsidRPr="00E26231">
        <w:rPr>
          <w:i/>
          <w:sz w:val="24"/>
          <w:szCs w:val="24"/>
          <w:lang w:val="sr-Cyrl-RS"/>
        </w:rPr>
        <w:t>анализа и претходни стручни и надзорни радови доводе до закључка да је српски правни оквир у вези са мањинским правима уопште, a посебно у вези са употребом језика национални</w:t>
      </w:r>
      <w:r>
        <w:rPr>
          <w:i/>
          <w:sz w:val="24"/>
          <w:szCs w:val="24"/>
          <w:lang w:val="sr-Cyrl-RS"/>
        </w:rPr>
        <w:t>х</w:t>
      </w:r>
      <w:r w:rsidRPr="00E26231">
        <w:rPr>
          <w:i/>
          <w:sz w:val="24"/>
          <w:szCs w:val="24"/>
          <w:lang w:val="sr-Cyrl-RS"/>
        </w:rPr>
        <w:t xml:space="preserve"> мањина у пословању са управом, прили</w:t>
      </w:r>
      <w:r>
        <w:rPr>
          <w:i/>
          <w:sz w:val="24"/>
          <w:szCs w:val="24"/>
          <w:lang w:val="sr-Cyrl-RS"/>
        </w:rPr>
        <w:t xml:space="preserve">чно напредан, сложен и захтеван </w:t>
      </w:r>
      <w:r>
        <w:rPr>
          <w:sz w:val="24"/>
          <w:szCs w:val="24"/>
          <w:lang w:val="sr-Cyrl-RS"/>
        </w:rPr>
        <w:t xml:space="preserve">али се наводи и да </w:t>
      </w:r>
      <w:r w:rsidRPr="00E26231">
        <w:rPr>
          <w:sz w:val="24"/>
          <w:szCs w:val="24"/>
          <w:lang w:val="sr-Cyrl-RS"/>
        </w:rPr>
        <w:t>постоји пуно простора за побољшање.</w:t>
      </w:r>
      <w:r>
        <w:rPr>
          <w:sz w:val="24"/>
          <w:szCs w:val="24"/>
          <w:lang w:val="sr-Cyrl-RS"/>
        </w:rPr>
        <w:t xml:space="preserve"> </w:t>
      </w:r>
      <w:r w:rsidRPr="00E26231">
        <w:rPr>
          <w:sz w:val="24"/>
          <w:szCs w:val="24"/>
          <w:lang w:val="sr-Cyrl-RS"/>
        </w:rPr>
        <w:t>На основу препорука из поменутог извештаја и усвојеног измењеног законодавног оквира, Министарство државне управе и лок</w:t>
      </w:r>
      <w:r>
        <w:rPr>
          <w:sz w:val="24"/>
          <w:szCs w:val="24"/>
          <w:lang w:val="sr-Cyrl-RS"/>
        </w:rPr>
        <w:t>алне</w:t>
      </w:r>
      <w:r w:rsidRPr="00E26231">
        <w:rPr>
          <w:sz w:val="24"/>
          <w:szCs w:val="24"/>
          <w:lang w:val="sr-Cyrl-RS"/>
        </w:rPr>
        <w:t xml:space="preserve"> самоуправе је упутило јединицама локалне самоуправе допис са предлогом мера које би могле да предузму како би </w:t>
      </w:r>
      <w:r>
        <w:rPr>
          <w:sz w:val="24"/>
          <w:szCs w:val="24"/>
          <w:lang w:val="sr-Cyrl-RS"/>
        </w:rPr>
        <w:t>и</w:t>
      </w:r>
      <w:r w:rsidRPr="00E26231">
        <w:rPr>
          <w:sz w:val="24"/>
          <w:szCs w:val="24"/>
          <w:lang w:val="sr-Cyrl-RS"/>
        </w:rPr>
        <w:t xml:space="preserve"> мањински језици постали видљивији и </w:t>
      </w:r>
      <w:r>
        <w:rPr>
          <w:sz w:val="24"/>
          <w:szCs w:val="24"/>
          <w:lang w:val="sr-Cyrl-RS"/>
        </w:rPr>
        <w:t>више коришћени</w:t>
      </w:r>
      <w:r w:rsidRPr="00E26231">
        <w:rPr>
          <w:sz w:val="24"/>
          <w:szCs w:val="24"/>
          <w:lang w:val="sr-Cyrl-RS"/>
        </w:rPr>
        <w:t>.</w:t>
      </w:r>
    </w:p>
    <w:p w:rsidR="00736E42" w:rsidRDefault="00736E42" w:rsidP="00B46F8C">
      <w:pPr>
        <w:spacing w:after="0"/>
        <w:ind w:firstLine="720"/>
        <w:jc w:val="both"/>
        <w:rPr>
          <w:sz w:val="24"/>
          <w:szCs w:val="24"/>
          <w:lang w:val="sr-Cyrl-RS"/>
        </w:rPr>
      </w:pPr>
      <w:r>
        <w:rPr>
          <w:sz w:val="24"/>
          <w:szCs w:val="24"/>
          <w:lang w:val="sr-Cyrl-RS"/>
        </w:rPr>
        <w:t>У оквиру истог пројекта израђена је „</w:t>
      </w:r>
      <w:r w:rsidRPr="00E26231">
        <w:rPr>
          <w:sz w:val="24"/>
          <w:szCs w:val="24"/>
          <w:lang w:val="sr-Cyrl-RS"/>
        </w:rPr>
        <w:t>Анализа нормативног оквира о употреби језика националних мањина у односима са државним органима</w:t>
      </w:r>
      <w:r>
        <w:rPr>
          <w:sz w:val="24"/>
          <w:szCs w:val="24"/>
          <w:lang w:val="sr-Cyrl-RS"/>
        </w:rPr>
        <w:t>“</w:t>
      </w:r>
      <w:r w:rsidRPr="00E26231">
        <w:rPr>
          <w:sz w:val="24"/>
          <w:szCs w:val="24"/>
          <w:lang w:val="sr-Cyrl-RS"/>
        </w:rPr>
        <w:t>. Поред тога, у циљу прeдстaвљања нoвина кoje сe oднoсe нa службeну упoтрeбу мaњинских jeзикa и писамa у свeтлу дoнeтих измeнa и дoпунa у прaвнoм рeжиму</w:t>
      </w:r>
      <w:r w:rsidR="004A2642">
        <w:rPr>
          <w:sz w:val="24"/>
          <w:szCs w:val="24"/>
          <w:lang w:val="sr-Cyrl-RS"/>
        </w:rPr>
        <w:t xml:space="preserve"> које су усвојене 2018, </w:t>
      </w:r>
      <w:r w:rsidRPr="00E26231">
        <w:rPr>
          <w:sz w:val="24"/>
          <w:szCs w:val="24"/>
          <w:lang w:val="sr-Cyrl-RS"/>
        </w:rPr>
        <w:t xml:space="preserve">у оквиру пројекта oргaнизoвaни су oкругли стoлoви, у сaрaдњи сa пeт oпштинa (Бoсилeгрaд, Буjaнoвaц, Врaњe, Meдвeђa и Сoмбoр), уз учешће прeдстaвника грaдских/oпштинских упрaва, сaвeтa зa мeђунaциoнaлнe oднoсe, нaциoнaлних сaвeтa нaциoнaлних мaњина и нeвлaдинoг сeктoрa. На округлим столовима представљена је заједничка публикација/приручник </w:t>
      </w:r>
      <w:r>
        <w:rPr>
          <w:sz w:val="24"/>
          <w:szCs w:val="24"/>
          <w:lang w:val="sr-Cyrl-RS"/>
        </w:rPr>
        <w:t>„</w:t>
      </w:r>
      <w:r w:rsidRPr="00E26231">
        <w:rPr>
          <w:sz w:val="24"/>
          <w:szCs w:val="24"/>
          <w:lang w:val="sr-Cyrl-RS"/>
        </w:rPr>
        <w:t xml:space="preserve">Увод у остваривање права на службену употребу језика и </w:t>
      </w:r>
      <w:r w:rsidRPr="00E26231">
        <w:rPr>
          <w:sz w:val="24"/>
          <w:szCs w:val="24"/>
          <w:lang w:val="sr-Cyrl-RS"/>
        </w:rPr>
        <w:lastRenderedPageBreak/>
        <w:t>писама националних мањина</w:t>
      </w:r>
      <w:r>
        <w:rPr>
          <w:sz w:val="24"/>
          <w:szCs w:val="24"/>
          <w:lang w:val="sr-Cyrl-RS"/>
        </w:rPr>
        <w:t>“</w:t>
      </w:r>
      <w:r w:rsidR="001F38D8">
        <w:rPr>
          <w:rStyle w:val="FootnoteReference"/>
          <w:sz w:val="24"/>
          <w:szCs w:val="24"/>
          <w:lang w:val="sr-Cyrl-RS"/>
        </w:rPr>
        <w:footnoteReference w:id="62"/>
      </w:r>
      <w:r w:rsidRPr="00E26231">
        <w:rPr>
          <w:sz w:val="24"/>
          <w:szCs w:val="24"/>
          <w:lang w:val="sr-Cyrl-RS"/>
        </w:rPr>
        <w:t xml:space="preserve"> који су припремили Министарство државне управе и локалне самоуправе, Републички секретаријат за законодавство, Заштитник грађана и Савет Европе. Публикација је намењена запосленима у локалним самоуправама и представља приказ законских новина у области службене употребе језика и писама националних мањина и има за циљ да помогне општинским/градским управама у побољшавању спровођења измењеног законског оквира којим се регулише положај националних савета националних мањина, заштита права и слобода националних мањина и службена употреба језика и писама, а у складу са одредбама и препорукама Оквирне конвенције за заштиту националних мањина и Европске повеље о регионалним или мањинским језицима, као и добром међународном праксом. Министарство државне управе и локалне самоуправе доставило је поменути приручник</w:t>
      </w:r>
      <w:r>
        <w:rPr>
          <w:sz w:val="24"/>
          <w:szCs w:val="24"/>
          <w:lang w:val="sr-Cyrl-RS"/>
        </w:rPr>
        <w:t xml:space="preserve"> </w:t>
      </w:r>
      <w:r w:rsidRPr="00E26231">
        <w:rPr>
          <w:sz w:val="24"/>
          <w:szCs w:val="24"/>
          <w:lang w:val="sr-Cyrl-RS"/>
        </w:rPr>
        <w:t>градским/општинским управама.</w:t>
      </w:r>
    </w:p>
    <w:p w:rsidR="00736E42" w:rsidRDefault="003B7207" w:rsidP="00B46F8C">
      <w:pPr>
        <w:spacing w:after="0"/>
        <w:ind w:firstLine="720"/>
        <w:jc w:val="both"/>
        <w:rPr>
          <w:sz w:val="24"/>
          <w:szCs w:val="24"/>
          <w:lang w:val="sr-Cyrl-RS"/>
        </w:rPr>
      </w:pPr>
      <w:r>
        <w:rPr>
          <w:sz w:val="24"/>
          <w:szCs w:val="24"/>
          <w:lang w:val="sr-Cyrl-RS"/>
        </w:rPr>
        <w:t>Такође, као што је наведено, у</w:t>
      </w:r>
      <w:r w:rsidR="00736E42">
        <w:rPr>
          <w:sz w:val="24"/>
          <w:szCs w:val="24"/>
          <w:lang w:val="sr-Cyrl-RS"/>
        </w:rPr>
        <w:t xml:space="preserve"> сарадњи са Мисијом ОЕБС-а у Републици Србији </w:t>
      </w:r>
      <w:r w:rsidR="00736E42" w:rsidRPr="00A25864">
        <w:rPr>
          <w:sz w:val="24"/>
          <w:szCs w:val="24"/>
          <w:lang w:val="sr-Cyrl-RS"/>
        </w:rPr>
        <w:t>припрем</w:t>
      </w:r>
      <w:r w:rsidR="00736E42">
        <w:rPr>
          <w:sz w:val="24"/>
          <w:szCs w:val="24"/>
          <w:lang w:val="sr-Cyrl-RS"/>
        </w:rPr>
        <w:t>љена</w:t>
      </w:r>
      <w:r w:rsidR="00736E42" w:rsidRPr="00A25864">
        <w:rPr>
          <w:sz w:val="24"/>
          <w:szCs w:val="24"/>
          <w:lang w:val="sr-Cyrl-RS"/>
        </w:rPr>
        <w:t xml:space="preserve"> је </w:t>
      </w:r>
      <w:r w:rsidR="00736E42">
        <w:rPr>
          <w:sz w:val="24"/>
          <w:szCs w:val="24"/>
          <w:lang w:val="sr-Cyrl-RS"/>
        </w:rPr>
        <w:t>а</w:t>
      </w:r>
      <w:r w:rsidR="00736E42" w:rsidRPr="00A25864">
        <w:rPr>
          <w:sz w:val="24"/>
          <w:szCs w:val="24"/>
          <w:lang w:val="sr-Cyrl-RS"/>
        </w:rPr>
        <w:t>нализ</w:t>
      </w:r>
      <w:r w:rsidR="00736E42">
        <w:rPr>
          <w:sz w:val="24"/>
          <w:szCs w:val="24"/>
          <w:lang w:val="sr-Cyrl-RS"/>
        </w:rPr>
        <w:t>а</w:t>
      </w:r>
      <w:r w:rsidR="00736E42" w:rsidRPr="00A25864">
        <w:rPr>
          <w:sz w:val="24"/>
          <w:szCs w:val="24"/>
          <w:lang w:val="sr-Cyrl-RS"/>
        </w:rPr>
        <w:t xml:space="preserve"> „Употреба језика и писама националних мањина у јединицама локалне самоуправе у Републици Србији“. Основна намена </w:t>
      </w:r>
      <w:r w:rsidR="00736E42">
        <w:rPr>
          <w:sz w:val="24"/>
          <w:szCs w:val="24"/>
          <w:lang w:val="sr-Cyrl-RS"/>
        </w:rPr>
        <w:t>ове анализе</w:t>
      </w:r>
      <w:r w:rsidR="00736E42" w:rsidRPr="00A25864">
        <w:rPr>
          <w:sz w:val="24"/>
          <w:szCs w:val="24"/>
          <w:lang w:val="sr-Cyrl-RS"/>
        </w:rPr>
        <w:t xml:space="preserve"> је да послужи као водич за примену прописа којима се у Републици Србији уређује материја употребе језика и писама националних мањина у јединицама локалне самоуправе, тачније да, полазећи од у пракси уочених проблема и евентуалног недовољног разумевања одговарајућих решења, унапреди употребу језика и писама националних мањина од стране органа јединица локалне самоуправе. </w:t>
      </w:r>
    </w:p>
    <w:p w:rsidR="00736E42" w:rsidRDefault="00736E42" w:rsidP="00B46F8C">
      <w:pPr>
        <w:spacing w:after="0"/>
        <w:ind w:firstLine="720"/>
        <w:jc w:val="both"/>
        <w:rPr>
          <w:sz w:val="24"/>
          <w:szCs w:val="24"/>
          <w:lang w:val="sr-Cyrl-RS"/>
        </w:rPr>
      </w:pPr>
      <w:r>
        <w:rPr>
          <w:sz w:val="24"/>
          <w:szCs w:val="24"/>
          <w:lang w:val="sr-Cyrl-RS"/>
        </w:rPr>
        <w:t xml:space="preserve">Осим тога, </w:t>
      </w:r>
      <w:r w:rsidRPr="00A25864">
        <w:rPr>
          <w:sz w:val="24"/>
          <w:szCs w:val="24"/>
          <w:lang w:val="sr-Cyrl-RS"/>
        </w:rPr>
        <w:t xml:space="preserve">Заштитник грађана </w:t>
      </w:r>
      <w:r>
        <w:rPr>
          <w:sz w:val="24"/>
          <w:szCs w:val="24"/>
          <w:lang w:val="sr-Cyrl-RS"/>
        </w:rPr>
        <w:t xml:space="preserve">је припремио </w:t>
      </w:r>
      <w:r w:rsidRPr="00A25864">
        <w:rPr>
          <w:sz w:val="24"/>
          <w:szCs w:val="24"/>
          <w:lang w:val="sr-Cyrl-RS"/>
        </w:rPr>
        <w:t>Посебан извештај о службеној употреби албанског језика и писма</w:t>
      </w:r>
      <w:r>
        <w:rPr>
          <w:sz w:val="24"/>
          <w:szCs w:val="24"/>
          <w:lang w:val="sr-Cyrl-RS"/>
        </w:rPr>
        <w:t xml:space="preserve">, </w:t>
      </w:r>
      <w:r w:rsidRPr="00A25864">
        <w:rPr>
          <w:sz w:val="24"/>
          <w:szCs w:val="24"/>
          <w:lang w:val="sr-Cyrl-RS"/>
        </w:rPr>
        <w:t xml:space="preserve">Посебан извештај о службеној употреби </w:t>
      </w:r>
      <w:r>
        <w:rPr>
          <w:sz w:val="24"/>
          <w:szCs w:val="24"/>
          <w:lang w:val="sr-Cyrl-RS"/>
        </w:rPr>
        <w:t>мађар</w:t>
      </w:r>
      <w:r w:rsidRPr="00A25864">
        <w:rPr>
          <w:sz w:val="24"/>
          <w:szCs w:val="24"/>
          <w:lang w:val="sr-Cyrl-RS"/>
        </w:rPr>
        <w:t>ског језика и писма</w:t>
      </w:r>
      <w:r>
        <w:rPr>
          <w:sz w:val="24"/>
          <w:szCs w:val="24"/>
          <w:lang w:val="sr-Cyrl-RS"/>
        </w:rPr>
        <w:t xml:space="preserve"> и </w:t>
      </w:r>
      <w:r w:rsidRPr="00A25864">
        <w:rPr>
          <w:sz w:val="24"/>
          <w:szCs w:val="24"/>
          <w:lang w:val="sr-Cyrl-RS"/>
        </w:rPr>
        <w:t xml:space="preserve">Посебан извештај о службеној употреби </w:t>
      </w:r>
      <w:r>
        <w:rPr>
          <w:sz w:val="24"/>
          <w:szCs w:val="24"/>
          <w:lang w:val="sr-Cyrl-RS"/>
        </w:rPr>
        <w:t>бугарског</w:t>
      </w:r>
      <w:r w:rsidRPr="00A25864">
        <w:rPr>
          <w:sz w:val="24"/>
          <w:szCs w:val="24"/>
          <w:lang w:val="sr-Cyrl-RS"/>
        </w:rPr>
        <w:t xml:space="preserve"> језика и писма</w:t>
      </w:r>
      <w:r w:rsidR="00D57FCF">
        <w:rPr>
          <w:sz w:val="24"/>
          <w:szCs w:val="24"/>
          <w:lang w:val="sr-Cyrl-RS"/>
        </w:rPr>
        <w:t xml:space="preserve">, </w:t>
      </w:r>
      <w:r w:rsidR="00D57FCF" w:rsidRPr="001F38D8">
        <w:rPr>
          <w:sz w:val="24"/>
          <w:szCs w:val="24"/>
          <w:lang w:val="sr-Cyrl-RS"/>
        </w:rPr>
        <w:t>а сваки од извештаја преведен је на језик националне мањине на који се односи</w:t>
      </w:r>
      <w:r w:rsidRPr="001F38D8">
        <w:rPr>
          <w:sz w:val="24"/>
          <w:szCs w:val="24"/>
          <w:lang w:val="sr-Cyrl-RS"/>
        </w:rPr>
        <w:t>.</w:t>
      </w:r>
      <w:r w:rsidR="00D836DD">
        <w:rPr>
          <w:rStyle w:val="FootnoteReference"/>
          <w:sz w:val="24"/>
          <w:szCs w:val="24"/>
          <w:lang w:val="sr-Cyrl-RS"/>
        </w:rPr>
        <w:footnoteReference w:id="63"/>
      </w:r>
    </w:p>
    <w:p w:rsidR="004A2642" w:rsidRDefault="004A2642" w:rsidP="004A2642">
      <w:pPr>
        <w:spacing w:after="0"/>
        <w:ind w:firstLine="720"/>
        <w:jc w:val="both"/>
        <w:rPr>
          <w:sz w:val="24"/>
          <w:szCs w:val="24"/>
          <w:lang w:val="sr-Cyrl-RS"/>
        </w:rPr>
      </w:pPr>
      <w:r w:rsidRPr="001F38D8">
        <w:rPr>
          <w:sz w:val="24"/>
          <w:szCs w:val="24"/>
          <w:lang w:val="sr-Cyrl-RS"/>
        </w:rPr>
        <w:t>Покрајински омбудсман спровео је 2018. године истраживање „Познавање језика и писама националних мањина који су у службеној употребви у органима покрајинске управе“,</w:t>
      </w:r>
      <w:r w:rsidRPr="001F38D8">
        <w:rPr>
          <w:rStyle w:val="FootnoteReference"/>
          <w:sz w:val="24"/>
          <w:szCs w:val="24"/>
          <w:lang w:val="sr-Cyrl-RS"/>
        </w:rPr>
        <w:footnoteReference w:id="64"/>
      </w:r>
      <w:r w:rsidRPr="001F38D8">
        <w:rPr>
          <w:sz w:val="24"/>
          <w:szCs w:val="24"/>
          <w:lang w:val="sr-Cyrl-RS"/>
        </w:rPr>
        <w:t xml:space="preserve"> док је током 2019. године израђена студија „Употреба језика и писама националних мањина у судовима и тужилаштвима у Републици Србији“.</w:t>
      </w:r>
      <w:r w:rsidRPr="001F38D8">
        <w:rPr>
          <w:rStyle w:val="FootnoteReference"/>
          <w:sz w:val="24"/>
          <w:szCs w:val="24"/>
          <w:lang w:val="sr-Cyrl-RS"/>
        </w:rPr>
        <w:footnoteReference w:id="65"/>
      </w:r>
    </w:p>
    <w:p w:rsidR="00E9510C" w:rsidRPr="00E9510C" w:rsidRDefault="004B3A1C" w:rsidP="00E9510C">
      <w:pPr>
        <w:spacing w:after="0"/>
        <w:ind w:firstLine="720"/>
        <w:jc w:val="both"/>
        <w:rPr>
          <w:sz w:val="24"/>
          <w:szCs w:val="24"/>
          <w:lang w:val="sr-Cyrl-RS"/>
        </w:rPr>
      </w:pPr>
      <w:r>
        <w:rPr>
          <w:sz w:val="24"/>
          <w:szCs w:val="24"/>
          <w:lang w:val="sr-Cyrl-RS"/>
        </w:rPr>
        <w:t>Е</w:t>
      </w:r>
      <w:r w:rsidRPr="004B3A1C">
        <w:rPr>
          <w:sz w:val="24"/>
          <w:szCs w:val="24"/>
          <w:lang w:val="sr-Cyrl-RS"/>
        </w:rPr>
        <w:t xml:space="preserve">фективно коришћење </w:t>
      </w:r>
      <w:r>
        <w:rPr>
          <w:sz w:val="24"/>
          <w:szCs w:val="24"/>
          <w:lang w:val="sr-Cyrl-RS"/>
        </w:rPr>
        <w:t>мањинских</w:t>
      </w:r>
      <w:r w:rsidRPr="004B3A1C">
        <w:rPr>
          <w:sz w:val="24"/>
          <w:szCs w:val="24"/>
          <w:lang w:val="sr-Cyrl-RS"/>
        </w:rPr>
        <w:t xml:space="preserve"> језика у свим општинама, у којима су испуњени законски услови</w:t>
      </w:r>
      <w:r>
        <w:rPr>
          <w:sz w:val="24"/>
          <w:szCs w:val="24"/>
          <w:lang w:val="sr-Cyrl-RS"/>
        </w:rPr>
        <w:t xml:space="preserve">, остварује се у свим видовима службене употребе о чему ће више речи бити у одговарајућим деловима Извештаја. </w:t>
      </w:r>
      <w:r w:rsidR="00E9510C">
        <w:rPr>
          <w:sz w:val="24"/>
          <w:szCs w:val="24"/>
          <w:lang w:val="sr-Cyrl-RS"/>
        </w:rPr>
        <w:t xml:space="preserve">Ипак, у пракси су уочени извесни проблеми. </w:t>
      </w:r>
      <w:r w:rsidR="00E9510C" w:rsidRPr="00E9510C">
        <w:rPr>
          <w:sz w:val="24"/>
          <w:szCs w:val="24"/>
          <w:lang w:val="sr-Cyrl-RS"/>
        </w:rPr>
        <w:t xml:space="preserve">Постојећи проблеми углавном се односе на недовољна финансијска средства и недовољне капацитете у смислу познавања мањинских језика службеника у органима јавне власти, у недовољном познавању и коришћењу својих права када су у питању припадници националних мањина, као и на распрострањени став да коришћење мањинских језика заправо успорава, односно онемогућава ефикасно вођење поступка. </w:t>
      </w:r>
    </w:p>
    <w:p w:rsidR="00E9510C" w:rsidRPr="00E9510C" w:rsidRDefault="00E9510C" w:rsidP="00E9510C">
      <w:pPr>
        <w:spacing w:after="0"/>
        <w:ind w:firstLine="720"/>
        <w:jc w:val="both"/>
        <w:rPr>
          <w:sz w:val="24"/>
          <w:szCs w:val="24"/>
          <w:lang w:val="sr-Cyrl-RS"/>
        </w:rPr>
      </w:pPr>
      <w:r>
        <w:rPr>
          <w:sz w:val="24"/>
          <w:szCs w:val="24"/>
          <w:lang w:val="sr-Cyrl-RS"/>
        </w:rPr>
        <w:t>С друге стране, м</w:t>
      </w:r>
      <w:r w:rsidRPr="00E9510C">
        <w:rPr>
          <w:sz w:val="24"/>
          <w:szCs w:val="24"/>
          <w:lang w:val="sr-Cyrl-RS"/>
        </w:rPr>
        <w:t xml:space="preserve">ора се приметити да </w:t>
      </w:r>
      <w:r w:rsidR="00D970D7">
        <w:rPr>
          <w:sz w:val="24"/>
          <w:szCs w:val="24"/>
          <w:lang w:val="sr-Cyrl-RS"/>
        </w:rPr>
        <w:t>су</w:t>
      </w:r>
      <w:r w:rsidRPr="00E9510C">
        <w:rPr>
          <w:sz w:val="24"/>
          <w:szCs w:val="24"/>
          <w:lang w:val="sr-Cyrl-RS"/>
        </w:rPr>
        <w:t xml:space="preserve"> повећање стручних капацитета и улога националних савета у овим процесима додатно охрабрил</w:t>
      </w:r>
      <w:r w:rsidR="00D970D7">
        <w:rPr>
          <w:sz w:val="24"/>
          <w:szCs w:val="24"/>
          <w:lang w:val="sr-Cyrl-RS"/>
        </w:rPr>
        <w:t>и</w:t>
      </w:r>
      <w:r w:rsidRPr="00E9510C">
        <w:rPr>
          <w:sz w:val="24"/>
          <w:szCs w:val="24"/>
          <w:lang w:val="sr-Cyrl-RS"/>
        </w:rPr>
        <w:t xml:space="preserve"> припаднике националних мањина да користе своја права која се односе на употребу њиховог језика и писма, чак </w:t>
      </w:r>
      <w:r w:rsidRPr="00E9510C">
        <w:rPr>
          <w:sz w:val="24"/>
          <w:szCs w:val="24"/>
          <w:lang w:val="sr-Cyrl-RS"/>
        </w:rPr>
        <w:lastRenderedPageBreak/>
        <w:t>и у неким поступцима пред државним органима у којима су такви захтеви били врло ретки. Такође, и држава је у више наврата предузимала активности усмерене пре свега према општинским управама у смислу презентације и афирмације горепоменутих права. Поред тога, држава је и доношењем више прописа – а пре свега Закона о запосленима у аутономним покрајинама и јединицама локалне самоуправе – омогућила запошљавање кадрова који познају мањинске језике, што је неопходан предуслов за унапређивање односа органа, пре свега, локалне власти према странкама припадницима националних мањина.</w:t>
      </w:r>
    </w:p>
    <w:p w:rsidR="00E9510C" w:rsidRPr="00E9510C" w:rsidRDefault="00E9510C" w:rsidP="00E9510C">
      <w:pPr>
        <w:spacing w:after="0"/>
        <w:ind w:firstLine="720"/>
        <w:jc w:val="both"/>
        <w:rPr>
          <w:sz w:val="24"/>
          <w:szCs w:val="24"/>
          <w:lang w:val="sr-Cyrl-RS"/>
        </w:rPr>
      </w:pPr>
      <w:r>
        <w:rPr>
          <w:sz w:val="24"/>
          <w:szCs w:val="24"/>
          <w:lang w:val="sr-Cyrl-RS"/>
        </w:rPr>
        <w:t>П</w:t>
      </w:r>
      <w:r w:rsidRPr="00E9510C">
        <w:rPr>
          <w:sz w:val="24"/>
          <w:szCs w:val="24"/>
          <w:lang w:val="sr-Cyrl-RS"/>
        </w:rPr>
        <w:t xml:space="preserve">роблеми </w:t>
      </w:r>
      <w:r>
        <w:rPr>
          <w:sz w:val="24"/>
          <w:szCs w:val="24"/>
          <w:lang w:val="sr-Cyrl-RS"/>
        </w:rPr>
        <w:t xml:space="preserve">у пракси </w:t>
      </w:r>
      <w:r w:rsidRPr="00E9510C">
        <w:rPr>
          <w:sz w:val="24"/>
          <w:szCs w:val="24"/>
          <w:lang w:val="sr-Cyrl-RS"/>
        </w:rPr>
        <w:t xml:space="preserve">се јављају и услед чињенице да закони који уређују процедуре (управни, кривични, парнични и ванпарнични поступак) нису преведени на све језике националних мањина у службеној употреби, те је тешко спроводити такве поступке од стране запослених лица у управи и правосуђу. Такође, и </w:t>
      </w:r>
      <w:r w:rsidR="00DE16BA">
        <w:rPr>
          <w:sz w:val="24"/>
          <w:szCs w:val="24"/>
          <w:lang w:val="sr-Cyrl-RS"/>
        </w:rPr>
        <w:t xml:space="preserve">важни </w:t>
      </w:r>
      <w:r w:rsidRPr="00E9510C">
        <w:rPr>
          <w:sz w:val="24"/>
          <w:szCs w:val="24"/>
          <w:lang w:val="sr-Cyrl-RS"/>
        </w:rPr>
        <w:t xml:space="preserve">материјални закони </w:t>
      </w:r>
      <w:r w:rsidR="00DE16BA">
        <w:rPr>
          <w:sz w:val="24"/>
          <w:szCs w:val="24"/>
          <w:lang w:val="sr-Cyrl-RS"/>
        </w:rPr>
        <w:t xml:space="preserve">из области кривичног и грађанског права </w:t>
      </w:r>
      <w:r w:rsidRPr="00E9510C">
        <w:rPr>
          <w:sz w:val="24"/>
          <w:szCs w:val="24"/>
          <w:lang w:val="sr-Cyrl-RS"/>
        </w:rPr>
        <w:t xml:space="preserve">нису доступни на свим језицима националних мањина у службеној употреби. </w:t>
      </w:r>
      <w:r w:rsidR="006814E1">
        <w:rPr>
          <w:sz w:val="24"/>
          <w:szCs w:val="24"/>
          <w:lang w:val="sr-Cyrl-RS"/>
        </w:rPr>
        <w:t>С тим у вези</w:t>
      </w:r>
      <w:r w:rsidRPr="00E9510C">
        <w:rPr>
          <w:sz w:val="24"/>
          <w:szCs w:val="24"/>
          <w:lang w:val="sr-Cyrl-RS"/>
        </w:rPr>
        <w:t>,</w:t>
      </w:r>
      <w:r w:rsidR="006814E1">
        <w:rPr>
          <w:sz w:val="24"/>
          <w:szCs w:val="24"/>
          <w:lang w:val="sr-Cyrl-RS"/>
        </w:rPr>
        <w:t xml:space="preserve"> важно је истаћи да је</w:t>
      </w:r>
      <w:r w:rsidRPr="00E9510C">
        <w:rPr>
          <w:sz w:val="24"/>
          <w:szCs w:val="24"/>
          <w:lang w:val="sr-Cyrl-RS"/>
        </w:rPr>
        <w:t xml:space="preserve"> изменама Закона о националним саветима националних мањина</w:t>
      </w:r>
      <w:r w:rsidR="006814E1">
        <w:rPr>
          <w:rStyle w:val="FootnoteReference"/>
          <w:sz w:val="24"/>
          <w:szCs w:val="24"/>
          <w:lang w:val="sr-Cyrl-RS"/>
        </w:rPr>
        <w:footnoteReference w:id="66"/>
      </w:r>
      <w:r w:rsidRPr="00E9510C">
        <w:rPr>
          <w:sz w:val="24"/>
          <w:szCs w:val="24"/>
          <w:lang w:val="sr-Cyrl-RS"/>
        </w:rPr>
        <w:t xml:space="preserve"> предвиђено ново овлашћење националних савета – да иницирају објављивање најважнијих закона Републике Србије на језику националне мањине који је у службеној употреби и пружају стручну и другу помоћ, у складу са својим могућностима, у поступку превођења. </w:t>
      </w:r>
      <w:r>
        <w:rPr>
          <w:sz w:val="24"/>
          <w:szCs w:val="24"/>
          <w:lang w:val="sr-Cyrl-RS"/>
        </w:rPr>
        <w:t xml:space="preserve">Од увођења таквог овлашћења националних савета у правни поредак Републике Србије, није било иницијатива које су потекле од националних савета за превођење било ког закона. </w:t>
      </w:r>
      <w:r w:rsidRPr="00E9510C">
        <w:rPr>
          <w:sz w:val="24"/>
          <w:szCs w:val="24"/>
          <w:lang w:val="sr-Cyrl-RS"/>
        </w:rPr>
        <w:t>Недостатак правних текстова на мањинским језицима знатно утиче на практично остваривање језичких права припадника националних мањина, поготову у управним поступцима и осталим поступањима са администрацијом.</w:t>
      </w:r>
    </w:p>
    <w:p w:rsidR="00E72ED5" w:rsidRPr="00AC7940" w:rsidRDefault="00E72ED5" w:rsidP="00E72ED5">
      <w:pPr>
        <w:spacing w:after="0"/>
        <w:jc w:val="both"/>
        <w:rPr>
          <w:i/>
          <w:sz w:val="24"/>
          <w:szCs w:val="24"/>
          <w:lang w:val="sr-Cyrl-RS"/>
        </w:rPr>
      </w:pPr>
    </w:p>
    <w:p w:rsidR="00E72ED5" w:rsidRDefault="00E72ED5" w:rsidP="00E72ED5">
      <w:pPr>
        <w:spacing w:after="0"/>
        <w:jc w:val="both"/>
        <w:rPr>
          <w:i/>
          <w:sz w:val="24"/>
          <w:szCs w:val="24"/>
          <w:lang w:val="sr-Cyrl-RS"/>
        </w:rPr>
      </w:pPr>
      <w:r w:rsidRPr="00AC7940">
        <w:rPr>
          <w:i/>
          <w:sz w:val="24"/>
          <w:szCs w:val="24"/>
          <w:lang w:val="sr-Cyrl-RS"/>
        </w:rPr>
        <w:t>11. Повећати доступност и квалитет наставе на државном језику, укључујући и када се он подучава као други језик, кроз уравнотежен приступ који садржи паралелне мере за заштиту и промоцију језика мањина, и наставити са даљим развојем наставних материјала на језицима мањина.</w:t>
      </w:r>
    </w:p>
    <w:p w:rsidR="00E72ED5" w:rsidRDefault="00E72ED5" w:rsidP="00E72ED5">
      <w:pPr>
        <w:spacing w:after="0"/>
        <w:jc w:val="both"/>
        <w:rPr>
          <w:i/>
          <w:sz w:val="24"/>
          <w:szCs w:val="24"/>
          <w:lang w:val="sr-Cyrl-RS"/>
        </w:rPr>
      </w:pPr>
    </w:p>
    <w:p w:rsidR="00E72ED5" w:rsidRPr="00AC7940" w:rsidRDefault="00E72ED5" w:rsidP="00E72ED5">
      <w:pPr>
        <w:spacing w:after="0"/>
        <w:ind w:firstLine="720"/>
        <w:jc w:val="both"/>
        <w:rPr>
          <w:sz w:val="24"/>
          <w:szCs w:val="24"/>
          <w:lang w:val="sr-Cyrl-RS"/>
        </w:rPr>
      </w:pPr>
      <w:r>
        <w:rPr>
          <w:sz w:val="24"/>
          <w:szCs w:val="24"/>
          <w:lang w:val="sr-Cyrl-RS"/>
        </w:rPr>
        <w:t xml:space="preserve">Министарство просвете, науке и технолошког развоја </w:t>
      </w:r>
      <w:r w:rsidRPr="00AC7940">
        <w:rPr>
          <w:sz w:val="24"/>
          <w:szCs w:val="24"/>
          <w:lang w:val="sr-Cyrl-RS"/>
        </w:rPr>
        <w:t xml:space="preserve">активно ради на унапређивању доступности и квалитета образовања за припаднике националних мањина у Републици Србији, у потпуности поштујући међународне стандарде у овој области. Са циљем унапређивања квалитета образовања за ученике који остварују целокупну наставу на свом матерњем језику који је језик националне мањине, а похађају обавезни наставни предмет Српски као нематерњи језик, </w:t>
      </w:r>
      <w:r>
        <w:rPr>
          <w:sz w:val="24"/>
          <w:szCs w:val="24"/>
          <w:lang w:val="sr-Cyrl-RS"/>
        </w:rPr>
        <w:t>Министарство је</w:t>
      </w:r>
      <w:r w:rsidRPr="00AC7940">
        <w:rPr>
          <w:sz w:val="24"/>
          <w:szCs w:val="24"/>
          <w:lang w:val="sr-Cyrl-RS"/>
        </w:rPr>
        <w:t xml:space="preserve"> усвојило нови курикулум за наставни предмет Српски као нематерњи језик</w:t>
      </w:r>
      <w:r>
        <w:rPr>
          <w:sz w:val="24"/>
          <w:szCs w:val="24"/>
          <w:lang w:val="sr-Cyrl-RS"/>
        </w:rPr>
        <w:t>,</w:t>
      </w:r>
      <w:r w:rsidRPr="00AC7940">
        <w:rPr>
          <w:sz w:val="24"/>
          <w:szCs w:val="24"/>
          <w:lang w:val="sr-Cyrl-RS"/>
        </w:rPr>
        <w:t xml:space="preserve"> који се састоји из два програма: Програм A - за ученике чији матерњи језик припада несловенским језицима и који живе у хомогеним срединама (основни ниво стандарда);  Програм Б - за ученике чији матерњи језик припада словенским језицима и који живе у вишенационалним срединама (средњи–напредни ниво стандарда). Реализован је низ обука за примену новог курикулума које су обухватиле све наставнике који предају овај предмет. Усвојен је и документ Општи стандарди постигнућа за предмет Српски као нематерњи језик за </w:t>
      </w:r>
      <w:r w:rsidRPr="00AC7940">
        <w:rPr>
          <w:sz w:val="24"/>
          <w:szCs w:val="24"/>
          <w:lang w:val="sr-Cyrl-RS"/>
        </w:rPr>
        <w:lastRenderedPageBreak/>
        <w:t>крај првог и другог циклуса обавезног образовања, општег средњег образовања и основног образовања одраслих. Предмет је заступљен са по три часа недељно.</w:t>
      </w:r>
    </w:p>
    <w:p w:rsidR="00E72ED5" w:rsidRDefault="00E72ED5" w:rsidP="00E72ED5">
      <w:pPr>
        <w:spacing w:after="0"/>
        <w:ind w:firstLine="720"/>
        <w:jc w:val="both"/>
        <w:rPr>
          <w:sz w:val="24"/>
          <w:szCs w:val="24"/>
          <w:lang w:val="sr-Cyrl-RS"/>
        </w:rPr>
      </w:pPr>
      <w:r w:rsidRPr="00AC7940">
        <w:rPr>
          <w:sz w:val="24"/>
          <w:szCs w:val="24"/>
          <w:lang w:val="sr-Cyrl-RS"/>
        </w:rPr>
        <w:t>Пример добре праксе уве</w:t>
      </w:r>
      <w:r>
        <w:rPr>
          <w:sz w:val="24"/>
          <w:szCs w:val="24"/>
          <w:lang w:val="sr-Cyrl-RS"/>
        </w:rPr>
        <w:t>ден</w:t>
      </w:r>
      <w:r w:rsidRPr="00AC7940">
        <w:rPr>
          <w:sz w:val="24"/>
          <w:szCs w:val="24"/>
          <w:lang w:val="sr-Cyrl-RS"/>
        </w:rPr>
        <w:t xml:space="preserve"> </w:t>
      </w:r>
      <w:r>
        <w:rPr>
          <w:sz w:val="24"/>
          <w:szCs w:val="24"/>
          <w:lang w:val="sr-Cyrl-RS"/>
        </w:rPr>
        <w:t>је</w:t>
      </w:r>
      <w:r w:rsidRPr="00AC7940">
        <w:rPr>
          <w:sz w:val="24"/>
          <w:szCs w:val="24"/>
          <w:lang w:val="sr-Cyrl-RS"/>
        </w:rPr>
        <w:t xml:space="preserve"> кроз пројекат „Примена препорука за унапређење наставе српског као нематерњег језика у основним школама у Прешеву, Бујановцу и Медвеђи“ ангажовањем асистената за српски језик у школама у којима се настава остварује албанском језику. </w:t>
      </w:r>
      <w:r w:rsidRPr="00FF1969">
        <w:rPr>
          <w:sz w:val="24"/>
          <w:szCs w:val="24"/>
          <w:lang w:val="sr-Cyrl-RS"/>
        </w:rPr>
        <w:t xml:space="preserve">Уз подршку пројекта „Промоција различитости и равноправности у Србији“, који се спроводи из подршку Савета Европе, ове школске године је, као и претходних година ангажовано шест асистената у настави. У школама које су део дугогодишњег пројекта примећена </w:t>
      </w:r>
      <w:r w:rsidR="00F764D7">
        <w:rPr>
          <w:sz w:val="24"/>
          <w:szCs w:val="24"/>
          <w:lang w:val="sr-Cyrl-RS"/>
        </w:rPr>
        <w:t xml:space="preserve">је </w:t>
      </w:r>
      <w:r w:rsidRPr="00FF1969">
        <w:rPr>
          <w:sz w:val="24"/>
          <w:szCs w:val="24"/>
          <w:lang w:val="sr-Cyrl-RS"/>
        </w:rPr>
        <w:t>већа заинтересованост ђака да уче српски, њихов напредак у знању језика, мотивација да учествују на часу и у ваннаставним активностима. Тестирања знања ученика основних школа у Прешеву и Бујановцу</w:t>
      </w:r>
      <w:r w:rsidR="00F764D7">
        <w:rPr>
          <w:sz w:val="24"/>
          <w:szCs w:val="24"/>
          <w:lang w:val="sr-Cyrl-RS"/>
        </w:rPr>
        <w:t>,</w:t>
      </w:r>
      <w:r w:rsidRPr="00FF1969">
        <w:rPr>
          <w:sz w:val="24"/>
          <w:szCs w:val="24"/>
          <w:lang w:val="sr-Cyrl-RS"/>
        </w:rPr>
        <w:t xml:space="preserve"> као праћење постигнућа наставника и асистената у предмету Српски као нематерњи језик</w:t>
      </w:r>
      <w:r w:rsidR="00F764D7">
        <w:rPr>
          <w:sz w:val="24"/>
          <w:szCs w:val="24"/>
          <w:lang w:val="sr-Cyrl-RS"/>
        </w:rPr>
        <w:t>,</w:t>
      </w:r>
      <w:r w:rsidRPr="00FF1969">
        <w:rPr>
          <w:sz w:val="24"/>
          <w:szCs w:val="24"/>
          <w:lang w:val="sr-Cyrl-RS"/>
        </w:rPr>
        <w:t xml:space="preserve"> показала су да су ученици који су имали подршку асистента за српски језик, поред наставника, постигли значајно бољи просечни резултат. </w:t>
      </w:r>
    </w:p>
    <w:p w:rsidR="00E72ED5" w:rsidRPr="00AC7940" w:rsidRDefault="00EC3AE2" w:rsidP="00E72ED5">
      <w:pPr>
        <w:spacing w:after="0"/>
        <w:ind w:firstLine="720"/>
        <w:jc w:val="both"/>
        <w:rPr>
          <w:sz w:val="24"/>
          <w:szCs w:val="24"/>
          <w:lang w:val="sr-Cyrl-RS"/>
        </w:rPr>
      </w:pPr>
      <w:r>
        <w:rPr>
          <w:sz w:val="24"/>
          <w:szCs w:val="24"/>
          <w:lang w:val="sr-Cyrl-RS"/>
        </w:rPr>
        <w:t>Добар</w:t>
      </w:r>
      <w:r w:rsidR="00E72ED5" w:rsidRPr="00AC7940">
        <w:rPr>
          <w:sz w:val="24"/>
          <w:szCs w:val="24"/>
          <w:lang w:val="sr-Cyrl-RS"/>
        </w:rPr>
        <w:t xml:space="preserve"> пример је и организовање јавног представљања изабраних радова са Конкурса „Примери успешних ваннаставних активности“, међу којима су биле и оне које подстичу учење српског као нематерњег језика. Завод за унапређивање образовања и васпитања спроводи праћење овог програма и врши анализу прегледаних тестова ученика, у циљу унапређивања процеса наставе и учења и подизања нивоа квалитета наставе српског као нематерњег језика. За наставнике који предају тај предмет обезбеђена је Обука наставника за примену програма наставе и учења за предмет Српски као нематерњи језик за први и други циклус обавезног образовања и општег средњег образовања, а у плану је и наредни круг усавршавања. </w:t>
      </w:r>
      <w:r w:rsidR="00E72ED5">
        <w:rPr>
          <w:sz w:val="24"/>
          <w:szCs w:val="24"/>
          <w:lang w:val="sr-Cyrl-RS"/>
        </w:rPr>
        <w:t>Припремљени су и</w:t>
      </w:r>
      <w:r w:rsidR="00E72ED5" w:rsidRPr="00AC7940">
        <w:rPr>
          <w:sz w:val="24"/>
          <w:szCs w:val="24"/>
          <w:lang w:val="sr-Cyrl-RS"/>
        </w:rPr>
        <w:t xml:space="preserve"> приручници</w:t>
      </w:r>
      <w:r w:rsidR="00E72ED5">
        <w:rPr>
          <w:rStyle w:val="FootnoteReference"/>
          <w:sz w:val="24"/>
          <w:szCs w:val="24"/>
          <w:lang w:val="sr-Cyrl-RS"/>
        </w:rPr>
        <w:footnoteReference w:id="67"/>
      </w:r>
      <w:r w:rsidR="00E72ED5" w:rsidRPr="00AC7940">
        <w:rPr>
          <w:sz w:val="24"/>
          <w:szCs w:val="24"/>
          <w:lang w:val="sr-Cyrl-RS"/>
        </w:rPr>
        <w:t xml:space="preserve"> који садрже препоручену лексику за предмет Српски као нематерњи језик. За ученике припаднике националних мањина, повратнике по реадмисији, који не говоре српски језик, припремљен је посебан програм предмета Српски као страни језик. За овај предмет су развијени и стандарди образовних постигнућа за све нивое учења,  а креиран је и приручник намењен наставницима који се у свом раду се сусрећу са ученицима којима српски није матерњи језик. Као посебан вид подршке обезбеђена је обука под називом Програм обуке наставника за примену Стандарда и Програма наставе и учења за Српски као страни језик, која ће се наставити и током текуће школске године. На </w:t>
      </w:r>
      <w:r w:rsidR="00E72ED5">
        <w:rPr>
          <w:sz w:val="24"/>
          <w:szCs w:val="24"/>
          <w:lang w:val="sr-Cyrl-RS"/>
        </w:rPr>
        <w:t xml:space="preserve">сајту </w:t>
      </w:r>
      <w:r w:rsidR="00E72ED5" w:rsidRPr="00AC7940">
        <w:rPr>
          <w:sz w:val="24"/>
          <w:szCs w:val="24"/>
          <w:lang w:val="sr-Cyrl-RS"/>
        </w:rPr>
        <w:t xml:space="preserve"> Завода за унапређивање образовања и васпитања налазе се сва релевантна документа, информације, алати и ресурси који пружају подршку у унапређивању наставничке праксе наставницима који реализују наставу на језицима националних мањина, наставницима који предају српски као нематерњи и српски као страни језик.</w:t>
      </w:r>
    </w:p>
    <w:p w:rsidR="00E72ED5" w:rsidRDefault="00E72ED5" w:rsidP="00E72ED5">
      <w:pPr>
        <w:spacing w:after="0"/>
        <w:ind w:firstLine="720"/>
        <w:jc w:val="both"/>
        <w:rPr>
          <w:sz w:val="24"/>
          <w:szCs w:val="24"/>
          <w:lang w:val="sr-Cyrl-RS"/>
        </w:rPr>
      </w:pPr>
      <w:r w:rsidRPr="00AC7940">
        <w:rPr>
          <w:sz w:val="24"/>
          <w:szCs w:val="24"/>
          <w:lang w:val="sr-Cyrl-RS"/>
        </w:rPr>
        <w:t xml:space="preserve">Имајући у виду организацију наставе по хибридном моделу, а у одређеним периодима и наставу на даљину, Министарство </w:t>
      </w:r>
      <w:r>
        <w:rPr>
          <w:sz w:val="24"/>
          <w:szCs w:val="24"/>
          <w:lang w:val="sr-Cyrl-RS"/>
        </w:rPr>
        <w:t>је са Мисијом ОЕБС-</w:t>
      </w:r>
      <w:r w:rsidRPr="00AC7940">
        <w:rPr>
          <w:sz w:val="24"/>
          <w:szCs w:val="24"/>
          <w:lang w:val="sr-Cyrl-RS"/>
        </w:rPr>
        <w:t>а</w:t>
      </w:r>
      <w:r>
        <w:rPr>
          <w:sz w:val="24"/>
          <w:szCs w:val="24"/>
          <w:lang w:val="sr-Cyrl-RS"/>
        </w:rPr>
        <w:t xml:space="preserve"> и</w:t>
      </w:r>
      <w:r w:rsidRPr="00AC7940">
        <w:rPr>
          <w:sz w:val="24"/>
          <w:szCs w:val="24"/>
          <w:lang w:val="sr-Cyrl-RS"/>
        </w:rPr>
        <w:t xml:space="preserve"> уз значајну подршку просветних саветника који су прегледали продуковани образовни материјал, снимило 300 онлајн часова за обавезни наставни предмет Српски као нематерњи језик, по моделу А и Б, за ученике који наставу похађају на једном од 8 језика националн</w:t>
      </w:r>
      <w:r w:rsidR="00EA41F1">
        <w:rPr>
          <w:sz w:val="24"/>
          <w:szCs w:val="24"/>
          <w:lang w:val="sr-Cyrl-RS"/>
        </w:rPr>
        <w:t>их</w:t>
      </w:r>
      <w:r w:rsidRPr="00AC7940">
        <w:rPr>
          <w:sz w:val="24"/>
          <w:szCs w:val="24"/>
          <w:lang w:val="sr-Cyrl-RS"/>
        </w:rPr>
        <w:t xml:space="preserve"> мањин</w:t>
      </w:r>
      <w:r w:rsidR="00EA41F1">
        <w:rPr>
          <w:sz w:val="24"/>
          <w:szCs w:val="24"/>
          <w:lang w:val="sr-Cyrl-RS"/>
        </w:rPr>
        <w:t>а</w:t>
      </w:r>
      <w:r w:rsidRPr="00AC7940">
        <w:rPr>
          <w:sz w:val="24"/>
          <w:szCs w:val="24"/>
          <w:lang w:val="sr-Cyrl-RS"/>
        </w:rPr>
        <w:t xml:space="preserve">. Снимање је реализовано у Суботици и Бујановцу. Снимљени образовни </w:t>
      </w:r>
      <w:r w:rsidRPr="00AC7940">
        <w:rPr>
          <w:sz w:val="24"/>
          <w:szCs w:val="24"/>
          <w:lang w:val="sr-Cyrl-RS"/>
        </w:rPr>
        <w:lastRenderedPageBreak/>
        <w:t>материјал доступан је, поред OTT платформе РТС Планета, и ученицима који наставу прате преко подсајта „Moja škola“</w:t>
      </w:r>
      <w:r w:rsidR="00EA41F1">
        <w:rPr>
          <w:sz w:val="24"/>
          <w:szCs w:val="24"/>
          <w:lang w:val="sr-Cyrl-RS"/>
        </w:rPr>
        <w:t>.</w:t>
      </w:r>
      <w:r>
        <w:rPr>
          <w:rStyle w:val="FootnoteReference"/>
          <w:sz w:val="24"/>
          <w:szCs w:val="24"/>
          <w:lang w:val="sr-Cyrl-RS"/>
        </w:rPr>
        <w:footnoteReference w:id="68"/>
      </w:r>
      <w:r w:rsidRPr="00AC7940">
        <w:rPr>
          <w:sz w:val="24"/>
          <w:szCs w:val="24"/>
          <w:lang w:val="sr-Cyrl-RS"/>
        </w:rPr>
        <w:t xml:space="preserve"> </w:t>
      </w:r>
    </w:p>
    <w:p w:rsidR="00364594" w:rsidRDefault="00364594" w:rsidP="00364594">
      <w:pPr>
        <w:spacing w:after="0"/>
        <w:ind w:firstLine="720"/>
        <w:jc w:val="both"/>
        <w:rPr>
          <w:sz w:val="24"/>
          <w:szCs w:val="24"/>
          <w:lang w:val="sr-Cyrl-RS"/>
        </w:rPr>
      </w:pPr>
      <w:r w:rsidRPr="008D2AD2">
        <w:rPr>
          <w:sz w:val="24"/>
          <w:szCs w:val="24"/>
          <w:lang w:val="sr-Cyrl-RS"/>
        </w:rPr>
        <w:t xml:space="preserve">Препознавши важност унапређивања наставе језика, како матерњег и нематерњег, тако и страног, у оквиру процеса афирмације вишејезичности у АП Војводини, а са циљем унапређивања образовања на језицима националних мањина, </w:t>
      </w:r>
      <w:r>
        <w:rPr>
          <w:sz w:val="24"/>
          <w:szCs w:val="24"/>
          <w:lang w:val="sr-Cyrl-RS"/>
        </w:rPr>
        <w:t>Педагошки завод Војводине</w:t>
      </w:r>
      <w:r w:rsidRPr="008D2AD2">
        <w:rPr>
          <w:sz w:val="24"/>
          <w:szCs w:val="24"/>
          <w:lang w:val="sr-Cyrl-RS"/>
        </w:rPr>
        <w:t xml:space="preserve"> је дизајнирао образовну платформу са посебним делом предвиђеним за наставнике предмета Српски као нематерњи</w:t>
      </w:r>
      <w:r>
        <w:rPr>
          <w:rStyle w:val="FootnoteReference"/>
          <w:sz w:val="24"/>
          <w:szCs w:val="24"/>
          <w:lang w:val="sr-Cyrl-RS"/>
        </w:rPr>
        <w:footnoteReference w:id="69"/>
      </w:r>
      <w:r w:rsidRPr="008D2AD2">
        <w:rPr>
          <w:sz w:val="24"/>
          <w:szCs w:val="24"/>
          <w:lang w:val="sr-Cyrl-RS"/>
        </w:rPr>
        <w:t>. На платформи је омогућено умрежавање укупно 62 наставника овог предмета као и истраживача и научних радника који се баве методиком наставе језика. Осим тога</w:t>
      </w:r>
      <w:r>
        <w:rPr>
          <w:sz w:val="24"/>
          <w:szCs w:val="24"/>
          <w:lang w:val="sr-Cyrl-RS"/>
        </w:rPr>
        <w:t>,</w:t>
      </w:r>
      <w:r w:rsidRPr="008D2AD2">
        <w:rPr>
          <w:sz w:val="24"/>
          <w:szCs w:val="24"/>
          <w:lang w:val="sr-Cyrl-RS"/>
        </w:rPr>
        <w:t xml:space="preserve"> на платформи је омогућена и размена образовних материјала који се могу директно и индиректно користити у настави овог предмета у првом и другом циклусу обавезног образовања и општег средњег образовања поштујући опште стандарде постигнућа ученика и у складу са Програмом наставе и учења за предмет Српски као нематерњи за први и други циклус обавезног образовања и општег средњег образовања. Такође, платформа пружа могућност дискусије и размене искустава и примера добре праксе између корисника платформе. На платформи су објављени и резултати истраживања о начинима унапређивања наставе Српског као нематерњег језика.</w:t>
      </w:r>
    </w:p>
    <w:p w:rsidR="00364594" w:rsidRDefault="00364594" w:rsidP="00364594">
      <w:pPr>
        <w:spacing w:after="0"/>
        <w:ind w:firstLine="720"/>
        <w:jc w:val="both"/>
        <w:rPr>
          <w:sz w:val="24"/>
          <w:szCs w:val="24"/>
          <w:lang w:val="sr-Cyrl-RS"/>
        </w:rPr>
      </w:pPr>
      <w:r w:rsidRPr="008D2AD2">
        <w:rPr>
          <w:sz w:val="24"/>
          <w:szCs w:val="24"/>
          <w:lang w:val="sr-Cyrl-RS"/>
        </w:rPr>
        <w:t xml:space="preserve">У оквиру програма Платформа за наставнике Српског као нематерњег језика, Педагошки завод Војводине је са Покрајинским секретаријатом за образовање, прописе, управу и националне мањине - националне заједнице организовао стручни скуп </w:t>
      </w:r>
      <w:r w:rsidRPr="008D2AD2">
        <w:rPr>
          <w:i/>
          <w:sz w:val="24"/>
          <w:szCs w:val="24"/>
          <w:lang w:val="sr-Cyrl-RS"/>
        </w:rPr>
        <w:t>Теоријско-методички оквир наставе језика у основним школaма за наставнике српског језика, српског као нематерњег и енглеског језика</w:t>
      </w:r>
      <w:r w:rsidRPr="008D2AD2">
        <w:rPr>
          <w:sz w:val="24"/>
          <w:szCs w:val="24"/>
          <w:lang w:val="sr-Cyrl-RS"/>
        </w:rPr>
        <w:t>. Стручни скуп је део истраживања о потребама наставника за стицањем нових и јачањем постојећих компетенција важних за унапређивање и осавремењавање образовно-васпитног процеса кроз стручно усавршавање, како би се унапредио процес образовања у Војводини. Испитано је 56 наставника српског, мађарског и енглеског језика у основним школама у 17 градова на територији АП Војводине. Добијени подаци у овом истраживању, осим што показују да се наставници језика у основним школама професионално усавршавају на семинарима и обукама, и да стечено знање користе у настави, показују и њихово велико интересовање за даљим усавршавањем. Међутим, на питање из којих области би се професионално усавршавали</w:t>
      </w:r>
      <w:r>
        <w:rPr>
          <w:sz w:val="24"/>
          <w:szCs w:val="24"/>
          <w:lang w:val="sr-Cyrl-RS"/>
        </w:rPr>
        <w:t>,</w:t>
      </w:r>
      <w:r w:rsidRPr="008D2AD2">
        <w:rPr>
          <w:sz w:val="24"/>
          <w:szCs w:val="24"/>
          <w:lang w:val="sr-Cyrl-RS"/>
        </w:rPr>
        <w:t xml:space="preserve"> наставници најчешће дају уопштене одговоре, и конкретизација тема или поља даљег усавршавања би требало </w:t>
      </w:r>
      <w:r>
        <w:rPr>
          <w:sz w:val="24"/>
          <w:szCs w:val="24"/>
          <w:lang w:val="sr-Cyrl-RS"/>
        </w:rPr>
        <w:t>да буде</w:t>
      </w:r>
      <w:r w:rsidRPr="008D2AD2">
        <w:rPr>
          <w:sz w:val="24"/>
          <w:szCs w:val="24"/>
          <w:lang w:val="sr-Cyrl-RS"/>
        </w:rPr>
        <w:t xml:space="preserve"> вођена стручним мониторингом и систематским планом. Подаци, такође, показују да су наставници веома ретко аутори/коаутори или реализатори програма стручног усавршавања или аутори/коаутори стручних чланака/уџбеника, те их је потребно оснажити на том пољу и мотивисати са такву врсту професионалног ангажовања.</w:t>
      </w:r>
    </w:p>
    <w:p w:rsidR="00E72ED5" w:rsidRPr="00AC7940" w:rsidRDefault="00E72ED5" w:rsidP="00E72ED5">
      <w:pPr>
        <w:spacing w:after="0"/>
        <w:ind w:firstLine="720"/>
        <w:jc w:val="both"/>
        <w:rPr>
          <w:sz w:val="24"/>
          <w:szCs w:val="24"/>
          <w:lang w:val="sr-Cyrl-RS"/>
        </w:rPr>
      </w:pPr>
      <w:r w:rsidRPr="00AC7940">
        <w:rPr>
          <w:sz w:val="24"/>
          <w:szCs w:val="24"/>
          <w:lang w:val="sr-Cyrl-RS"/>
        </w:rPr>
        <w:t xml:space="preserve">Стратегијом развоја образовања планирано је развијање нових и унапређивање свих постојећих програма наставе и учења у основном и средњем  образовању и васпитању свих предмета, међу којима су и програми наставе и учења на језику и писму националних мањина по циклусима (први и други циклус </w:t>
      </w:r>
      <w:r w:rsidR="006814E1">
        <w:rPr>
          <w:sz w:val="24"/>
          <w:szCs w:val="24"/>
          <w:lang w:val="sr-Cyrl-RS"/>
        </w:rPr>
        <w:t>ос</w:t>
      </w:r>
      <w:r w:rsidR="00C806F6">
        <w:rPr>
          <w:sz w:val="24"/>
          <w:szCs w:val="24"/>
          <w:lang w:val="sr-Cyrl-RS"/>
        </w:rPr>
        <w:t>новног образовања</w:t>
      </w:r>
      <w:r w:rsidRPr="00AC7940">
        <w:rPr>
          <w:sz w:val="24"/>
          <w:szCs w:val="24"/>
          <w:lang w:val="sr-Cyrl-RS"/>
        </w:rPr>
        <w:t xml:space="preserve">, опште </w:t>
      </w:r>
      <w:r w:rsidRPr="00AC7940">
        <w:rPr>
          <w:sz w:val="24"/>
          <w:szCs w:val="24"/>
          <w:lang w:val="sr-Cyrl-RS"/>
        </w:rPr>
        <w:lastRenderedPageBreak/>
        <w:t xml:space="preserve">средње </w:t>
      </w:r>
      <w:r w:rsidR="00C806F6">
        <w:rPr>
          <w:sz w:val="24"/>
          <w:szCs w:val="24"/>
          <w:lang w:val="sr-Cyrl-RS"/>
        </w:rPr>
        <w:t xml:space="preserve">образовање </w:t>
      </w:r>
      <w:r w:rsidRPr="00AC7940">
        <w:rPr>
          <w:sz w:val="24"/>
          <w:szCs w:val="24"/>
          <w:lang w:val="sr-Cyrl-RS"/>
        </w:rPr>
        <w:t xml:space="preserve">и општеобразовни део у средњем стручном образовању), као и програм Матерњи језик/говор са елементима националне културе.  </w:t>
      </w:r>
    </w:p>
    <w:p w:rsidR="00E72ED5" w:rsidRPr="00AC7940" w:rsidRDefault="00E72ED5" w:rsidP="00E72ED5">
      <w:pPr>
        <w:spacing w:after="0"/>
        <w:ind w:firstLine="720"/>
        <w:jc w:val="both"/>
        <w:rPr>
          <w:sz w:val="24"/>
          <w:szCs w:val="24"/>
          <w:lang w:val="sr-Cyrl-RS"/>
        </w:rPr>
      </w:pPr>
      <w:r w:rsidRPr="00AC7940">
        <w:rPr>
          <w:sz w:val="24"/>
          <w:szCs w:val="24"/>
          <w:lang w:val="sr-Cyrl-RS"/>
        </w:rPr>
        <w:t xml:space="preserve">Завод за вредновање квалитета образовања и васпитања обавља стручне послове у области праћења и вредновања степена остварености циљева образовања и васпитања, стандарда постигнућа по нивоима и врстама образовања, кроз четири организационе јединице: Центар за осигурање квалитета рада установа, Центар за испите, Центар за међународна, национална испитивања и развојно-истраживачке послове и Центар за образовну технологију. Део надлежности Центра за испите односи се на завршни испит на крају основног образовања и васпитања </w:t>
      </w:r>
      <w:r>
        <w:rPr>
          <w:sz w:val="24"/>
          <w:szCs w:val="24"/>
          <w:lang w:val="sr-Cyrl-RS"/>
        </w:rPr>
        <w:t xml:space="preserve">који се </w:t>
      </w:r>
      <w:r w:rsidRPr="00AC7940">
        <w:rPr>
          <w:sz w:val="24"/>
          <w:szCs w:val="24"/>
          <w:lang w:val="sr-Cyrl-RS"/>
        </w:rPr>
        <w:t xml:space="preserve">реализује од школске 2010/11. године на осам језика националних мањина – албанском, босанском, бугарском, мађарском, румунском, русинском, словачком и хрватском. Завод припрема тестове из матерњег језика, док задатке за тест из математике и за комбиновани тест преводи на поменуте језике. Ученици, припадници националних мањина, добијају све ове тестове у јунском и августовском року, као и за пробно тестирање. Поред тога, Завод за вредновање квалитета образовања и васпитања сваке године објављује на матерњим језицима збирке задатака за припрему завршног испита. У исто време, за одрасле полазнике, припаднике националних мањина, који похађају програм за функционално основно образовање одраслих, у Заводу се креира тест за завршни испит на матерњем језику полазника. </w:t>
      </w:r>
    </w:p>
    <w:p w:rsidR="00E72ED5" w:rsidRDefault="00E72ED5" w:rsidP="00E72ED5">
      <w:pPr>
        <w:spacing w:after="0"/>
        <w:ind w:firstLine="720"/>
        <w:jc w:val="both"/>
        <w:rPr>
          <w:sz w:val="24"/>
          <w:szCs w:val="24"/>
          <w:lang w:val="sr-Cyrl-RS"/>
        </w:rPr>
      </w:pPr>
      <w:r w:rsidRPr="00AC7940">
        <w:rPr>
          <w:sz w:val="24"/>
          <w:szCs w:val="24"/>
          <w:lang w:val="sr-Cyrl-RS"/>
        </w:rPr>
        <w:t xml:space="preserve">У Центру за осигурање квалитета рада установа, у претходном периоду </w:t>
      </w:r>
      <w:r w:rsidR="00C806F6">
        <w:rPr>
          <w:sz w:val="24"/>
          <w:szCs w:val="24"/>
          <w:lang w:val="sr-Cyrl-RS"/>
        </w:rPr>
        <w:t>и</w:t>
      </w:r>
      <w:r w:rsidR="00EA41F1">
        <w:rPr>
          <w:sz w:val="24"/>
          <w:szCs w:val="24"/>
          <w:lang w:val="sr-Cyrl-RS"/>
        </w:rPr>
        <w:t xml:space="preserve">зрађени су </w:t>
      </w:r>
      <w:r w:rsidRPr="00AC7940">
        <w:rPr>
          <w:sz w:val="24"/>
          <w:szCs w:val="24"/>
          <w:lang w:val="sr-Cyrl-RS"/>
        </w:rPr>
        <w:t>Општи стандарди постигнућа за крај обавезног образовања за предмет Матерњи језик и књижевност (2016)</w:t>
      </w:r>
      <w:r w:rsidR="00EA41F1">
        <w:rPr>
          <w:sz w:val="24"/>
          <w:szCs w:val="24"/>
          <w:lang w:val="sr-Cyrl-RS"/>
        </w:rPr>
        <w:t xml:space="preserve"> и</w:t>
      </w:r>
      <w:r w:rsidRPr="00AC7940">
        <w:rPr>
          <w:sz w:val="24"/>
          <w:szCs w:val="24"/>
          <w:lang w:val="sr-Cyrl-RS"/>
        </w:rPr>
        <w:t xml:space="preserve"> Општи стандарди за крај општег средњег образовања и средње стручног образовања и васпитања за предмет Матерњи језик и књижев</w:t>
      </w:r>
      <w:r w:rsidR="00857CF1">
        <w:rPr>
          <w:sz w:val="24"/>
          <w:szCs w:val="24"/>
          <w:lang w:val="sr-Cyrl-RS"/>
        </w:rPr>
        <w:t>ност (2018), а о</w:t>
      </w:r>
      <w:r w:rsidRPr="00AC7940">
        <w:rPr>
          <w:sz w:val="24"/>
          <w:szCs w:val="24"/>
          <w:lang w:val="sr-Cyrl-RS"/>
        </w:rPr>
        <w:t xml:space="preserve">бјављени су </w:t>
      </w:r>
      <w:r w:rsidR="00857CF1">
        <w:rPr>
          <w:sz w:val="24"/>
          <w:szCs w:val="24"/>
          <w:lang w:val="sr-Cyrl-RS"/>
        </w:rPr>
        <w:t xml:space="preserve">и </w:t>
      </w:r>
      <w:r w:rsidRPr="00AC7940">
        <w:rPr>
          <w:sz w:val="24"/>
          <w:szCs w:val="24"/>
          <w:lang w:val="sr-Cyrl-RS"/>
        </w:rPr>
        <w:t xml:space="preserve">приручници на језицима националних мањина: Босански језик; Румунски језик; Словачки језик; Русински језик; Мађарски језик; Хрватски језик; Албански језик; Бугарски језик. Обуке за имплементацију стандарда одржане су током 2019. године. Општи стандарди постигнућа за Матерњи језик за крај првог циклуса основног образовања и васпитања </w:t>
      </w:r>
      <w:r w:rsidR="00857CF1">
        <w:rPr>
          <w:sz w:val="24"/>
          <w:szCs w:val="24"/>
          <w:lang w:val="sr-Cyrl-RS"/>
        </w:rPr>
        <w:t xml:space="preserve">израђени су </w:t>
      </w:r>
      <w:r w:rsidRPr="00AC7940">
        <w:rPr>
          <w:sz w:val="24"/>
          <w:szCs w:val="24"/>
          <w:lang w:val="sr-Cyrl-RS"/>
        </w:rPr>
        <w:t>2020</w:t>
      </w:r>
      <w:r w:rsidR="00857CF1">
        <w:rPr>
          <w:sz w:val="24"/>
          <w:szCs w:val="24"/>
          <w:lang w:val="sr-Cyrl-RS"/>
        </w:rPr>
        <w:t>, а о</w:t>
      </w:r>
      <w:r w:rsidRPr="00AC7940">
        <w:rPr>
          <w:sz w:val="24"/>
          <w:szCs w:val="24"/>
          <w:lang w:val="sr-Cyrl-RS"/>
        </w:rPr>
        <w:t>бјављени су приручници на језицима националних мањина</w:t>
      </w:r>
      <w:r w:rsidR="00857CF1">
        <w:rPr>
          <w:sz w:val="24"/>
          <w:szCs w:val="24"/>
          <w:lang w:val="sr-Cyrl-RS"/>
        </w:rPr>
        <w:t xml:space="preserve"> за</w:t>
      </w:r>
      <w:r w:rsidRPr="00AC7940">
        <w:rPr>
          <w:sz w:val="24"/>
          <w:szCs w:val="24"/>
          <w:lang w:val="sr-Cyrl-RS"/>
        </w:rPr>
        <w:t xml:space="preserve">: Румунски језик; Мађарски језик; Хрватски језик; Бугарски језик; Босански језик; Албански језик; Словачки језик; Русински језик. У току 2020. године реализовано је 40 обука, којима је присуствовало 953 наставника: Румунски језик (31); Мађарски језик (403); Хрватски језик (16); Бугарски језик (41); Босански језик (285); Албански језик (124); Словачки језик (39); Русински језик (14). </w:t>
      </w:r>
    </w:p>
    <w:p w:rsidR="00FF2BF9" w:rsidRPr="00AC7940" w:rsidRDefault="00FF2BF9" w:rsidP="00E72ED5">
      <w:pPr>
        <w:spacing w:after="0"/>
        <w:ind w:firstLine="720"/>
        <w:jc w:val="both"/>
        <w:rPr>
          <w:sz w:val="24"/>
          <w:szCs w:val="24"/>
          <w:lang w:val="sr-Cyrl-RS"/>
        </w:rPr>
      </w:pPr>
      <w:r>
        <w:rPr>
          <w:sz w:val="24"/>
          <w:szCs w:val="24"/>
          <w:lang w:val="sr-Cyrl-RS"/>
        </w:rPr>
        <w:t>Н</w:t>
      </w:r>
      <w:r w:rsidRPr="00FF2BF9">
        <w:rPr>
          <w:sz w:val="24"/>
          <w:szCs w:val="24"/>
          <w:lang w:val="sr-Cyrl-RS"/>
        </w:rPr>
        <w:t xml:space="preserve">акон што је у земљи </w:t>
      </w:r>
      <w:r>
        <w:rPr>
          <w:sz w:val="24"/>
          <w:szCs w:val="24"/>
          <w:lang w:val="sr-Cyrl-RS"/>
        </w:rPr>
        <w:t xml:space="preserve">2020. године </w:t>
      </w:r>
      <w:r w:rsidRPr="00FF2BF9">
        <w:rPr>
          <w:sz w:val="24"/>
          <w:szCs w:val="24"/>
          <w:lang w:val="sr-Cyrl-RS"/>
        </w:rPr>
        <w:t>проглашено ванредно стање проузроковано пандемијом КОВИД</w:t>
      </w:r>
      <w:r>
        <w:rPr>
          <w:sz w:val="24"/>
          <w:szCs w:val="24"/>
          <w:lang w:val="sr-Cyrl-RS"/>
        </w:rPr>
        <w:t>-</w:t>
      </w:r>
      <w:r w:rsidRPr="00FF2BF9">
        <w:rPr>
          <w:sz w:val="24"/>
          <w:szCs w:val="24"/>
          <w:lang w:val="sr-Cyrl-RS"/>
        </w:rPr>
        <w:t xml:space="preserve">19, образовни систем Републике Србије је успешно организовао образовно-васпитни рад путем учења на даљину на српском језику и на </w:t>
      </w:r>
      <w:r w:rsidR="00857CF1">
        <w:rPr>
          <w:sz w:val="24"/>
          <w:szCs w:val="24"/>
          <w:lang w:val="sr-Cyrl-RS"/>
        </w:rPr>
        <w:t>осам</w:t>
      </w:r>
      <w:r w:rsidRPr="00FF2BF9">
        <w:rPr>
          <w:sz w:val="24"/>
          <w:szCs w:val="24"/>
          <w:lang w:val="sr-Cyrl-RS"/>
        </w:rPr>
        <w:t xml:space="preserve"> језика националних мањина</w:t>
      </w:r>
      <w:r>
        <w:rPr>
          <w:sz w:val="24"/>
          <w:szCs w:val="24"/>
          <w:lang w:val="sr-Cyrl-RS"/>
        </w:rPr>
        <w:t xml:space="preserve">. </w:t>
      </w:r>
      <w:r w:rsidRPr="00FF2BF9">
        <w:rPr>
          <w:sz w:val="24"/>
          <w:szCs w:val="24"/>
          <w:lang w:val="sr-Cyrl-RS"/>
        </w:rPr>
        <w:t>У припреми и извођењу образовних садржаја током ванредног стања, као и током школске 2020/21. и 2021/22. године учествовало је више од 400 наставника</w:t>
      </w:r>
      <w:r>
        <w:rPr>
          <w:sz w:val="24"/>
          <w:szCs w:val="24"/>
          <w:lang w:val="sr-Cyrl-RS"/>
        </w:rPr>
        <w:t>, а</w:t>
      </w:r>
      <w:r w:rsidRPr="00FF2BF9">
        <w:rPr>
          <w:sz w:val="24"/>
          <w:szCs w:val="24"/>
          <w:lang w:val="sr-Cyrl-RS"/>
        </w:rPr>
        <w:t xml:space="preserve"> снимљено </w:t>
      </w:r>
      <w:r w:rsidR="00857CF1">
        <w:rPr>
          <w:sz w:val="24"/>
          <w:szCs w:val="24"/>
          <w:lang w:val="sr-Cyrl-RS"/>
        </w:rPr>
        <w:t xml:space="preserve">је </w:t>
      </w:r>
      <w:r w:rsidRPr="00FF2BF9">
        <w:rPr>
          <w:sz w:val="24"/>
          <w:szCs w:val="24"/>
          <w:lang w:val="sr-Cyrl-RS"/>
        </w:rPr>
        <w:t>7</w:t>
      </w:r>
      <w:r>
        <w:rPr>
          <w:sz w:val="24"/>
          <w:szCs w:val="24"/>
          <w:lang w:val="sr-Cyrl-RS"/>
        </w:rPr>
        <w:t>.</w:t>
      </w:r>
      <w:r w:rsidRPr="00FF2BF9">
        <w:rPr>
          <w:sz w:val="24"/>
          <w:szCs w:val="24"/>
          <w:lang w:val="sr-Cyrl-RS"/>
        </w:rPr>
        <w:t xml:space="preserve">077 образовних прилога на </w:t>
      </w:r>
      <w:r w:rsidR="00857CF1">
        <w:rPr>
          <w:sz w:val="24"/>
          <w:szCs w:val="24"/>
          <w:lang w:val="sr-Cyrl-RS"/>
        </w:rPr>
        <w:t>осам</w:t>
      </w:r>
      <w:r w:rsidRPr="00FF2BF9">
        <w:rPr>
          <w:sz w:val="24"/>
          <w:szCs w:val="24"/>
          <w:lang w:val="sr-Cyrl-RS"/>
        </w:rPr>
        <w:t xml:space="preserve"> језика националних мањина.</w:t>
      </w:r>
    </w:p>
    <w:p w:rsidR="00E72ED5" w:rsidRDefault="00E72ED5" w:rsidP="00E72ED5">
      <w:pPr>
        <w:spacing w:after="0"/>
        <w:ind w:firstLine="720"/>
        <w:jc w:val="both"/>
        <w:rPr>
          <w:sz w:val="24"/>
          <w:szCs w:val="24"/>
          <w:lang w:val="sr-Cyrl-RS"/>
        </w:rPr>
      </w:pPr>
      <w:r w:rsidRPr="00AC7940">
        <w:rPr>
          <w:sz w:val="24"/>
          <w:szCs w:val="24"/>
          <w:lang w:val="sr-Cyrl-RS"/>
        </w:rPr>
        <w:t xml:space="preserve">У Центру за међународна, национална испитивања и развојно-истраживачке послове </w:t>
      </w:r>
      <w:r w:rsidR="00FF2BF9">
        <w:rPr>
          <w:sz w:val="24"/>
          <w:szCs w:val="24"/>
          <w:lang w:val="sr-Cyrl-RS"/>
        </w:rPr>
        <w:t>током</w:t>
      </w:r>
      <w:r w:rsidRPr="00AC7940">
        <w:rPr>
          <w:sz w:val="24"/>
          <w:szCs w:val="24"/>
          <w:lang w:val="sr-Cyrl-RS"/>
        </w:rPr>
        <w:t xml:space="preserve"> 2022. </w:t>
      </w:r>
      <w:r w:rsidR="00FF2BF9">
        <w:rPr>
          <w:sz w:val="24"/>
          <w:szCs w:val="24"/>
          <w:lang w:val="sr-Cyrl-RS"/>
        </w:rPr>
        <w:t>планирана је</w:t>
      </w:r>
      <w:r w:rsidRPr="00AC7940">
        <w:rPr>
          <w:sz w:val="24"/>
          <w:szCs w:val="24"/>
          <w:lang w:val="sr-Cyrl-RS"/>
        </w:rPr>
        <w:t xml:space="preserve"> реализ</w:t>
      </w:r>
      <w:r w:rsidR="00FF2BF9">
        <w:rPr>
          <w:sz w:val="24"/>
          <w:szCs w:val="24"/>
          <w:lang w:val="sr-Cyrl-RS"/>
        </w:rPr>
        <w:t>ација</w:t>
      </w:r>
      <w:r w:rsidRPr="00AC7940">
        <w:rPr>
          <w:sz w:val="24"/>
          <w:szCs w:val="24"/>
          <w:lang w:val="sr-Cyrl-RS"/>
        </w:rPr>
        <w:t xml:space="preserve"> ПИСА 2022 истраживањ</w:t>
      </w:r>
      <w:r w:rsidR="00FF2BF9">
        <w:rPr>
          <w:sz w:val="24"/>
          <w:szCs w:val="24"/>
          <w:lang w:val="sr-Cyrl-RS"/>
        </w:rPr>
        <w:t>а</w:t>
      </w:r>
      <w:r w:rsidRPr="00AC7940">
        <w:rPr>
          <w:sz w:val="24"/>
          <w:szCs w:val="24"/>
          <w:lang w:val="sr-Cyrl-RS"/>
        </w:rPr>
        <w:t xml:space="preserve"> које укључује и тестирање ученика на мађарском језику. Центар такође сачињава извештаје за сваку школу које приказују резултате ученика са завршног испита</w:t>
      </w:r>
      <w:r w:rsidR="00857CF1">
        <w:rPr>
          <w:sz w:val="24"/>
          <w:szCs w:val="24"/>
          <w:lang w:val="sr-Cyrl-RS"/>
        </w:rPr>
        <w:t>,</w:t>
      </w:r>
      <w:r w:rsidRPr="00AC7940">
        <w:rPr>
          <w:sz w:val="24"/>
          <w:szCs w:val="24"/>
          <w:lang w:val="sr-Cyrl-RS"/>
        </w:rPr>
        <w:t xml:space="preserve"> који служе за самовредновање и унапређивање рада школа. На националном нивоу се сачињавају два </w:t>
      </w:r>
      <w:r w:rsidRPr="00AC7940">
        <w:rPr>
          <w:sz w:val="24"/>
          <w:szCs w:val="24"/>
          <w:lang w:val="sr-Cyrl-RS"/>
        </w:rPr>
        <w:lastRenderedPageBreak/>
        <w:t>извештаја: Извештај о резултатима завршног испита за ученике који су полагали на српском језику и Извештај ученика припадника националних мањина. Ови извештаји треба да помогну да се предузму системске мере за унапређивање квалитета образовања за све ученике у Републици Србији.</w:t>
      </w:r>
    </w:p>
    <w:p w:rsidR="00E33019" w:rsidRDefault="00E33019" w:rsidP="004E4D6B">
      <w:pPr>
        <w:spacing w:after="0"/>
        <w:ind w:firstLine="720"/>
        <w:jc w:val="both"/>
        <w:rPr>
          <w:sz w:val="24"/>
          <w:szCs w:val="24"/>
          <w:lang w:val="sr-Cyrl-RS"/>
        </w:rPr>
      </w:pPr>
      <w:r w:rsidRPr="00DE16BA">
        <w:rPr>
          <w:sz w:val="24"/>
          <w:szCs w:val="24"/>
          <w:lang w:val="sr-Cyrl-RS"/>
        </w:rPr>
        <w:t>У прилогу за израду овог извештаја Друштво за русински језик, књижевност и културу наводи да се дуги низ година стара о подизању језичке културе деце и ученика у сарадњи с надлежним институцијама. Друштво је још 1996. године почело да спроводи пројекат „Развијање и унапређивање русинског језика деце, ученика и омладине</w:t>
      </w:r>
      <w:r w:rsidR="004E4D6B" w:rsidRPr="00DE16BA">
        <w:rPr>
          <w:sz w:val="24"/>
          <w:szCs w:val="24"/>
          <w:lang w:val="sr-Cyrl-RS"/>
        </w:rPr>
        <w:t>“</w:t>
      </w:r>
      <w:r w:rsidRPr="00DE16BA">
        <w:rPr>
          <w:sz w:val="24"/>
          <w:szCs w:val="24"/>
          <w:lang w:val="sr-Cyrl-RS"/>
        </w:rPr>
        <w:t xml:space="preserve">, који је </w:t>
      </w:r>
      <w:r w:rsidR="004E4D6B" w:rsidRPr="00DE16BA">
        <w:rPr>
          <w:sz w:val="24"/>
          <w:szCs w:val="24"/>
          <w:lang w:val="sr-Cyrl-RS"/>
        </w:rPr>
        <w:t>оце</w:t>
      </w:r>
      <w:r w:rsidR="00DE16BA" w:rsidRPr="00DE16BA">
        <w:rPr>
          <w:sz w:val="24"/>
          <w:szCs w:val="24"/>
          <w:lang w:val="sr-Cyrl-RS"/>
        </w:rPr>
        <w:t>њ</w:t>
      </w:r>
      <w:r w:rsidR="004E4D6B" w:rsidRPr="00DE16BA">
        <w:rPr>
          <w:sz w:val="24"/>
          <w:szCs w:val="24"/>
          <w:lang w:val="sr-Cyrl-RS"/>
        </w:rPr>
        <w:t xml:space="preserve">ен </w:t>
      </w:r>
      <w:r w:rsidRPr="00DE16BA">
        <w:rPr>
          <w:sz w:val="24"/>
          <w:szCs w:val="24"/>
          <w:lang w:val="sr-Cyrl-RS"/>
        </w:rPr>
        <w:t xml:space="preserve">као веома успешан </w:t>
      </w:r>
      <w:r w:rsidR="004E4D6B" w:rsidRPr="00DE16BA">
        <w:rPr>
          <w:sz w:val="24"/>
          <w:szCs w:val="24"/>
          <w:lang w:val="sr-Cyrl-RS"/>
        </w:rPr>
        <w:t>и спроводи се и даље</w:t>
      </w:r>
      <w:r w:rsidRPr="00DE16BA">
        <w:rPr>
          <w:sz w:val="24"/>
          <w:szCs w:val="24"/>
          <w:lang w:val="sr-Cyrl-RS"/>
        </w:rPr>
        <w:t xml:space="preserve">, а </w:t>
      </w:r>
      <w:r w:rsidR="004E4D6B" w:rsidRPr="00DE16BA">
        <w:rPr>
          <w:sz w:val="24"/>
          <w:szCs w:val="24"/>
          <w:lang w:val="sr-Cyrl-RS"/>
        </w:rPr>
        <w:t xml:space="preserve">у наредном периоду </w:t>
      </w:r>
      <w:r w:rsidRPr="00DE16BA">
        <w:rPr>
          <w:sz w:val="24"/>
          <w:szCs w:val="24"/>
          <w:lang w:val="sr-Cyrl-RS"/>
        </w:rPr>
        <w:t xml:space="preserve">биће проширен и на изучавање русиснког језика </w:t>
      </w:r>
      <w:r w:rsidR="004E4D6B" w:rsidRPr="00DE16BA">
        <w:rPr>
          <w:sz w:val="24"/>
          <w:szCs w:val="24"/>
          <w:lang w:val="sr-Cyrl-RS"/>
        </w:rPr>
        <w:t>з</w:t>
      </w:r>
      <w:r w:rsidRPr="00DE16BA">
        <w:rPr>
          <w:sz w:val="24"/>
          <w:szCs w:val="24"/>
          <w:lang w:val="sr-Cyrl-RS"/>
        </w:rPr>
        <w:t>а одрасл</w:t>
      </w:r>
      <w:r w:rsidR="004E4D6B" w:rsidRPr="00DE16BA">
        <w:rPr>
          <w:sz w:val="24"/>
          <w:szCs w:val="24"/>
          <w:lang w:val="sr-Cyrl-RS"/>
        </w:rPr>
        <w:t>е</w:t>
      </w:r>
      <w:r w:rsidRPr="00DE16BA">
        <w:rPr>
          <w:sz w:val="24"/>
          <w:szCs w:val="24"/>
          <w:lang w:val="sr-Cyrl-RS"/>
        </w:rPr>
        <w:t xml:space="preserve"> који за то изразе жељу. Друштво је од </w:t>
      </w:r>
      <w:r w:rsidR="004E4D6B" w:rsidRPr="00DE16BA">
        <w:rPr>
          <w:sz w:val="24"/>
          <w:szCs w:val="24"/>
          <w:lang w:val="sr-Cyrl-RS"/>
        </w:rPr>
        <w:t>2000. године</w:t>
      </w:r>
      <w:r w:rsidRPr="00DE16BA">
        <w:rPr>
          <w:sz w:val="24"/>
          <w:szCs w:val="24"/>
          <w:lang w:val="sr-Cyrl-RS"/>
        </w:rPr>
        <w:t xml:space="preserve"> организатор републичког </w:t>
      </w:r>
      <w:r w:rsidR="004E4D6B" w:rsidRPr="00DE16BA">
        <w:rPr>
          <w:sz w:val="24"/>
          <w:szCs w:val="24"/>
          <w:lang w:val="sr-Cyrl-RS"/>
        </w:rPr>
        <w:t>такмичења</w:t>
      </w:r>
      <w:r w:rsidRPr="00DE16BA">
        <w:rPr>
          <w:sz w:val="24"/>
          <w:szCs w:val="24"/>
          <w:lang w:val="sr-Cyrl-RS"/>
        </w:rPr>
        <w:t xml:space="preserve">, а од 2009. године и међуокружног такмичења из русинског језика и језичке културе </w:t>
      </w:r>
      <w:r w:rsidR="004E4D6B" w:rsidRPr="00DE16BA">
        <w:rPr>
          <w:sz w:val="24"/>
          <w:szCs w:val="24"/>
          <w:lang w:val="sr-Cyrl-RS"/>
        </w:rPr>
        <w:t xml:space="preserve">за ученике </w:t>
      </w:r>
      <w:r w:rsidRPr="00DE16BA">
        <w:rPr>
          <w:sz w:val="24"/>
          <w:szCs w:val="24"/>
          <w:lang w:val="sr-Cyrl-RS"/>
        </w:rPr>
        <w:t>основних школа</w:t>
      </w:r>
      <w:r w:rsidR="004E4D6B" w:rsidRPr="00DE16BA">
        <w:rPr>
          <w:sz w:val="24"/>
          <w:szCs w:val="24"/>
          <w:lang w:val="sr-Cyrl-RS"/>
        </w:rPr>
        <w:t xml:space="preserve">. </w:t>
      </w:r>
      <w:r w:rsidRPr="00DE16BA">
        <w:rPr>
          <w:sz w:val="24"/>
          <w:szCs w:val="24"/>
          <w:lang w:val="sr-Cyrl-RS"/>
        </w:rPr>
        <w:t xml:space="preserve">Издавачка делатност Друштва се одвија у оквиру </w:t>
      </w:r>
      <w:r w:rsidR="00857CF1">
        <w:rPr>
          <w:sz w:val="24"/>
          <w:szCs w:val="24"/>
          <w:lang w:val="sr-Cyrl-RS"/>
        </w:rPr>
        <w:t>седам</w:t>
      </w:r>
      <w:r w:rsidRPr="00DE16BA">
        <w:rPr>
          <w:sz w:val="24"/>
          <w:szCs w:val="24"/>
          <w:lang w:val="sr-Cyrl-RS"/>
        </w:rPr>
        <w:t xml:space="preserve"> едиција</w:t>
      </w:r>
      <w:r w:rsidR="004E4D6B" w:rsidRPr="00DE16BA">
        <w:rPr>
          <w:sz w:val="24"/>
          <w:szCs w:val="24"/>
          <w:lang w:val="sr-Cyrl-RS"/>
        </w:rPr>
        <w:t>,</w:t>
      </w:r>
      <w:r w:rsidRPr="00DE16BA">
        <w:rPr>
          <w:sz w:val="24"/>
          <w:szCs w:val="24"/>
          <w:lang w:val="sr-Cyrl-RS"/>
        </w:rPr>
        <w:t xml:space="preserve"> и то: Образовање (објављено 12 наслова), Предшколско васпитање (10), Књижевност (10), Речници (4), Катедра (4), Ликовно стваралаштво (21), Отето од заборава (24). </w:t>
      </w:r>
      <w:r w:rsidR="004E4D6B" w:rsidRPr="00DE16BA">
        <w:rPr>
          <w:sz w:val="24"/>
          <w:szCs w:val="24"/>
          <w:lang w:val="sr-Cyrl-RS"/>
        </w:rPr>
        <w:t>Једно од најзначајнијих издања Друштва у 2022. години биће</w:t>
      </w:r>
      <w:r w:rsidRPr="00DE16BA">
        <w:rPr>
          <w:sz w:val="24"/>
          <w:szCs w:val="24"/>
          <w:lang w:val="sr-Cyrl-RS"/>
        </w:rPr>
        <w:t xml:space="preserve"> </w:t>
      </w:r>
      <w:r w:rsidR="004E4D6B" w:rsidRPr="00DE16BA">
        <w:rPr>
          <w:sz w:val="24"/>
          <w:szCs w:val="24"/>
          <w:lang w:val="sr-Cyrl-RS"/>
        </w:rPr>
        <w:t>Правопис русинског језика са правописним речником.</w:t>
      </w:r>
      <w:r w:rsidR="004E4D6B" w:rsidRPr="004E4D6B">
        <w:rPr>
          <w:sz w:val="24"/>
          <w:szCs w:val="24"/>
          <w:lang w:val="sr-Cyrl-RS"/>
        </w:rPr>
        <w:t xml:space="preserve"> </w:t>
      </w:r>
    </w:p>
    <w:p w:rsidR="00E72ED5" w:rsidRDefault="00E72ED5" w:rsidP="00E72ED5">
      <w:pPr>
        <w:spacing w:after="0"/>
        <w:jc w:val="both"/>
        <w:rPr>
          <w:sz w:val="24"/>
          <w:szCs w:val="24"/>
          <w:lang w:val="sr-Cyrl-RS"/>
        </w:rPr>
      </w:pPr>
    </w:p>
    <w:p w:rsidR="00E72ED5" w:rsidRDefault="00E72ED5" w:rsidP="00E72ED5">
      <w:pPr>
        <w:spacing w:after="0"/>
        <w:jc w:val="both"/>
        <w:rPr>
          <w:i/>
          <w:sz w:val="24"/>
          <w:szCs w:val="24"/>
          <w:lang w:val="sr-Cyrl-RS"/>
        </w:rPr>
      </w:pPr>
      <w:r w:rsidRPr="006228E2">
        <w:rPr>
          <w:i/>
          <w:sz w:val="24"/>
          <w:szCs w:val="24"/>
          <w:lang w:val="sr-Cyrl-RS"/>
        </w:rPr>
        <w:t>12. Пратити и периодично преиспитивати спровођење Закона о националним саветима националних мањина у консултацији са самим саветима, и наручити израду независне квалитативне студије о функционисању савета, укључујући процену њихове инклузивности, независности и репрезентативности, као и њиховог капацитета за иницирање интеркултуралног дијалога и јачање међунационалних односа; осмислити и спровести нове начине за представљање и ефективно укључивања припадника националних мањина у процес доношења одлука на локалном нивоу, у свим подручјима у којима националне мањине традиционално живе или где живе у великом броју, укључујући и веће градове, и даље ојачати ресурсе додељене буџетском фонду за националне мањине у складу са економским могућностима.</w:t>
      </w:r>
    </w:p>
    <w:p w:rsidR="00E72ED5" w:rsidRDefault="00E72ED5" w:rsidP="00E72ED5">
      <w:pPr>
        <w:spacing w:after="0"/>
        <w:jc w:val="both"/>
        <w:rPr>
          <w:i/>
          <w:sz w:val="24"/>
          <w:szCs w:val="24"/>
          <w:lang w:val="sr-Cyrl-RS"/>
        </w:rPr>
      </w:pPr>
    </w:p>
    <w:p w:rsidR="00E72ED5" w:rsidRDefault="00E72ED5" w:rsidP="00E72ED5">
      <w:pPr>
        <w:spacing w:after="0"/>
        <w:ind w:firstLine="720"/>
        <w:jc w:val="both"/>
        <w:rPr>
          <w:sz w:val="24"/>
          <w:szCs w:val="24"/>
          <w:lang w:val="sr-Cyrl-RS"/>
        </w:rPr>
      </w:pPr>
      <w:r w:rsidRPr="009331AA">
        <w:rPr>
          <w:sz w:val="24"/>
          <w:szCs w:val="24"/>
          <w:lang w:val="sr-Cyrl-RS"/>
        </w:rPr>
        <w:t xml:space="preserve">У циљу континуираног унапређења остваривања права </w:t>
      </w:r>
      <w:r>
        <w:rPr>
          <w:sz w:val="24"/>
          <w:szCs w:val="24"/>
          <w:lang w:val="sr-Cyrl-RS"/>
        </w:rPr>
        <w:t xml:space="preserve">припадника </w:t>
      </w:r>
      <w:r w:rsidRPr="009331AA">
        <w:rPr>
          <w:sz w:val="24"/>
          <w:szCs w:val="24"/>
          <w:lang w:val="sr-Cyrl-RS"/>
        </w:rPr>
        <w:t>националних мањина</w:t>
      </w:r>
      <w:r>
        <w:rPr>
          <w:sz w:val="24"/>
          <w:szCs w:val="24"/>
          <w:lang w:val="sr-Cyrl-RS"/>
        </w:rPr>
        <w:t>,</w:t>
      </w:r>
      <w:r w:rsidRPr="009331AA">
        <w:rPr>
          <w:sz w:val="24"/>
          <w:szCs w:val="24"/>
          <w:lang w:val="sr-Cyrl-RS"/>
        </w:rPr>
        <w:t xml:space="preserve"> у јуну 2018. године усвојене су измене и допуне Закона о националним саветима националних мањина. Разлози за доношење овог закона проистекли су из потребе да се </w:t>
      </w:r>
      <w:r w:rsidR="009643EC">
        <w:rPr>
          <w:sz w:val="24"/>
          <w:szCs w:val="24"/>
          <w:lang w:val="sr-Cyrl-RS"/>
        </w:rPr>
        <w:t>З</w:t>
      </w:r>
      <w:r w:rsidRPr="009331AA">
        <w:rPr>
          <w:sz w:val="24"/>
          <w:szCs w:val="24"/>
          <w:lang w:val="sr-Cyrl-RS"/>
        </w:rPr>
        <w:t xml:space="preserve">акон усклади са одлуком Уставног суда из јанура 2014. године, </w:t>
      </w:r>
      <w:r w:rsidR="009643EC">
        <w:rPr>
          <w:sz w:val="24"/>
          <w:szCs w:val="24"/>
          <w:lang w:val="sr-Cyrl-RS"/>
        </w:rPr>
        <w:t>затим</w:t>
      </w:r>
      <w:r w:rsidR="00C806F6">
        <w:rPr>
          <w:sz w:val="24"/>
          <w:szCs w:val="24"/>
          <w:lang w:val="sr-Cyrl-RS"/>
        </w:rPr>
        <w:t xml:space="preserve"> </w:t>
      </w:r>
      <w:r w:rsidRPr="009331AA">
        <w:rPr>
          <w:sz w:val="24"/>
          <w:szCs w:val="24"/>
          <w:lang w:val="sr-Cyrl-RS"/>
        </w:rPr>
        <w:t>потреб</w:t>
      </w:r>
      <w:r w:rsidR="00C806F6">
        <w:rPr>
          <w:sz w:val="24"/>
          <w:szCs w:val="24"/>
          <w:lang w:val="sr-Cyrl-RS"/>
        </w:rPr>
        <w:t>е</w:t>
      </w:r>
      <w:r w:rsidRPr="009331AA">
        <w:rPr>
          <w:sz w:val="24"/>
          <w:szCs w:val="24"/>
          <w:lang w:val="sr-Cyrl-RS"/>
        </w:rPr>
        <w:t xml:space="preserve"> </w:t>
      </w:r>
      <w:r w:rsidR="009643EC">
        <w:rPr>
          <w:sz w:val="24"/>
          <w:szCs w:val="24"/>
          <w:lang w:val="sr-Cyrl-RS"/>
        </w:rPr>
        <w:t xml:space="preserve">за </w:t>
      </w:r>
      <w:r w:rsidRPr="009331AA">
        <w:rPr>
          <w:sz w:val="24"/>
          <w:szCs w:val="24"/>
          <w:lang w:val="sr-Cyrl-RS"/>
        </w:rPr>
        <w:t>усаглашавањ</w:t>
      </w:r>
      <w:r w:rsidR="009643EC">
        <w:rPr>
          <w:sz w:val="24"/>
          <w:szCs w:val="24"/>
          <w:lang w:val="sr-Cyrl-RS"/>
        </w:rPr>
        <w:t>ем</w:t>
      </w:r>
      <w:r w:rsidRPr="009331AA">
        <w:rPr>
          <w:sz w:val="24"/>
          <w:szCs w:val="24"/>
          <w:lang w:val="sr-Cyrl-RS"/>
        </w:rPr>
        <w:t xml:space="preserve"> појединих решења садржаних у овом закону и системским законима којима се регулишу поједине области друштвеног живота у којима савети остварују своја овлашћења, </w:t>
      </w:r>
      <w:r w:rsidR="009643EC">
        <w:rPr>
          <w:sz w:val="24"/>
          <w:szCs w:val="24"/>
          <w:lang w:val="sr-Cyrl-RS"/>
        </w:rPr>
        <w:t>те потребе да се</w:t>
      </w:r>
      <w:r w:rsidRPr="009331AA">
        <w:rPr>
          <w:sz w:val="24"/>
          <w:szCs w:val="24"/>
          <w:lang w:val="sr-Cyrl-RS"/>
        </w:rPr>
        <w:t xml:space="preserve"> прецизира</w:t>
      </w:r>
      <w:r w:rsidR="009643EC">
        <w:rPr>
          <w:sz w:val="24"/>
          <w:szCs w:val="24"/>
          <w:lang w:val="sr-Cyrl-RS"/>
        </w:rPr>
        <w:t>ју</w:t>
      </w:r>
      <w:r w:rsidRPr="009331AA">
        <w:rPr>
          <w:sz w:val="24"/>
          <w:szCs w:val="24"/>
          <w:lang w:val="sr-Cyrl-RS"/>
        </w:rPr>
        <w:t xml:space="preserve"> и ближе нормативно уре</w:t>
      </w:r>
      <w:r w:rsidR="009643EC">
        <w:rPr>
          <w:sz w:val="24"/>
          <w:szCs w:val="24"/>
          <w:lang w:val="sr-Cyrl-RS"/>
        </w:rPr>
        <w:t>де</w:t>
      </w:r>
      <w:r w:rsidRPr="009331AA">
        <w:rPr>
          <w:sz w:val="24"/>
          <w:szCs w:val="24"/>
          <w:lang w:val="sr-Cyrl-RS"/>
        </w:rPr>
        <w:t xml:space="preserve"> поједин</w:t>
      </w:r>
      <w:r w:rsidR="009643EC">
        <w:rPr>
          <w:sz w:val="24"/>
          <w:szCs w:val="24"/>
          <w:lang w:val="sr-Cyrl-RS"/>
        </w:rPr>
        <w:t>а</w:t>
      </w:r>
      <w:r w:rsidRPr="009331AA">
        <w:rPr>
          <w:sz w:val="24"/>
          <w:szCs w:val="24"/>
          <w:lang w:val="sr-Cyrl-RS"/>
        </w:rPr>
        <w:t xml:space="preserve"> питања. Посебну групу разлога за измене и допуне Закона чиниле су препоруке релевантних међународних тела које су у склопу мониторинга над применом међународних уговора о заштити националних мањина упућене Републици Србији као страни уговорници. У том смислу, посебно треба истаћи да је Саветодавни комитет сугерисао да </w:t>
      </w:r>
      <w:r>
        <w:rPr>
          <w:sz w:val="24"/>
          <w:szCs w:val="24"/>
          <w:lang w:val="sr-Cyrl-RS"/>
        </w:rPr>
        <w:t xml:space="preserve">се </w:t>
      </w:r>
      <w:r w:rsidRPr="009331AA">
        <w:rPr>
          <w:sz w:val="24"/>
          <w:szCs w:val="24"/>
          <w:lang w:val="sr-Cyrl-RS"/>
        </w:rPr>
        <w:t>изменама Закона смањи прекомерн</w:t>
      </w:r>
      <w:r>
        <w:rPr>
          <w:sz w:val="24"/>
          <w:szCs w:val="24"/>
          <w:lang w:val="sr-Cyrl-RS"/>
        </w:rPr>
        <w:t>а</w:t>
      </w:r>
      <w:r w:rsidRPr="009331AA">
        <w:rPr>
          <w:sz w:val="24"/>
          <w:szCs w:val="24"/>
          <w:lang w:val="sr-Cyrl-RS"/>
        </w:rPr>
        <w:t xml:space="preserve"> политизациј</w:t>
      </w:r>
      <w:r>
        <w:rPr>
          <w:sz w:val="24"/>
          <w:szCs w:val="24"/>
          <w:lang w:val="sr-Cyrl-RS"/>
        </w:rPr>
        <w:t>а</w:t>
      </w:r>
      <w:r w:rsidRPr="009331AA">
        <w:rPr>
          <w:sz w:val="24"/>
          <w:szCs w:val="24"/>
          <w:lang w:val="sr-Cyrl-RS"/>
        </w:rPr>
        <w:t xml:space="preserve"> националних савета и обезбеди својеврсн</w:t>
      </w:r>
      <w:r>
        <w:rPr>
          <w:sz w:val="24"/>
          <w:szCs w:val="24"/>
          <w:lang w:val="sr-Cyrl-RS"/>
        </w:rPr>
        <w:t>а</w:t>
      </w:r>
      <w:r w:rsidRPr="009331AA">
        <w:rPr>
          <w:sz w:val="24"/>
          <w:szCs w:val="24"/>
          <w:lang w:val="sr-Cyrl-RS"/>
        </w:rPr>
        <w:t xml:space="preserve"> „подел</w:t>
      </w:r>
      <w:r>
        <w:rPr>
          <w:sz w:val="24"/>
          <w:szCs w:val="24"/>
          <w:lang w:val="sr-Cyrl-RS"/>
        </w:rPr>
        <w:t>а</w:t>
      </w:r>
      <w:r w:rsidRPr="009331AA">
        <w:rPr>
          <w:sz w:val="24"/>
          <w:szCs w:val="24"/>
          <w:lang w:val="sr-Cyrl-RS"/>
        </w:rPr>
        <w:t xml:space="preserve"> власти” у националним саветима. </w:t>
      </w:r>
    </w:p>
    <w:p w:rsidR="00E72ED5" w:rsidRPr="009331AA" w:rsidRDefault="00E72ED5" w:rsidP="00E72ED5">
      <w:pPr>
        <w:spacing w:after="0"/>
        <w:ind w:firstLine="720"/>
        <w:jc w:val="both"/>
        <w:rPr>
          <w:sz w:val="24"/>
          <w:szCs w:val="24"/>
          <w:lang w:val="sr-Cyrl-RS"/>
        </w:rPr>
      </w:pPr>
      <w:r w:rsidRPr="006228E2">
        <w:rPr>
          <w:sz w:val="24"/>
          <w:szCs w:val="24"/>
          <w:lang w:val="sr-Cyrl-RS"/>
        </w:rPr>
        <w:t>У раду на изменама Закона учествовали су и представници националних мањина које је предложила Координација националних савета националних мањина (неформално тело које чине представници свих националних савета).</w:t>
      </w:r>
      <w:r>
        <w:rPr>
          <w:sz w:val="24"/>
          <w:szCs w:val="24"/>
          <w:lang w:val="sr-Cyrl-RS"/>
        </w:rPr>
        <w:t xml:space="preserve"> </w:t>
      </w:r>
      <w:r w:rsidRPr="009331AA">
        <w:rPr>
          <w:sz w:val="24"/>
          <w:szCs w:val="24"/>
          <w:lang w:val="sr-Cyrl-RS"/>
        </w:rPr>
        <w:t xml:space="preserve">Закон је преведен </w:t>
      </w:r>
      <w:r w:rsidRPr="009331AA">
        <w:rPr>
          <w:sz w:val="24"/>
          <w:szCs w:val="24"/>
          <w:lang w:val="sr-Cyrl-RS"/>
        </w:rPr>
        <w:lastRenderedPageBreak/>
        <w:t>на енглески језик и 11 језика националних мањина који су у служебној употреби. Након усвајања овог закона донети су и одговарајући подзаконски акти.</w:t>
      </w:r>
    </w:p>
    <w:p w:rsidR="00E72ED5" w:rsidRPr="009331AA" w:rsidRDefault="00E72ED5" w:rsidP="00E72ED5">
      <w:pPr>
        <w:spacing w:after="0"/>
        <w:jc w:val="both"/>
        <w:rPr>
          <w:sz w:val="24"/>
          <w:szCs w:val="24"/>
          <w:lang w:val="sr-Cyrl-RS"/>
        </w:rPr>
      </w:pPr>
      <w:r w:rsidRPr="009331AA">
        <w:rPr>
          <w:sz w:val="24"/>
          <w:szCs w:val="24"/>
          <w:lang w:val="sr-Cyrl-RS"/>
        </w:rPr>
        <w:tab/>
      </w:r>
      <w:r>
        <w:rPr>
          <w:sz w:val="24"/>
          <w:szCs w:val="24"/>
          <w:lang w:val="sr-Cyrl-RS"/>
        </w:rPr>
        <w:t xml:space="preserve">Настављено </w:t>
      </w:r>
      <w:r w:rsidRPr="009331AA">
        <w:rPr>
          <w:sz w:val="24"/>
          <w:szCs w:val="24"/>
          <w:lang w:val="sr-Cyrl-RS"/>
        </w:rPr>
        <w:t xml:space="preserve">је </w:t>
      </w:r>
      <w:r>
        <w:rPr>
          <w:sz w:val="24"/>
          <w:szCs w:val="24"/>
          <w:lang w:val="sr-Cyrl-RS"/>
        </w:rPr>
        <w:t xml:space="preserve">са </w:t>
      </w:r>
      <w:r w:rsidRPr="009331AA">
        <w:rPr>
          <w:sz w:val="24"/>
          <w:szCs w:val="24"/>
          <w:lang w:val="sr-Cyrl-RS"/>
        </w:rPr>
        <w:t>праће</w:t>
      </w:r>
      <w:r>
        <w:rPr>
          <w:sz w:val="24"/>
          <w:szCs w:val="24"/>
          <w:lang w:val="sr-Cyrl-RS"/>
        </w:rPr>
        <w:t>њем</w:t>
      </w:r>
      <w:r w:rsidRPr="009331AA">
        <w:rPr>
          <w:sz w:val="24"/>
          <w:szCs w:val="24"/>
          <w:lang w:val="sr-Cyrl-RS"/>
        </w:rPr>
        <w:t xml:space="preserve"> законитост</w:t>
      </w:r>
      <w:r>
        <w:rPr>
          <w:sz w:val="24"/>
          <w:szCs w:val="24"/>
          <w:lang w:val="sr-Cyrl-RS"/>
        </w:rPr>
        <w:t>и</w:t>
      </w:r>
      <w:r w:rsidRPr="009331AA">
        <w:rPr>
          <w:sz w:val="24"/>
          <w:szCs w:val="24"/>
          <w:lang w:val="sr-Cyrl-RS"/>
        </w:rPr>
        <w:t xml:space="preserve"> рада и аката националних савета националних мањина. У поступку надзора над радом појединим националним саветима упућени су дописи са инструкцијама за поступање у циљу отклањања уочених неправилности, по којима су поступали.</w:t>
      </w:r>
    </w:p>
    <w:p w:rsidR="00E72ED5" w:rsidRPr="009331AA" w:rsidRDefault="00E72ED5" w:rsidP="00E72ED5">
      <w:pPr>
        <w:spacing w:after="0"/>
        <w:ind w:firstLine="720"/>
        <w:jc w:val="both"/>
        <w:rPr>
          <w:sz w:val="24"/>
          <w:szCs w:val="24"/>
          <w:lang w:val="sr-Cyrl-RS"/>
        </w:rPr>
      </w:pPr>
      <w:r w:rsidRPr="009331AA">
        <w:rPr>
          <w:sz w:val="24"/>
          <w:szCs w:val="24"/>
          <w:lang w:val="sr-Cyrl-RS"/>
        </w:rPr>
        <w:t>Имајући у виду да је део уочених, а нажалост континуираних недостатака у раду националних савета, везан за област финансијског извештавања и буџетског планирања, Канцеларија</w:t>
      </w:r>
      <w:r>
        <w:rPr>
          <w:sz w:val="24"/>
          <w:szCs w:val="24"/>
          <w:lang w:val="sr-Cyrl-RS"/>
        </w:rPr>
        <w:t xml:space="preserve"> за људска и мањинска права</w:t>
      </w:r>
      <w:r w:rsidRPr="009331AA">
        <w:rPr>
          <w:sz w:val="24"/>
          <w:szCs w:val="24"/>
          <w:lang w:val="sr-Cyrl-RS"/>
        </w:rPr>
        <w:t xml:space="preserve"> је и </w:t>
      </w:r>
      <w:r w:rsidR="009643EC">
        <w:rPr>
          <w:sz w:val="24"/>
          <w:szCs w:val="24"/>
          <w:lang w:val="sr-Cyrl-RS"/>
        </w:rPr>
        <w:t>током</w:t>
      </w:r>
      <w:r w:rsidRPr="009331AA">
        <w:rPr>
          <w:sz w:val="24"/>
          <w:szCs w:val="24"/>
          <w:lang w:val="sr-Cyrl-RS"/>
        </w:rPr>
        <w:t xml:space="preserve"> 2019. годин</w:t>
      </w:r>
      <w:r w:rsidR="009643EC">
        <w:rPr>
          <w:sz w:val="24"/>
          <w:szCs w:val="24"/>
          <w:lang w:val="sr-Cyrl-RS"/>
        </w:rPr>
        <w:t>е</w:t>
      </w:r>
      <w:r w:rsidRPr="009331AA">
        <w:rPr>
          <w:sz w:val="24"/>
          <w:szCs w:val="24"/>
          <w:lang w:val="sr-Cyrl-RS"/>
        </w:rPr>
        <w:t xml:space="preserve"> спровела додатне обуке за националне савете у овој области. Реализована је обука на тему „Финансијско пословање националних савета националних мањина“ чији је циљ био да се национални савети ближе упознају са законодавним, односно правним оквиром за финансијско пословање и извештавање. У оквиру обука појашњени су процеси и поступци програмског буџетирања, доношење финансијског плана, финансијског извештавања и финансијске контроле, поступања у случају утврђених неправилности и/или ненаменског утрошка средстава, као и обавеза и значај чувања финансијске документације. Обука је уједно била и прилика да се представницима националних савета практично представи Водич за финансијско пословање националних савета националних мањина, који је израђен у оквиру пројекта „Јачање заштите националних мањина у Србији“, у оквиру кога су, поред основних инструкција о пословању, припремљени и модели аката и одлука потребних за рад националних савета. </w:t>
      </w:r>
    </w:p>
    <w:p w:rsidR="00E72ED5" w:rsidRPr="009331AA" w:rsidRDefault="00E72ED5" w:rsidP="00E72ED5">
      <w:pPr>
        <w:spacing w:after="0"/>
        <w:jc w:val="both"/>
        <w:rPr>
          <w:sz w:val="24"/>
          <w:szCs w:val="24"/>
          <w:lang w:val="sr-Cyrl-RS"/>
        </w:rPr>
      </w:pPr>
      <w:r w:rsidRPr="009331AA">
        <w:rPr>
          <w:sz w:val="24"/>
          <w:szCs w:val="24"/>
          <w:lang w:val="sr-Cyrl-RS"/>
        </w:rPr>
        <w:tab/>
        <w:t>Након што је 2018. године усвојен сет измена и допуна „мањинских закона“, између осталих, и Закона о н</w:t>
      </w:r>
      <w:r>
        <w:rPr>
          <w:sz w:val="24"/>
          <w:szCs w:val="24"/>
          <w:lang w:val="sr-Cyrl-RS"/>
        </w:rPr>
        <w:t>а</w:t>
      </w:r>
      <w:r w:rsidRPr="009331AA">
        <w:rPr>
          <w:sz w:val="24"/>
          <w:szCs w:val="24"/>
          <w:lang w:val="sr-Cyrl-RS"/>
        </w:rPr>
        <w:t>ционалним саветима националних мањина,  крајем 2018. године израђен је тект Анализе примене прописа у области заштите људских и мањинских права са оствртом на законодавну праксу држава у окружењу.</w:t>
      </w:r>
    </w:p>
    <w:p w:rsidR="00E72ED5" w:rsidRPr="009331AA" w:rsidRDefault="00E72ED5" w:rsidP="00E72ED5">
      <w:pPr>
        <w:spacing w:after="0"/>
        <w:jc w:val="both"/>
        <w:rPr>
          <w:sz w:val="24"/>
          <w:szCs w:val="24"/>
          <w:lang w:val="sr-Cyrl-RS"/>
        </w:rPr>
      </w:pPr>
      <w:r w:rsidRPr="009331AA">
        <w:rPr>
          <w:sz w:val="24"/>
          <w:szCs w:val="24"/>
          <w:lang w:val="sr-Cyrl-RS"/>
        </w:rPr>
        <w:tab/>
        <w:t>Након тога, у циљу континуираног праћења примене прописа, 2020. године израђен је тек</w:t>
      </w:r>
      <w:r w:rsidR="00364594">
        <w:rPr>
          <w:sz w:val="24"/>
          <w:szCs w:val="24"/>
          <w:lang w:val="sr-Cyrl-RS"/>
        </w:rPr>
        <w:t>с</w:t>
      </w:r>
      <w:r w:rsidRPr="009331AA">
        <w:rPr>
          <w:sz w:val="24"/>
          <w:szCs w:val="24"/>
          <w:lang w:val="sr-Cyrl-RS"/>
        </w:rPr>
        <w:t xml:space="preserve">т Анализе примене прописа у области заштите људских и мањинских права која приказује резултате који се односе на примену и спровођење измена и допуна Закона о националним саветима националних мањина, Закона о заштити права и слобода националних мањина и Закона о службеној употреби језика и писама. </w:t>
      </w:r>
    </w:p>
    <w:p w:rsidR="00E72ED5" w:rsidRPr="009331AA" w:rsidRDefault="00E72ED5" w:rsidP="00E72ED5">
      <w:pPr>
        <w:spacing w:after="0"/>
        <w:ind w:firstLine="720"/>
        <w:jc w:val="both"/>
        <w:rPr>
          <w:sz w:val="24"/>
          <w:szCs w:val="24"/>
          <w:lang w:val="sr-Cyrl-RS"/>
        </w:rPr>
      </w:pPr>
      <w:r w:rsidRPr="009331AA">
        <w:rPr>
          <w:sz w:val="24"/>
          <w:szCs w:val="24"/>
          <w:lang w:val="sr-Cyrl-RS"/>
        </w:rPr>
        <w:t>У оквиру пројекта „Промоција различитости и равноправности у Србији”, који је део заједничког програма Европске уније/Савета Европе „Horizontal Facility за Западни Балкан и Турску 2019-2022” припремљен је „Приручник за рад националних савета националних мањина у Републици Србији“ чије је представљање одржано 14. априла 2021. године. Основна сврха Приручника је да постане корисно средство националним саветима националних мањина, да на једном месту пронађу практичне примере аката које национални савети националних мањина, сагласно прописима, могу да донесу, као и упутства које кораке и активности треба да предузму како би благовремено, потпуно и ефикасно вршили нека од јавних овлашћења која су им поверена. Приручник је достављен свим националним саветима</w:t>
      </w:r>
      <w:r w:rsidR="00364594">
        <w:rPr>
          <w:sz w:val="24"/>
          <w:szCs w:val="24"/>
          <w:lang w:val="sr-Cyrl-RS"/>
        </w:rPr>
        <w:t xml:space="preserve"> и преведен на 13 мањинских језика</w:t>
      </w:r>
      <w:r w:rsidRPr="009331AA">
        <w:rPr>
          <w:sz w:val="24"/>
          <w:szCs w:val="24"/>
          <w:lang w:val="sr-Cyrl-RS"/>
        </w:rPr>
        <w:t>.</w:t>
      </w:r>
      <w:r w:rsidRPr="009331AA">
        <w:rPr>
          <w:sz w:val="24"/>
          <w:szCs w:val="24"/>
          <w:lang w:val="sr-Cyrl-RS"/>
        </w:rPr>
        <w:tab/>
      </w:r>
    </w:p>
    <w:p w:rsidR="00E72ED5" w:rsidRDefault="00E72ED5" w:rsidP="00E72ED5">
      <w:pPr>
        <w:spacing w:after="0"/>
        <w:ind w:firstLine="720"/>
        <w:jc w:val="both"/>
        <w:rPr>
          <w:sz w:val="24"/>
          <w:szCs w:val="24"/>
          <w:lang w:val="sr-Cyrl-RS"/>
        </w:rPr>
      </w:pPr>
      <w:r w:rsidRPr="009331AA">
        <w:rPr>
          <w:sz w:val="24"/>
          <w:szCs w:val="24"/>
          <w:lang w:val="sr-Cyrl-RS"/>
        </w:rPr>
        <w:t>Континуирано се остварује сарадња са Координацијом националних савета, у вези свих питања од значаја за положај припадника националних мањина, односно делотворно вршење овлашћења националних савета националних мањина.</w:t>
      </w:r>
    </w:p>
    <w:p w:rsidR="00E72ED5" w:rsidRDefault="00E72ED5" w:rsidP="00E72ED5">
      <w:pPr>
        <w:spacing w:after="0"/>
        <w:ind w:firstLine="720"/>
        <w:jc w:val="both"/>
        <w:rPr>
          <w:sz w:val="24"/>
          <w:szCs w:val="24"/>
          <w:lang w:val="sr-Cyrl-RS"/>
        </w:rPr>
      </w:pPr>
      <w:r w:rsidRPr="00BF7C89">
        <w:rPr>
          <w:sz w:val="24"/>
          <w:szCs w:val="24"/>
          <w:lang w:val="sr-Cyrl-RS"/>
        </w:rPr>
        <w:lastRenderedPageBreak/>
        <w:t xml:space="preserve">У циљу континуираног унапређења остваривања права припадника националних мањина и сагледавања начина како </w:t>
      </w:r>
      <w:r>
        <w:rPr>
          <w:sz w:val="24"/>
          <w:szCs w:val="24"/>
          <w:lang w:val="sr-Cyrl-RS"/>
        </w:rPr>
        <w:t xml:space="preserve">национални савети </w:t>
      </w:r>
      <w:r w:rsidRPr="00BF7C89">
        <w:rPr>
          <w:sz w:val="24"/>
          <w:szCs w:val="24"/>
          <w:lang w:val="sr-Cyrl-RS"/>
        </w:rPr>
        <w:t>остварују законом</w:t>
      </w:r>
      <w:r>
        <w:rPr>
          <w:sz w:val="24"/>
          <w:szCs w:val="24"/>
          <w:lang w:val="sr-Cyrl-RS"/>
        </w:rPr>
        <w:t xml:space="preserve"> </w:t>
      </w:r>
      <w:r w:rsidRPr="00BF7C89">
        <w:rPr>
          <w:sz w:val="24"/>
          <w:szCs w:val="24"/>
          <w:lang w:val="sr-Cyrl-RS"/>
        </w:rPr>
        <w:t>дата јавна овлашћења, Заштитник грађана спровео је истраживање у 2019.</w:t>
      </w:r>
      <w:r>
        <w:rPr>
          <w:sz w:val="24"/>
          <w:szCs w:val="24"/>
          <w:lang w:val="sr-Cyrl-RS"/>
        </w:rPr>
        <w:t xml:space="preserve"> </w:t>
      </w:r>
      <w:r w:rsidRPr="00BF7C89">
        <w:rPr>
          <w:sz w:val="24"/>
          <w:szCs w:val="24"/>
          <w:lang w:val="sr-Cyrl-RS"/>
        </w:rPr>
        <w:t>уз подршку Мисије ОЕБС-а, како би на основу прикупљених података упутио препоруке и сагледао потребе и могућности за унапређење рада националних савета.</w:t>
      </w:r>
      <w:r>
        <w:rPr>
          <w:sz w:val="24"/>
          <w:szCs w:val="24"/>
          <w:lang w:val="sr-Cyrl-RS"/>
        </w:rPr>
        <w:t xml:space="preserve"> На основу поменутог истраживања</w:t>
      </w:r>
      <w:r w:rsidRPr="00BF7C89">
        <w:rPr>
          <w:sz w:val="24"/>
          <w:szCs w:val="24"/>
          <w:lang w:val="sr-Cyrl-RS"/>
        </w:rPr>
        <w:t xml:space="preserve"> Заштитник грађана сачинио је посебни извештај „Анализа о стању у области вршења јавних овлашћења националних савета националних мањина за период 2014-2018.“</w:t>
      </w:r>
      <w:r w:rsidR="00D57FCF">
        <w:rPr>
          <w:sz w:val="24"/>
          <w:szCs w:val="24"/>
          <w:lang w:val="sr-Cyrl-RS"/>
        </w:rPr>
        <w:t>,</w:t>
      </w:r>
      <w:r>
        <w:rPr>
          <w:rStyle w:val="FootnoteReference"/>
          <w:sz w:val="24"/>
          <w:szCs w:val="24"/>
          <w:lang w:val="sr-Cyrl-RS"/>
        </w:rPr>
        <w:footnoteReference w:id="70"/>
      </w:r>
      <w:r w:rsidRPr="00BF7C89">
        <w:rPr>
          <w:sz w:val="24"/>
          <w:szCs w:val="24"/>
          <w:lang w:val="sr-Cyrl-RS"/>
        </w:rPr>
        <w:t xml:space="preserve"> који је представљен 2020. године.</w:t>
      </w:r>
    </w:p>
    <w:p w:rsidR="00D34941" w:rsidRPr="003E3814" w:rsidRDefault="00D34941" w:rsidP="00D34941">
      <w:pPr>
        <w:spacing w:after="0"/>
        <w:ind w:firstLine="706"/>
        <w:jc w:val="both"/>
        <w:rPr>
          <w:noProof/>
          <w:sz w:val="24"/>
          <w:szCs w:val="24"/>
          <w:lang w:val="sr-Cyrl-RS"/>
        </w:rPr>
      </w:pPr>
      <w:r w:rsidRPr="003E3814">
        <w:rPr>
          <w:noProof/>
          <w:sz w:val="24"/>
          <w:szCs w:val="24"/>
          <w:lang w:val="sr-Cyrl-RS"/>
        </w:rPr>
        <w:t>Када је у питању Буџетски фонд за националне мањине, поред тога што се средства из овог фонда  континуирано додељују од 2017. године у складу са Уредбом о поступку расподеле средстава из Буџетског фонда за националне мањине</w:t>
      </w:r>
      <w:r>
        <w:rPr>
          <w:rStyle w:val="FootnoteReference"/>
          <w:noProof/>
          <w:sz w:val="24"/>
          <w:szCs w:val="24"/>
          <w:lang w:val="sr-Cyrl-RS"/>
        </w:rPr>
        <w:footnoteReference w:id="71"/>
      </w:r>
      <w:r w:rsidRPr="003E3814">
        <w:rPr>
          <w:noProof/>
          <w:sz w:val="24"/>
          <w:szCs w:val="24"/>
          <w:lang w:val="sr-Cyrl-RS"/>
        </w:rPr>
        <w:t>, из године у годину износ тих средстава се континуирано повећава</w:t>
      </w:r>
      <w:r w:rsidR="009643EC">
        <w:rPr>
          <w:noProof/>
          <w:sz w:val="24"/>
          <w:szCs w:val="24"/>
          <w:lang w:val="sr-Cyrl-RS"/>
        </w:rPr>
        <w:t>о до избијања пандемије КОВИД-19</w:t>
      </w:r>
      <w:r w:rsidRPr="003E3814">
        <w:rPr>
          <w:noProof/>
          <w:sz w:val="24"/>
          <w:szCs w:val="24"/>
          <w:lang w:val="sr-Cyrl-RS"/>
        </w:rPr>
        <w:t xml:space="preserve">. Тако су у односу на 2017. годину у којој су средства из Буџетског фонда за националне мањине додељена у износу од 1.800.000 динара, већ наредне 2018. године повећана на 21.800.000 динара, а из буџета за 2019. годину додељена су средства у износу од 30.000.000 динара. Буџетом Републике Србије за 2020. годину планирано је да се Буџетског фонда додели 30.000.000 динара, међутим, услед измене општих прихода и примања, расхода и издатака буџета Републике Србије за 2020. годину ради отклањања штетних последица услед болести </w:t>
      </w:r>
      <w:r w:rsidR="00490A76">
        <w:rPr>
          <w:noProof/>
          <w:sz w:val="24"/>
          <w:szCs w:val="24"/>
          <w:lang w:val="sr-Cyrl-RS"/>
        </w:rPr>
        <w:t>КОВИД</w:t>
      </w:r>
      <w:r w:rsidRPr="003E3814">
        <w:rPr>
          <w:noProof/>
          <w:sz w:val="24"/>
          <w:szCs w:val="24"/>
          <w:lang w:val="sr-Cyrl-RS"/>
        </w:rPr>
        <w:t xml:space="preserve">-19, свим корисницима буџетских средстава умањена су средства која су одoбрена у буџету за 2020. годину. За Буџетски фонд за националне мањине средства су смањена у износу од 6.000.000 динара, па су укупна средства која су додељена из Буџетског фонда у 2020. години износила 24.000.000,00 динара. Посебно треба истаћи да износ средстава из овог фонда у 2021. </w:t>
      </w:r>
      <w:r>
        <w:rPr>
          <w:noProof/>
          <w:sz w:val="24"/>
          <w:szCs w:val="24"/>
          <w:lang w:val="sr-Cyrl-RS"/>
        </w:rPr>
        <w:t xml:space="preserve">и 2022. </w:t>
      </w:r>
      <w:r w:rsidRPr="003E3814">
        <w:rPr>
          <w:noProof/>
          <w:sz w:val="24"/>
          <w:szCs w:val="24"/>
          <w:lang w:val="sr-Cyrl-RS"/>
        </w:rPr>
        <w:t>години није смањен и износи</w:t>
      </w:r>
      <w:r>
        <w:rPr>
          <w:noProof/>
          <w:sz w:val="24"/>
          <w:szCs w:val="24"/>
          <w:lang w:val="sr-Cyrl-RS"/>
        </w:rPr>
        <w:t xml:space="preserve">о </w:t>
      </w:r>
      <w:r>
        <w:rPr>
          <w:noProof/>
          <w:sz w:val="24"/>
          <w:szCs w:val="24"/>
        </w:rPr>
        <w:t>je</w:t>
      </w:r>
      <w:r w:rsidRPr="003E3814">
        <w:rPr>
          <w:noProof/>
          <w:sz w:val="24"/>
          <w:szCs w:val="24"/>
          <w:lang w:val="sr-Cyrl-RS"/>
        </w:rPr>
        <w:t xml:space="preserve"> </w:t>
      </w:r>
      <w:r>
        <w:rPr>
          <w:noProof/>
          <w:sz w:val="24"/>
          <w:szCs w:val="24"/>
          <w:lang w:val="sr-Cyrl-RS"/>
        </w:rPr>
        <w:t xml:space="preserve">по </w:t>
      </w:r>
      <w:r w:rsidRPr="003E3814">
        <w:rPr>
          <w:noProof/>
          <w:sz w:val="24"/>
          <w:szCs w:val="24"/>
          <w:lang w:val="sr-Cyrl-RS"/>
        </w:rPr>
        <w:t>30.000.000 динара, иако се ради о годин</w:t>
      </w:r>
      <w:r>
        <w:rPr>
          <w:noProof/>
          <w:sz w:val="24"/>
          <w:szCs w:val="24"/>
          <w:lang w:val="sr-Cyrl-RS"/>
        </w:rPr>
        <w:t>ама</w:t>
      </w:r>
      <w:r w:rsidRPr="003E3814">
        <w:rPr>
          <w:noProof/>
          <w:sz w:val="24"/>
          <w:szCs w:val="24"/>
          <w:lang w:val="sr-Cyrl-RS"/>
        </w:rPr>
        <w:t xml:space="preserve"> у кој</w:t>
      </w:r>
      <w:r>
        <w:rPr>
          <w:noProof/>
          <w:sz w:val="24"/>
          <w:szCs w:val="24"/>
          <w:lang w:val="sr-Cyrl-RS"/>
        </w:rPr>
        <w:t>има</w:t>
      </w:r>
      <w:r w:rsidRPr="003E3814">
        <w:rPr>
          <w:noProof/>
          <w:sz w:val="24"/>
          <w:szCs w:val="24"/>
          <w:lang w:val="sr-Cyrl-RS"/>
        </w:rPr>
        <w:t xml:space="preserve"> с</w:t>
      </w:r>
      <w:r>
        <w:rPr>
          <w:noProof/>
          <w:sz w:val="24"/>
          <w:szCs w:val="24"/>
          <w:lang w:val="sr-Cyrl-RS"/>
        </w:rPr>
        <w:t>у</w:t>
      </w:r>
      <w:r w:rsidRPr="003E3814">
        <w:rPr>
          <w:noProof/>
          <w:sz w:val="24"/>
          <w:szCs w:val="24"/>
          <w:lang w:val="sr-Cyrl-RS"/>
        </w:rPr>
        <w:t xml:space="preserve"> још увек присутне економске последице услед пандемије </w:t>
      </w:r>
      <w:r w:rsidR="00490A76">
        <w:rPr>
          <w:noProof/>
          <w:sz w:val="24"/>
          <w:szCs w:val="24"/>
          <w:lang w:val="sr-Cyrl-RS"/>
        </w:rPr>
        <w:t>КОВИД</w:t>
      </w:r>
      <w:r w:rsidRPr="003E3814">
        <w:rPr>
          <w:noProof/>
          <w:sz w:val="24"/>
          <w:szCs w:val="24"/>
          <w:lang w:val="sr-Cyrl-RS"/>
        </w:rPr>
        <w:t>-19, што је довело до смањења буџетских средст</w:t>
      </w:r>
      <w:r w:rsidR="000B1337">
        <w:rPr>
          <w:noProof/>
          <w:sz w:val="24"/>
          <w:szCs w:val="24"/>
          <w:lang w:val="sr-Cyrl-RS"/>
        </w:rPr>
        <w:t>а</w:t>
      </w:r>
      <w:r w:rsidRPr="003E3814">
        <w:rPr>
          <w:noProof/>
          <w:sz w:val="24"/>
          <w:szCs w:val="24"/>
          <w:lang w:val="sr-Cyrl-RS"/>
        </w:rPr>
        <w:t xml:space="preserve">ва у свим другим областима. </w:t>
      </w:r>
    </w:p>
    <w:p w:rsidR="00D34941" w:rsidRPr="003E3814" w:rsidRDefault="00D34941" w:rsidP="00D34941">
      <w:pPr>
        <w:spacing w:after="0"/>
        <w:ind w:firstLine="706"/>
        <w:jc w:val="both"/>
        <w:rPr>
          <w:noProof/>
          <w:sz w:val="24"/>
          <w:szCs w:val="24"/>
          <w:lang w:val="sr-Cyrl-RS"/>
        </w:rPr>
      </w:pPr>
      <w:r w:rsidRPr="003E3814">
        <w:rPr>
          <w:noProof/>
          <w:sz w:val="24"/>
          <w:szCs w:val="24"/>
          <w:lang w:val="sr-Cyrl-RS"/>
        </w:rPr>
        <w:t>У вези са конкурсним процедурама које се односе на расподелу средстава из Буџетског фонда, а које су прописане законима и уредбама, указујемо да се приликом њиховог доношења водило рачуна да потребе мањина буду узете у обзир, те да мањине активно учествују у креирању појединих конкурсних фаза. Тако се области које се финансирају из овог фонда и одређују као приоритетне за сваку годину доносе у складу са предлогом Координације националних савета националних мањина који се затим усваја на Савету за националне мањине у чијем раду учествују председници свих националних савета националних мањина. Такође, након усвајања приоритетне области, утврђују се специфични циљеви програма и пројеката за које се објављује конкурс, као и ближа мерила и допунски критеријуми за избор програма и пројеката који су специфични за одређену област, уз претходнe консултације са националним саветима националних мањина, а на предлог Координације националних савета националних мањина.</w:t>
      </w:r>
    </w:p>
    <w:p w:rsidR="00D34941" w:rsidRDefault="00D34941" w:rsidP="00D34941">
      <w:pPr>
        <w:spacing w:after="0"/>
        <w:ind w:firstLine="706"/>
        <w:jc w:val="both"/>
        <w:rPr>
          <w:noProof/>
          <w:sz w:val="24"/>
          <w:szCs w:val="24"/>
        </w:rPr>
      </w:pPr>
      <w:r w:rsidRPr="003E3814">
        <w:rPr>
          <w:noProof/>
          <w:sz w:val="24"/>
          <w:szCs w:val="24"/>
          <w:lang w:val="sr-Cyrl-RS"/>
        </w:rPr>
        <w:lastRenderedPageBreak/>
        <w:t>Избор програма и пројеката који се финансирају из Буџетског фонда врши се на основу претходног бодовања пријављених пројеката у складу са критеријумима утврђеним позитивним прописима и огласом конкурса, а не на основу тога ко је подносилац пријаве, односно без обзира на капацитете и ресурсе организације која предлаже пројекат. Избор пројеката превасходно је одређен квалитетом пројеката које организације подносе на конкурс и формалном и материјалном усклађеношћу тих пројеката са критеријумима за избор.</w:t>
      </w:r>
      <w:r>
        <w:rPr>
          <w:noProof/>
          <w:sz w:val="24"/>
          <w:szCs w:val="24"/>
        </w:rPr>
        <w:t xml:space="preserve"> </w:t>
      </w:r>
    </w:p>
    <w:p w:rsidR="007C4F7A" w:rsidRDefault="007C4F7A" w:rsidP="00D34941">
      <w:pPr>
        <w:spacing w:after="0"/>
        <w:ind w:firstLine="706"/>
        <w:jc w:val="both"/>
        <w:rPr>
          <w:noProof/>
          <w:sz w:val="24"/>
          <w:szCs w:val="24"/>
        </w:rPr>
      </w:pPr>
      <w:r w:rsidRPr="00DE16BA">
        <w:rPr>
          <w:noProof/>
          <w:sz w:val="24"/>
          <w:szCs w:val="24"/>
          <w:lang w:val="sr-Cyrl-RS"/>
        </w:rPr>
        <w:t>Национални савет бошњачке националне мањине у прилогу за овај извештај истиче да</w:t>
      </w:r>
      <w:r w:rsidRPr="00DE16BA">
        <w:rPr>
          <w:noProof/>
          <w:sz w:val="24"/>
          <w:szCs w:val="24"/>
        </w:rPr>
        <w:t xml:space="preserve"> средства која се планирају за рад </w:t>
      </w:r>
      <w:r w:rsidRPr="00DE16BA">
        <w:rPr>
          <w:noProof/>
          <w:sz w:val="24"/>
          <w:szCs w:val="24"/>
          <w:lang w:val="sr-Cyrl-RS"/>
        </w:rPr>
        <w:t>Буџетског ф</w:t>
      </w:r>
      <w:r w:rsidRPr="00DE16BA">
        <w:rPr>
          <w:noProof/>
          <w:sz w:val="24"/>
          <w:szCs w:val="24"/>
        </w:rPr>
        <w:t>онда и финансирање програма по њему нису адекватн</w:t>
      </w:r>
      <w:r w:rsidR="00DE16BA" w:rsidRPr="00DE16BA">
        <w:rPr>
          <w:noProof/>
          <w:sz w:val="24"/>
          <w:szCs w:val="24"/>
        </w:rPr>
        <w:t xml:space="preserve">а потребама националних мањина и да је </w:t>
      </w:r>
      <w:r w:rsidR="00DE16BA" w:rsidRPr="00DE16BA">
        <w:rPr>
          <w:noProof/>
          <w:sz w:val="24"/>
          <w:szCs w:val="24"/>
          <w:lang w:val="sr-Cyrl-RS"/>
        </w:rPr>
        <w:t>с</w:t>
      </w:r>
      <w:r w:rsidR="006B575F" w:rsidRPr="00DE16BA">
        <w:rPr>
          <w:noProof/>
          <w:sz w:val="24"/>
          <w:szCs w:val="24"/>
          <w:lang w:val="sr-Cyrl-RS"/>
        </w:rPr>
        <w:t>тога н</w:t>
      </w:r>
      <w:r w:rsidRPr="00DE16BA">
        <w:rPr>
          <w:noProof/>
          <w:sz w:val="24"/>
          <w:szCs w:val="24"/>
        </w:rPr>
        <w:t xml:space="preserve">еопходно повећати износ средстава за </w:t>
      </w:r>
      <w:r w:rsidR="00DE16BA" w:rsidRPr="00DE16BA">
        <w:rPr>
          <w:noProof/>
          <w:sz w:val="24"/>
          <w:szCs w:val="24"/>
          <w:lang w:val="sr-Cyrl-RS"/>
        </w:rPr>
        <w:t>тај</w:t>
      </w:r>
      <w:r w:rsidRPr="00DE16BA">
        <w:rPr>
          <w:noProof/>
          <w:sz w:val="24"/>
          <w:szCs w:val="24"/>
        </w:rPr>
        <w:t xml:space="preserve"> фонд и обезбедити додатна средства за финансирање културних активности.</w:t>
      </w:r>
    </w:p>
    <w:p w:rsidR="00D34941" w:rsidRDefault="00D34941" w:rsidP="00E72ED5">
      <w:pPr>
        <w:spacing w:after="0"/>
        <w:jc w:val="both"/>
        <w:rPr>
          <w:i/>
          <w:sz w:val="24"/>
          <w:szCs w:val="24"/>
          <w:lang w:val="sr-Cyrl-RS"/>
        </w:rPr>
      </w:pPr>
    </w:p>
    <w:p w:rsidR="00E72ED5" w:rsidRDefault="00E72ED5" w:rsidP="00E72ED5">
      <w:pPr>
        <w:spacing w:after="0"/>
        <w:jc w:val="both"/>
        <w:rPr>
          <w:i/>
          <w:sz w:val="24"/>
          <w:szCs w:val="24"/>
          <w:lang w:val="sr-Cyrl-RS"/>
        </w:rPr>
      </w:pPr>
      <w:r w:rsidRPr="00D763B6">
        <w:rPr>
          <w:i/>
          <w:sz w:val="24"/>
          <w:szCs w:val="24"/>
          <w:lang w:val="sr-Cyrl-RS"/>
        </w:rPr>
        <w:t>13. Дати приоритет економској ревитализацији подручја у којима припадници националних мањина живе у периферним и/или економски депресивним подручјима, укључујући побољшање инфраструктуре и подстицаје за бројније могућности за запошљавање.</w:t>
      </w:r>
    </w:p>
    <w:p w:rsidR="006D3FF0" w:rsidRDefault="006D3FF0" w:rsidP="00E72ED5">
      <w:pPr>
        <w:spacing w:after="0"/>
        <w:jc w:val="both"/>
        <w:rPr>
          <w:i/>
          <w:sz w:val="24"/>
          <w:szCs w:val="24"/>
          <w:lang w:val="sr-Cyrl-RS"/>
        </w:rPr>
      </w:pPr>
    </w:p>
    <w:p w:rsidR="006D3FF0" w:rsidRDefault="006D3FF0" w:rsidP="00E72ED5">
      <w:pPr>
        <w:spacing w:after="0"/>
        <w:jc w:val="both"/>
        <w:rPr>
          <w:i/>
          <w:sz w:val="24"/>
          <w:szCs w:val="24"/>
          <w:lang w:val="sr-Cyrl-RS"/>
        </w:rPr>
      </w:pPr>
      <w:r>
        <w:rPr>
          <w:i/>
          <w:sz w:val="24"/>
          <w:szCs w:val="24"/>
          <w:lang w:val="sr-Cyrl-RS"/>
        </w:rPr>
        <w:t>Економска ревитализација</w:t>
      </w:r>
      <w:r w:rsidRPr="006D3FF0">
        <w:rPr>
          <w:i/>
          <w:sz w:val="24"/>
          <w:szCs w:val="24"/>
          <w:lang w:val="sr-Cyrl-RS"/>
        </w:rPr>
        <w:t xml:space="preserve"> подручја у којима живе припадници националних мањина </w:t>
      </w:r>
    </w:p>
    <w:p w:rsidR="006D3FF0" w:rsidRDefault="006D3FF0" w:rsidP="00E60DB6">
      <w:pPr>
        <w:spacing w:after="0"/>
        <w:ind w:firstLine="720"/>
        <w:jc w:val="both"/>
        <w:rPr>
          <w:sz w:val="24"/>
          <w:szCs w:val="24"/>
          <w:highlight w:val="yellow"/>
          <w:lang w:val="sr-Cyrl-RS"/>
        </w:rPr>
      </w:pPr>
    </w:p>
    <w:p w:rsidR="006D3FF0" w:rsidRDefault="006D3FF0" w:rsidP="00E60DB6">
      <w:pPr>
        <w:spacing w:after="0"/>
        <w:ind w:firstLine="720"/>
        <w:jc w:val="both"/>
        <w:rPr>
          <w:sz w:val="24"/>
          <w:szCs w:val="24"/>
          <w:highlight w:val="yellow"/>
          <w:lang w:val="sr-Cyrl-RS"/>
        </w:rPr>
      </w:pPr>
      <w:r w:rsidRPr="004F1D2A">
        <w:rPr>
          <w:sz w:val="24"/>
          <w:szCs w:val="24"/>
          <w:lang w:val="sr-Cyrl-RS"/>
        </w:rPr>
        <w:t>Економска ревитализација подручја у којима живе припадници националних мањина остварује се кроз привлачењ</w:t>
      </w:r>
      <w:r w:rsidR="00FB13B3" w:rsidRPr="004F1D2A">
        <w:rPr>
          <w:sz w:val="24"/>
          <w:szCs w:val="24"/>
          <w:lang w:val="sr-Cyrl-RS"/>
        </w:rPr>
        <w:t>е инвестиција,</w:t>
      </w:r>
      <w:r w:rsidRPr="004F1D2A">
        <w:rPr>
          <w:sz w:val="24"/>
          <w:szCs w:val="24"/>
          <w:lang w:val="sr-Cyrl-RS"/>
        </w:rPr>
        <w:t xml:space="preserve"> кроз програме подршке и подстицаја привредницима</w:t>
      </w:r>
      <w:r w:rsidR="00FB13B3" w:rsidRPr="004F1D2A">
        <w:rPr>
          <w:sz w:val="24"/>
          <w:szCs w:val="24"/>
          <w:lang w:val="sr-Cyrl-RS"/>
        </w:rPr>
        <w:t xml:space="preserve"> и развој инфраструктуре</w:t>
      </w:r>
      <w:r w:rsidRPr="004F1D2A">
        <w:rPr>
          <w:sz w:val="24"/>
          <w:szCs w:val="24"/>
          <w:lang w:val="sr-Cyrl-RS"/>
        </w:rPr>
        <w:t xml:space="preserve">. Начелно посматрано, законски прописи из области улагања донети су, поред осталог, у циљу нових директних улагања и смањења незапослености, а у извештајном периоду </w:t>
      </w:r>
      <w:r w:rsidRPr="006D3FF0">
        <w:rPr>
          <w:sz w:val="24"/>
          <w:szCs w:val="24"/>
          <w:lang w:val="sr-Cyrl-RS"/>
        </w:rPr>
        <w:t xml:space="preserve">Влада </w:t>
      </w:r>
      <w:r>
        <w:rPr>
          <w:sz w:val="24"/>
          <w:szCs w:val="24"/>
          <w:lang w:val="sr-Cyrl-RS"/>
        </w:rPr>
        <w:t xml:space="preserve">Републике Србије </w:t>
      </w:r>
      <w:r w:rsidRPr="006D3FF0">
        <w:rPr>
          <w:sz w:val="24"/>
          <w:szCs w:val="24"/>
          <w:lang w:val="sr-Cyrl-RS"/>
        </w:rPr>
        <w:t>је у циљу привлачења директних улагања донела Уредбу о одређивању критеријума за доделу подстицаја ради привлачења директних улагања</w:t>
      </w:r>
      <w:r w:rsidR="009643EC">
        <w:rPr>
          <w:sz w:val="24"/>
          <w:szCs w:val="24"/>
          <w:lang w:val="sr-Cyrl-RS"/>
        </w:rPr>
        <w:t>,</w:t>
      </w:r>
      <w:r w:rsidR="00E84A7A">
        <w:rPr>
          <w:rStyle w:val="FootnoteReference"/>
          <w:sz w:val="24"/>
          <w:szCs w:val="24"/>
          <w:lang w:val="sr-Cyrl-RS"/>
        </w:rPr>
        <w:footnoteReference w:id="72"/>
      </w:r>
      <w:r w:rsidRPr="006D3FF0">
        <w:rPr>
          <w:sz w:val="24"/>
          <w:szCs w:val="24"/>
          <w:lang w:val="sr-Cyrl-RS"/>
        </w:rPr>
        <w:t xml:space="preserve"> Уредбу о одређивању критеријума за доделу подстицаја ради привлачења директних улагања у области производње прехрамбених производа</w:t>
      </w:r>
      <w:r w:rsidR="009643EC">
        <w:rPr>
          <w:sz w:val="24"/>
          <w:szCs w:val="24"/>
          <w:lang w:val="sr-Cyrl-RS"/>
        </w:rPr>
        <w:t>,</w:t>
      </w:r>
      <w:r w:rsidR="00E84A7A">
        <w:rPr>
          <w:rStyle w:val="FootnoteReference"/>
          <w:sz w:val="24"/>
          <w:szCs w:val="24"/>
          <w:lang w:val="sr-Cyrl-RS"/>
        </w:rPr>
        <w:footnoteReference w:id="73"/>
      </w:r>
      <w:r w:rsidRPr="006D3FF0">
        <w:rPr>
          <w:sz w:val="24"/>
          <w:szCs w:val="24"/>
          <w:lang w:val="sr-Cyrl-RS"/>
        </w:rPr>
        <w:t xml:space="preserve"> Уредбу о одређивању критеријума за доделу подстицаја ради привлачења директних улагања у сектору услуга хотелског смештаја</w:t>
      </w:r>
      <w:r w:rsidR="009643EC">
        <w:rPr>
          <w:sz w:val="24"/>
          <w:szCs w:val="24"/>
          <w:lang w:val="sr-Cyrl-RS"/>
        </w:rPr>
        <w:t>,</w:t>
      </w:r>
      <w:r w:rsidR="00E84A7A">
        <w:rPr>
          <w:rStyle w:val="FootnoteReference"/>
          <w:sz w:val="24"/>
          <w:szCs w:val="24"/>
          <w:lang w:val="sr-Cyrl-RS"/>
        </w:rPr>
        <w:footnoteReference w:id="74"/>
      </w:r>
      <w:r w:rsidRPr="006D3FF0">
        <w:rPr>
          <w:sz w:val="24"/>
          <w:szCs w:val="24"/>
          <w:lang w:val="sr-Cyrl-RS"/>
        </w:rPr>
        <w:t xml:space="preserve"> Уредбу о одређивању критеријума за доделу подстицаја ради привлачења директних улагања у аутоматизацију постојећих капацитета у области прехрамбене индустрије</w:t>
      </w:r>
      <w:r w:rsidR="009643EC">
        <w:rPr>
          <w:sz w:val="24"/>
          <w:szCs w:val="24"/>
          <w:lang w:val="sr-Cyrl-RS"/>
        </w:rPr>
        <w:t>,</w:t>
      </w:r>
      <w:r w:rsidR="00E84A7A">
        <w:rPr>
          <w:rStyle w:val="FootnoteReference"/>
          <w:sz w:val="24"/>
          <w:szCs w:val="24"/>
          <w:lang w:val="sr-Cyrl-RS"/>
        </w:rPr>
        <w:footnoteReference w:id="75"/>
      </w:r>
      <w:r w:rsidRPr="006D3FF0">
        <w:rPr>
          <w:sz w:val="24"/>
          <w:szCs w:val="24"/>
          <w:lang w:val="sr-Cyrl-RS"/>
        </w:rPr>
        <w:t xml:space="preserve"> као и Програм о распореду и коришћењу средстава за унапређење производње у производним гранама од значаја за равномерни локални и регионални развој</w:t>
      </w:r>
      <w:r w:rsidR="009643EC">
        <w:rPr>
          <w:sz w:val="24"/>
          <w:szCs w:val="24"/>
          <w:lang w:val="sr-Cyrl-RS"/>
        </w:rPr>
        <w:t>,</w:t>
      </w:r>
      <w:r w:rsidRPr="006D3FF0">
        <w:rPr>
          <w:sz w:val="24"/>
          <w:szCs w:val="24"/>
          <w:lang w:val="sr-Cyrl-RS"/>
        </w:rPr>
        <w:t xml:space="preserve"> који је прихватила Закључком од 3. новембра 2021. године.</w:t>
      </w:r>
    </w:p>
    <w:p w:rsidR="00E60DB6" w:rsidRPr="004F1D2A" w:rsidRDefault="00E60DB6" w:rsidP="006D3FF0">
      <w:pPr>
        <w:spacing w:after="0"/>
        <w:ind w:firstLine="720"/>
        <w:jc w:val="both"/>
        <w:rPr>
          <w:sz w:val="24"/>
          <w:szCs w:val="24"/>
          <w:lang w:val="sr-Cyrl-RS"/>
        </w:rPr>
      </w:pPr>
      <w:r w:rsidRPr="004F1D2A">
        <w:rPr>
          <w:sz w:val="24"/>
          <w:szCs w:val="24"/>
          <w:lang w:val="sr-Cyrl-RS"/>
        </w:rPr>
        <w:t>Министарство привреде у области инвестиционих улагања спроводи програме подршке привредницима у свим јединицама локалне самоуправе и право на учешће у реализацији тих програма остварују сви под једнаким условима.</w:t>
      </w:r>
      <w:r w:rsidR="006D3FF0" w:rsidRPr="004F1D2A">
        <w:rPr>
          <w:sz w:val="24"/>
          <w:szCs w:val="24"/>
          <w:lang w:val="sr-Cyrl-RS"/>
        </w:rPr>
        <w:t xml:space="preserve"> </w:t>
      </w:r>
      <w:r w:rsidRPr="004F1D2A">
        <w:rPr>
          <w:sz w:val="24"/>
          <w:szCs w:val="24"/>
          <w:lang w:val="sr-Cyrl-RS"/>
        </w:rPr>
        <w:t xml:space="preserve">Према евиденцији Министарства привреде, у периоду од 2017. године до </w:t>
      </w:r>
      <w:r w:rsidR="00CD062A" w:rsidRPr="009B1C09">
        <w:rPr>
          <w:sz w:val="24"/>
          <w:szCs w:val="24"/>
          <w:lang w:val="sr-Cyrl-RS"/>
        </w:rPr>
        <w:t>202</w:t>
      </w:r>
      <w:r w:rsidR="003E7B68" w:rsidRPr="009B1C09">
        <w:rPr>
          <w:sz w:val="24"/>
          <w:szCs w:val="24"/>
          <w:lang w:val="sr-Cyrl-RS"/>
        </w:rPr>
        <w:t>2</w:t>
      </w:r>
      <w:r w:rsidR="00CD062A" w:rsidRPr="009B1C09">
        <w:rPr>
          <w:sz w:val="24"/>
          <w:szCs w:val="24"/>
          <w:lang w:val="sr-Cyrl-RS"/>
        </w:rPr>
        <w:t xml:space="preserve">. </w:t>
      </w:r>
      <w:r w:rsidR="00CD062A">
        <w:rPr>
          <w:sz w:val="24"/>
          <w:szCs w:val="24"/>
          <w:lang w:val="sr-Cyrl-RS"/>
        </w:rPr>
        <w:t>године</w:t>
      </w:r>
      <w:r w:rsidRPr="004F1D2A">
        <w:rPr>
          <w:sz w:val="24"/>
          <w:szCs w:val="24"/>
          <w:lang w:val="sr-Cyrl-RS"/>
        </w:rPr>
        <w:t xml:space="preserve">, реализацијом 110 уговора о додели средстава подстицаја, односно инвестиционих пројекта на подручју </w:t>
      </w:r>
      <w:r w:rsidRPr="004F1D2A">
        <w:rPr>
          <w:sz w:val="24"/>
          <w:szCs w:val="24"/>
          <w:lang w:val="sr-Cyrl-RS"/>
        </w:rPr>
        <w:lastRenderedPageBreak/>
        <w:t xml:space="preserve">централне и јужне Србије, предвиђено </w:t>
      </w:r>
      <w:r w:rsidR="00E84A7A">
        <w:rPr>
          <w:sz w:val="24"/>
          <w:szCs w:val="24"/>
          <w:lang w:val="sr-Cyrl-RS"/>
        </w:rPr>
        <w:t xml:space="preserve">је </w:t>
      </w:r>
      <w:r w:rsidRPr="004F1D2A">
        <w:rPr>
          <w:sz w:val="24"/>
          <w:szCs w:val="24"/>
          <w:lang w:val="sr-Cyrl-RS"/>
        </w:rPr>
        <w:t>запошљавање 30.482 нових радника на неодређено време.</w:t>
      </w:r>
    </w:p>
    <w:p w:rsidR="00E60DB6" w:rsidRPr="004C3FCB" w:rsidRDefault="00E171E8" w:rsidP="00E60DB6">
      <w:pPr>
        <w:spacing w:after="0"/>
        <w:ind w:firstLine="720"/>
        <w:jc w:val="both"/>
        <w:rPr>
          <w:sz w:val="24"/>
          <w:szCs w:val="24"/>
          <w:highlight w:val="yellow"/>
          <w:lang w:val="sr-Cyrl-RS"/>
        </w:rPr>
      </w:pPr>
      <w:r w:rsidRPr="004F1D2A">
        <w:rPr>
          <w:sz w:val="24"/>
          <w:szCs w:val="24"/>
          <w:lang w:val="sr-Cyrl-RS"/>
        </w:rPr>
        <w:t xml:space="preserve">Имајући у виду да су </w:t>
      </w:r>
      <w:r>
        <w:rPr>
          <w:sz w:val="24"/>
          <w:szCs w:val="24"/>
          <w:lang w:val="sr-Cyrl-RS"/>
        </w:rPr>
        <w:t>поједина од периферних и/или економски депресивних подручј</w:t>
      </w:r>
      <w:r w:rsidRPr="00E171E8">
        <w:rPr>
          <w:sz w:val="24"/>
          <w:szCs w:val="24"/>
          <w:lang w:val="sr-Cyrl-RS"/>
        </w:rPr>
        <w:t>а</w:t>
      </w:r>
      <w:r>
        <w:rPr>
          <w:sz w:val="24"/>
          <w:szCs w:val="24"/>
          <w:lang w:val="sr-Cyrl-RS"/>
        </w:rPr>
        <w:t xml:space="preserve"> она која углавном насељавају припадници албанске, бошњачке, бугарске и ромске националне мањине, тачније југа, југозапада и југоистока Србије, Министарство привреде је посветило посебну пажњу тим подручјима. Укупно посматрано, </w:t>
      </w:r>
      <w:r w:rsidRPr="00E171E8">
        <w:rPr>
          <w:sz w:val="24"/>
          <w:szCs w:val="24"/>
          <w:lang w:val="sr-Cyrl-RS"/>
        </w:rPr>
        <w:t>у периоду од 2017</w:t>
      </w:r>
      <w:r w:rsidR="00E84A7A">
        <w:rPr>
          <w:sz w:val="24"/>
          <w:szCs w:val="24"/>
          <w:lang w:val="sr-Cyrl-RS"/>
        </w:rPr>
        <w:t xml:space="preserve">. до </w:t>
      </w:r>
      <w:r w:rsidRPr="00E171E8">
        <w:rPr>
          <w:sz w:val="24"/>
          <w:szCs w:val="24"/>
          <w:lang w:val="sr-Cyrl-RS"/>
        </w:rPr>
        <w:t>2021. године</w:t>
      </w:r>
      <w:r>
        <w:rPr>
          <w:sz w:val="24"/>
          <w:szCs w:val="24"/>
          <w:lang w:val="sr-Cyrl-RS"/>
        </w:rPr>
        <w:t xml:space="preserve"> у тим подручјима </w:t>
      </w:r>
      <w:r w:rsidRPr="00E171E8">
        <w:rPr>
          <w:sz w:val="24"/>
          <w:szCs w:val="24"/>
          <w:lang w:val="sr-Cyrl-RS"/>
        </w:rPr>
        <w:t xml:space="preserve">за инвестиције </w:t>
      </w:r>
      <w:r>
        <w:rPr>
          <w:sz w:val="24"/>
          <w:szCs w:val="24"/>
          <w:lang w:val="sr-Cyrl-RS"/>
        </w:rPr>
        <w:t xml:space="preserve">у области малих и средњих предузећа је издвојено </w:t>
      </w:r>
      <w:r w:rsidRPr="00E171E8">
        <w:rPr>
          <w:sz w:val="24"/>
          <w:szCs w:val="24"/>
          <w:lang w:val="sr-Cyrl-RS"/>
        </w:rPr>
        <w:t xml:space="preserve">1.895.773.536,75 </w:t>
      </w:r>
      <w:r w:rsidR="00E84A7A">
        <w:rPr>
          <w:sz w:val="24"/>
          <w:szCs w:val="24"/>
          <w:lang w:val="sr-Cyrl-RS"/>
        </w:rPr>
        <w:t>динара</w:t>
      </w:r>
      <w:r>
        <w:rPr>
          <w:sz w:val="24"/>
          <w:szCs w:val="24"/>
          <w:lang w:val="sr-Cyrl-RS"/>
        </w:rPr>
        <w:t>, од чега је</w:t>
      </w:r>
      <w:r w:rsidRPr="00E171E8">
        <w:t xml:space="preserve"> </w:t>
      </w:r>
      <w:r w:rsidRPr="00E171E8">
        <w:rPr>
          <w:sz w:val="24"/>
          <w:szCs w:val="24"/>
          <w:lang w:val="sr-Cyrl-RS"/>
        </w:rPr>
        <w:t>кроз програме подршке</w:t>
      </w:r>
      <w:r>
        <w:rPr>
          <w:sz w:val="24"/>
          <w:szCs w:val="24"/>
          <w:lang w:val="sr-Cyrl-RS"/>
        </w:rPr>
        <w:t xml:space="preserve"> таквим пр</w:t>
      </w:r>
      <w:r w:rsidRPr="00E171E8">
        <w:rPr>
          <w:sz w:val="24"/>
          <w:szCs w:val="24"/>
          <w:lang w:val="sr-Cyrl-RS"/>
        </w:rPr>
        <w:t>едузећ</w:t>
      </w:r>
      <w:r>
        <w:rPr>
          <w:sz w:val="24"/>
          <w:szCs w:val="24"/>
          <w:lang w:val="sr-Cyrl-RS"/>
        </w:rPr>
        <w:t xml:space="preserve">има </w:t>
      </w:r>
      <w:r w:rsidRPr="00E171E8">
        <w:rPr>
          <w:sz w:val="24"/>
          <w:szCs w:val="24"/>
          <w:lang w:val="sr-Cyrl-RS"/>
        </w:rPr>
        <w:t xml:space="preserve">(за набавку опреме, развојне, стартап и пројекте жена и младих), бесповратно одобрено 426.539.918,60 </w:t>
      </w:r>
      <w:r w:rsidR="00E84A7A">
        <w:rPr>
          <w:sz w:val="24"/>
          <w:szCs w:val="24"/>
          <w:lang w:val="sr-Cyrl-RS"/>
        </w:rPr>
        <w:t>динара</w:t>
      </w:r>
      <w:r>
        <w:rPr>
          <w:sz w:val="24"/>
          <w:szCs w:val="24"/>
          <w:lang w:val="sr-Cyrl-RS"/>
        </w:rPr>
        <w:t xml:space="preserve">. Доње табеле садрже податке о расподели тих средстава према подручјима. </w:t>
      </w:r>
    </w:p>
    <w:p w:rsidR="00E60DB6" w:rsidRPr="004C3FCB" w:rsidRDefault="00E60DB6" w:rsidP="00E60DB6">
      <w:pPr>
        <w:spacing w:after="0"/>
        <w:jc w:val="both"/>
        <w:rPr>
          <w:sz w:val="24"/>
          <w:szCs w:val="24"/>
          <w:highlight w:val="yellow"/>
          <w:lang w:val="sr-Cyrl-RS"/>
        </w:rPr>
      </w:pPr>
    </w:p>
    <w:p w:rsidR="00E60DB6" w:rsidRPr="004F1D2A" w:rsidRDefault="00E60DB6" w:rsidP="00E60DB6">
      <w:pPr>
        <w:pStyle w:val="Tablecaption0"/>
        <w:ind w:left="11"/>
        <w:jc w:val="center"/>
        <w:rPr>
          <w:sz w:val="20"/>
          <w:szCs w:val="20"/>
          <w:u w:val="none"/>
          <w:lang w:val="sr-Cyrl-RS"/>
        </w:rPr>
      </w:pPr>
      <w:r w:rsidRPr="004F1D2A">
        <w:rPr>
          <w:rStyle w:val="Tablecaption"/>
          <w:rFonts w:eastAsia="Calibri"/>
          <w:sz w:val="20"/>
          <w:szCs w:val="20"/>
          <w:u w:val="none"/>
          <w:lang w:val="sr-Cyrl-RS"/>
        </w:rPr>
        <w:t>Медвеђа, Бујановац, Прешево</w:t>
      </w:r>
    </w:p>
    <w:tbl>
      <w:tblPr>
        <w:tblOverlap w:val="never"/>
        <w:tblW w:w="9087" w:type="dxa"/>
        <w:tblLayout w:type="fixed"/>
        <w:tblCellMar>
          <w:left w:w="10" w:type="dxa"/>
          <w:right w:w="10" w:type="dxa"/>
        </w:tblCellMar>
        <w:tblLook w:val="0000" w:firstRow="0" w:lastRow="0" w:firstColumn="0" w:lastColumn="0" w:noHBand="0" w:noVBand="0"/>
      </w:tblPr>
      <w:tblGrid>
        <w:gridCol w:w="2972"/>
        <w:gridCol w:w="3040"/>
        <w:gridCol w:w="3075"/>
      </w:tblGrid>
      <w:tr w:rsidR="00E60DB6" w:rsidRPr="004F1D2A" w:rsidTr="004C3FCB">
        <w:trPr>
          <w:trHeight w:hRule="exact" w:val="561"/>
        </w:trPr>
        <w:tc>
          <w:tcPr>
            <w:tcW w:w="2972" w:type="dxa"/>
            <w:tcBorders>
              <w:top w:val="single" w:sz="4" w:space="0" w:color="auto"/>
              <w:left w:val="single" w:sz="4" w:space="0" w:color="auto"/>
            </w:tcBorders>
            <w:shd w:val="clear" w:color="auto" w:fill="auto"/>
            <w:vAlign w:val="center"/>
          </w:tcPr>
          <w:p w:rsidR="00E60DB6" w:rsidRPr="004F1D2A" w:rsidRDefault="00E60DB6" w:rsidP="00E60DB6">
            <w:pPr>
              <w:pStyle w:val="Other0"/>
              <w:spacing w:after="0" w:line="240" w:lineRule="auto"/>
              <w:ind w:firstLine="0"/>
              <w:jc w:val="center"/>
              <w:rPr>
                <w:sz w:val="20"/>
                <w:szCs w:val="20"/>
                <w:lang w:val="sr-Cyrl-RS"/>
              </w:rPr>
            </w:pPr>
            <w:r w:rsidRPr="004F1D2A">
              <w:rPr>
                <w:rStyle w:val="Other"/>
                <w:sz w:val="20"/>
                <w:szCs w:val="20"/>
                <w:lang w:val="sr-Cyrl-RS"/>
              </w:rPr>
              <w:t>Инвестиције</w:t>
            </w:r>
          </w:p>
        </w:tc>
        <w:tc>
          <w:tcPr>
            <w:tcW w:w="3040" w:type="dxa"/>
            <w:tcBorders>
              <w:top w:val="single" w:sz="4" w:space="0" w:color="auto"/>
              <w:left w:val="single" w:sz="4" w:space="0" w:color="auto"/>
            </w:tcBorders>
            <w:shd w:val="clear" w:color="auto" w:fill="auto"/>
            <w:vAlign w:val="center"/>
          </w:tcPr>
          <w:p w:rsidR="00E60DB6" w:rsidRPr="004F1D2A" w:rsidRDefault="00E60DB6" w:rsidP="00E60DB6">
            <w:pPr>
              <w:pStyle w:val="Other0"/>
              <w:spacing w:after="0" w:line="240" w:lineRule="auto"/>
              <w:ind w:firstLine="0"/>
              <w:jc w:val="center"/>
              <w:rPr>
                <w:sz w:val="20"/>
                <w:szCs w:val="20"/>
                <w:lang w:val="sr-Cyrl-RS"/>
              </w:rPr>
            </w:pPr>
            <w:r w:rsidRPr="004F1D2A">
              <w:rPr>
                <w:rStyle w:val="Other"/>
                <w:sz w:val="20"/>
                <w:szCs w:val="20"/>
                <w:lang w:val="sr-Cyrl-RS"/>
              </w:rPr>
              <w:t>Одобрено бесповратно</w:t>
            </w:r>
          </w:p>
        </w:tc>
        <w:tc>
          <w:tcPr>
            <w:tcW w:w="3075" w:type="dxa"/>
            <w:tcBorders>
              <w:top w:val="single" w:sz="4" w:space="0" w:color="auto"/>
              <w:left w:val="single" w:sz="4" w:space="0" w:color="auto"/>
              <w:right w:val="single" w:sz="4" w:space="0" w:color="auto"/>
            </w:tcBorders>
            <w:shd w:val="clear" w:color="auto" w:fill="auto"/>
            <w:vAlign w:val="center"/>
          </w:tcPr>
          <w:p w:rsidR="00E60DB6" w:rsidRPr="004F1D2A" w:rsidRDefault="00E60DB6" w:rsidP="00E60DB6">
            <w:pPr>
              <w:pStyle w:val="Other0"/>
              <w:spacing w:after="0" w:line="240" w:lineRule="auto"/>
              <w:ind w:firstLine="0"/>
              <w:jc w:val="center"/>
              <w:rPr>
                <w:sz w:val="20"/>
                <w:szCs w:val="20"/>
                <w:lang w:val="sr-Cyrl-RS"/>
              </w:rPr>
            </w:pPr>
            <w:r w:rsidRPr="004F1D2A">
              <w:rPr>
                <w:rStyle w:val="Other"/>
                <w:sz w:val="20"/>
                <w:szCs w:val="20"/>
                <w:lang w:val="sr-Cyrl-RS"/>
              </w:rPr>
              <w:t>Одобрено захтева</w:t>
            </w:r>
          </w:p>
        </w:tc>
      </w:tr>
      <w:tr w:rsidR="00E60DB6" w:rsidRPr="004F1D2A" w:rsidTr="004C3FCB">
        <w:trPr>
          <w:trHeight w:hRule="exact" w:val="321"/>
        </w:trPr>
        <w:tc>
          <w:tcPr>
            <w:tcW w:w="2972" w:type="dxa"/>
            <w:tcBorders>
              <w:top w:val="single" w:sz="4" w:space="0" w:color="auto"/>
              <w:left w:val="single" w:sz="4" w:space="0" w:color="auto"/>
              <w:bottom w:val="single" w:sz="4" w:space="0" w:color="auto"/>
            </w:tcBorders>
            <w:shd w:val="clear" w:color="auto" w:fill="auto"/>
            <w:vAlign w:val="bottom"/>
          </w:tcPr>
          <w:p w:rsidR="00E60DB6" w:rsidRPr="004F1D2A" w:rsidRDefault="00E60DB6" w:rsidP="00E60DB6">
            <w:pPr>
              <w:pStyle w:val="Other0"/>
              <w:spacing w:after="0" w:line="240" w:lineRule="auto"/>
              <w:ind w:firstLine="0"/>
              <w:jc w:val="center"/>
              <w:rPr>
                <w:sz w:val="20"/>
                <w:szCs w:val="20"/>
                <w:lang w:val="sr-Cyrl-RS"/>
              </w:rPr>
            </w:pPr>
            <w:r w:rsidRPr="004F1D2A">
              <w:rPr>
                <w:rStyle w:val="Other"/>
                <w:bCs/>
                <w:sz w:val="20"/>
                <w:szCs w:val="20"/>
                <w:lang w:val="sr-Cyrl-RS"/>
              </w:rPr>
              <w:t>244.033.796,58</w:t>
            </w:r>
          </w:p>
        </w:tc>
        <w:tc>
          <w:tcPr>
            <w:tcW w:w="3040" w:type="dxa"/>
            <w:tcBorders>
              <w:top w:val="single" w:sz="4" w:space="0" w:color="auto"/>
              <w:left w:val="single" w:sz="4" w:space="0" w:color="auto"/>
              <w:bottom w:val="single" w:sz="4" w:space="0" w:color="auto"/>
            </w:tcBorders>
            <w:shd w:val="clear" w:color="auto" w:fill="auto"/>
            <w:vAlign w:val="bottom"/>
          </w:tcPr>
          <w:p w:rsidR="00E60DB6" w:rsidRPr="004F1D2A" w:rsidRDefault="00E60DB6" w:rsidP="00E60DB6">
            <w:pPr>
              <w:pStyle w:val="Other0"/>
              <w:spacing w:after="0" w:line="240" w:lineRule="auto"/>
              <w:ind w:firstLine="940"/>
              <w:jc w:val="both"/>
              <w:rPr>
                <w:sz w:val="20"/>
                <w:szCs w:val="20"/>
                <w:lang w:val="sr-Cyrl-RS"/>
              </w:rPr>
            </w:pPr>
            <w:r w:rsidRPr="004F1D2A">
              <w:rPr>
                <w:rStyle w:val="Other"/>
                <w:bCs/>
                <w:sz w:val="20"/>
                <w:szCs w:val="20"/>
                <w:lang w:val="sr-Cyrl-RS"/>
              </w:rPr>
              <w:t>62.368.835,28</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bottom"/>
          </w:tcPr>
          <w:p w:rsidR="00E60DB6" w:rsidRPr="004F1D2A" w:rsidRDefault="00E60DB6" w:rsidP="00E60DB6">
            <w:pPr>
              <w:pStyle w:val="Other0"/>
              <w:spacing w:after="0" w:line="240" w:lineRule="auto"/>
              <w:ind w:firstLine="0"/>
              <w:jc w:val="center"/>
              <w:rPr>
                <w:sz w:val="20"/>
                <w:szCs w:val="20"/>
                <w:lang w:val="sr-Cyrl-RS"/>
              </w:rPr>
            </w:pPr>
            <w:r w:rsidRPr="004F1D2A">
              <w:rPr>
                <w:rStyle w:val="Other"/>
                <w:bCs/>
                <w:sz w:val="20"/>
                <w:szCs w:val="20"/>
                <w:lang w:val="sr-Cyrl-RS"/>
              </w:rPr>
              <w:t>20</w:t>
            </w:r>
          </w:p>
        </w:tc>
      </w:tr>
    </w:tbl>
    <w:p w:rsidR="004C3FCB" w:rsidRPr="004F1D2A" w:rsidRDefault="004C3FCB" w:rsidP="00E60DB6">
      <w:pPr>
        <w:pStyle w:val="Tablecaption0"/>
        <w:rPr>
          <w:rStyle w:val="Tablecaption"/>
          <w:rFonts w:eastAsia="Calibri"/>
          <w:lang w:val="sr-Cyrl-RS"/>
        </w:rPr>
      </w:pPr>
    </w:p>
    <w:p w:rsidR="00E60DB6" w:rsidRPr="004F1D2A" w:rsidRDefault="00E60DB6" w:rsidP="004C3FCB">
      <w:pPr>
        <w:pStyle w:val="Tablecaption0"/>
        <w:jc w:val="center"/>
        <w:rPr>
          <w:sz w:val="20"/>
          <w:szCs w:val="20"/>
          <w:u w:val="none"/>
          <w:lang w:val="sr-Cyrl-RS"/>
        </w:rPr>
      </w:pPr>
      <w:r w:rsidRPr="004F1D2A">
        <w:rPr>
          <w:rStyle w:val="Tablecaption"/>
          <w:rFonts w:eastAsia="Calibri"/>
          <w:sz w:val="20"/>
          <w:szCs w:val="20"/>
          <w:u w:val="none"/>
          <w:lang w:val="sr-Cyrl-RS"/>
        </w:rPr>
        <w:t>Пријепоље, Сјеница, Прибој, Нови Пазар, Тутин</w:t>
      </w:r>
    </w:p>
    <w:tbl>
      <w:tblPr>
        <w:tblOverlap w:val="never"/>
        <w:tblW w:w="9095" w:type="dxa"/>
        <w:tblLayout w:type="fixed"/>
        <w:tblCellMar>
          <w:left w:w="10" w:type="dxa"/>
          <w:right w:w="10" w:type="dxa"/>
        </w:tblCellMar>
        <w:tblLook w:val="0000" w:firstRow="0" w:lastRow="0" w:firstColumn="0" w:lastColumn="0" w:noHBand="0" w:noVBand="0"/>
      </w:tblPr>
      <w:tblGrid>
        <w:gridCol w:w="2491"/>
        <w:gridCol w:w="3528"/>
        <w:gridCol w:w="3076"/>
      </w:tblGrid>
      <w:tr w:rsidR="00E60DB6" w:rsidRPr="004F1D2A" w:rsidTr="004C3FCB">
        <w:trPr>
          <w:trHeight w:hRule="exact" w:val="515"/>
        </w:trPr>
        <w:tc>
          <w:tcPr>
            <w:tcW w:w="2491" w:type="dxa"/>
            <w:tcBorders>
              <w:top w:val="single" w:sz="4" w:space="0" w:color="auto"/>
              <w:left w:val="single" w:sz="4" w:space="0" w:color="auto"/>
            </w:tcBorders>
            <w:shd w:val="clear" w:color="auto" w:fill="auto"/>
            <w:vAlign w:val="center"/>
          </w:tcPr>
          <w:p w:rsidR="00E60DB6" w:rsidRPr="004F1D2A" w:rsidRDefault="00E60DB6" w:rsidP="004C3FCB">
            <w:pPr>
              <w:pStyle w:val="Other0"/>
              <w:spacing w:after="0" w:line="240" w:lineRule="auto"/>
              <w:ind w:firstLine="0"/>
              <w:jc w:val="center"/>
              <w:rPr>
                <w:sz w:val="20"/>
                <w:szCs w:val="20"/>
                <w:lang w:val="sr-Cyrl-RS"/>
              </w:rPr>
            </w:pPr>
            <w:r w:rsidRPr="004F1D2A">
              <w:rPr>
                <w:rStyle w:val="Other"/>
                <w:sz w:val="20"/>
                <w:szCs w:val="20"/>
                <w:lang w:val="sr-Cyrl-RS"/>
              </w:rPr>
              <w:t>Инвестиције</w:t>
            </w:r>
          </w:p>
        </w:tc>
        <w:tc>
          <w:tcPr>
            <w:tcW w:w="3528" w:type="dxa"/>
            <w:tcBorders>
              <w:top w:val="single" w:sz="4" w:space="0" w:color="auto"/>
              <w:left w:val="single" w:sz="4" w:space="0" w:color="auto"/>
            </w:tcBorders>
            <w:shd w:val="clear" w:color="auto" w:fill="auto"/>
            <w:vAlign w:val="center"/>
          </w:tcPr>
          <w:p w:rsidR="00E60DB6" w:rsidRPr="004F1D2A" w:rsidRDefault="00E60DB6" w:rsidP="004C3FCB">
            <w:pPr>
              <w:pStyle w:val="Other0"/>
              <w:spacing w:after="0" w:line="240" w:lineRule="auto"/>
              <w:ind w:firstLine="0"/>
              <w:jc w:val="center"/>
              <w:rPr>
                <w:sz w:val="20"/>
                <w:szCs w:val="20"/>
                <w:lang w:val="sr-Cyrl-RS"/>
              </w:rPr>
            </w:pPr>
            <w:r w:rsidRPr="004F1D2A">
              <w:rPr>
                <w:rStyle w:val="Other"/>
                <w:sz w:val="20"/>
                <w:szCs w:val="20"/>
                <w:lang w:val="sr-Cyrl-RS"/>
              </w:rPr>
              <w:t>Одобрено бесповратно</w:t>
            </w:r>
          </w:p>
        </w:tc>
        <w:tc>
          <w:tcPr>
            <w:tcW w:w="3076" w:type="dxa"/>
            <w:tcBorders>
              <w:top w:val="single" w:sz="4" w:space="0" w:color="auto"/>
              <w:left w:val="single" w:sz="4" w:space="0" w:color="auto"/>
              <w:right w:val="single" w:sz="4" w:space="0" w:color="auto"/>
            </w:tcBorders>
            <w:shd w:val="clear" w:color="auto" w:fill="auto"/>
            <w:vAlign w:val="center"/>
          </w:tcPr>
          <w:p w:rsidR="00E60DB6" w:rsidRPr="004F1D2A" w:rsidRDefault="00E60DB6" w:rsidP="004C3FCB">
            <w:pPr>
              <w:pStyle w:val="Other0"/>
              <w:spacing w:after="0" w:line="240" w:lineRule="auto"/>
              <w:ind w:firstLine="0"/>
              <w:jc w:val="center"/>
              <w:rPr>
                <w:sz w:val="20"/>
                <w:szCs w:val="20"/>
                <w:lang w:val="sr-Cyrl-RS"/>
              </w:rPr>
            </w:pPr>
            <w:r w:rsidRPr="004F1D2A">
              <w:rPr>
                <w:rStyle w:val="Other"/>
                <w:sz w:val="20"/>
                <w:szCs w:val="20"/>
                <w:lang w:val="sr-Cyrl-RS"/>
              </w:rPr>
              <w:t>Одобрено захтева</w:t>
            </w:r>
          </w:p>
        </w:tc>
      </w:tr>
      <w:tr w:rsidR="00E60DB6" w:rsidRPr="004F1D2A" w:rsidTr="004C3FCB">
        <w:trPr>
          <w:trHeight w:hRule="exact" w:val="294"/>
        </w:trPr>
        <w:tc>
          <w:tcPr>
            <w:tcW w:w="2491" w:type="dxa"/>
            <w:tcBorders>
              <w:top w:val="single" w:sz="4" w:space="0" w:color="auto"/>
              <w:left w:val="single" w:sz="4" w:space="0" w:color="auto"/>
              <w:bottom w:val="single" w:sz="4" w:space="0" w:color="auto"/>
            </w:tcBorders>
            <w:shd w:val="clear" w:color="auto" w:fill="auto"/>
            <w:vAlign w:val="bottom"/>
          </w:tcPr>
          <w:p w:rsidR="00E60DB6" w:rsidRPr="004F1D2A" w:rsidRDefault="00E60DB6" w:rsidP="004C3FCB">
            <w:pPr>
              <w:pStyle w:val="Other0"/>
              <w:spacing w:after="0" w:line="240" w:lineRule="auto"/>
              <w:ind w:firstLine="0"/>
              <w:jc w:val="center"/>
              <w:rPr>
                <w:sz w:val="20"/>
                <w:szCs w:val="20"/>
                <w:lang w:val="sr-Cyrl-RS"/>
              </w:rPr>
            </w:pPr>
            <w:r w:rsidRPr="004F1D2A">
              <w:rPr>
                <w:rStyle w:val="Other"/>
                <w:bCs/>
                <w:sz w:val="20"/>
                <w:szCs w:val="20"/>
                <w:lang w:val="sr-Cyrl-RS"/>
              </w:rPr>
              <w:t>721.968.366,42</w:t>
            </w:r>
          </w:p>
        </w:tc>
        <w:tc>
          <w:tcPr>
            <w:tcW w:w="3528" w:type="dxa"/>
            <w:tcBorders>
              <w:top w:val="single" w:sz="4" w:space="0" w:color="auto"/>
              <w:left w:val="single" w:sz="4" w:space="0" w:color="auto"/>
              <w:bottom w:val="single" w:sz="4" w:space="0" w:color="auto"/>
            </w:tcBorders>
            <w:shd w:val="clear" w:color="auto" w:fill="auto"/>
            <w:vAlign w:val="bottom"/>
          </w:tcPr>
          <w:p w:rsidR="00E60DB6" w:rsidRPr="004F1D2A" w:rsidRDefault="00E60DB6" w:rsidP="004C3FCB">
            <w:pPr>
              <w:pStyle w:val="Other0"/>
              <w:spacing w:after="0" w:line="240" w:lineRule="auto"/>
              <w:ind w:firstLine="820"/>
              <w:rPr>
                <w:sz w:val="20"/>
                <w:szCs w:val="20"/>
                <w:lang w:val="sr-Cyrl-RS"/>
              </w:rPr>
            </w:pPr>
            <w:r w:rsidRPr="004F1D2A">
              <w:rPr>
                <w:rStyle w:val="Other"/>
                <w:bCs/>
                <w:sz w:val="20"/>
                <w:szCs w:val="20"/>
                <w:lang w:val="sr-Cyrl-RS"/>
              </w:rPr>
              <w:t>160.430.255,90</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bottom"/>
          </w:tcPr>
          <w:p w:rsidR="00E60DB6" w:rsidRPr="004F1D2A" w:rsidRDefault="00E60DB6" w:rsidP="004C3FCB">
            <w:pPr>
              <w:pStyle w:val="Other0"/>
              <w:spacing w:after="0" w:line="240" w:lineRule="auto"/>
              <w:ind w:firstLine="0"/>
              <w:jc w:val="center"/>
              <w:rPr>
                <w:sz w:val="20"/>
                <w:szCs w:val="20"/>
                <w:lang w:val="sr-Cyrl-RS"/>
              </w:rPr>
            </w:pPr>
            <w:r w:rsidRPr="004F1D2A">
              <w:rPr>
                <w:rStyle w:val="Other"/>
                <w:rFonts w:eastAsia="Arial"/>
                <w:sz w:val="20"/>
                <w:szCs w:val="20"/>
                <w:lang w:val="sr-Cyrl-RS"/>
              </w:rPr>
              <w:t>68</w:t>
            </w:r>
          </w:p>
        </w:tc>
      </w:tr>
    </w:tbl>
    <w:p w:rsidR="004C3FCB" w:rsidRPr="004F1D2A" w:rsidRDefault="004C3FCB" w:rsidP="00E60DB6">
      <w:pPr>
        <w:pStyle w:val="Tablecaption0"/>
        <w:rPr>
          <w:rStyle w:val="Tablecaption"/>
          <w:rFonts w:eastAsia="Calibri"/>
        </w:rPr>
      </w:pPr>
    </w:p>
    <w:p w:rsidR="00E60DB6" w:rsidRPr="004F1D2A" w:rsidRDefault="00E60DB6" w:rsidP="004C3FCB">
      <w:pPr>
        <w:pStyle w:val="Tablecaption0"/>
        <w:jc w:val="center"/>
        <w:rPr>
          <w:sz w:val="20"/>
          <w:szCs w:val="20"/>
          <w:u w:val="none"/>
          <w:lang w:val="sr-Cyrl-RS"/>
        </w:rPr>
      </w:pPr>
      <w:r w:rsidRPr="004F1D2A">
        <w:rPr>
          <w:rStyle w:val="Tablecaption"/>
          <w:rFonts w:eastAsia="Calibri"/>
          <w:sz w:val="20"/>
          <w:szCs w:val="20"/>
          <w:u w:val="none"/>
          <w:lang w:val="sr-Cyrl-RS"/>
        </w:rPr>
        <w:t>Димитровград, Босилеград, Пирот, Бабушница, Врање, Сурдулица</w:t>
      </w:r>
    </w:p>
    <w:tbl>
      <w:tblPr>
        <w:tblOverlap w:val="never"/>
        <w:tblW w:w="9047" w:type="dxa"/>
        <w:tblLayout w:type="fixed"/>
        <w:tblCellMar>
          <w:left w:w="10" w:type="dxa"/>
          <w:right w:w="10" w:type="dxa"/>
        </w:tblCellMar>
        <w:tblLook w:val="0000" w:firstRow="0" w:lastRow="0" w:firstColumn="0" w:lastColumn="0" w:noHBand="0" w:noVBand="0"/>
      </w:tblPr>
      <w:tblGrid>
        <w:gridCol w:w="2473"/>
        <w:gridCol w:w="3512"/>
        <w:gridCol w:w="3062"/>
      </w:tblGrid>
      <w:tr w:rsidR="00E60DB6" w:rsidRPr="004F1D2A" w:rsidTr="004C3FCB">
        <w:trPr>
          <w:trHeight w:hRule="exact" w:val="571"/>
        </w:trPr>
        <w:tc>
          <w:tcPr>
            <w:tcW w:w="2473" w:type="dxa"/>
            <w:tcBorders>
              <w:top w:val="single" w:sz="4" w:space="0" w:color="auto"/>
              <w:left w:val="single" w:sz="4" w:space="0" w:color="auto"/>
            </w:tcBorders>
            <w:shd w:val="clear" w:color="auto" w:fill="auto"/>
            <w:vAlign w:val="center"/>
          </w:tcPr>
          <w:p w:rsidR="00E60DB6" w:rsidRPr="004F1D2A" w:rsidRDefault="00E60DB6" w:rsidP="004C3FCB">
            <w:pPr>
              <w:pStyle w:val="Other0"/>
              <w:spacing w:after="0" w:line="240" w:lineRule="auto"/>
              <w:ind w:firstLine="0"/>
              <w:jc w:val="center"/>
              <w:rPr>
                <w:sz w:val="20"/>
                <w:szCs w:val="20"/>
                <w:lang w:val="sr-Cyrl-RS"/>
              </w:rPr>
            </w:pPr>
            <w:r w:rsidRPr="004F1D2A">
              <w:rPr>
                <w:rStyle w:val="Other"/>
                <w:sz w:val="20"/>
                <w:szCs w:val="20"/>
                <w:lang w:val="sr-Cyrl-RS"/>
              </w:rPr>
              <w:t>Инвестиције</w:t>
            </w:r>
          </w:p>
        </w:tc>
        <w:tc>
          <w:tcPr>
            <w:tcW w:w="3512" w:type="dxa"/>
            <w:tcBorders>
              <w:top w:val="single" w:sz="4" w:space="0" w:color="auto"/>
              <w:left w:val="single" w:sz="4" w:space="0" w:color="auto"/>
            </w:tcBorders>
            <w:shd w:val="clear" w:color="auto" w:fill="auto"/>
            <w:vAlign w:val="center"/>
          </w:tcPr>
          <w:p w:rsidR="00E60DB6" w:rsidRPr="004F1D2A" w:rsidRDefault="00E60DB6" w:rsidP="004C3FCB">
            <w:pPr>
              <w:pStyle w:val="Other0"/>
              <w:spacing w:after="0" w:line="240" w:lineRule="auto"/>
              <w:ind w:firstLine="0"/>
              <w:jc w:val="center"/>
              <w:rPr>
                <w:sz w:val="20"/>
                <w:szCs w:val="20"/>
                <w:lang w:val="sr-Cyrl-RS"/>
              </w:rPr>
            </w:pPr>
            <w:r w:rsidRPr="004F1D2A">
              <w:rPr>
                <w:rStyle w:val="Other"/>
                <w:sz w:val="20"/>
                <w:szCs w:val="20"/>
                <w:lang w:val="sr-Cyrl-RS"/>
              </w:rPr>
              <w:t>Одобрено бесповратно</w:t>
            </w:r>
          </w:p>
        </w:tc>
        <w:tc>
          <w:tcPr>
            <w:tcW w:w="3062" w:type="dxa"/>
            <w:tcBorders>
              <w:top w:val="single" w:sz="4" w:space="0" w:color="auto"/>
              <w:left w:val="single" w:sz="4" w:space="0" w:color="auto"/>
              <w:right w:val="single" w:sz="4" w:space="0" w:color="auto"/>
            </w:tcBorders>
            <w:shd w:val="clear" w:color="auto" w:fill="auto"/>
            <w:vAlign w:val="center"/>
          </w:tcPr>
          <w:p w:rsidR="00E60DB6" w:rsidRPr="004F1D2A" w:rsidRDefault="00E60DB6" w:rsidP="004C3FCB">
            <w:pPr>
              <w:pStyle w:val="Other0"/>
              <w:spacing w:after="0" w:line="240" w:lineRule="auto"/>
              <w:ind w:firstLine="0"/>
              <w:jc w:val="center"/>
              <w:rPr>
                <w:sz w:val="20"/>
                <w:szCs w:val="20"/>
                <w:lang w:val="sr-Cyrl-RS"/>
              </w:rPr>
            </w:pPr>
            <w:r w:rsidRPr="004F1D2A">
              <w:rPr>
                <w:rStyle w:val="Other"/>
                <w:sz w:val="20"/>
                <w:szCs w:val="20"/>
                <w:lang w:val="sr-Cyrl-RS"/>
              </w:rPr>
              <w:t>Одобрено захтева</w:t>
            </w:r>
          </w:p>
        </w:tc>
      </w:tr>
      <w:tr w:rsidR="00E60DB6" w:rsidRPr="004C3FCB" w:rsidTr="004C3FCB">
        <w:trPr>
          <w:trHeight w:hRule="exact" w:val="331"/>
        </w:trPr>
        <w:tc>
          <w:tcPr>
            <w:tcW w:w="2473" w:type="dxa"/>
            <w:tcBorders>
              <w:top w:val="single" w:sz="4" w:space="0" w:color="auto"/>
              <w:left w:val="single" w:sz="4" w:space="0" w:color="auto"/>
              <w:bottom w:val="single" w:sz="4" w:space="0" w:color="auto"/>
            </w:tcBorders>
            <w:shd w:val="clear" w:color="auto" w:fill="auto"/>
            <w:vAlign w:val="center"/>
          </w:tcPr>
          <w:p w:rsidR="00E60DB6" w:rsidRPr="00E84A7A" w:rsidRDefault="00E60DB6" w:rsidP="004C3FCB">
            <w:pPr>
              <w:pStyle w:val="Other0"/>
              <w:spacing w:after="0" w:line="240" w:lineRule="auto"/>
              <w:ind w:firstLine="0"/>
              <w:jc w:val="center"/>
              <w:rPr>
                <w:sz w:val="20"/>
                <w:szCs w:val="20"/>
                <w:lang w:val="sr-Cyrl-RS"/>
              </w:rPr>
            </w:pPr>
            <w:r w:rsidRPr="00E84A7A">
              <w:rPr>
                <w:rStyle w:val="Other"/>
                <w:bCs/>
                <w:sz w:val="20"/>
                <w:szCs w:val="20"/>
                <w:lang w:val="sr-Cyrl-RS"/>
              </w:rPr>
              <w:t>929.771.373,75</w:t>
            </w:r>
          </w:p>
        </w:tc>
        <w:tc>
          <w:tcPr>
            <w:tcW w:w="3512" w:type="dxa"/>
            <w:tcBorders>
              <w:top w:val="single" w:sz="4" w:space="0" w:color="auto"/>
              <w:left w:val="single" w:sz="4" w:space="0" w:color="auto"/>
              <w:bottom w:val="single" w:sz="4" w:space="0" w:color="auto"/>
            </w:tcBorders>
            <w:shd w:val="clear" w:color="auto" w:fill="auto"/>
            <w:vAlign w:val="center"/>
          </w:tcPr>
          <w:p w:rsidR="00E60DB6" w:rsidRPr="00E84A7A" w:rsidRDefault="00E60DB6" w:rsidP="004C3FCB">
            <w:pPr>
              <w:pStyle w:val="Other0"/>
              <w:spacing w:after="0" w:line="240" w:lineRule="auto"/>
              <w:ind w:firstLine="820"/>
              <w:rPr>
                <w:sz w:val="20"/>
                <w:szCs w:val="20"/>
                <w:lang w:val="sr-Cyrl-RS"/>
              </w:rPr>
            </w:pPr>
            <w:r w:rsidRPr="00E84A7A">
              <w:rPr>
                <w:rStyle w:val="Other"/>
                <w:bCs/>
                <w:sz w:val="20"/>
                <w:szCs w:val="20"/>
                <w:lang w:val="sr-Cyrl-RS"/>
              </w:rPr>
              <w:t>203.740.827,42</w:t>
            </w: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tcPr>
          <w:p w:rsidR="00E60DB6" w:rsidRPr="00E84A7A" w:rsidRDefault="00E60DB6" w:rsidP="004C3FCB">
            <w:pPr>
              <w:pStyle w:val="Other0"/>
              <w:spacing w:after="0" w:line="240" w:lineRule="auto"/>
              <w:ind w:firstLine="0"/>
              <w:jc w:val="center"/>
              <w:rPr>
                <w:sz w:val="20"/>
                <w:szCs w:val="20"/>
                <w:lang w:val="sr-Cyrl-RS"/>
              </w:rPr>
            </w:pPr>
            <w:r w:rsidRPr="00E84A7A">
              <w:rPr>
                <w:rStyle w:val="Other"/>
                <w:bCs/>
                <w:sz w:val="20"/>
                <w:szCs w:val="20"/>
                <w:lang w:val="sr-Cyrl-RS"/>
              </w:rPr>
              <w:t>115</w:t>
            </w:r>
          </w:p>
        </w:tc>
      </w:tr>
    </w:tbl>
    <w:p w:rsidR="00E60DB6" w:rsidRPr="00E60DB6" w:rsidRDefault="00E60DB6" w:rsidP="00E60DB6">
      <w:pPr>
        <w:spacing w:after="0"/>
        <w:jc w:val="both"/>
        <w:rPr>
          <w:sz w:val="24"/>
          <w:szCs w:val="24"/>
          <w:lang w:val="sr-Cyrl-RS"/>
        </w:rPr>
      </w:pPr>
    </w:p>
    <w:p w:rsidR="00FB13B3" w:rsidRDefault="00FB13B3" w:rsidP="00FB13B3">
      <w:pPr>
        <w:spacing w:after="0"/>
        <w:ind w:firstLine="720"/>
        <w:jc w:val="both"/>
      </w:pPr>
      <w:r w:rsidRPr="00FB13B3">
        <w:rPr>
          <w:sz w:val="24"/>
          <w:szCs w:val="24"/>
          <w:lang w:val="sr-Cyrl-RS"/>
        </w:rPr>
        <w:t>Осим од стране Министарства привреде, значајна средства у овом смислу улаже и Служба Координационог тела Владе Републике Србије за општине Прешево, Бујановац и Медвеђа</w:t>
      </w:r>
      <w:r>
        <w:rPr>
          <w:sz w:val="24"/>
          <w:szCs w:val="24"/>
          <w:lang w:val="sr-Cyrl-RS"/>
        </w:rPr>
        <w:t xml:space="preserve">, као и </w:t>
      </w:r>
      <w:r w:rsidRPr="00FB13B3">
        <w:rPr>
          <w:sz w:val="24"/>
          <w:szCs w:val="24"/>
          <w:lang w:val="sr-Cyrl-RS"/>
        </w:rPr>
        <w:t>Покрајински секретаријат за регионални развој, међурегионалну сарадњу и локалну самоуправу.</w:t>
      </w:r>
      <w:r w:rsidRPr="00FB13B3">
        <w:t xml:space="preserve"> </w:t>
      </w:r>
    </w:p>
    <w:p w:rsidR="00E171E8" w:rsidRPr="00FB13B3" w:rsidRDefault="00FB13B3" w:rsidP="00FB13B3">
      <w:pPr>
        <w:spacing w:after="0"/>
        <w:ind w:firstLine="720"/>
        <w:jc w:val="both"/>
        <w:rPr>
          <w:sz w:val="24"/>
          <w:szCs w:val="24"/>
          <w:lang w:val="sr-Cyrl-RS"/>
        </w:rPr>
      </w:pPr>
      <w:r w:rsidRPr="00FB13B3">
        <w:rPr>
          <w:sz w:val="24"/>
          <w:szCs w:val="24"/>
          <w:lang w:val="sr-Cyrl-RS"/>
        </w:rPr>
        <w:t xml:space="preserve">Стратешки приоритети </w:t>
      </w:r>
      <w:r>
        <w:rPr>
          <w:sz w:val="24"/>
          <w:szCs w:val="24"/>
          <w:lang w:val="sr-Cyrl-RS"/>
        </w:rPr>
        <w:t>Службе</w:t>
      </w:r>
      <w:r w:rsidRPr="00FB13B3">
        <w:rPr>
          <w:sz w:val="24"/>
          <w:szCs w:val="24"/>
          <w:lang w:val="sr-Cyrl-RS"/>
        </w:rPr>
        <w:t xml:space="preserve"> Координационог тела Владе Републике Србије су развој инфраструктуре и опоравак предузећа која су била носилац развојa у Прешеву, Бујановцу и Медвеђи, подршка малим и средњим предузећима, предузетницима и задругама и привлачење инвестиција у три општине, које спадају у групу девастираних подручја чији је степен развијености испод 50% републичког просека.</w:t>
      </w:r>
      <w:r w:rsidR="009A4A98">
        <w:rPr>
          <w:sz w:val="24"/>
          <w:szCs w:val="24"/>
          <w:lang w:val="sr-Cyrl-RS"/>
        </w:rPr>
        <w:t xml:space="preserve"> </w:t>
      </w:r>
      <w:r w:rsidRPr="00FB13B3">
        <w:rPr>
          <w:sz w:val="24"/>
          <w:szCs w:val="24"/>
          <w:lang w:val="sr-Cyrl-RS"/>
        </w:rPr>
        <w:t>Служба Координационог тела је у периоду 2000-2020. година пренела је највише средстава општинама на југу Србије за област инфраструктуре. У поменутом периоду у ову област уложено је 6.980.377.644,45 динара (више од 59 милиона евра). Када је реч о улагањима у инфраструктуру, за период 2017-2021. годин</w:t>
      </w:r>
      <w:r w:rsidR="00E84A7A">
        <w:rPr>
          <w:sz w:val="24"/>
          <w:szCs w:val="24"/>
          <w:lang w:val="sr-Cyrl-RS"/>
        </w:rPr>
        <w:t>а</w:t>
      </w:r>
      <w:r w:rsidR="00CD062A">
        <w:rPr>
          <w:sz w:val="24"/>
          <w:szCs w:val="24"/>
          <w:lang w:val="sr-Cyrl-RS"/>
        </w:rPr>
        <w:t>,</w:t>
      </w:r>
      <w:r w:rsidRPr="00FB13B3">
        <w:rPr>
          <w:sz w:val="24"/>
          <w:szCs w:val="24"/>
          <w:lang w:val="sr-Cyrl-RS"/>
        </w:rPr>
        <w:t xml:space="preserve"> издвојена су средства у износу од око 1 милијарде и 220 милиона динара (више од 10 милиона евра), која су утрошена на реализацију пројеката који се односе на стварање услова за бољи и квалитетнији живот становништва (изградња путева, водоснабдевање, електроснабдевање, изградњ</w:t>
      </w:r>
      <w:r w:rsidR="0033451E">
        <w:rPr>
          <w:sz w:val="24"/>
          <w:szCs w:val="24"/>
          <w:lang w:val="sr-Cyrl-RS"/>
        </w:rPr>
        <w:t>а</w:t>
      </w:r>
      <w:r w:rsidRPr="00FB13B3">
        <w:rPr>
          <w:sz w:val="24"/>
          <w:szCs w:val="24"/>
          <w:lang w:val="sr-Cyrl-RS"/>
        </w:rPr>
        <w:t xml:space="preserve"> и рек</w:t>
      </w:r>
      <w:r w:rsidR="0033451E">
        <w:rPr>
          <w:sz w:val="24"/>
          <w:szCs w:val="24"/>
          <w:lang w:val="sr-Cyrl-RS"/>
        </w:rPr>
        <w:t>онструкција</w:t>
      </w:r>
      <w:r w:rsidRPr="00FB13B3">
        <w:rPr>
          <w:sz w:val="24"/>
          <w:szCs w:val="24"/>
          <w:lang w:val="sr-Cyrl-RS"/>
        </w:rPr>
        <w:t xml:space="preserve"> школа и други комунални пројек</w:t>
      </w:r>
      <w:r w:rsidR="0033451E">
        <w:rPr>
          <w:sz w:val="24"/>
          <w:szCs w:val="24"/>
          <w:lang w:val="sr-Cyrl-RS"/>
        </w:rPr>
        <w:t>ти</w:t>
      </w:r>
      <w:r w:rsidR="009A4A98">
        <w:rPr>
          <w:sz w:val="24"/>
          <w:szCs w:val="24"/>
          <w:lang w:val="sr-Cyrl-RS"/>
        </w:rPr>
        <w:t xml:space="preserve"> на територији три општине). </w:t>
      </w:r>
      <w:r w:rsidRPr="00FB13B3">
        <w:rPr>
          <w:sz w:val="24"/>
          <w:szCs w:val="24"/>
          <w:lang w:val="sr-Cyrl-RS"/>
        </w:rPr>
        <w:t>Што се тиче привредних субјеката у приватном власништву</w:t>
      </w:r>
      <w:r w:rsidR="0033451E">
        <w:rPr>
          <w:sz w:val="24"/>
          <w:szCs w:val="24"/>
          <w:lang w:val="sr-Cyrl-RS"/>
        </w:rPr>
        <w:t>,</w:t>
      </w:r>
      <w:r w:rsidRPr="00FB13B3">
        <w:rPr>
          <w:sz w:val="24"/>
          <w:szCs w:val="24"/>
          <w:lang w:val="sr-Cyrl-RS"/>
        </w:rPr>
        <w:t xml:space="preserve"> Служба Координационог тела обезбеђује средства и расписује конкурс за доделу бесповратних средстава за субвенције </w:t>
      </w:r>
      <w:r w:rsidRPr="00FB13B3">
        <w:rPr>
          <w:sz w:val="24"/>
          <w:szCs w:val="24"/>
          <w:lang w:val="sr-Cyrl-RS"/>
        </w:rPr>
        <w:lastRenderedPageBreak/>
        <w:t>малим и средњим привредним друштвима, предузетницима и пољопривредним задругама. На основу овог конкурса у периоду 2018-2021. годин</w:t>
      </w:r>
      <w:r w:rsidR="0033451E">
        <w:rPr>
          <w:sz w:val="24"/>
          <w:szCs w:val="24"/>
          <w:lang w:val="sr-Cyrl-RS"/>
        </w:rPr>
        <w:t>а</w:t>
      </w:r>
      <w:r w:rsidRPr="00FB13B3">
        <w:rPr>
          <w:sz w:val="24"/>
          <w:szCs w:val="24"/>
          <w:lang w:val="sr-Cyrl-RS"/>
        </w:rPr>
        <w:t xml:space="preserve"> издвојено је преко 148 милиона динара за 65 привредних субјеката у општинама Прешево, Бујановац и Медвеђа. Служба Координационог тела je за исте намене у буџету за 2022. годину издвојила средства у износу од 40 милиона динара. Резултати спроведених конкурса су повећање броја запослених, оснаживање малих и средњих привредних друштва, предузетника и пољопривредних задруга за ефикасније повезивање на локалном, регионалном, националном и међународном тржишту, унапређење производње у циљу економског раста, унапређење конкурентности на домаћем и страним тржиштима и унапређење производње намењене извозу или супституцији увоза.</w:t>
      </w:r>
    </w:p>
    <w:p w:rsidR="00FB13B3" w:rsidRPr="00FB13B3" w:rsidRDefault="00FB13B3" w:rsidP="00FB13B3">
      <w:pPr>
        <w:spacing w:after="0"/>
        <w:ind w:firstLine="720"/>
        <w:jc w:val="both"/>
        <w:rPr>
          <w:sz w:val="24"/>
          <w:szCs w:val="24"/>
          <w:lang w:val="sr-Cyrl-RS"/>
        </w:rPr>
      </w:pPr>
      <w:r w:rsidRPr="00FB13B3">
        <w:rPr>
          <w:sz w:val="24"/>
          <w:szCs w:val="24"/>
          <w:lang w:val="sr-Cyrl-RS"/>
        </w:rPr>
        <w:t>Покрајински секретаријат за регионални развој, међурегионалну сарадњу и локалну самоуправу субвенционисао је привредне субјекте у недовољно развијеним подручјима: III групе развијености и IV групе развијености, при чему је њима дат приоритет условима конкурса и путем система бодовања. У периоду од 30. јуна 2016. до 9. септембра 2021. године јединицама локалне самоуправе из III групе (13 ЈЛС) додељено је 364.587.158,88,00 динара, а јединицама локалне самоуправе из IV групе (једна ЈЛС) 10.088.006,75 динара.</w:t>
      </w:r>
    </w:p>
    <w:p w:rsidR="00E171E8" w:rsidRDefault="009A4A98" w:rsidP="00FB13B3">
      <w:pPr>
        <w:spacing w:after="0"/>
        <w:ind w:firstLine="720"/>
        <w:jc w:val="both"/>
        <w:rPr>
          <w:sz w:val="24"/>
          <w:szCs w:val="24"/>
          <w:highlight w:val="cyan"/>
          <w:lang w:val="sr-Cyrl-RS"/>
        </w:rPr>
      </w:pPr>
      <w:r>
        <w:rPr>
          <w:sz w:val="24"/>
          <w:szCs w:val="24"/>
          <w:lang w:val="sr-Cyrl-RS"/>
        </w:rPr>
        <w:t xml:space="preserve">Такође, и </w:t>
      </w:r>
      <w:r w:rsidR="00FB13B3" w:rsidRPr="00FB13B3">
        <w:rPr>
          <w:sz w:val="24"/>
          <w:szCs w:val="24"/>
          <w:lang w:val="sr-Cyrl-RS"/>
        </w:rPr>
        <w:t>Привредна комора Србије (ПКС) кроз организовање промоција инвестиционих потенцијала општина континуирано ради на привлачењу страних инвестиција. ПКС такође нуди и базу инвестиционих пројеката и инвестиционих локација заинтересованим инвеститорима.</w:t>
      </w:r>
    </w:p>
    <w:p w:rsidR="00E171E8" w:rsidRDefault="009A4A98" w:rsidP="00E72ED5">
      <w:pPr>
        <w:spacing w:after="0"/>
        <w:ind w:firstLine="720"/>
        <w:jc w:val="both"/>
        <w:rPr>
          <w:sz w:val="24"/>
          <w:szCs w:val="24"/>
          <w:lang w:val="sr-Cyrl-RS"/>
        </w:rPr>
      </w:pPr>
      <w:r w:rsidRPr="004F1D2A">
        <w:rPr>
          <w:sz w:val="24"/>
          <w:szCs w:val="24"/>
          <w:lang w:val="sr-Cyrl-RS"/>
        </w:rPr>
        <w:t xml:space="preserve">Посебна пажња посвећена је унапређивању подручја у којима живе припадници ромске националне мањине. У том смислу, подсећамо на </w:t>
      </w:r>
      <w:r w:rsidRPr="009A4A98">
        <w:rPr>
          <w:sz w:val="24"/>
          <w:szCs w:val="24"/>
          <w:lang w:val="sr-Cyrl-RS"/>
        </w:rPr>
        <w:t>Програм промоције развоја ромског предузетништва</w:t>
      </w:r>
      <w:r>
        <w:rPr>
          <w:sz w:val="24"/>
          <w:szCs w:val="24"/>
          <w:lang w:val="sr-Cyrl-RS"/>
        </w:rPr>
        <w:t xml:space="preserve"> који је усвојила </w:t>
      </w:r>
      <w:r w:rsidRPr="009A4A98">
        <w:rPr>
          <w:sz w:val="24"/>
          <w:szCs w:val="24"/>
          <w:lang w:val="sr-Cyrl-RS"/>
        </w:rPr>
        <w:t>Влад</w:t>
      </w:r>
      <w:r w:rsidR="00490A76">
        <w:rPr>
          <w:sz w:val="24"/>
          <w:szCs w:val="24"/>
          <w:lang w:val="sr-Cyrl-RS"/>
        </w:rPr>
        <w:t>а</w:t>
      </w:r>
      <w:r w:rsidRPr="009A4A98">
        <w:rPr>
          <w:sz w:val="24"/>
          <w:szCs w:val="24"/>
          <w:lang w:val="sr-Cyrl-RS"/>
        </w:rPr>
        <w:t xml:space="preserve"> Републике Србије</w:t>
      </w:r>
      <w:r>
        <w:rPr>
          <w:sz w:val="24"/>
          <w:szCs w:val="24"/>
          <w:lang w:val="sr-Cyrl-RS"/>
        </w:rPr>
        <w:t xml:space="preserve">, као и на инвестиционе и инфраструктурне резултате спровођења ИПА програма, а који су подробније образложени у </w:t>
      </w:r>
      <w:r w:rsidRPr="00CD062A">
        <w:rPr>
          <w:sz w:val="24"/>
          <w:szCs w:val="24"/>
          <w:lang w:val="sr-Cyrl-RS"/>
        </w:rPr>
        <w:t xml:space="preserve">вези с препоруком </w:t>
      </w:r>
      <w:r w:rsidR="0033451E" w:rsidRPr="00CD062A">
        <w:rPr>
          <w:sz w:val="24"/>
          <w:szCs w:val="24"/>
          <w:lang w:val="sr-Cyrl-RS"/>
        </w:rPr>
        <w:t xml:space="preserve">1. </w:t>
      </w:r>
      <w:r w:rsidR="00E92A05" w:rsidRPr="00CD062A">
        <w:rPr>
          <w:sz w:val="24"/>
          <w:szCs w:val="24"/>
          <w:lang w:val="sr-Cyrl-RS"/>
        </w:rPr>
        <w:t xml:space="preserve">из Резолуције </w:t>
      </w:r>
      <w:r w:rsidR="00490A76" w:rsidRPr="00CD062A">
        <w:rPr>
          <w:sz w:val="24"/>
          <w:szCs w:val="24"/>
          <w:lang w:val="sr-Cyrl-RS"/>
        </w:rPr>
        <w:t>Комитета министара</w:t>
      </w:r>
      <w:r w:rsidRPr="00CD062A">
        <w:rPr>
          <w:sz w:val="24"/>
          <w:szCs w:val="24"/>
          <w:lang w:val="sr-Cyrl-RS"/>
        </w:rPr>
        <w:t>.</w:t>
      </w:r>
    </w:p>
    <w:p w:rsidR="002D71E8" w:rsidRDefault="002D71E8" w:rsidP="002D71E8">
      <w:pPr>
        <w:spacing w:after="0"/>
        <w:jc w:val="both"/>
        <w:rPr>
          <w:sz w:val="24"/>
          <w:szCs w:val="24"/>
          <w:lang w:val="sr-Cyrl-RS"/>
        </w:rPr>
      </w:pPr>
    </w:p>
    <w:p w:rsidR="002D71E8" w:rsidRPr="002D71E8" w:rsidRDefault="002D71E8" w:rsidP="002D71E8">
      <w:pPr>
        <w:spacing w:after="0"/>
        <w:jc w:val="both"/>
        <w:rPr>
          <w:i/>
          <w:sz w:val="24"/>
          <w:szCs w:val="24"/>
          <w:highlight w:val="cyan"/>
          <w:lang w:val="sr-Cyrl-RS"/>
        </w:rPr>
      </w:pPr>
      <w:r>
        <w:rPr>
          <w:i/>
          <w:sz w:val="24"/>
          <w:szCs w:val="24"/>
          <w:lang w:val="sr-Cyrl-RS"/>
        </w:rPr>
        <w:t>Подстицаји за запошљавање</w:t>
      </w:r>
    </w:p>
    <w:p w:rsidR="00E72ED5" w:rsidRDefault="00E72ED5" w:rsidP="00E72ED5">
      <w:pPr>
        <w:spacing w:after="0"/>
        <w:ind w:firstLine="720"/>
        <w:jc w:val="both"/>
        <w:rPr>
          <w:sz w:val="24"/>
          <w:szCs w:val="24"/>
          <w:lang w:val="sr-Cyrl-RS"/>
        </w:rPr>
      </w:pPr>
    </w:p>
    <w:p w:rsidR="002D71E8" w:rsidRPr="002D71E8" w:rsidRDefault="002D71E8" w:rsidP="002D71E8">
      <w:pPr>
        <w:spacing w:after="0"/>
        <w:ind w:firstLine="720"/>
        <w:jc w:val="both"/>
        <w:rPr>
          <w:sz w:val="24"/>
          <w:szCs w:val="24"/>
          <w:lang w:val="sr-Cyrl-RS"/>
        </w:rPr>
      </w:pPr>
      <w:r w:rsidRPr="002D71E8">
        <w:rPr>
          <w:sz w:val="24"/>
          <w:szCs w:val="24"/>
          <w:lang w:val="sr-Cyrl-RS"/>
        </w:rPr>
        <w:t xml:space="preserve">Проблеми са којима се суочавају лица из категорије теже запошљивих, као и активности које се предузимају у циљу пружања подршке у отклањању постојећих препрека и потешкоћа на путу њихове интеграције, препознати </w:t>
      </w:r>
      <w:r w:rsidR="0033451E">
        <w:rPr>
          <w:sz w:val="24"/>
          <w:szCs w:val="24"/>
          <w:lang w:val="sr-Cyrl-RS"/>
        </w:rPr>
        <w:t xml:space="preserve">су у </w:t>
      </w:r>
      <w:r w:rsidRPr="002D71E8">
        <w:rPr>
          <w:sz w:val="24"/>
          <w:szCs w:val="24"/>
          <w:lang w:val="sr-Cyrl-RS"/>
        </w:rPr>
        <w:t xml:space="preserve">стратешким документима и законској регулативи. Припадност категорији теже запошљивих лица се одређује на основу сагледавања потешкоћа са којима се суочавају на тржишту рада услед здравственог стања, недовољног или неодговарајућег образовања, социодемографских карактеристика, регионалне или професионалне неусклађености понуде и тражње на тржишту рада или других објективних околности услед којих теже налазе запослење. За потребе координације активности у спровођењу политике запошљавања и јачања веза између различитих нивоа одлучивања у складу са стратешким документима и програмима запошљавања на локалном нивоу основани су локални савети за запошљавање. Локални савети за запошљавање су основани са циљем да се дефинишу приоритети и циљеви политике запошљава на локалном нивоу за одређени период, утврде мере и програми за остваривање постављених приоритета и циљева, људски и финансијски ресурси за њихову имплементацију и обезбеде механизми за праћење </w:t>
      </w:r>
      <w:r w:rsidRPr="002D71E8">
        <w:rPr>
          <w:sz w:val="24"/>
          <w:szCs w:val="24"/>
          <w:lang w:val="sr-Cyrl-RS"/>
        </w:rPr>
        <w:lastRenderedPageBreak/>
        <w:t xml:space="preserve">ефеката мера. Између осталих, задаци локалних савета за запошљавање су усмерени на анализу развојних потенцијала, дефинисање мера и инструмената политике запошљавања на локалном нивоу кроз израду локалних акционих планова запошљавања. Посебна пажња приликом дефинисања приоритета и активности је посвећена  групама и лицима која имају већи ризик од дугорочне незапослености. Филијале Националне службе за запошљавање су чланови </w:t>
      </w:r>
      <w:r w:rsidR="0033451E">
        <w:rPr>
          <w:sz w:val="24"/>
          <w:szCs w:val="24"/>
          <w:lang w:val="sr-Cyrl-RS"/>
        </w:rPr>
        <w:t>л</w:t>
      </w:r>
      <w:r w:rsidRPr="002D71E8">
        <w:rPr>
          <w:sz w:val="24"/>
          <w:szCs w:val="24"/>
          <w:lang w:val="sr-Cyrl-RS"/>
        </w:rPr>
        <w:t>окалног савета за запошљавање.</w:t>
      </w:r>
    </w:p>
    <w:p w:rsidR="002D71E8" w:rsidRPr="002D71E8" w:rsidRDefault="002D71E8" w:rsidP="002D71E8">
      <w:pPr>
        <w:spacing w:after="0"/>
        <w:ind w:firstLine="720"/>
        <w:jc w:val="both"/>
        <w:rPr>
          <w:sz w:val="24"/>
          <w:szCs w:val="24"/>
          <w:lang w:val="sr-Cyrl-RS"/>
        </w:rPr>
      </w:pPr>
      <w:r w:rsidRPr="002D71E8">
        <w:rPr>
          <w:sz w:val="24"/>
          <w:szCs w:val="24"/>
          <w:lang w:val="sr-Cyrl-RS"/>
        </w:rPr>
        <w:t xml:space="preserve">Институције које су чланови ових савета имају задатак да спроводе активности на реализацији постављених циљева појединачно и путем заједничке институционалне сарадње, као и учешћем у пројектним активностима. Задаци и активности савета се формализују потписивањем </w:t>
      </w:r>
      <w:r w:rsidR="0033451E">
        <w:rPr>
          <w:sz w:val="24"/>
          <w:szCs w:val="24"/>
          <w:lang w:val="sr-Cyrl-RS"/>
        </w:rPr>
        <w:t>с</w:t>
      </w:r>
      <w:r w:rsidRPr="002D71E8">
        <w:rPr>
          <w:sz w:val="24"/>
          <w:szCs w:val="24"/>
          <w:lang w:val="sr-Cyrl-RS"/>
        </w:rPr>
        <w:t xml:space="preserve">поразума о сарадњи којима се дефинишу активности потписница споразума ради праћења постигнутих резултата и дефинисаних рокова. Пракса је показала да се најбољи резултати у погледу запошљавања и образовања лица која имају отежан приступ тржишту рада постижу кроз заједничку сарадњу институција у чијој су надлежности ови послови. </w:t>
      </w:r>
    </w:p>
    <w:p w:rsidR="002D71E8" w:rsidRPr="002D71E8" w:rsidRDefault="002D71E8" w:rsidP="002D71E8">
      <w:pPr>
        <w:spacing w:after="0"/>
        <w:ind w:firstLine="720"/>
        <w:jc w:val="both"/>
        <w:rPr>
          <w:sz w:val="24"/>
          <w:szCs w:val="24"/>
          <w:lang w:val="sr-Cyrl-RS"/>
        </w:rPr>
      </w:pPr>
      <w:r w:rsidRPr="002D71E8">
        <w:rPr>
          <w:sz w:val="24"/>
          <w:szCs w:val="24"/>
          <w:lang w:val="sr-Cyrl-RS"/>
        </w:rPr>
        <w:t xml:space="preserve">У складу са Стратегијом запошљавања у Републици Србији за период од 2021. до 2026. године политика запошљавања треба да допринесе и остваривању циљева економског развоја спровођењем мера које представљају квалитетан одговор актера локалног нивоа на изазове, потребе и могућности локалних тржишта рада. </w:t>
      </w:r>
    </w:p>
    <w:p w:rsidR="002D71E8" w:rsidRPr="002D71E8" w:rsidRDefault="002D71E8" w:rsidP="002D71E8">
      <w:pPr>
        <w:spacing w:after="0"/>
        <w:ind w:firstLine="720"/>
        <w:jc w:val="both"/>
        <w:rPr>
          <w:sz w:val="24"/>
          <w:szCs w:val="24"/>
          <w:lang w:val="sr-Cyrl-RS"/>
        </w:rPr>
      </w:pPr>
      <w:r w:rsidRPr="002D71E8">
        <w:rPr>
          <w:sz w:val="24"/>
          <w:szCs w:val="24"/>
          <w:lang w:val="sr-Cyrl-RS"/>
        </w:rPr>
        <w:t>Почев од 2010. године када је Законом о запошљавању и осигурању за случај незапослености створен основ за децентрализацију политике запошљавања, све већи број јединица локалних самоуправа показује интересовање за ову област и спремност да се активно укључи у унапређење ситуације на локалним тржиштима рада. Локални савети за запошљавање постепено преузимају кључну улогу у процесима дефинисања мера од значаја за унапређење стања и кретања на локалном тржишту рада, које је праћено повећањем издвајања из буџета јединица локалних самоуправа за реализацију мера активне политике запошљавања.</w:t>
      </w:r>
    </w:p>
    <w:p w:rsidR="002D71E8" w:rsidRPr="002D71E8" w:rsidRDefault="002D71E8" w:rsidP="002D71E8">
      <w:pPr>
        <w:spacing w:after="0"/>
        <w:ind w:firstLine="720"/>
        <w:jc w:val="both"/>
        <w:rPr>
          <w:sz w:val="24"/>
          <w:szCs w:val="24"/>
          <w:lang w:val="sr-Cyrl-RS"/>
        </w:rPr>
      </w:pPr>
      <w:r w:rsidRPr="002D71E8">
        <w:rPr>
          <w:sz w:val="24"/>
          <w:szCs w:val="24"/>
          <w:lang w:val="sr-Cyrl-RS"/>
        </w:rPr>
        <w:t>У складу са  Акционим планом за период од 2021. до 2023. године за спровођење Стратегије запошљавања у Републици Србији за период од 2021. до 2026. године, један од критеријума на основу којих се одобрава висина износа средстава по захтеву јединице локалне самоуправе за учешће у финансирању мера је степен развијености јединице локалне самоуправе (јединици локалне самоуправа која припада мање развијеним подручјима обезбеђује се виши износ средстава из буџета у односу на развијене јединице локалне самоуправе). Минимални износ који се може обезбедити из буџета јединици локалне самоуправе која припада четвртoj групи (степен развијености испод 60% републичког просека) и девастираним подручјима (степен развијености испод 50% републичког просека) износи 60%, осим за јединице локалне самоуправе које су у захтеву за суфинансирање исказале потребу за обезбеђивањем нижег учешћа средстава из буџета Р</w:t>
      </w:r>
      <w:r w:rsidR="00490A76">
        <w:rPr>
          <w:sz w:val="24"/>
          <w:szCs w:val="24"/>
          <w:lang w:val="sr-Cyrl-RS"/>
        </w:rPr>
        <w:t xml:space="preserve">епублике </w:t>
      </w:r>
      <w:r w:rsidRPr="002D71E8">
        <w:rPr>
          <w:sz w:val="24"/>
          <w:szCs w:val="24"/>
          <w:lang w:val="sr-Cyrl-RS"/>
        </w:rPr>
        <w:t>С</w:t>
      </w:r>
      <w:r w:rsidR="00490A76">
        <w:rPr>
          <w:sz w:val="24"/>
          <w:szCs w:val="24"/>
          <w:lang w:val="sr-Cyrl-RS"/>
        </w:rPr>
        <w:t>рбије</w:t>
      </w:r>
      <w:r w:rsidRPr="002D71E8">
        <w:rPr>
          <w:sz w:val="24"/>
          <w:szCs w:val="24"/>
          <w:lang w:val="sr-Cyrl-RS"/>
        </w:rPr>
        <w:t xml:space="preserve"> од 60%.</w:t>
      </w:r>
    </w:p>
    <w:p w:rsidR="002D71E8" w:rsidRPr="002D71E8" w:rsidRDefault="002D71E8" w:rsidP="002D71E8">
      <w:pPr>
        <w:spacing w:after="0"/>
        <w:ind w:firstLine="720"/>
        <w:jc w:val="both"/>
        <w:rPr>
          <w:sz w:val="24"/>
          <w:szCs w:val="24"/>
          <w:lang w:val="sr-Cyrl-RS"/>
        </w:rPr>
      </w:pPr>
      <w:r w:rsidRPr="002D71E8">
        <w:rPr>
          <w:sz w:val="24"/>
          <w:szCs w:val="24"/>
          <w:lang w:val="sr-Cyrl-RS"/>
        </w:rPr>
        <w:t>Такође, мера активне политике запошљавања којом се подстиче равномеран регионални развој јесте и додела субвенције за запошљавање незапослених лица из категорије теже запошљивих, где висина  субвенције зависи од  степена развијености јединица локалне самоуправе.</w:t>
      </w:r>
    </w:p>
    <w:p w:rsidR="002D71E8" w:rsidRPr="002D71E8" w:rsidRDefault="002D71E8" w:rsidP="002D71E8">
      <w:pPr>
        <w:spacing w:after="0"/>
        <w:ind w:firstLine="720"/>
        <w:jc w:val="both"/>
        <w:rPr>
          <w:sz w:val="24"/>
          <w:szCs w:val="24"/>
          <w:lang w:val="sr-Cyrl-RS"/>
        </w:rPr>
      </w:pPr>
      <w:r w:rsidRPr="002D71E8">
        <w:rPr>
          <w:sz w:val="24"/>
          <w:szCs w:val="24"/>
          <w:lang w:val="sr-Cyrl-RS"/>
        </w:rPr>
        <w:lastRenderedPageBreak/>
        <w:t xml:space="preserve">Осим редовног </w:t>
      </w:r>
      <w:r w:rsidR="004F3D51">
        <w:rPr>
          <w:sz w:val="24"/>
          <w:szCs w:val="24"/>
          <w:lang w:val="sr-Cyrl-RS"/>
        </w:rPr>
        <w:t>ј</w:t>
      </w:r>
      <w:r w:rsidRPr="002D71E8">
        <w:rPr>
          <w:sz w:val="24"/>
          <w:szCs w:val="24"/>
          <w:lang w:val="sr-Cyrl-RS"/>
        </w:rPr>
        <w:t>авног позива незапосленима за доделу субвенције за самозапошљавање</w:t>
      </w:r>
      <w:r w:rsidR="004F3D51">
        <w:rPr>
          <w:sz w:val="24"/>
          <w:szCs w:val="24"/>
          <w:lang w:val="sr-Cyrl-RS"/>
        </w:rPr>
        <w:t>,</w:t>
      </w:r>
      <w:r w:rsidRPr="002D71E8">
        <w:rPr>
          <w:sz w:val="24"/>
          <w:szCs w:val="24"/>
          <w:lang w:val="sr-Cyrl-RS"/>
        </w:rPr>
        <w:t xml:space="preserve"> где се припадници ромске националности препознају као теже запошљива категорија, Национална служба за запошљавање расписује и посебан Јавни позив незапосленима ромске националности за доделу субвенције за самозапошљавање уз претходно дефинисану квоту за доделу субвенције за ову категорију незапослених лица.</w:t>
      </w:r>
    </w:p>
    <w:p w:rsidR="002D71E8" w:rsidRPr="002D71E8" w:rsidRDefault="002D71E8" w:rsidP="009D47E3">
      <w:pPr>
        <w:spacing w:after="0"/>
        <w:ind w:firstLine="720"/>
        <w:jc w:val="both"/>
        <w:rPr>
          <w:sz w:val="24"/>
          <w:szCs w:val="24"/>
          <w:lang w:val="sr-Cyrl-RS"/>
        </w:rPr>
      </w:pPr>
      <w:r w:rsidRPr="002D71E8">
        <w:rPr>
          <w:sz w:val="24"/>
          <w:szCs w:val="24"/>
          <w:lang w:val="sr-Cyrl-RS"/>
        </w:rPr>
        <w:t xml:space="preserve">Осим Националне службе за запошљавање, различите врсте подстицаја за запошљавање предузима и Привредна комора. Ти се подстицаји састоје у афирмацији образовања за кадрове </w:t>
      </w:r>
      <w:r>
        <w:rPr>
          <w:sz w:val="24"/>
          <w:szCs w:val="24"/>
          <w:lang w:val="sr-Cyrl-RS"/>
        </w:rPr>
        <w:t>који недостају на тржишту,</w:t>
      </w:r>
      <w:r w:rsidRPr="002D71E8">
        <w:rPr>
          <w:sz w:val="24"/>
          <w:szCs w:val="24"/>
          <w:lang w:val="sr-Cyrl-RS"/>
        </w:rPr>
        <w:t xml:space="preserve"> у саветовању у погледу коришћења различитих кредита и субвенција</w:t>
      </w:r>
      <w:r>
        <w:rPr>
          <w:sz w:val="24"/>
          <w:szCs w:val="24"/>
          <w:lang w:val="sr-Cyrl-RS"/>
        </w:rPr>
        <w:t>, као и у повезивању са страним фондацијама које подстичу запошљавање и привредни развој</w:t>
      </w:r>
      <w:r w:rsidRPr="002D71E8">
        <w:rPr>
          <w:sz w:val="24"/>
          <w:szCs w:val="24"/>
          <w:lang w:val="sr-Cyrl-RS"/>
        </w:rPr>
        <w:t xml:space="preserve">. </w:t>
      </w:r>
    </w:p>
    <w:p w:rsidR="009D47E3" w:rsidRPr="009D47E3" w:rsidRDefault="009D47E3" w:rsidP="009D47E3">
      <w:pPr>
        <w:spacing w:after="0"/>
        <w:ind w:firstLine="720"/>
        <w:jc w:val="both"/>
        <w:rPr>
          <w:sz w:val="24"/>
          <w:szCs w:val="24"/>
          <w:lang w:val="sr-Cyrl-RS"/>
        </w:rPr>
      </w:pPr>
      <w:r w:rsidRPr="002D71E8">
        <w:rPr>
          <w:sz w:val="24"/>
          <w:szCs w:val="24"/>
          <w:lang w:val="sr-Cyrl-RS"/>
        </w:rPr>
        <w:t>У оквиру активности на афирмацији дуалног образовања</w:t>
      </w:r>
      <w:r w:rsidR="004F3D51">
        <w:rPr>
          <w:sz w:val="24"/>
          <w:szCs w:val="24"/>
          <w:lang w:val="sr-Cyrl-RS"/>
        </w:rPr>
        <w:t>,</w:t>
      </w:r>
      <w:r w:rsidRPr="002D71E8">
        <w:rPr>
          <w:sz w:val="24"/>
          <w:szCs w:val="24"/>
          <w:lang w:val="sr-Cyrl-RS"/>
        </w:rPr>
        <w:t xml:space="preserve"> Привредна комора Србије </w:t>
      </w:r>
      <w:r w:rsidR="00CD062A">
        <w:rPr>
          <w:sz w:val="24"/>
          <w:szCs w:val="24"/>
          <w:lang w:val="sr-Cyrl-RS"/>
        </w:rPr>
        <w:t xml:space="preserve">(ПКС) </w:t>
      </w:r>
      <w:r w:rsidRPr="002D71E8">
        <w:rPr>
          <w:sz w:val="24"/>
          <w:szCs w:val="24"/>
          <w:lang w:val="sr-Cyrl-RS"/>
        </w:rPr>
        <w:t>учествововала је у раду Актива директора средњих школа на подручју ПКС-Регионална привредна коморе Севернобачког управног округа на креирању плана уписа  у складу са потребама привреде. У складу са сачињеним</w:t>
      </w:r>
      <w:r w:rsidR="00FB13B3" w:rsidRPr="002D71E8">
        <w:rPr>
          <w:sz w:val="24"/>
          <w:szCs w:val="24"/>
          <w:lang w:val="sr-Cyrl-RS"/>
        </w:rPr>
        <w:t xml:space="preserve"> условима уписа, дуално образов</w:t>
      </w:r>
      <w:r w:rsidRPr="002D71E8">
        <w:rPr>
          <w:sz w:val="24"/>
          <w:szCs w:val="24"/>
          <w:lang w:val="sr-Cyrl-RS"/>
        </w:rPr>
        <w:t>ање се уводи у школској години 2018/2019</w:t>
      </w:r>
      <w:r w:rsidR="004F3D51">
        <w:rPr>
          <w:sz w:val="24"/>
          <w:szCs w:val="24"/>
          <w:lang w:val="sr-Cyrl-RS"/>
        </w:rPr>
        <w:t>.</w:t>
      </w:r>
      <w:r w:rsidRPr="002D71E8">
        <w:rPr>
          <w:sz w:val="24"/>
          <w:szCs w:val="24"/>
          <w:lang w:val="sr-Cyrl-RS"/>
        </w:rPr>
        <w:t xml:space="preserve"> у </w:t>
      </w:r>
      <w:r w:rsidR="00CD062A">
        <w:rPr>
          <w:sz w:val="24"/>
          <w:szCs w:val="24"/>
          <w:lang w:val="sr-Cyrl-RS"/>
        </w:rPr>
        <w:t>четири</w:t>
      </w:r>
      <w:r w:rsidRPr="002D71E8">
        <w:rPr>
          <w:sz w:val="24"/>
          <w:szCs w:val="24"/>
          <w:lang w:val="sr-Cyrl-RS"/>
        </w:rPr>
        <w:t xml:space="preserve"> средње школе, са </w:t>
      </w:r>
      <w:r w:rsidR="00CD062A">
        <w:rPr>
          <w:sz w:val="24"/>
          <w:szCs w:val="24"/>
          <w:lang w:val="sr-Cyrl-RS"/>
        </w:rPr>
        <w:t>седам</w:t>
      </w:r>
      <w:r w:rsidRPr="002D71E8">
        <w:rPr>
          <w:sz w:val="24"/>
          <w:szCs w:val="24"/>
          <w:lang w:val="sr-Cyrl-RS"/>
        </w:rPr>
        <w:t xml:space="preserve"> </w:t>
      </w:r>
      <w:r w:rsidR="00CD062A">
        <w:rPr>
          <w:sz w:val="24"/>
          <w:szCs w:val="24"/>
          <w:lang w:val="sr-Cyrl-RS"/>
        </w:rPr>
        <w:t>образовних</w:t>
      </w:r>
      <w:r w:rsidRPr="002D71E8">
        <w:rPr>
          <w:sz w:val="24"/>
          <w:szCs w:val="24"/>
          <w:lang w:val="sr-Cyrl-RS"/>
        </w:rPr>
        <w:t xml:space="preserve"> профила</w:t>
      </w:r>
      <w:r w:rsidR="00CD062A">
        <w:rPr>
          <w:sz w:val="24"/>
          <w:szCs w:val="24"/>
          <w:lang w:val="sr-Cyrl-RS"/>
        </w:rPr>
        <w:t>,</w:t>
      </w:r>
      <w:r w:rsidRPr="002D71E8">
        <w:rPr>
          <w:sz w:val="24"/>
          <w:szCs w:val="24"/>
          <w:lang w:val="sr-Cyrl-RS"/>
        </w:rPr>
        <w:t xml:space="preserve"> у сарадњи са 40 компанија за 324 ученика. Потребно је истаћи да су се у две средње школе формирали полазни разреди на српском и мађарском језику што представља потенцијал за припаднике мађарске националне мањине да завршетком образовног програма буду у прилици да се одмах запосле у правним лицима са којима су прелиминарно потписали уговор о ангажовању. Овај начин образовања пружа могућност инвеститорима и из матичне земље мађарске националне мањине да упосле кадрове са познатим профилом занимања која задовољавају њихове процесе рада а самим тим повећава атрактивност Србије за даља улагања.</w:t>
      </w:r>
      <w:r w:rsidRPr="009D47E3">
        <w:rPr>
          <w:sz w:val="24"/>
          <w:szCs w:val="24"/>
          <w:lang w:val="sr-Cyrl-RS"/>
        </w:rPr>
        <w:t xml:space="preserve"> </w:t>
      </w:r>
    </w:p>
    <w:p w:rsidR="009D47E3" w:rsidRPr="002D71E8" w:rsidRDefault="009D47E3" w:rsidP="009D47E3">
      <w:pPr>
        <w:spacing w:after="0"/>
        <w:ind w:firstLine="720"/>
        <w:jc w:val="both"/>
        <w:rPr>
          <w:sz w:val="24"/>
          <w:szCs w:val="24"/>
          <w:lang w:val="sr-Cyrl-RS"/>
        </w:rPr>
      </w:pPr>
      <w:r w:rsidRPr="009D47E3">
        <w:rPr>
          <w:sz w:val="24"/>
          <w:szCs w:val="24"/>
          <w:lang w:val="sr-Cyrl-RS"/>
        </w:rPr>
        <w:t>ПКС-Регионална привредна комора Крушевац редовно позива представнике националних мањина који су тренутно без посла и социјално угрожени на разговоре и саветовања везано за доделу бесповратних кредита које држава даје за започињање бизниса, како би креирали и охрабрили њихов предузетнички дух.</w:t>
      </w:r>
      <w:r w:rsidR="002D71E8">
        <w:rPr>
          <w:sz w:val="24"/>
          <w:szCs w:val="24"/>
          <w:lang w:val="sr-Cyrl-RS"/>
        </w:rPr>
        <w:t xml:space="preserve"> </w:t>
      </w:r>
      <w:r w:rsidRPr="002D71E8">
        <w:rPr>
          <w:sz w:val="24"/>
          <w:szCs w:val="24"/>
          <w:lang w:val="sr-Cyrl-RS"/>
        </w:rPr>
        <w:t xml:space="preserve">У оквиру имплементације Стратегије за унапређивање положаја Рома града Крушевца – Локалног акционог плана за запошљавање, Регионална привредна комора у сарадњи са Одељењем за друштвене делатности Градске управе града Крушевца реализује бесплатну школу енглеског језика, а у циљу оснаживања незапослених лица са евиденције Националне службе за запошљавање, јачања њихових компетенција и стварања конкурентнијих кадрова на тржишту рада. </w:t>
      </w:r>
    </w:p>
    <w:p w:rsidR="009D47E3" w:rsidRPr="002D71E8" w:rsidRDefault="009D47E3" w:rsidP="009D47E3">
      <w:pPr>
        <w:spacing w:after="0"/>
        <w:ind w:firstLine="720"/>
        <w:jc w:val="both"/>
        <w:rPr>
          <w:sz w:val="24"/>
          <w:szCs w:val="24"/>
          <w:lang w:val="sr-Cyrl-RS"/>
        </w:rPr>
      </w:pPr>
      <w:r w:rsidRPr="002D71E8">
        <w:rPr>
          <w:sz w:val="24"/>
          <w:szCs w:val="24"/>
          <w:lang w:val="sr-Cyrl-RS"/>
        </w:rPr>
        <w:t>Регионална привредна комора Расинског округа учествује у пројекату на тему „Породично предузетништво и идентификација компетенција младих незапослених људи</w:t>
      </w:r>
      <w:r w:rsidR="004F3D51">
        <w:rPr>
          <w:sz w:val="24"/>
          <w:szCs w:val="24"/>
          <w:lang w:val="sr-Cyrl-RS"/>
        </w:rPr>
        <w:t>“</w:t>
      </w:r>
      <w:r w:rsidRPr="002D71E8">
        <w:rPr>
          <w:sz w:val="24"/>
          <w:szCs w:val="24"/>
          <w:lang w:val="sr-Cyrl-RS"/>
        </w:rPr>
        <w:t>, који припадају угроженим категоријама, укључујући ту и националне мањине, у сарадњи са организацијом Tree House, Крушевац. Други пројекат Регионалне привредне коморе Расинског округа јесте пројекат у сарадњи са општином Трстеник „Иновативни генератор запошљавања“ на тему: Повећање запошљавања кроз јачање активности младих, раног стицања радног искуства и предузетничке праксе.</w:t>
      </w:r>
    </w:p>
    <w:p w:rsidR="009D47E3" w:rsidRPr="009D47E3" w:rsidRDefault="009D47E3" w:rsidP="009D47E3">
      <w:pPr>
        <w:spacing w:after="0"/>
        <w:ind w:firstLine="720"/>
        <w:jc w:val="both"/>
        <w:rPr>
          <w:sz w:val="24"/>
          <w:szCs w:val="24"/>
          <w:lang w:val="sr-Cyrl-RS"/>
        </w:rPr>
      </w:pPr>
      <w:r w:rsidRPr="004F1D2A">
        <w:rPr>
          <w:sz w:val="24"/>
          <w:szCs w:val="24"/>
          <w:lang w:val="sr-Cyrl-RS"/>
        </w:rPr>
        <w:t xml:space="preserve">На иницијативу Мађарско - српске трговинске и индустријске коморе из Сегедина, ПКС – </w:t>
      </w:r>
      <w:r w:rsidR="004F3D51" w:rsidRPr="004F3D51">
        <w:rPr>
          <w:sz w:val="24"/>
          <w:szCs w:val="24"/>
          <w:lang w:val="sr-Cyrl-RS"/>
        </w:rPr>
        <w:t>Регионална привредна комора</w:t>
      </w:r>
      <w:r w:rsidRPr="004F1D2A">
        <w:rPr>
          <w:sz w:val="24"/>
          <w:szCs w:val="24"/>
          <w:lang w:val="sr-Cyrl-RS"/>
        </w:rPr>
        <w:t xml:space="preserve"> Суботица организовала је састанак представника Коморе са руководством SZEFO, фабрике за производњу конфекције из </w:t>
      </w:r>
      <w:r w:rsidRPr="004F1D2A">
        <w:rPr>
          <w:sz w:val="24"/>
          <w:szCs w:val="24"/>
          <w:lang w:val="sr-Cyrl-RS"/>
        </w:rPr>
        <w:lastRenderedPageBreak/>
        <w:t xml:space="preserve">Сегедина. На састанку се преговарало о могућностима и условима улагања у отварање погона за израду горње одеће у Суботици или у региону </w:t>
      </w:r>
      <w:r w:rsidR="004F3D51">
        <w:rPr>
          <w:sz w:val="24"/>
          <w:szCs w:val="24"/>
          <w:lang w:val="sr-Cyrl-RS"/>
        </w:rPr>
        <w:t>ове регионалне привредне коморе</w:t>
      </w:r>
      <w:r w:rsidRPr="004F1D2A">
        <w:rPr>
          <w:sz w:val="24"/>
          <w:szCs w:val="24"/>
          <w:lang w:val="sr-Cyrl-RS"/>
        </w:rPr>
        <w:t xml:space="preserve">. Фабрика SZEFO заинтересована је за запошљавање радника са двојним држављанством </w:t>
      </w:r>
      <w:r w:rsidR="004F3D51">
        <w:rPr>
          <w:sz w:val="24"/>
          <w:szCs w:val="24"/>
          <w:lang w:val="sr-Cyrl-RS"/>
        </w:rPr>
        <w:t xml:space="preserve">Србије и </w:t>
      </w:r>
      <w:r w:rsidRPr="004F1D2A">
        <w:rPr>
          <w:sz w:val="24"/>
          <w:szCs w:val="24"/>
          <w:lang w:val="sr-Cyrl-RS"/>
        </w:rPr>
        <w:t>Мађарске или Хрватске, због једноставније процедуре обучавања у матичној фабрици. Радници са знањем мађарског језика има</w:t>
      </w:r>
      <w:r w:rsidR="004F3D51">
        <w:rPr>
          <w:sz w:val="24"/>
          <w:szCs w:val="24"/>
          <w:lang w:val="sr-Cyrl-RS"/>
        </w:rPr>
        <w:t>ју</w:t>
      </w:r>
      <w:r w:rsidRPr="004F1D2A">
        <w:rPr>
          <w:sz w:val="24"/>
          <w:szCs w:val="24"/>
          <w:lang w:val="sr-Cyrl-RS"/>
        </w:rPr>
        <w:t xml:space="preserve"> предност у запошљавању.</w:t>
      </w:r>
    </w:p>
    <w:p w:rsidR="009D47E3" w:rsidRPr="009D47E3" w:rsidRDefault="009D47E3" w:rsidP="009D47E3">
      <w:pPr>
        <w:spacing w:after="0"/>
        <w:ind w:firstLine="720"/>
        <w:jc w:val="both"/>
        <w:rPr>
          <w:sz w:val="24"/>
          <w:szCs w:val="24"/>
          <w:lang w:val="sr-Cyrl-RS"/>
        </w:rPr>
      </w:pPr>
      <w:r w:rsidRPr="009D47E3">
        <w:rPr>
          <w:sz w:val="24"/>
          <w:szCs w:val="24"/>
          <w:lang w:val="sr-Cyrl-RS"/>
        </w:rPr>
        <w:t xml:space="preserve">Представник </w:t>
      </w:r>
      <w:r w:rsidR="004F3D51" w:rsidRPr="004F3D51">
        <w:rPr>
          <w:sz w:val="24"/>
          <w:szCs w:val="24"/>
          <w:lang w:val="sr-Cyrl-RS"/>
        </w:rPr>
        <w:t>Регионалн</w:t>
      </w:r>
      <w:r w:rsidR="004F3D51">
        <w:rPr>
          <w:sz w:val="24"/>
          <w:szCs w:val="24"/>
          <w:lang w:val="sr-Cyrl-RS"/>
        </w:rPr>
        <w:t>е</w:t>
      </w:r>
      <w:r w:rsidR="004F3D51" w:rsidRPr="004F3D51">
        <w:rPr>
          <w:sz w:val="24"/>
          <w:szCs w:val="24"/>
          <w:lang w:val="sr-Cyrl-RS"/>
        </w:rPr>
        <w:t xml:space="preserve"> привредн</w:t>
      </w:r>
      <w:r w:rsidR="004F3D51">
        <w:rPr>
          <w:sz w:val="24"/>
          <w:szCs w:val="24"/>
          <w:lang w:val="sr-Cyrl-RS"/>
        </w:rPr>
        <w:t>е</w:t>
      </w:r>
      <w:r w:rsidR="004F3D51" w:rsidRPr="004F3D51">
        <w:rPr>
          <w:sz w:val="24"/>
          <w:szCs w:val="24"/>
          <w:lang w:val="sr-Cyrl-RS"/>
        </w:rPr>
        <w:t xml:space="preserve"> комор</w:t>
      </w:r>
      <w:r w:rsidR="004F3D51">
        <w:rPr>
          <w:sz w:val="24"/>
          <w:szCs w:val="24"/>
          <w:lang w:val="sr-Cyrl-RS"/>
        </w:rPr>
        <w:t>е</w:t>
      </w:r>
      <w:r w:rsidRPr="009D47E3">
        <w:rPr>
          <w:sz w:val="24"/>
          <w:szCs w:val="24"/>
          <w:lang w:val="sr-Cyrl-RS"/>
        </w:rPr>
        <w:t xml:space="preserve"> Севернобачког управног округа је активно укључен у рад Савета за запошљавање града Суботице</w:t>
      </w:r>
      <w:r w:rsidR="004F3D51">
        <w:rPr>
          <w:sz w:val="24"/>
          <w:szCs w:val="24"/>
          <w:lang w:val="sr-Cyrl-RS"/>
        </w:rPr>
        <w:t>.</w:t>
      </w:r>
      <w:r w:rsidRPr="009D47E3">
        <w:rPr>
          <w:sz w:val="24"/>
          <w:szCs w:val="24"/>
          <w:lang w:val="sr-Cyrl-RS"/>
        </w:rPr>
        <w:t xml:space="preserve"> Савет доноси одлуке о мерама за запошљавање незапослених лица и јавним радовима при чему се посебна пажња даје припадницима националних мањина и угрожених група становништва, управо у циљу побољшања њиховог економског положаја.</w:t>
      </w:r>
    </w:p>
    <w:p w:rsidR="009D47E3" w:rsidRPr="009D47E3" w:rsidRDefault="009D47E3" w:rsidP="009D47E3">
      <w:pPr>
        <w:spacing w:after="0"/>
        <w:ind w:firstLine="720"/>
        <w:jc w:val="both"/>
        <w:rPr>
          <w:sz w:val="24"/>
          <w:szCs w:val="24"/>
          <w:lang w:val="sr-Cyrl-RS"/>
        </w:rPr>
      </w:pPr>
      <w:r w:rsidRPr="009D47E3">
        <w:rPr>
          <w:sz w:val="24"/>
          <w:szCs w:val="24"/>
          <w:lang w:val="sr-Cyrl-RS"/>
        </w:rPr>
        <w:t>На подручју Р</w:t>
      </w:r>
      <w:r w:rsidR="002D71E8">
        <w:rPr>
          <w:sz w:val="24"/>
          <w:szCs w:val="24"/>
          <w:lang w:val="sr-Cyrl-RS"/>
        </w:rPr>
        <w:t xml:space="preserve">егионалне привредне коморе Севернобачког округа </w:t>
      </w:r>
      <w:r w:rsidRPr="009D47E3">
        <w:rPr>
          <w:sz w:val="24"/>
          <w:szCs w:val="24"/>
          <w:lang w:val="sr-Cyrl-RS"/>
        </w:rPr>
        <w:t>(Град Суботица и општине Бачка Топола, Мали Иђош, Кањижа, Сента и Ада) активн</w:t>
      </w:r>
      <w:r w:rsidR="004F3D51">
        <w:rPr>
          <w:sz w:val="24"/>
          <w:szCs w:val="24"/>
          <w:lang w:val="sr-Cyrl-RS"/>
        </w:rPr>
        <w:t>а је</w:t>
      </w:r>
      <w:r w:rsidRPr="009D47E3">
        <w:rPr>
          <w:sz w:val="24"/>
          <w:szCs w:val="24"/>
          <w:lang w:val="sr-Cyrl-RS"/>
        </w:rPr>
        <w:t xml:space="preserve"> Фондациј</w:t>
      </w:r>
      <w:r w:rsidR="004F3D51">
        <w:rPr>
          <w:sz w:val="24"/>
          <w:szCs w:val="24"/>
          <w:lang w:val="sr-Cyrl-RS"/>
        </w:rPr>
        <w:t>а</w:t>
      </w:r>
      <w:r w:rsidRPr="009D47E3">
        <w:rPr>
          <w:sz w:val="24"/>
          <w:szCs w:val="24"/>
          <w:lang w:val="sr-Cyrl-RS"/>
        </w:rPr>
        <w:t xml:space="preserve"> Просперитати - мађарск</w:t>
      </w:r>
      <w:r w:rsidR="004F3D51">
        <w:rPr>
          <w:sz w:val="24"/>
          <w:szCs w:val="24"/>
          <w:lang w:val="sr-Cyrl-RS"/>
        </w:rPr>
        <w:t>а</w:t>
      </w:r>
      <w:r w:rsidRPr="009D47E3">
        <w:rPr>
          <w:sz w:val="24"/>
          <w:szCs w:val="24"/>
          <w:lang w:val="sr-Cyrl-RS"/>
        </w:rPr>
        <w:t xml:space="preserve"> регионалн</w:t>
      </w:r>
      <w:r w:rsidR="004F3D51">
        <w:rPr>
          <w:sz w:val="24"/>
          <w:szCs w:val="24"/>
          <w:lang w:val="sr-Cyrl-RS"/>
        </w:rPr>
        <w:t>а фондација</w:t>
      </w:r>
      <w:r w:rsidRPr="009D47E3">
        <w:rPr>
          <w:sz w:val="24"/>
          <w:szCs w:val="24"/>
          <w:lang w:val="sr-Cyrl-RS"/>
        </w:rPr>
        <w:t xml:space="preserve"> за заједнички развој у Војводини. Фондација је добровољна, невладина и непрофитна, основана на неодређено време ради остваривања добротворних циљева, а један од главних циљева Фондације је оживљавање стратегије економског и регионалног развоја мађарск</w:t>
      </w:r>
      <w:r w:rsidR="004F3D51">
        <w:rPr>
          <w:sz w:val="24"/>
          <w:szCs w:val="24"/>
          <w:lang w:val="sr-Cyrl-RS"/>
        </w:rPr>
        <w:t>е</w:t>
      </w:r>
      <w:r w:rsidRPr="009D47E3">
        <w:rPr>
          <w:sz w:val="24"/>
          <w:szCs w:val="24"/>
          <w:lang w:val="sr-Cyrl-RS"/>
        </w:rPr>
        <w:t xml:space="preserve"> заједниц</w:t>
      </w:r>
      <w:r w:rsidR="004F3D51">
        <w:rPr>
          <w:sz w:val="24"/>
          <w:szCs w:val="24"/>
          <w:lang w:val="sr-Cyrl-RS"/>
        </w:rPr>
        <w:t>е</w:t>
      </w:r>
      <w:r w:rsidRPr="009D47E3">
        <w:rPr>
          <w:sz w:val="24"/>
          <w:szCs w:val="24"/>
          <w:lang w:val="sr-Cyrl-RS"/>
        </w:rPr>
        <w:t xml:space="preserve"> у Војводини.</w:t>
      </w:r>
    </w:p>
    <w:p w:rsidR="0077600F" w:rsidRDefault="0077600F" w:rsidP="0077600F">
      <w:pPr>
        <w:spacing w:after="0"/>
        <w:jc w:val="both"/>
        <w:rPr>
          <w:sz w:val="24"/>
          <w:szCs w:val="24"/>
          <w:lang w:val="sr-Cyrl-RS"/>
        </w:rPr>
      </w:pPr>
    </w:p>
    <w:p w:rsidR="0077600F" w:rsidRPr="0032712F" w:rsidRDefault="0077600F" w:rsidP="0077600F">
      <w:pPr>
        <w:spacing w:after="0"/>
        <w:jc w:val="both"/>
        <w:rPr>
          <w:b/>
          <w:sz w:val="24"/>
          <w:szCs w:val="24"/>
          <w:lang w:val="sr-Cyrl-RS"/>
        </w:rPr>
      </w:pPr>
      <w:r w:rsidRPr="0032712F">
        <w:rPr>
          <w:b/>
          <w:sz w:val="24"/>
          <w:szCs w:val="24"/>
          <w:lang w:val="sr-Cyrl-RS"/>
        </w:rPr>
        <w:t xml:space="preserve">б. </w:t>
      </w:r>
      <w:r w:rsidRPr="0032712F">
        <w:rPr>
          <w:b/>
          <w:sz w:val="24"/>
          <w:szCs w:val="24"/>
        </w:rPr>
        <w:t>M</w:t>
      </w:r>
      <w:r w:rsidRPr="0032712F">
        <w:rPr>
          <w:b/>
          <w:sz w:val="24"/>
          <w:szCs w:val="24"/>
          <w:lang w:val="sr-Cyrl-RS"/>
        </w:rPr>
        <w:t xml:space="preserve">ере и политике за спровођење свих детаљних препорука, различитих налаза и закључака садржаних у </w:t>
      </w:r>
      <w:r w:rsidR="0032712F">
        <w:rPr>
          <w:b/>
          <w:sz w:val="24"/>
          <w:szCs w:val="24"/>
          <w:lang w:val="sr-Cyrl-RS"/>
        </w:rPr>
        <w:t>Ч</w:t>
      </w:r>
      <w:r w:rsidRPr="0032712F">
        <w:rPr>
          <w:b/>
          <w:sz w:val="24"/>
          <w:szCs w:val="24"/>
          <w:lang w:val="sr-Cyrl-RS"/>
        </w:rPr>
        <w:t xml:space="preserve">етвртом </w:t>
      </w:r>
      <w:r w:rsidR="0032712F">
        <w:rPr>
          <w:b/>
          <w:sz w:val="24"/>
          <w:szCs w:val="24"/>
          <w:lang w:val="sr-Cyrl-RS"/>
        </w:rPr>
        <w:t>м</w:t>
      </w:r>
      <w:r w:rsidRPr="0032712F">
        <w:rPr>
          <w:b/>
          <w:sz w:val="24"/>
          <w:szCs w:val="24"/>
          <w:lang w:val="sr-Cyrl-RS"/>
        </w:rPr>
        <w:t>ишљењу Саветодавног комитета</w:t>
      </w:r>
    </w:p>
    <w:p w:rsidR="0077600F" w:rsidRDefault="0077600F" w:rsidP="0077600F">
      <w:pPr>
        <w:spacing w:after="0"/>
        <w:jc w:val="both"/>
        <w:rPr>
          <w:lang w:val="sr-Cyrl-RS"/>
        </w:rPr>
      </w:pPr>
    </w:p>
    <w:p w:rsidR="0077600F" w:rsidRPr="00E92A05" w:rsidRDefault="0077600F" w:rsidP="00E92A05">
      <w:pPr>
        <w:pStyle w:val="Heading2"/>
        <w:jc w:val="center"/>
        <w:rPr>
          <w:rFonts w:ascii="Times New Roman" w:hAnsi="Times New Roman" w:cs="Times New Roman"/>
          <w:b/>
          <w:color w:val="auto"/>
          <w:sz w:val="24"/>
          <w:szCs w:val="24"/>
          <w:lang w:val="sr-Cyrl-RS"/>
        </w:rPr>
      </w:pPr>
      <w:bookmarkStart w:id="8" w:name="_Toc111191323"/>
      <w:r w:rsidRPr="00E92A05">
        <w:rPr>
          <w:rFonts w:ascii="Times New Roman" w:hAnsi="Times New Roman" w:cs="Times New Roman"/>
          <w:b/>
          <w:color w:val="auto"/>
          <w:sz w:val="24"/>
          <w:szCs w:val="24"/>
          <w:lang w:val="sr-Cyrl-RS"/>
        </w:rPr>
        <w:t>Члан 3. Оквирне конвенције</w:t>
      </w:r>
      <w:bookmarkEnd w:id="8"/>
    </w:p>
    <w:p w:rsidR="0077600F" w:rsidRPr="00F333CD" w:rsidRDefault="0077600F" w:rsidP="00F333CD">
      <w:pPr>
        <w:pStyle w:val="Heading3"/>
        <w:jc w:val="center"/>
        <w:rPr>
          <w:rFonts w:ascii="Times New Roman" w:hAnsi="Times New Roman" w:cs="Times New Roman"/>
          <w:b/>
          <w:lang w:val="sr-Cyrl-RS"/>
        </w:rPr>
      </w:pPr>
      <w:bookmarkStart w:id="9" w:name="_Toc111191324"/>
      <w:r w:rsidRPr="00F333CD">
        <w:rPr>
          <w:rFonts w:ascii="Times New Roman" w:hAnsi="Times New Roman" w:cs="Times New Roman"/>
          <w:b/>
          <w:color w:val="auto"/>
          <w:lang w:val="sr-Cyrl-RS"/>
        </w:rPr>
        <w:t>Лични обим применe</w:t>
      </w:r>
      <w:bookmarkEnd w:id="9"/>
    </w:p>
    <w:p w:rsidR="0077600F" w:rsidRDefault="0077600F" w:rsidP="0077600F">
      <w:pPr>
        <w:spacing w:after="0"/>
        <w:rPr>
          <w:b/>
          <w:sz w:val="24"/>
          <w:szCs w:val="24"/>
          <w:lang w:val="sr-Cyrl-RS"/>
        </w:rPr>
      </w:pPr>
    </w:p>
    <w:p w:rsidR="0077600F" w:rsidRPr="0077600F" w:rsidRDefault="0077600F" w:rsidP="00364594">
      <w:pPr>
        <w:tabs>
          <w:tab w:val="left" w:pos="719"/>
        </w:tabs>
        <w:spacing w:after="0"/>
        <w:ind w:right="-46"/>
        <w:jc w:val="both"/>
        <w:rPr>
          <w:rFonts w:cs="Calibri"/>
          <w:i/>
          <w:color w:val="000000"/>
          <w:sz w:val="24"/>
          <w:lang w:val="sr-Cyrl-RS"/>
        </w:rPr>
      </w:pPr>
      <w:r w:rsidRPr="008572C6">
        <w:rPr>
          <w:rFonts w:cs="Calibri"/>
          <w:i/>
          <w:color w:val="000000"/>
          <w:sz w:val="24"/>
          <w:lang w:val="sr-Cyrl-RS"/>
        </w:rPr>
        <w:t>13. Саветодавни комитет понавља свој позив властима да размотре укидање потенцијално ограничавајућег критеријума за држављанство садржаног у Закону о заштити права и слобода националних мањина.</w:t>
      </w:r>
    </w:p>
    <w:p w:rsidR="0077600F" w:rsidRDefault="0077600F" w:rsidP="0077600F">
      <w:pPr>
        <w:spacing w:after="0"/>
        <w:rPr>
          <w:b/>
          <w:sz w:val="24"/>
          <w:szCs w:val="24"/>
          <w:lang w:val="sr-Cyrl-RS"/>
        </w:rPr>
      </w:pPr>
    </w:p>
    <w:p w:rsidR="004A29F3" w:rsidRPr="00256948" w:rsidRDefault="004A29F3" w:rsidP="004A29F3">
      <w:pPr>
        <w:spacing w:after="0"/>
        <w:ind w:firstLine="720"/>
        <w:jc w:val="both"/>
        <w:rPr>
          <w:sz w:val="24"/>
          <w:szCs w:val="24"/>
          <w:lang w:val="sr-Cyrl-RS"/>
        </w:rPr>
      </w:pPr>
      <w:r w:rsidRPr="00256948">
        <w:rPr>
          <w:sz w:val="24"/>
          <w:szCs w:val="24"/>
          <w:lang w:val="sr-Cyrl-RS"/>
        </w:rPr>
        <w:t xml:space="preserve">Критеријум држављанства садржан у законској дефиницији националне мањине односи се на </w:t>
      </w:r>
      <w:r w:rsidRPr="00256948">
        <w:rPr>
          <w:i/>
          <w:sz w:val="24"/>
          <w:szCs w:val="24"/>
          <w:lang w:val="sr-Cyrl-RS"/>
        </w:rPr>
        <w:t>групе држављана</w:t>
      </w:r>
      <w:r w:rsidRPr="00256948">
        <w:rPr>
          <w:sz w:val="24"/>
          <w:szCs w:val="24"/>
          <w:lang w:val="sr-Cyrl-RS"/>
        </w:rPr>
        <w:t xml:space="preserve"> које у правном поретку Републике Србије могу уживати статус националне мањине. Другим речима, у правном поретку Републике Србије не може се признати статус националне мањине групама лица која поседују обележја као што су језик, култура, национална или етничка припадност, порекло или вероисповест, по којима се разликују од већине становништва, али која немају држављанство и нису у дуготрајној и чврстој вези са територијом Републике Србије. То се првенствено односи на групе избеглица, миграната и лица која по основу економских активности живе у Републици Србији. То што такве групе лица не уживају статус националне мањине, не значи да оне и лица која им припадају у Републици Србији, у складу с највишим међународним стандардима људских права, не уживају право на слободно изражавање, очување и развој свог етничког, културног, језичког и верског идентитета.</w:t>
      </w:r>
    </w:p>
    <w:p w:rsidR="004A29F3" w:rsidRPr="00256948" w:rsidRDefault="004A29F3" w:rsidP="004A29F3">
      <w:pPr>
        <w:spacing w:after="0"/>
        <w:ind w:firstLine="720"/>
        <w:jc w:val="both"/>
        <w:rPr>
          <w:sz w:val="24"/>
          <w:szCs w:val="24"/>
          <w:lang w:val="sr-Cyrl-RS"/>
        </w:rPr>
      </w:pPr>
      <w:r w:rsidRPr="00256948">
        <w:rPr>
          <w:sz w:val="24"/>
          <w:szCs w:val="24"/>
          <w:lang w:val="sr-Cyrl-RS"/>
        </w:rPr>
        <w:t xml:space="preserve">У правном поретку Републике Србије већина мањинских права која се индивидуално уживају и остварују, нарочито у погледу коришћења језика и писама, као </w:t>
      </w:r>
      <w:r w:rsidRPr="00256948">
        <w:rPr>
          <w:sz w:val="24"/>
          <w:szCs w:val="24"/>
          <w:lang w:val="sr-Cyrl-RS"/>
        </w:rPr>
        <w:lastRenderedPageBreak/>
        <w:t>и у погледу образовања, нису резервисана искључиво за држављане. Дакле, лица која нису држављани Републике Србије, а која деле исти национални идентитет са лицима која припадају националним мањинама у Републици Србији немају никаквих сметњи у погледу уживања и остваривања мањинских права. Заправо, таква лица могу бити бенефицијари свих мањинских права (на пример могу слободно употребљавати свој  језик и писмо у контактима с органима власти, могу бити странке у поступцима који се у потпуности воде на језицима и писмима националних мањина, могу бити чланови мањинских удружења, могу индивидуално и у заједници с припадницима националних мањина неговати и развијати свој верски идентитет, могу похађати целокупно образовање на језику и писму националних мањина, итд</w:t>
      </w:r>
      <w:r w:rsidR="0032712F">
        <w:rPr>
          <w:sz w:val="24"/>
          <w:szCs w:val="24"/>
          <w:lang w:val="sr-Cyrl-RS"/>
        </w:rPr>
        <w:t>.</w:t>
      </w:r>
      <w:r w:rsidRPr="00256948">
        <w:rPr>
          <w:sz w:val="24"/>
          <w:szCs w:val="24"/>
          <w:lang w:val="sr-Cyrl-RS"/>
        </w:rPr>
        <w:t>), изузев у оним случајевима када је услов држављанства изричито наведен у закону (на пример</w:t>
      </w:r>
      <w:r w:rsidR="0032712F">
        <w:rPr>
          <w:sz w:val="24"/>
          <w:szCs w:val="24"/>
          <w:lang w:val="sr-Cyrl-RS"/>
        </w:rPr>
        <w:t>,</w:t>
      </w:r>
      <w:r w:rsidRPr="00256948">
        <w:rPr>
          <w:sz w:val="24"/>
          <w:szCs w:val="24"/>
          <w:lang w:val="sr-Cyrl-RS"/>
        </w:rPr>
        <w:t xml:space="preserve"> не могу уживати изборно право и у том смислу не могу бити политички представници националних мањина, нити учествовати у поступку избора националних савета националних мањина и бити чланови тих тела). </w:t>
      </w:r>
    </w:p>
    <w:p w:rsidR="004A29F3" w:rsidRPr="00256948" w:rsidRDefault="004A29F3" w:rsidP="004A29F3">
      <w:pPr>
        <w:tabs>
          <w:tab w:val="left" w:pos="719"/>
        </w:tabs>
        <w:spacing w:after="0"/>
        <w:jc w:val="both"/>
        <w:rPr>
          <w:color w:val="000000"/>
          <w:sz w:val="24"/>
          <w:szCs w:val="24"/>
          <w:lang w:val="sr-Cyrl-RS"/>
        </w:rPr>
      </w:pPr>
      <w:r w:rsidRPr="00256948">
        <w:rPr>
          <w:sz w:val="24"/>
          <w:szCs w:val="24"/>
          <w:lang w:val="sr-Cyrl-RS"/>
        </w:rPr>
        <w:tab/>
      </w:r>
      <w:r>
        <w:rPr>
          <w:sz w:val="24"/>
          <w:szCs w:val="24"/>
          <w:lang w:val="sr-Cyrl-RS"/>
        </w:rPr>
        <w:t>О</w:t>
      </w:r>
      <w:r w:rsidRPr="00256948">
        <w:rPr>
          <w:sz w:val="24"/>
          <w:szCs w:val="24"/>
          <w:lang w:val="sr-Cyrl-RS"/>
        </w:rPr>
        <w:t xml:space="preserve">ргани Републике Србије </w:t>
      </w:r>
      <w:r>
        <w:rPr>
          <w:sz w:val="24"/>
          <w:szCs w:val="24"/>
          <w:lang w:val="sr-Cyrl-RS"/>
        </w:rPr>
        <w:t xml:space="preserve">понављају </w:t>
      </w:r>
      <w:r w:rsidRPr="00256948">
        <w:rPr>
          <w:sz w:val="24"/>
          <w:szCs w:val="24"/>
          <w:lang w:val="sr-Cyrl-RS"/>
        </w:rPr>
        <w:t>да не постоје оправдани разлози за иницијативу која је садржана у овој препоруци Саветодавног комитета, посебно што и Саветодавни комитет налази да је у питању тек потенцијално ограничавајући критеријум и што се и у Четвртом, као и у претходним мишљењима Саветодавног комитета, констатује флексибилан приступ који српске власти показују у погледу приступа језичким мањинским правима, што омогућава да у пракси лица која нису држављани, а која говоре исти језик као и национална мањина, могу да имају користи од многих истих права као и лица која су призната као припадници националних мањина</w:t>
      </w:r>
      <w:r>
        <w:rPr>
          <w:sz w:val="24"/>
          <w:szCs w:val="24"/>
          <w:lang w:val="sr-Cyrl-RS"/>
        </w:rPr>
        <w:t>.</w:t>
      </w:r>
      <w:r w:rsidRPr="00256948">
        <w:rPr>
          <w:rStyle w:val="FootnoteReference"/>
          <w:sz w:val="24"/>
          <w:szCs w:val="24"/>
          <w:lang w:val="sr-Cyrl-RS"/>
        </w:rPr>
        <w:footnoteReference w:id="76"/>
      </w:r>
    </w:p>
    <w:p w:rsidR="004A29F3" w:rsidRPr="008C3796" w:rsidRDefault="004A29F3" w:rsidP="0077600F">
      <w:pPr>
        <w:spacing w:after="0"/>
        <w:rPr>
          <w:b/>
          <w:sz w:val="24"/>
          <w:szCs w:val="24"/>
          <w:lang w:val="sr-Cyrl-RS"/>
        </w:rPr>
      </w:pPr>
    </w:p>
    <w:p w:rsidR="0077600F" w:rsidRPr="00F333CD" w:rsidRDefault="0077600F" w:rsidP="00F333CD">
      <w:pPr>
        <w:pStyle w:val="Heading3"/>
        <w:jc w:val="center"/>
        <w:rPr>
          <w:rFonts w:ascii="Times New Roman" w:hAnsi="Times New Roman" w:cs="Times New Roman"/>
          <w:b/>
          <w:lang w:val="sr-Cyrl-RS"/>
        </w:rPr>
      </w:pPr>
      <w:bookmarkStart w:id="10" w:name="_Toc111191325"/>
      <w:r w:rsidRPr="00F333CD">
        <w:rPr>
          <w:rFonts w:ascii="Times New Roman" w:hAnsi="Times New Roman" w:cs="Times New Roman"/>
          <w:b/>
          <w:color w:val="auto"/>
          <w:lang w:val="sr-Cyrl-RS"/>
        </w:rPr>
        <w:t>Прикупљање података и попис становништва</w:t>
      </w:r>
      <w:bookmarkEnd w:id="10"/>
    </w:p>
    <w:p w:rsidR="0077600F" w:rsidRPr="008C3796" w:rsidRDefault="0077600F" w:rsidP="0077600F">
      <w:pPr>
        <w:spacing w:after="0"/>
        <w:jc w:val="center"/>
        <w:rPr>
          <w:i/>
          <w:sz w:val="24"/>
          <w:szCs w:val="24"/>
          <w:lang w:val="sr-Cyrl-RS"/>
        </w:rPr>
      </w:pPr>
    </w:p>
    <w:p w:rsidR="0077600F" w:rsidRPr="008C3796" w:rsidRDefault="0077600F" w:rsidP="0077600F">
      <w:pPr>
        <w:spacing w:after="0"/>
        <w:jc w:val="both"/>
        <w:rPr>
          <w:i/>
          <w:sz w:val="24"/>
          <w:szCs w:val="24"/>
          <w:lang w:val="sr-Cyrl-RS"/>
        </w:rPr>
      </w:pPr>
      <w:r w:rsidRPr="008C3796">
        <w:rPr>
          <w:i/>
          <w:sz w:val="24"/>
          <w:szCs w:val="24"/>
          <w:lang w:val="sr-Cyrl-RS"/>
        </w:rPr>
        <w:t xml:space="preserve">20. </w:t>
      </w:r>
      <w:r w:rsidR="00334F7A" w:rsidRPr="00334F7A">
        <w:rPr>
          <w:i/>
          <w:sz w:val="24"/>
          <w:szCs w:val="24"/>
          <w:lang w:val="sr-Cyrl-RS"/>
        </w:rPr>
        <w:t xml:space="preserve">Саветодавни комитет позива власти да покрену информативну кампању много пре следећег пописа, </w:t>
      </w:r>
      <w:r w:rsidR="00334F7A">
        <w:rPr>
          <w:i/>
          <w:sz w:val="24"/>
          <w:szCs w:val="24"/>
        </w:rPr>
        <w:t>усмерену н</w:t>
      </w:r>
      <w:r w:rsidR="00334F7A" w:rsidRPr="00334F7A">
        <w:rPr>
          <w:i/>
          <w:sz w:val="24"/>
          <w:szCs w:val="24"/>
          <w:lang w:val="sr-Cyrl-RS"/>
        </w:rPr>
        <w:t>а припадни</w:t>
      </w:r>
      <w:r w:rsidR="00334F7A">
        <w:rPr>
          <w:i/>
          <w:sz w:val="24"/>
          <w:szCs w:val="24"/>
          <w:lang w:val="sr-Cyrl-RS"/>
        </w:rPr>
        <w:t>ке</w:t>
      </w:r>
      <w:r w:rsidR="00334F7A" w:rsidRPr="00334F7A">
        <w:rPr>
          <w:i/>
          <w:sz w:val="24"/>
          <w:szCs w:val="24"/>
          <w:lang w:val="sr-Cyrl-RS"/>
        </w:rPr>
        <w:t xml:space="preserve"> националних мањина, подижући њихову свест о предностима учешћа у попису, о вишеструкој припадности и </w:t>
      </w:r>
      <w:r w:rsidR="00334F7A">
        <w:rPr>
          <w:i/>
          <w:sz w:val="24"/>
          <w:szCs w:val="24"/>
          <w:lang w:val="sr-Cyrl-RS"/>
        </w:rPr>
        <w:t xml:space="preserve">о </w:t>
      </w:r>
      <w:r w:rsidR="00334F7A" w:rsidRPr="00334F7A">
        <w:rPr>
          <w:i/>
          <w:sz w:val="24"/>
          <w:szCs w:val="24"/>
          <w:lang w:val="sr-Cyrl-RS"/>
        </w:rPr>
        <w:t>њиховим правима, у циљу успешног спајања заштите и промоције мањинских права са прикупљањем поузданих информација о етничком саставу становништва.</w:t>
      </w:r>
    </w:p>
    <w:p w:rsidR="0077600F" w:rsidRPr="001E768B" w:rsidRDefault="0077600F" w:rsidP="0077600F">
      <w:pPr>
        <w:spacing w:after="0"/>
        <w:jc w:val="center"/>
        <w:rPr>
          <w:b/>
          <w:sz w:val="20"/>
          <w:szCs w:val="20"/>
          <w:lang w:val="sr-Cyrl-RS"/>
        </w:rPr>
      </w:pPr>
    </w:p>
    <w:p w:rsidR="0077600F" w:rsidRDefault="0077600F" w:rsidP="0077600F">
      <w:pPr>
        <w:spacing w:after="0"/>
        <w:jc w:val="both"/>
        <w:rPr>
          <w:sz w:val="24"/>
          <w:szCs w:val="24"/>
          <w:lang w:val="sr-Cyrl-RS"/>
        </w:rPr>
      </w:pPr>
      <w:r>
        <w:rPr>
          <w:sz w:val="24"/>
          <w:szCs w:val="24"/>
          <w:lang w:val="sr-Cyrl-RS"/>
        </w:rPr>
        <w:tab/>
        <w:t>Одговор на ову препоруку садржан је у одговору на препоруку 6. из Резолуције Комитета министара.</w:t>
      </w:r>
    </w:p>
    <w:p w:rsidR="0077600F" w:rsidRDefault="0077600F" w:rsidP="0077600F">
      <w:pPr>
        <w:spacing w:after="0"/>
        <w:jc w:val="both"/>
        <w:rPr>
          <w:sz w:val="24"/>
          <w:szCs w:val="24"/>
          <w:lang w:val="sr-Cyrl-RS"/>
        </w:rPr>
      </w:pPr>
    </w:p>
    <w:p w:rsidR="0077600F" w:rsidRDefault="0077600F" w:rsidP="0077600F">
      <w:pPr>
        <w:spacing w:after="0"/>
        <w:jc w:val="both"/>
        <w:rPr>
          <w:i/>
          <w:sz w:val="24"/>
          <w:szCs w:val="24"/>
          <w:lang w:val="sr-Cyrl-RS"/>
        </w:rPr>
      </w:pPr>
      <w:r w:rsidRPr="008C3796">
        <w:rPr>
          <w:i/>
          <w:sz w:val="24"/>
          <w:szCs w:val="24"/>
          <w:lang w:val="sr-Cyrl-RS"/>
        </w:rPr>
        <w:t xml:space="preserve">21. </w:t>
      </w:r>
      <w:r w:rsidR="00334F7A" w:rsidRPr="00334F7A">
        <w:rPr>
          <w:i/>
          <w:sz w:val="24"/>
          <w:szCs w:val="24"/>
          <w:lang w:val="sr-Cyrl-RS"/>
        </w:rPr>
        <w:t>Саветодавни комитет позива власти да осигурају делотворно учешће припадника националних мањина у обликовању пописне методологије и у организацији и функционисању таквих процеса, укључујући и анкетаре. Такође позива власти да све информације о пописној методологији и циљу прикупљања података учине доступним на језицима националних мањина.</w:t>
      </w:r>
    </w:p>
    <w:p w:rsidR="0077600F" w:rsidRDefault="0077600F" w:rsidP="0077600F">
      <w:pPr>
        <w:spacing w:after="0"/>
        <w:jc w:val="both"/>
        <w:rPr>
          <w:sz w:val="24"/>
          <w:szCs w:val="24"/>
          <w:lang w:val="sr-Cyrl-RS"/>
        </w:rPr>
      </w:pPr>
    </w:p>
    <w:p w:rsidR="0077600F" w:rsidRDefault="0077600F" w:rsidP="0077600F">
      <w:pPr>
        <w:spacing w:after="0"/>
        <w:ind w:firstLine="720"/>
        <w:jc w:val="both"/>
        <w:rPr>
          <w:sz w:val="24"/>
          <w:szCs w:val="24"/>
          <w:lang w:val="sr-Cyrl-RS"/>
        </w:rPr>
      </w:pPr>
      <w:r>
        <w:rPr>
          <w:sz w:val="24"/>
          <w:szCs w:val="24"/>
          <w:lang w:val="sr-Cyrl-RS"/>
        </w:rPr>
        <w:t>Одговор на ову препоруку садржан је у одговору на препоруку 7. из Резолуције Комитета министара.</w:t>
      </w:r>
    </w:p>
    <w:p w:rsidR="00334F7A" w:rsidRDefault="00334F7A" w:rsidP="00334F7A">
      <w:pPr>
        <w:spacing w:after="0"/>
        <w:jc w:val="both"/>
        <w:rPr>
          <w:sz w:val="24"/>
          <w:szCs w:val="24"/>
          <w:lang w:val="sr-Cyrl-RS"/>
        </w:rPr>
      </w:pPr>
    </w:p>
    <w:p w:rsidR="00334F7A" w:rsidRPr="00F333CD" w:rsidRDefault="00334F7A" w:rsidP="00F333CD">
      <w:pPr>
        <w:pStyle w:val="Heading2"/>
        <w:jc w:val="center"/>
        <w:rPr>
          <w:rFonts w:ascii="Times New Roman" w:hAnsi="Times New Roman" w:cs="Times New Roman"/>
          <w:b/>
          <w:sz w:val="24"/>
          <w:szCs w:val="24"/>
          <w:lang w:val="sr-Cyrl-RS"/>
        </w:rPr>
      </w:pPr>
      <w:bookmarkStart w:id="11" w:name="_Toc111191326"/>
      <w:r w:rsidRPr="00F333CD">
        <w:rPr>
          <w:rFonts w:ascii="Times New Roman" w:hAnsi="Times New Roman" w:cs="Times New Roman"/>
          <w:b/>
          <w:color w:val="auto"/>
          <w:sz w:val="24"/>
          <w:szCs w:val="24"/>
          <w:lang w:val="sr-Cyrl-RS"/>
        </w:rPr>
        <w:t>Члан 4. Оквирне конвенције</w:t>
      </w:r>
      <w:bookmarkEnd w:id="11"/>
    </w:p>
    <w:p w:rsidR="00334F7A" w:rsidRPr="00F333CD" w:rsidRDefault="00334F7A" w:rsidP="00F333CD">
      <w:pPr>
        <w:pStyle w:val="Heading3"/>
        <w:jc w:val="center"/>
        <w:rPr>
          <w:rFonts w:ascii="Times New Roman" w:hAnsi="Times New Roman" w:cs="Times New Roman"/>
          <w:b/>
          <w:lang w:val="sr-Cyrl-RS"/>
        </w:rPr>
      </w:pPr>
      <w:bookmarkStart w:id="12" w:name="_Toc111191327"/>
      <w:r w:rsidRPr="00F333CD">
        <w:rPr>
          <w:rFonts w:ascii="Times New Roman" w:hAnsi="Times New Roman" w:cs="Times New Roman"/>
          <w:b/>
          <w:color w:val="auto"/>
          <w:lang w:val="sr-Cyrl-RS"/>
        </w:rPr>
        <w:t>Законодавни оквир за борбу против дискриминације</w:t>
      </w:r>
      <w:bookmarkEnd w:id="12"/>
    </w:p>
    <w:p w:rsidR="00334F7A" w:rsidRPr="00334F7A" w:rsidRDefault="00334F7A" w:rsidP="00334F7A">
      <w:pPr>
        <w:spacing w:after="0"/>
        <w:jc w:val="both"/>
        <w:rPr>
          <w:sz w:val="24"/>
          <w:szCs w:val="24"/>
          <w:lang w:val="sr-Cyrl-RS"/>
        </w:rPr>
      </w:pPr>
    </w:p>
    <w:p w:rsidR="00334F7A" w:rsidRDefault="00334F7A" w:rsidP="00334F7A">
      <w:pPr>
        <w:spacing w:after="0"/>
        <w:jc w:val="both"/>
        <w:rPr>
          <w:i/>
          <w:sz w:val="24"/>
          <w:szCs w:val="24"/>
          <w:lang w:val="sr-Cyrl-RS"/>
        </w:rPr>
      </w:pPr>
      <w:r w:rsidRPr="00DE16BA">
        <w:rPr>
          <w:i/>
          <w:sz w:val="24"/>
          <w:szCs w:val="24"/>
          <w:lang w:val="sr-Cyrl-RS"/>
        </w:rPr>
        <w:t>24. Саветодавни комитет охрабрује власти да појачају јасноћу и доступност законодавног оквира против дискриминације, као и да осигурају да сви такви закони буду у складу са међународним стандардима.</w:t>
      </w:r>
    </w:p>
    <w:p w:rsidR="00D9350E" w:rsidRDefault="00D9350E" w:rsidP="00C23F4C">
      <w:pPr>
        <w:spacing w:after="0"/>
        <w:jc w:val="both"/>
        <w:rPr>
          <w:sz w:val="24"/>
          <w:szCs w:val="24"/>
          <w:lang w:val="sr-Cyrl-RS"/>
        </w:rPr>
      </w:pPr>
    </w:p>
    <w:p w:rsidR="00C23F4C" w:rsidRDefault="001F074C" w:rsidP="001F074C">
      <w:pPr>
        <w:spacing w:after="0"/>
        <w:ind w:firstLine="720"/>
        <w:jc w:val="both"/>
        <w:rPr>
          <w:sz w:val="24"/>
          <w:szCs w:val="24"/>
          <w:lang w:val="sr-Cyrl-RS"/>
        </w:rPr>
      </w:pPr>
      <w:r>
        <w:rPr>
          <w:sz w:val="24"/>
          <w:szCs w:val="24"/>
          <w:lang w:val="sr-Cyrl-RS"/>
        </w:rPr>
        <w:t>Полазећи од изложене препоруке, чињенице да је т</w:t>
      </w:r>
      <w:r w:rsidR="00C23F4C" w:rsidRPr="00C23F4C">
        <w:rPr>
          <w:sz w:val="24"/>
          <w:szCs w:val="24"/>
          <w:lang w:val="sr-Cyrl-RS"/>
        </w:rPr>
        <w:t xml:space="preserve">оком вођења преговора о чланству Републике Србије у Европској унији уочено да се постојећим решењима Закона о забрани дискриминације не достижу заједничке тековине и да </w:t>
      </w:r>
      <w:r>
        <w:rPr>
          <w:sz w:val="24"/>
          <w:szCs w:val="24"/>
          <w:lang w:val="sr-Cyrl-RS"/>
        </w:rPr>
        <w:t xml:space="preserve">он </w:t>
      </w:r>
      <w:r w:rsidR="00C23F4C" w:rsidRPr="00C23F4C">
        <w:rPr>
          <w:sz w:val="24"/>
          <w:szCs w:val="24"/>
          <w:lang w:val="sr-Cyrl-RS"/>
        </w:rPr>
        <w:t xml:space="preserve">није у пуној мери усаглашен са релевантним законодавством ЕУ на шта је Европска </w:t>
      </w:r>
      <w:r>
        <w:rPr>
          <w:sz w:val="24"/>
          <w:szCs w:val="24"/>
          <w:lang w:val="sr-Cyrl-RS"/>
        </w:rPr>
        <w:t>комисија у више наврата указала</w:t>
      </w:r>
      <w:r w:rsidR="0032712F">
        <w:rPr>
          <w:sz w:val="24"/>
          <w:szCs w:val="24"/>
          <w:lang w:val="sr-Cyrl-RS"/>
        </w:rPr>
        <w:t>,</w:t>
      </w:r>
      <w:r>
        <w:rPr>
          <w:rStyle w:val="FootnoteReference"/>
          <w:sz w:val="24"/>
          <w:szCs w:val="24"/>
          <w:lang w:val="sr-Cyrl-RS"/>
        </w:rPr>
        <w:footnoteReference w:id="77"/>
      </w:r>
      <w:r>
        <w:rPr>
          <w:sz w:val="24"/>
          <w:szCs w:val="24"/>
          <w:lang w:val="sr-Cyrl-RS"/>
        </w:rPr>
        <w:t xml:space="preserve"> </w:t>
      </w:r>
      <w:r w:rsidR="0032712F">
        <w:rPr>
          <w:sz w:val="24"/>
          <w:szCs w:val="24"/>
          <w:lang w:val="sr-Cyrl-RS"/>
        </w:rPr>
        <w:t xml:space="preserve">као </w:t>
      </w:r>
      <w:r w:rsidR="00E92A05">
        <w:rPr>
          <w:sz w:val="24"/>
          <w:szCs w:val="24"/>
          <w:lang w:val="sr-Cyrl-RS"/>
        </w:rPr>
        <w:t xml:space="preserve">и </w:t>
      </w:r>
      <w:r>
        <w:rPr>
          <w:sz w:val="24"/>
          <w:szCs w:val="24"/>
          <w:lang w:val="sr-Cyrl-RS"/>
        </w:rPr>
        <w:t xml:space="preserve">препорука надлежних </w:t>
      </w:r>
      <w:r w:rsidR="00C23F4C" w:rsidRPr="00C23F4C">
        <w:rPr>
          <w:sz w:val="24"/>
          <w:szCs w:val="24"/>
          <w:lang w:val="sr-Cyrl-RS"/>
        </w:rPr>
        <w:t>уговорн</w:t>
      </w:r>
      <w:r>
        <w:rPr>
          <w:sz w:val="24"/>
          <w:szCs w:val="24"/>
          <w:lang w:val="sr-Cyrl-RS"/>
        </w:rPr>
        <w:t>их</w:t>
      </w:r>
      <w:r w:rsidR="00C23F4C" w:rsidRPr="00C23F4C">
        <w:rPr>
          <w:sz w:val="24"/>
          <w:szCs w:val="24"/>
          <w:lang w:val="sr-Cyrl-RS"/>
        </w:rPr>
        <w:t xml:space="preserve"> тела УН </w:t>
      </w:r>
      <w:r>
        <w:rPr>
          <w:sz w:val="24"/>
          <w:szCs w:val="24"/>
          <w:lang w:val="sr-Cyrl-RS"/>
        </w:rPr>
        <w:t xml:space="preserve">која су </w:t>
      </w:r>
      <w:r w:rsidR="00C23F4C" w:rsidRPr="00C23F4C">
        <w:rPr>
          <w:sz w:val="24"/>
          <w:szCs w:val="24"/>
          <w:lang w:val="sr-Cyrl-RS"/>
        </w:rPr>
        <w:t>истакл</w:t>
      </w:r>
      <w:r>
        <w:rPr>
          <w:sz w:val="24"/>
          <w:szCs w:val="24"/>
          <w:lang w:val="sr-Cyrl-RS"/>
        </w:rPr>
        <w:t>а</w:t>
      </w:r>
      <w:r w:rsidR="00C23F4C" w:rsidRPr="00C23F4C">
        <w:rPr>
          <w:sz w:val="24"/>
          <w:szCs w:val="24"/>
          <w:lang w:val="sr-Cyrl-RS"/>
        </w:rPr>
        <w:t xml:space="preserve"> потребу институционалног јачања заштите од дискриминације</w:t>
      </w:r>
      <w:r>
        <w:rPr>
          <w:sz w:val="24"/>
          <w:szCs w:val="24"/>
          <w:lang w:val="sr-Cyrl-RS"/>
        </w:rPr>
        <w:t xml:space="preserve">, </w:t>
      </w:r>
      <w:r w:rsidR="00C23F4C" w:rsidRPr="00C23F4C">
        <w:rPr>
          <w:sz w:val="24"/>
          <w:szCs w:val="24"/>
          <w:lang w:val="sr-Cyrl-RS"/>
        </w:rPr>
        <w:t xml:space="preserve">приступило </w:t>
      </w:r>
      <w:r>
        <w:rPr>
          <w:sz w:val="24"/>
          <w:szCs w:val="24"/>
          <w:lang w:val="sr-Cyrl-RS"/>
        </w:rPr>
        <w:t xml:space="preserve">се </w:t>
      </w:r>
      <w:r w:rsidR="00C23F4C" w:rsidRPr="00C23F4C">
        <w:rPr>
          <w:sz w:val="24"/>
          <w:szCs w:val="24"/>
          <w:lang w:val="sr-Cyrl-RS"/>
        </w:rPr>
        <w:t>усаглашавању одредби Закона о забрани дискриминације са правним инструментима ЕУ, односно Директивом 2000/43/ЕЗ од 29. јуна 2000. године о спровођењу принципа једнаког поступања без обзира на расно или етничко порекло.</w:t>
      </w:r>
    </w:p>
    <w:p w:rsidR="00D9350E" w:rsidRDefault="001F074C" w:rsidP="00AA2824">
      <w:pPr>
        <w:spacing w:after="0"/>
        <w:ind w:firstLine="720"/>
        <w:jc w:val="both"/>
        <w:rPr>
          <w:sz w:val="24"/>
          <w:szCs w:val="24"/>
          <w:lang w:val="sr-Cyrl-RS"/>
        </w:rPr>
      </w:pPr>
      <w:r w:rsidRPr="00D9350E">
        <w:rPr>
          <w:sz w:val="24"/>
          <w:szCs w:val="24"/>
          <w:lang w:val="sr-Cyrl-RS"/>
        </w:rPr>
        <w:t xml:space="preserve">Народна скупштина Републике Србије је 20. маја 2021. године донела Закон о изменама и допунама Закона о забрани дискриминације, чиме је основни закон усклађен са правним тековинама Европске уније али и са домаћим законодавством. </w:t>
      </w:r>
      <w:r>
        <w:rPr>
          <w:sz w:val="24"/>
          <w:szCs w:val="24"/>
          <w:lang w:val="sr-Cyrl-RS"/>
        </w:rPr>
        <w:t>Предвиђено је више измена и допуна</w:t>
      </w:r>
      <w:r w:rsidR="00E92A05">
        <w:rPr>
          <w:sz w:val="24"/>
          <w:szCs w:val="24"/>
          <w:lang w:val="sr-Cyrl-RS"/>
        </w:rPr>
        <w:t xml:space="preserve"> у тексту Закона</w:t>
      </w:r>
      <w:r>
        <w:rPr>
          <w:sz w:val="24"/>
          <w:szCs w:val="24"/>
          <w:lang w:val="sr-Cyrl-RS"/>
        </w:rPr>
        <w:t xml:space="preserve">. Најпре, </w:t>
      </w:r>
      <w:r w:rsidR="00AA2824">
        <w:rPr>
          <w:sz w:val="24"/>
          <w:szCs w:val="24"/>
          <w:lang w:val="sr-Cyrl-RS"/>
        </w:rPr>
        <w:t xml:space="preserve">извршено је </w:t>
      </w:r>
      <w:r w:rsidR="00D9350E" w:rsidRPr="00D9350E">
        <w:rPr>
          <w:sz w:val="24"/>
          <w:szCs w:val="24"/>
          <w:lang w:val="sr-Cyrl-RS"/>
        </w:rPr>
        <w:t>усклађивање дефиниције посредне дискриминације са законодавством ЕУ.</w:t>
      </w:r>
      <w:r w:rsidR="00AA2824">
        <w:rPr>
          <w:sz w:val="24"/>
          <w:szCs w:val="24"/>
          <w:lang w:val="sr-Cyrl-RS"/>
        </w:rPr>
        <w:t xml:space="preserve"> Осим у</w:t>
      </w:r>
      <w:r w:rsidR="00D9350E" w:rsidRPr="00D9350E">
        <w:rPr>
          <w:sz w:val="24"/>
          <w:szCs w:val="24"/>
          <w:lang w:val="sr-Cyrl-RS"/>
        </w:rPr>
        <w:t>друживањ</w:t>
      </w:r>
      <w:r w:rsidR="0032712F">
        <w:rPr>
          <w:sz w:val="24"/>
          <w:szCs w:val="24"/>
          <w:lang w:val="sr-Cyrl-RS"/>
        </w:rPr>
        <w:t>а</w:t>
      </w:r>
      <w:r w:rsidR="00D9350E" w:rsidRPr="00D9350E">
        <w:rPr>
          <w:sz w:val="24"/>
          <w:szCs w:val="24"/>
          <w:lang w:val="sr-Cyrl-RS"/>
        </w:rPr>
        <w:t xml:space="preserve"> ради вршења дискриминације</w:t>
      </w:r>
      <w:r w:rsidR="00AA2824">
        <w:rPr>
          <w:sz w:val="24"/>
          <w:szCs w:val="24"/>
          <w:lang w:val="sr-Cyrl-RS"/>
        </w:rPr>
        <w:t xml:space="preserve">, регулисано је </w:t>
      </w:r>
      <w:r w:rsidR="00D9350E" w:rsidRPr="00D9350E">
        <w:rPr>
          <w:sz w:val="24"/>
          <w:szCs w:val="24"/>
          <w:lang w:val="sr-Cyrl-RS"/>
        </w:rPr>
        <w:t xml:space="preserve">и навођење на дискриминацију. </w:t>
      </w:r>
      <w:r w:rsidR="00AA2824">
        <w:rPr>
          <w:sz w:val="24"/>
          <w:szCs w:val="24"/>
          <w:lang w:val="sr-Cyrl-RS"/>
        </w:rPr>
        <w:t>У оквиру забране у</w:t>
      </w:r>
      <w:r w:rsidR="00D9350E" w:rsidRPr="00D9350E">
        <w:rPr>
          <w:sz w:val="24"/>
          <w:szCs w:val="24"/>
          <w:lang w:val="sr-Cyrl-RS"/>
        </w:rPr>
        <w:t>знемиравањ</w:t>
      </w:r>
      <w:r w:rsidR="00AA2824">
        <w:rPr>
          <w:sz w:val="24"/>
          <w:szCs w:val="24"/>
          <w:lang w:val="sr-Cyrl-RS"/>
        </w:rPr>
        <w:t>а и</w:t>
      </w:r>
      <w:r w:rsidR="00D9350E" w:rsidRPr="00D9350E">
        <w:rPr>
          <w:sz w:val="24"/>
          <w:szCs w:val="24"/>
          <w:lang w:val="sr-Cyrl-RS"/>
        </w:rPr>
        <w:t xml:space="preserve"> понижавајуће</w:t>
      </w:r>
      <w:r w:rsidR="00AA2824">
        <w:rPr>
          <w:sz w:val="24"/>
          <w:szCs w:val="24"/>
          <w:lang w:val="sr-Cyrl-RS"/>
        </w:rPr>
        <w:t>г</w:t>
      </w:r>
      <w:r w:rsidR="00D9350E" w:rsidRPr="00D9350E">
        <w:rPr>
          <w:sz w:val="24"/>
          <w:szCs w:val="24"/>
          <w:lang w:val="sr-Cyrl-RS"/>
        </w:rPr>
        <w:t xml:space="preserve"> поступањ</w:t>
      </w:r>
      <w:r w:rsidR="00AA2824">
        <w:rPr>
          <w:sz w:val="24"/>
          <w:szCs w:val="24"/>
          <w:lang w:val="sr-Cyrl-RS"/>
        </w:rPr>
        <w:t>а, додато је и с</w:t>
      </w:r>
      <w:r w:rsidR="00D9350E" w:rsidRPr="00D9350E">
        <w:rPr>
          <w:sz w:val="24"/>
          <w:szCs w:val="24"/>
          <w:lang w:val="sr-Cyrl-RS"/>
        </w:rPr>
        <w:t xml:space="preserve">ексуално узнемиравање. </w:t>
      </w:r>
      <w:r w:rsidR="00AA2824" w:rsidRPr="00AA2824">
        <w:rPr>
          <w:sz w:val="24"/>
          <w:szCs w:val="24"/>
          <w:lang w:val="sr-Cyrl-RS"/>
        </w:rPr>
        <w:t xml:space="preserve">Као једна од значајнијих допуна </w:t>
      </w:r>
      <w:r w:rsidR="00AA2824">
        <w:rPr>
          <w:sz w:val="24"/>
          <w:szCs w:val="24"/>
          <w:lang w:val="sr-Cyrl-RS"/>
        </w:rPr>
        <w:t>З</w:t>
      </w:r>
      <w:r w:rsidR="00AA2824" w:rsidRPr="00AA2824">
        <w:rPr>
          <w:sz w:val="24"/>
          <w:szCs w:val="24"/>
          <w:lang w:val="sr-Cyrl-RS"/>
        </w:rPr>
        <w:t>акона издваја се увођење појма ,,сегрегација“ која је законски дефинисана као облик непосредне дискриминације</w:t>
      </w:r>
      <w:r w:rsidR="00AA2824">
        <w:rPr>
          <w:sz w:val="24"/>
          <w:szCs w:val="24"/>
          <w:lang w:val="sr-Cyrl-RS"/>
        </w:rPr>
        <w:t xml:space="preserve"> који обухвата </w:t>
      </w:r>
      <w:r w:rsidR="00AA2824" w:rsidRPr="00AA2824">
        <w:rPr>
          <w:sz w:val="24"/>
          <w:szCs w:val="24"/>
          <w:lang w:val="sr-Cyrl-RS"/>
        </w:rPr>
        <w:t>сваки акт којим</w:t>
      </w:r>
      <w:r w:rsidR="00AA2824">
        <w:rPr>
          <w:sz w:val="24"/>
          <w:szCs w:val="24"/>
          <w:lang w:val="sr-Cyrl-RS"/>
        </w:rPr>
        <w:t xml:space="preserve"> </w:t>
      </w:r>
      <w:r w:rsidR="00AA2824" w:rsidRPr="00AA2824">
        <w:rPr>
          <w:sz w:val="24"/>
          <w:szCs w:val="24"/>
          <w:lang w:val="sr-Cyrl-RS"/>
        </w:rPr>
        <w:t>физичко или правно лице раздваја без објективног и разумног оправдања друга лица или групу лица на основу личног својства.</w:t>
      </w:r>
      <w:r w:rsidR="00AA2824">
        <w:rPr>
          <w:sz w:val="24"/>
          <w:szCs w:val="24"/>
          <w:lang w:val="sr-Cyrl-RS"/>
        </w:rPr>
        <w:t xml:space="preserve"> Д</w:t>
      </w:r>
      <w:r w:rsidR="00D9350E" w:rsidRPr="00D9350E">
        <w:rPr>
          <w:sz w:val="24"/>
          <w:szCs w:val="24"/>
          <w:lang w:val="sr-Cyrl-RS"/>
        </w:rPr>
        <w:t xml:space="preserve">одата су </w:t>
      </w:r>
      <w:r w:rsidR="00AA2824">
        <w:rPr>
          <w:sz w:val="24"/>
          <w:szCs w:val="24"/>
          <w:lang w:val="sr-Cyrl-RS"/>
        </w:rPr>
        <w:t xml:space="preserve">и </w:t>
      </w:r>
      <w:r w:rsidR="00D9350E" w:rsidRPr="00D9350E">
        <w:rPr>
          <w:sz w:val="24"/>
          <w:szCs w:val="24"/>
          <w:lang w:val="sr-Cyrl-RS"/>
        </w:rPr>
        <w:t>три нова става у вези са чланом 14. који се односе на обавезе послодаваца и органа јавне власти за промовисање једнакости и спречавање дискриминације.</w:t>
      </w:r>
    </w:p>
    <w:p w:rsidR="005D359A" w:rsidRDefault="00AA2824" w:rsidP="00C23F4C">
      <w:pPr>
        <w:spacing w:after="0"/>
        <w:jc w:val="both"/>
        <w:rPr>
          <w:sz w:val="24"/>
          <w:szCs w:val="24"/>
          <w:lang w:val="sr-Cyrl-RS"/>
        </w:rPr>
      </w:pPr>
      <w:r>
        <w:rPr>
          <w:sz w:val="24"/>
          <w:szCs w:val="24"/>
          <w:lang w:val="sr-Cyrl-RS"/>
        </w:rPr>
        <w:tab/>
        <w:t xml:space="preserve">У вези са </w:t>
      </w:r>
      <w:r w:rsidRPr="00AA2824">
        <w:rPr>
          <w:sz w:val="24"/>
          <w:szCs w:val="24"/>
          <w:lang w:val="sr-Cyrl-RS"/>
        </w:rPr>
        <w:t>појача</w:t>
      </w:r>
      <w:r>
        <w:rPr>
          <w:sz w:val="24"/>
          <w:szCs w:val="24"/>
          <w:lang w:val="sr-Cyrl-RS"/>
        </w:rPr>
        <w:t xml:space="preserve">вањем </w:t>
      </w:r>
      <w:r w:rsidRPr="00AA2824">
        <w:rPr>
          <w:sz w:val="24"/>
          <w:szCs w:val="24"/>
          <w:lang w:val="sr-Cyrl-RS"/>
        </w:rPr>
        <w:t>јасноћ</w:t>
      </w:r>
      <w:r>
        <w:rPr>
          <w:sz w:val="24"/>
          <w:szCs w:val="24"/>
          <w:lang w:val="sr-Cyrl-RS"/>
        </w:rPr>
        <w:t>е</w:t>
      </w:r>
      <w:r w:rsidRPr="00AA2824">
        <w:rPr>
          <w:sz w:val="24"/>
          <w:szCs w:val="24"/>
          <w:lang w:val="sr-Cyrl-RS"/>
        </w:rPr>
        <w:t xml:space="preserve"> и доступност</w:t>
      </w:r>
      <w:r>
        <w:rPr>
          <w:sz w:val="24"/>
          <w:szCs w:val="24"/>
          <w:lang w:val="sr-Cyrl-RS"/>
        </w:rPr>
        <w:t>и</w:t>
      </w:r>
      <w:r w:rsidRPr="00AA2824">
        <w:rPr>
          <w:sz w:val="24"/>
          <w:szCs w:val="24"/>
          <w:lang w:val="sr-Cyrl-RS"/>
        </w:rPr>
        <w:t xml:space="preserve"> законодавног оквира против дискриминације</w:t>
      </w:r>
      <w:r>
        <w:rPr>
          <w:sz w:val="24"/>
          <w:szCs w:val="24"/>
          <w:lang w:val="sr-Cyrl-RS"/>
        </w:rPr>
        <w:t xml:space="preserve">, важно је истаћи да је </w:t>
      </w:r>
      <w:r w:rsidR="00C23F4C" w:rsidRPr="00C23F4C">
        <w:rPr>
          <w:sz w:val="24"/>
          <w:szCs w:val="24"/>
          <w:lang w:val="sr-Cyrl-RS"/>
        </w:rPr>
        <w:t>Влада Републике Србије у јануару 2022. године, након широког круга консултација са свим релевантним друштвеним партнерима, усвојила нову Стратегију превенције и заштите од дискриминације за пе</w:t>
      </w:r>
      <w:r w:rsidR="00D9350E">
        <w:rPr>
          <w:sz w:val="24"/>
          <w:szCs w:val="24"/>
          <w:lang w:val="sr-Cyrl-RS"/>
        </w:rPr>
        <w:t>риод од 2022. до 2030. године.</w:t>
      </w:r>
      <w:r w:rsidR="00514320">
        <w:rPr>
          <w:rStyle w:val="FootnoteReference"/>
          <w:sz w:val="24"/>
          <w:szCs w:val="24"/>
          <w:lang w:val="sr-Cyrl-RS"/>
        </w:rPr>
        <w:footnoteReference w:id="78"/>
      </w:r>
      <w:r w:rsidR="00D9350E">
        <w:rPr>
          <w:sz w:val="24"/>
          <w:szCs w:val="24"/>
          <w:lang w:val="sr-Cyrl-RS"/>
        </w:rPr>
        <w:t xml:space="preserve"> </w:t>
      </w:r>
      <w:r w:rsidR="00C23F4C" w:rsidRPr="00C23F4C">
        <w:rPr>
          <w:sz w:val="24"/>
          <w:szCs w:val="24"/>
          <w:lang w:val="sr-Cyrl-RS"/>
        </w:rPr>
        <w:t xml:space="preserve">Први посебан циљ ове стратегије представља усклађено национално законодавство са међународним антидискриминационим стандардима и праксом. Остваривањем овог посебног циља унапредиће се антидискриминациони правни оквир Републике Србије, тако што ће се ускладити са стандардима и праксом успостављеним </w:t>
      </w:r>
      <w:r w:rsidR="00C23F4C" w:rsidRPr="00C23F4C">
        <w:rPr>
          <w:sz w:val="24"/>
          <w:szCs w:val="24"/>
          <w:lang w:val="sr-Cyrl-RS"/>
        </w:rPr>
        <w:lastRenderedPageBreak/>
        <w:t>под окриљем Уједињених нација, Савета Европе и Европске уније. Такође, остваривањем овог посебног циља унапредиће се национални правни оквир, тако што ће се секторски закони и подзаконска акта ускладити са антидискриминационим прописима и стандардима.</w:t>
      </w:r>
    </w:p>
    <w:p w:rsidR="00D9350E" w:rsidRDefault="00D9350E" w:rsidP="00C23F4C">
      <w:pPr>
        <w:spacing w:after="0"/>
        <w:jc w:val="both"/>
        <w:rPr>
          <w:sz w:val="24"/>
          <w:szCs w:val="24"/>
          <w:lang w:val="sr-Cyrl-RS"/>
        </w:rPr>
      </w:pPr>
    </w:p>
    <w:p w:rsidR="00334F7A" w:rsidRPr="00F333CD" w:rsidRDefault="00334F7A" w:rsidP="00F333CD">
      <w:pPr>
        <w:pStyle w:val="Heading3"/>
        <w:jc w:val="center"/>
        <w:rPr>
          <w:rFonts w:ascii="Times New Roman" w:hAnsi="Times New Roman" w:cs="Times New Roman"/>
          <w:b/>
          <w:lang w:val="sr-Cyrl-RS"/>
        </w:rPr>
      </w:pPr>
      <w:bookmarkStart w:id="13" w:name="_Toc111191328"/>
      <w:r w:rsidRPr="00F333CD">
        <w:rPr>
          <w:rFonts w:ascii="Times New Roman" w:hAnsi="Times New Roman" w:cs="Times New Roman"/>
          <w:b/>
          <w:color w:val="auto"/>
          <w:lang w:val="sr-Cyrl-RS"/>
        </w:rPr>
        <w:t>Мониторинг забране дискриминације и расположиви правни лекови</w:t>
      </w:r>
      <w:bookmarkEnd w:id="13"/>
    </w:p>
    <w:p w:rsidR="00511318" w:rsidRDefault="00511318" w:rsidP="00511318">
      <w:pPr>
        <w:tabs>
          <w:tab w:val="left" w:pos="707"/>
        </w:tabs>
        <w:spacing w:after="0" w:line="240" w:lineRule="auto"/>
        <w:ind w:right="422"/>
        <w:jc w:val="both"/>
        <w:rPr>
          <w:rFonts w:cs="Calibri"/>
          <w:color w:val="000000"/>
          <w:sz w:val="24"/>
          <w:lang w:val="sr-Cyrl-RS"/>
        </w:rPr>
      </w:pPr>
    </w:p>
    <w:p w:rsidR="00511318" w:rsidRDefault="00CD61F7" w:rsidP="00850082">
      <w:pPr>
        <w:tabs>
          <w:tab w:val="left" w:pos="707"/>
        </w:tabs>
        <w:spacing w:after="0"/>
        <w:ind w:right="-46"/>
        <w:jc w:val="both"/>
        <w:rPr>
          <w:rFonts w:cs="Calibri"/>
          <w:color w:val="000000"/>
          <w:sz w:val="24"/>
          <w:lang w:val="sr-Cyrl-RS"/>
        </w:rPr>
      </w:pPr>
      <w:r w:rsidRPr="00CD61F7">
        <w:rPr>
          <w:rFonts w:cs="Calibri"/>
          <w:color w:val="000000"/>
          <w:sz w:val="24"/>
          <w:lang w:val="sr-Cyrl-RS"/>
        </w:rPr>
        <w:tab/>
      </w:r>
      <w:r w:rsidR="00C971E4" w:rsidRPr="00CD61F7">
        <w:rPr>
          <w:rFonts w:cs="Calibri"/>
          <w:color w:val="000000"/>
          <w:sz w:val="24"/>
          <w:lang w:val="sr-Cyrl-RS"/>
        </w:rPr>
        <w:t xml:space="preserve">У вези са налазом </w:t>
      </w:r>
      <w:r w:rsidR="00511318" w:rsidRPr="00CD61F7">
        <w:rPr>
          <w:rFonts w:cs="Calibri"/>
          <w:color w:val="000000"/>
          <w:sz w:val="24"/>
          <w:lang w:val="sr-Cyrl-RS"/>
        </w:rPr>
        <w:t>Саветодавн</w:t>
      </w:r>
      <w:r w:rsidR="00C971E4" w:rsidRPr="00CD61F7">
        <w:rPr>
          <w:rFonts w:cs="Calibri"/>
          <w:color w:val="000000"/>
          <w:sz w:val="24"/>
          <w:lang w:val="sr-Cyrl-RS"/>
        </w:rPr>
        <w:t>ог</w:t>
      </w:r>
      <w:r w:rsidR="00511318" w:rsidRPr="00CD61F7">
        <w:rPr>
          <w:rFonts w:cs="Calibri"/>
          <w:color w:val="000000"/>
          <w:sz w:val="24"/>
          <w:lang w:val="sr-Cyrl-RS"/>
        </w:rPr>
        <w:t xml:space="preserve"> комитет</w:t>
      </w:r>
      <w:r w:rsidR="00C971E4" w:rsidRPr="00CD61F7">
        <w:rPr>
          <w:rFonts w:cs="Calibri"/>
          <w:color w:val="000000"/>
          <w:sz w:val="24"/>
          <w:lang w:val="sr-Cyrl-RS"/>
        </w:rPr>
        <w:t>а у којем се</w:t>
      </w:r>
      <w:r w:rsidR="00511318" w:rsidRPr="00CD61F7">
        <w:rPr>
          <w:rFonts w:cs="Calibri"/>
          <w:color w:val="000000"/>
          <w:sz w:val="24"/>
          <w:lang w:val="sr-Cyrl-RS"/>
        </w:rPr>
        <w:t xml:space="preserve"> истиче важност да се институција као што је Заштитник грађана схвати као приступачан извор помоћи</w:t>
      </w:r>
      <w:r w:rsidRPr="00CD61F7">
        <w:rPr>
          <w:rFonts w:cs="Calibri"/>
          <w:color w:val="000000"/>
          <w:sz w:val="24"/>
          <w:lang w:val="sr-Cyrl-RS"/>
        </w:rPr>
        <w:t xml:space="preserve">, требало би навести одређене податке о </w:t>
      </w:r>
      <w:r>
        <w:rPr>
          <w:rFonts w:cs="Calibri"/>
          <w:color w:val="000000"/>
          <w:sz w:val="24"/>
          <w:lang w:val="sr-Cyrl-RS"/>
        </w:rPr>
        <w:t>броју притужби у области права националних мањина које је</w:t>
      </w:r>
      <w:r w:rsidRPr="00CD61F7">
        <w:rPr>
          <w:rFonts w:cs="Calibri"/>
          <w:color w:val="000000"/>
          <w:sz w:val="24"/>
          <w:lang w:val="sr-Cyrl-RS"/>
        </w:rPr>
        <w:t xml:space="preserve"> Заштитник грађана</w:t>
      </w:r>
      <w:r>
        <w:rPr>
          <w:rFonts w:cs="Calibri"/>
          <w:color w:val="000000"/>
          <w:sz w:val="24"/>
          <w:lang w:val="sr-Cyrl-RS"/>
        </w:rPr>
        <w:t xml:space="preserve"> разматрао у протеклим годинама, као и о броју предмета које је сам покренуо</w:t>
      </w:r>
      <w:r w:rsidRPr="00CD61F7">
        <w:rPr>
          <w:rFonts w:cs="Calibri"/>
          <w:color w:val="000000"/>
          <w:sz w:val="24"/>
          <w:lang w:val="sr-Cyrl-RS"/>
        </w:rPr>
        <w:t>.</w:t>
      </w:r>
    </w:p>
    <w:p w:rsidR="00511318" w:rsidRPr="00850082" w:rsidRDefault="00511318" w:rsidP="00850082">
      <w:pPr>
        <w:spacing w:after="0"/>
        <w:ind w:firstLine="720"/>
        <w:jc w:val="both"/>
        <w:rPr>
          <w:sz w:val="24"/>
          <w:szCs w:val="24"/>
          <w:lang w:val="sr-Cyrl-RS"/>
        </w:rPr>
      </w:pPr>
      <w:r w:rsidRPr="00850082">
        <w:rPr>
          <w:sz w:val="24"/>
          <w:szCs w:val="24"/>
          <w:lang w:val="sr-Cyrl-RS"/>
        </w:rPr>
        <w:t xml:space="preserve">У области права националних мањина, Заштитник грађана је у 2019. години разматрао 71 предмет, од чега је било 70 притужби грађана и један предмет покренут по сопственој иницијативи. Предмети из ове области чине 2,17% укупно разматраних предмета. Заштитник грађана је упутио 24 препоруке органима управе. Од </w:t>
      </w:r>
      <w:r w:rsidR="00864B9B">
        <w:rPr>
          <w:sz w:val="24"/>
          <w:szCs w:val="24"/>
          <w:lang w:val="sr-Cyrl-RS"/>
        </w:rPr>
        <w:t xml:space="preserve">71 </w:t>
      </w:r>
      <w:r w:rsidRPr="00850082">
        <w:rPr>
          <w:sz w:val="24"/>
          <w:szCs w:val="24"/>
          <w:lang w:val="sr-Cyrl-RS"/>
        </w:rPr>
        <w:t>разматран</w:t>
      </w:r>
      <w:r w:rsidR="00864B9B">
        <w:rPr>
          <w:sz w:val="24"/>
          <w:szCs w:val="24"/>
          <w:lang w:val="sr-Cyrl-RS"/>
        </w:rPr>
        <w:t>ог</w:t>
      </w:r>
      <w:r w:rsidRPr="00850082">
        <w:rPr>
          <w:sz w:val="24"/>
          <w:szCs w:val="24"/>
          <w:lang w:val="sr-Cyrl-RS"/>
        </w:rPr>
        <w:t xml:space="preserve"> предмета у 2019. години, Заштитник грађана је окончао рад на 39 предмета. У области права националних мањина у 71 предмет</w:t>
      </w:r>
      <w:r w:rsidR="00E92A05">
        <w:rPr>
          <w:sz w:val="24"/>
          <w:szCs w:val="24"/>
          <w:lang w:val="sr-Cyrl-RS"/>
        </w:rPr>
        <w:t>у</w:t>
      </w:r>
      <w:r w:rsidRPr="00850082">
        <w:rPr>
          <w:sz w:val="24"/>
          <w:szCs w:val="24"/>
          <w:lang w:val="sr-Cyrl-RS"/>
        </w:rPr>
        <w:t xml:space="preserve"> указано је на 76 повред</w:t>
      </w:r>
      <w:r w:rsidR="00E92A05">
        <w:rPr>
          <w:sz w:val="24"/>
          <w:szCs w:val="24"/>
          <w:lang w:val="sr-Cyrl-RS"/>
        </w:rPr>
        <w:t>а</w:t>
      </w:r>
      <w:r w:rsidRPr="00850082">
        <w:rPr>
          <w:sz w:val="24"/>
          <w:szCs w:val="24"/>
          <w:lang w:val="sr-Cyrl-RS"/>
        </w:rPr>
        <w:t xml:space="preserve"> права, чији се највећи део односи на посебна права у области права националних мањина</w:t>
      </w:r>
      <w:r w:rsidR="00E92A05">
        <w:rPr>
          <w:sz w:val="24"/>
          <w:szCs w:val="24"/>
          <w:lang w:val="sr-Cyrl-RS"/>
        </w:rPr>
        <w:t>,</w:t>
      </w:r>
      <w:r w:rsidRPr="00850082">
        <w:rPr>
          <w:sz w:val="24"/>
          <w:szCs w:val="24"/>
          <w:lang w:val="sr-Cyrl-RS"/>
        </w:rPr>
        <w:t xml:space="preserve"> као што су посебна права Рома, право на културно стваралаштво на матерњем језику, право на остваривање надлежности националних савета националних мањина и забрана дискриминације.</w:t>
      </w:r>
    </w:p>
    <w:p w:rsidR="00511318" w:rsidRPr="00850082" w:rsidRDefault="00511318" w:rsidP="00850082">
      <w:pPr>
        <w:spacing w:after="0"/>
        <w:ind w:firstLine="720"/>
        <w:jc w:val="both"/>
        <w:rPr>
          <w:sz w:val="24"/>
          <w:szCs w:val="24"/>
          <w:lang w:val="sr-Cyrl-RS"/>
        </w:rPr>
      </w:pPr>
      <w:r w:rsidRPr="00850082">
        <w:rPr>
          <w:sz w:val="24"/>
          <w:szCs w:val="24"/>
          <w:lang w:val="sr-Cyrl-RS"/>
        </w:rPr>
        <w:t xml:space="preserve">У области права националних мањина Заштитник грађана је у 2020. години разматрао 46 предмета, од чега </w:t>
      </w:r>
      <w:r w:rsidR="00864B9B">
        <w:rPr>
          <w:sz w:val="24"/>
          <w:szCs w:val="24"/>
          <w:lang w:val="sr-Cyrl-RS"/>
        </w:rPr>
        <w:t>су 43</w:t>
      </w:r>
      <w:r w:rsidRPr="00850082">
        <w:rPr>
          <w:sz w:val="24"/>
          <w:szCs w:val="24"/>
          <w:lang w:val="sr-Cyrl-RS"/>
        </w:rPr>
        <w:t xml:space="preserve"> бил</w:t>
      </w:r>
      <w:r w:rsidR="00864B9B">
        <w:rPr>
          <w:sz w:val="24"/>
          <w:szCs w:val="24"/>
          <w:lang w:val="sr-Cyrl-RS"/>
        </w:rPr>
        <w:t>е п</w:t>
      </w:r>
      <w:r w:rsidRPr="00850082">
        <w:rPr>
          <w:sz w:val="24"/>
          <w:szCs w:val="24"/>
          <w:lang w:val="sr-Cyrl-RS"/>
        </w:rPr>
        <w:t>ритужбе грађана и три предмета по сопственој иницијативи. У 46 предмета указано је на 46 повреда права, чији се највећи део односи на: посебна права Рома, забран</w:t>
      </w:r>
      <w:r w:rsidR="00864B9B">
        <w:rPr>
          <w:sz w:val="24"/>
          <w:szCs w:val="24"/>
          <w:lang w:val="sr-Cyrl-RS"/>
        </w:rPr>
        <w:t>у</w:t>
      </w:r>
      <w:r w:rsidRPr="00850082">
        <w:rPr>
          <w:sz w:val="24"/>
          <w:szCs w:val="24"/>
          <w:lang w:val="sr-Cyrl-RS"/>
        </w:rPr>
        <w:t xml:space="preserve"> дискриминације, индивидуална права припадника националних мањина.</w:t>
      </w:r>
      <w:r w:rsidR="00850082" w:rsidRPr="00850082">
        <w:rPr>
          <w:sz w:val="24"/>
          <w:szCs w:val="24"/>
          <w:lang w:val="sr-Cyrl-RS"/>
        </w:rPr>
        <w:t xml:space="preserve"> </w:t>
      </w:r>
      <w:r w:rsidRPr="00850082">
        <w:rPr>
          <w:sz w:val="24"/>
          <w:szCs w:val="24"/>
          <w:lang w:val="sr-Cyrl-RS"/>
        </w:rPr>
        <w:t>Предмети из ове области чине скоро 1% од броја укупно разматраних предмета у 2020. години. У 2020. години окончан је рад на 75 предмета, од чега је 38 предмета из 2020. године и 37 предмета из ранијих година. Ефикасност поступања Заштитника грађана по предметима у овој области повећана је за скоро 28% у односу на 2019. годину на шта указује број окончаних у односу на укупан број предмета у овој области, а упућено је 15 препорука органима управе.</w:t>
      </w:r>
    </w:p>
    <w:p w:rsidR="00850082" w:rsidRPr="00850082" w:rsidRDefault="00850082" w:rsidP="00850082">
      <w:pPr>
        <w:spacing w:after="0"/>
        <w:ind w:firstLine="720"/>
        <w:jc w:val="both"/>
        <w:rPr>
          <w:sz w:val="24"/>
          <w:szCs w:val="24"/>
          <w:lang w:val="sr-Cyrl-RS"/>
        </w:rPr>
      </w:pPr>
      <w:r w:rsidRPr="00850082">
        <w:rPr>
          <w:sz w:val="24"/>
          <w:szCs w:val="24"/>
          <w:lang w:val="sr-Cyrl-RS"/>
        </w:rPr>
        <w:t>У области права националних мањина Заштитник грађана је у 2021. години разматрао 44 предмета, од тога 43 притужбе грађана и један предмет по сопственој иницијативи, и окончао рад на 35 предмета као и рад на седам предмета из ранијих година. Заштитник грађана је упутио пет препорука органима управе. Повреде права у овим предметима најчешће се</w:t>
      </w:r>
      <w:r w:rsidR="00864B9B">
        <w:rPr>
          <w:sz w:val="24"/>
          <w:szCs w:val="24"/>
          <w:lang w:val="sr-Cyrl-RS"/>
        </w:rPr>
        <w:t>, као и у претходним годинама, односе на</w:t>
      </w:r>
      <w:r w:rsidRPr="00850082">
        <w:rPr>
          <w:sz w:val="24"/>
          <w:szCs w:val="24"/>
          <w:lang w:val="sr-Cyrl-RS"/>
        </w:rPr>
        <w:t xml:space="preserve"> посебна права Рома, забран</w:t>
      </w:r>
      <w:r w:rsidR="00864B9B">
        <w:rPr>
          <w:sz w:val="24"/>
          <w:szCs w:val="24"/>
          <w:lang w:val="sr-Cyrl-RS"/>
        </w:rPr>
        <w:t>у</w:t>
      </w:r>
      <w:r w:rsidRPr="00850082">
        <w:rPr>
          <w:sz w:val="24"/>
          <w:szCs w:val="24"/>
          <w:lang w:val="sr-Cyrl-RS"/>
        </w:rPr>
        <w:t xml:space="preserve"> дискриминације и право на остваривање надлежности националних савета националних мањина. </w:t>
      </w:r>
    </w:p>
    <w:p w:rsidR="00850082" w:rsidRPr="00850082" w:rsidRDefault="007C4F7A" w:rsidP="00850082">
      <w:pPr>
        <w:spacing w:after="0"/>
        <w:ind w:firstLine="720"/>
        <w:jc w:val="both"/>
        <w:rPr>
          <w:sz w:val="24"/>
          <w:szCs w:val="24"/>
          <w:lang w:val="sr-Cyrl-RS"/>
        </w:rPr>
      </w:pPr>
      <w:r w:rsidRPr="00C14C92">
        <w:rPr>
          <w:sz w:val="24"/>
          <w:szCs w:val="24"/>
          <w:lang w:val="sr-Cyrl-RS"/>
        </w:rPr>
        <w:t>Национални савет бошњачке националне мањине сматра да је з</w:t>
      </w:r>
      <w:r w:rsidR="00C83DFA" w:rsidRPr="00C14C92">
        <w:rPr>
          <w:sz w:val="24"/>
          <w:szCs w:val="24"/>
          <w:lang w:val="sr-Cyrl-RS"/>
        </w:rPr>
        <w:t xml:space="preserve">бог недовољног познавања закона број </w:t>
      </w:r>
      <w:r w:rsidR="00DE16BA" w:rsidRPr="00C14C92">
        <w:rPr>
          <w:sz w:val="24"/>
          <w:szCs w:val="24"/>
          <w:lang w:val="sr-Cyrl-RS"/>
        </w:rPr>
        <w:t xml:space="preserve">поднесених </w:t>
      </w:r>
      <w:r w:rsidR="00C83DFA" w:rsidRPr="00C14C92">
        <w:rPr>
          <w:sz w:val="24"/>
          <w:szCs w:val="24"/>
          <w:lang w:val="sr-Cyrl-RS"/>
        </w:rPr>
        <w:t xml:space="preserve">притужби </w:t>
      </w:r>
      <w:r w:rsidR="00DE16BA" w:rsidRPr="00C14C92">
        <w:rPr>
          <w:sz w:val="24"/>
          <w:szCs w:val="24"/>
          <w:lang w:val="sr-Cyrl-RS"/>
        </w:rPr>
        <w:t xml:space="preserve">Заштитнику грађана </w:t>
      </w:r>
      <w:r w:rsidR="00C83DFA" w:rsidRPr="00C14C92">
        <w:rPr>
          <w:sz w:val="24"/>
          <w:szCs w:val="24"/>
          <w:lang w:val="sr-Cyrl-RS"/>
        </w:rPr>
        <w:t xml:space="preserve">на поступања државних органа </w:t>
      </w:r>
      <w:r w:rsidR="00C14C92" w:rsidRPr="00C14C92">
        <w:rPr>
          <w:sz w:val="24"/>
          <w:szCs w:val="24"/>
          <w:lang w:val="sr-Cyrl-RS"/>
        </w:rPr>
        <w:t>неадекватан</w:t>
      </w:r>
      <w:r w:rsidR="00C83DFA" w:rsidRPr="00C14C92">
        <w:rPr>
          <w:sz w:val="24"/>
          <w:szCs w:val="24"/>
          <w:lang w:val="sr-Cyrl-RS"/>
        </w:rPr>
        <w:t xml:space="preserve">. У току 2020. и 2021. године </w:t>
      </w:r>
      <w:r w:rsidRPr="00C14C92">
        <w:rPr>
          <w:sz w:val="24"/>
          <w:szCs w:val="24"/>
          <w:lang w:val="sr-Cyrl-RS"/>
        </w:rPr>
        <w:t>Национални савет</w:t>
      </w:r>
      <w:r w:rsidR="00C83DFA" w:rsidRPr="00C14C92">
        <w:rPr>
          <w:sz w:val="24"/>
          <w:szCs w:val="24"/>
          <w:lang w:val="sr-Cyrl-RS"/>
        </w:rPr>
        <w:t xml:space="preserve"> се четири пута обраћао Заштитнику грађана (два пута у 2020. и два пута у 2021. години)</w:t>
      </w:r>
      <w:r w:rsidRPr="00C14C92">
        <w:rPr>
          <w:sz w:val="24"/>
          <w:szCs w:val="24"/>
          <w:lang w:val="sr-Cyrl-RS"/>
        </w:rPr>
        <w:t>, а</w:t>
      </w:r>
      <w:r w:rsidR="00C83DFA" w:rsidRPr="00C14C92">
        <w:rPr>
          <w:sz w:val="24"/>
          <w:szCs w:val="24"/>
          <w:lang w:val="sr-Cyrl-RS"/>
        </w:rPr>
        <w:t xml:space="preserve"> Заштитник грађана </w:t>
      </w:r>
      <w:r w:rsidRPr="00C14C92">
        <w:rPr>
          <w:sz w:val="24"/>
          <w:szCs w:val="24"/>
          <w:lang w:val="sr-Cyrl-RS"/>
        </w:rPr>
        <w:t xml:space="preserve">је </w:t>
      </w:r>
      <w:r w:rsidR="00C83DFA" w:rsidRPr="00C14C92">
        <w:rPr>
          <w:sz w:val="24"/>
          <w:szCs w:val="24"/>
          <w:lang w:val="sr-Cyrl-RS"/>
        </w:rPr>
        <w:t>издао три препоруке (једну у 2020. и две у 2021. години).</w:t>
      </w:r>
    </w:p>
    <w:p w:rsidR="00511318" w:rsidRPr="00DC4C89" w:rsidRDefault="00511318" w:rsidP="00511318">
      <w:pPr>
        <w:tabs>
          <w:tab w:val="left" w:pos="707"/>
        </w:tabs>
        <w:spacing w:after="0" w:line="240" w:lineRule="auto"/>
        <w:ind w:right="422"/>
        <w:jc w:val="both"/>
        <w:rPr>
          <w:rFonts w:cs="Calibri"/>
          <w:color w:val="000000"/>
          <w:sz w:val="24"/>
          <w:lang w:val="sr-Cyrl-RS"/>
        </w:rPr>
      </w:pPr>
    </w:p>
    <w:p w:rsidR="00334F7A" w:rsidRDefault="00334F7A" w:rsidP="00334F7A">
      <w:pPr>
        <w:spacing w:after="0"/>
        <w:jc w:val="both"/>
        <w:rPr>
          <w:i/>
          <w:sz w:val="24"/>
          <w:szCs w:val="24"/>
          <w:lang w:val="sr-Cyrl-RS"/>
        </w:rPr>
      </w:pPr>
      <w:r>
        <w:rPr>
          <w:i/>
          <w:sz w:val="24"/>
          <w:szCs w:val="24"/>
          <w:lang w:val="sr-Cyrl-RS"/>
        </w:rPr>
        <w:t xml:space="preserve">29. </w:t>
      </w:r>
      <w:r w:rsidRPr="00334F7A">
        <w:rPr>
          <w:i/>
          <w:sz w:val="24"/>
          <w:szCs w:val="24"/>
          <w:lang w:val="sr-Cyrl-RS"/>
        </w:rPr>
        <w:t>Саветодавни комитет позива власти да појачају своје напоре на подизању свести, посебно међу групама које су најчешће изложене дискриминацији, посебно Ромима који живе у неформалним насељима, као и релевантним радницима у заједници, о законодавним стандардима и доступним правним средствима жртвама дискриминације.</w:t>
      </w:r>
    </w:p>
    <w:p w:rsidR="00334F7A" w:rsidRDefault="00334F7A" w:rsidP="00334F7A">
      <w:pPr>
        <w:spacing w:after="0"/>
        <w:jc w:val="both"/>
        <w:rPr>
          <w:i/>
          <w:sz w:val="24"/>
          <w:szCs w:val="24"/>
          <w:lang w:val="sr-Cyrl-RS"/>
        </w:rPr>
      </w:pPr>
    </w:p>
    <w:p w:rsidR="00334F7A" w:rsidRDefault="00334F7A" w:rsidP="00334F7A">
      <w:pPr>
        <w:spacing w:after="0"/>
        <w:ind w:firstLine="720"/>
        <w:jc w:val="both"/>
        <w:rPr>
          <w:sz w:val="24"/>
          <w:szCs w:val="24"/>
          <w:lang w:val="sr-Cyrl-RS"/>
        </w:rPr>
      </w:pPr>
      <w:r>
        <w:rPr>
          <w:sz w:val="24"/>
          <w:szCs w:val="24"/>
          <w:lang w:val="sr-Cyrl-RS"/>
        </w:rPr>
        <w:t xml:space="preserve">Одговор на ову препоруку садржан је у одговору на препоруку </w:t>
      </w:r>
      <w:r w:rsidRPr="00864B9B">
        <w:rPr>
          <w:sz w:val="24"/>
          <w:szCs w:val="24"/>
          <w:lang w:val="sr-Cyrl-RS"/>
        </w:rPr>
        <w:t>1. из Резолуције Комитета министара.</w:t>
      </w:r>
    </w:p>
    <w:p w:rsidR="00334F7A" w:rsidRDefault="00334F7A" w:rsidP="00334F7A">
      <w:pPr>
        <w:spacing w:after="0"/>
        <w:jc w:val="both"/>
        <w:rPr>
          <w:sz w:val="24"/>
          <w:szCs w:val="24"/>
          <w:lang w:val="sr-Cyrl-RS"/>
        </w:rPr>
      </w:pPr>
    </w:p>
    <w:p w:rsidR="00334F7A" w:rsidRPr="00F333CD" w:rsidRDefault="00334F7A" w:rsidP="00F333CD">
      <w:pPr>
        <w:pStyle w:val="Heading3"/>
        <w:jc w:val="center"/>
        <w:rPr>
          <w:rFonts w:ascii="Times New Roman" w:hAnsi="Times New Roman" w:cs="Times New Roman"/>
          <w:b/>
          <w:lang w:val="sr-Cyrl-RS"/>
        </w:rPr>
      </w:pPr>
      <w:bookmarkStart w:id="14" w:name="_Toc111191329"/>
      <w:r w:rsidRPr="00F333CD">
        <w:rPr>
          <w:rFonts w:ascii="Times New Roman" w:hAnsi="Times New Roman" w:cs="Times New Roman"/>
          <w:b/>
          <w:color w:val="auto"/>
          <w:lang w:val="sr-Cyrl-RS"/>
        </w:rPr>
        <w:t>Прикупљање података о равноправности и мере за промовисање ефикасне равноправности</w:t>
      </w:r>
      <w:bookmarkEnd w:id="14"/>
    </w:p>
    <w:p w:rsidR="00A72435" w:rsidRPr="00DC4C89" w:rsidRDefault="00A72435" w:rsidP="00334F7A">
      <w:pPr>
        <w:spacing w:after="0" w:line="240" w:lineRule="auto"/>
        <w:ind w:right="398"/>
        <w:jc w:val="center"/>
        <w:rPr>
          <w:rFonts w:cs="Calibri"/>
          <w:b/>
          <w:color w:val="000000"/>
          <w:sz w:val="24"/>
          <w:lang w:val="sr-Cyrl-RS"/>
        </w:rPr>
      </w:pPr>
    </w:p>
    <w:p w:rsidR="00334F7A" w:rsidRDefault="00334F7A" w:rsidP="00334F7A">
      <w:pPr>
        <w:pStyle w:val="TableParagraph"/>
        <w:spacing w:line="276" w:lineRule="auto"/>
        <w:ind w:left="0" w:right="96"/>
        <w:jc w:val="both"/>
        <w:rPr>
          <w:i/>
          <w:sz w:val="24"/>
          <w:szCs w:val="24"/>
          <w:lang w:val="sr-Cyrl-RS"/>
        </w:rPr>
      </w:pPr>
      <w:r w:rsidRPr="009F4205">
        <w:rPr>
          <w:i/>
          <w:sz w:val="24"/>
          <w:szCs w:val="24"/>
          <w:lang w:val="sr-Cyrl-RS"/>
        </w:rPr>
        <w:t xml:space="preserve">35. </w:t>
      </w:r>
      <w:r w:rsidR="001447DC" w:rsidRPr="001447DC">
        <w:rPr>
          <w:i/>
          <w:sz w:val="24"/>
          <w:szCs w:val="24"/>
          <w:lang w:val="sr-Cyrl-RS"/>
        </w:rPr>
        <w:t>Саветодавни комитет позива власти да значајно појачају своје напоре да успоставе и користе, што је пре могуће и најкасније до истека рока за издавање петог Државног извештаја, одрживи оквир за прикупљање података о људским правима на основу питања која се односе на приступ правима припадника националних мањина као и да промовишу комплементарна квалитативна и квантитативна истраживања како би се проценила ситуација припадника националних мањина. Саветодавни комитет такође позива власти да, на основу таквих података и истраживања, успоставе, спроводе, прате и периодично преиспитују мањинске политике уз делотворно учешће припадника националних мањина.</w:t>
      </w:r>
    </w:p>
    <w:p w:rsidR="00334F7A" w:rsidRDefault="00334F7A" w:rsidP="00334F7A">
      <w:pPr>
        <w:pStyle w:val="TableParagraph"/>
        <w:spacing w:line="276" w:lineRule="auto"/>
        <w:ind w:left="0" w:right="96"/>
        <w:jc w:val="both"/>
        <w:rPr>
          <w:i/>
          <w:sz w:val="24"/>
          <w:szCs w:val="24"/>
          <w:lang w:val="sr-Cyrl-RS"/>
        </w:rPr>
      </w:pPr>
    </w:p>
    <w:p w:rsidR="00334F7A" w:rsidRDefault="00334F7A" w:rsidP="001447DC">
      <w:pPr>
        <w:spacing w:after="0"/>
        <w:ind w:firstLine="720"/>
        <w:jc w:val="both"/>
        <w:rPr>
          <w:sz w:val="24"/>
          <w:szCs w:val="24"/>
          <w:lang w:val="sr-Cyrl-RS"/>
        </w:rPr>
      </w:pPr>
      <w:r>
        <w:rPr>
          <w:sz w:val="24"/>
          <w:szCs w:val="24"/>
          <w:lang w:val="sr-Cyrl-RS"/>
        </w:rPr>
        <w:t xml:space="preserve">Одговор на ову препоруку садржан је у одговору на препоруку </w:t>
      </w:r>
      <w:r>
        <w:rPr>
          <w:sz w:val="24"/>
          <w:szCs w:val="24"/>
        </w:rPr>
        <w:t>2</w:t>
      </w:r>
      <w:r>
        <w:rPr>
          <w:sz w:val="24"/>
          <w:szCs w:val="24"/>
          <w:lang w:val="sr-Cyrl-RS"/>
        </w:rPr>
        <w:t>. из Резолуције Комитета министара.</w:t>
      </w:r>
    </w:p>
    <w:p w:rsidR="00A25643" w:rsidRDefault="00A25643" w:rsidP="00A25643">
      <w:pPr>
        <w:spacing w:after="0"/>
        <w:jc w:val="both"/>
        <w:rPr>
          <w:sz w:val="24"/>
          <w:szCs w:val="24"/>
          <w:lang w:val="sr-Cyrl-RS"/>
        </w:rPr>
      </w:pPr>
    </w:p>
    <w:p w:rsidR="00A25643" w:rsidRPr="00F333CD" w:rsidRDefault="00A25643" w:rsidP="00F333CD">
      <w:pPr>
        <w:pStyle w:val="Heading3"/>
        <w:jc w:val="center"/>
        <w:rPr>
          <w:rFonts w:ascii="Times New Roman" w:hAnsi="Times New Roman" w:cs="Times New Roman"/>
          <w:b/>
          <w:lang w:val="sr-Cyrl-RS"/>
        </w:rPr>
      </w:pPr>
      <w:bookmarkStart w:id="15" w:name="_Toc111191330"/>
      <w:r w:rsidRPr="00F333CD">
        <w:rPr>
          <w:rFonts w:ascii="Times New Roman" w:hAnsi="Times New Roman" w:cs="Times New Roman"/>
          <w:b/>
          <w:color w:val="auto"/>
          <w:lang w:val="sr-Cyrl-RS"/>
        </w:rPr>
        <w:t>Положај Рома</w:t>
      </w:r>
      <w:bookmarkEnd w:id="15"/>
    </w:p>
    <w:p w:rsidR="00A25643" w:rsidRDefault="00A25643" w:rsidP="00A25643">
      <w:pPr>
        <w:pStyle w:val="TableParagraph"/>
        <w:spacing w:line="276" w:lineRule="auto"/>
        <w:ind w:left="0" w:right="96"/>
        <w:jc w:val="both"/>
        <w:rPr>
          <w:rFonts w:eastAsia="Calibri" w:cs="Calibri"/>
          <w:color w:val="000000"/>
          <w:sz w:val="24"/>
          <w:highlight w:val="yellow"/>
          <w:lang w:val="sr-Cyrl-RS"/>
        </w:rPr>
      </w:pPr>
    </w:p>
    <w:p w:rsidR="00A25643" w:rsidRPr="00C85331" w:rsidRDefault="00CD61F7" w:rsidP="00C85331">
      <w:pPr>
        <w:pStyle w:val="TableParagraph"/>
        <w:spacing w:line="276" w:lineRule="auto"/>
        <w:ind w:left="0" w:right="96" w:firstLine="709"/>
        <w:jc w:val="both"/>
        <w:rPr>
          <w:rFonts w:eastAsia="Calibri" w:cs="Calibri"/>
          <w:color w:val="000000"/>
          <w:sz w:val="24"/>
          <w:lang w:val="sr-Cyrl-RS"/>
        </w:rPr>
      </w:pPr>
      <w:r w:rsidRPr="00514320">
        <w:rPr>
          <w:rFonts w:eastAsia="Calibri" w:cs="Calibri"/>
          <w:color w:val="000000"/>
          <w:sz w:val="24"/>
          <w:lang w:val="sr-Cyrl-RS"/>
        </w:rPr>
        <w:t xml:space="preserve">У погледу налаза и става Саветодавног комитета који је </w:t>
      </w:r>
      <w:r w:rsidR="00A25643" w:rsidRPr="002D2488">
        <w:rPr>
          <w:rFonts w:eastAsia="Calibri" w:cs="Calibri"/>
          <w:i/>
          <w:color w:val="000000"/>
          <w:sz w:val="24"/>
          <w:lang w:val="sr-Cyrl-RS"/>
        </w:rPr>
        <w:t>веома забринут због ситуације Рома,</w:t>
      </w:r>
      <w:r w:rsidR="00A25643" w:rsidRPr="002D2488">
        <w:rPr>
          <w:rFonts w:eastAsia="Calibri" w:cs="Calibri"/>
          <w:i/>
          <w:color w:val="000000"/>
          <w:position w:val="7"/>
          <w:sz w:val="16"/>
          <w:lang w:val="sr-Cyrl-RS"/>
        </w:rPr>
        <w:t xml:space="preserve"> </w:t>
      </w:r>
      <w:r w:rsidR="00A25643" w:rsidRPr="002D2488">
        <w:rPr>
          <w:rFonts w:eastAsia="Calibri" w:cs="Calibri"/>
          <w:i/>
          <w:color w:val="000000"/>
          <w:sz w:val="24"/>
          <w:lang w:val="sr-Cyrl-RS"/>
        </w:rPr>
        <w:t>посебно жена и деце</w:t>
      </w:r>
      <w:r w:rsidR="00453969" w:rsidRPr="002D2488">
        <w:rPr>
          <w:rFonts w:eastAsia="Calibri" w:cs="Calibri"/>
          <w:i/>
          <w:color w:val="000000"/>
          <w:sz w:val="24"/>
          <w:lang w:val="sr-Cyrl-RS"/>
        </w:rPr>
        <w:t xml:space="preserve"> у вези са здравственом и социјалном заштитом</w:t>
      </w:r>
      <w:r w:rsidR="00453969" w:rsidRPr="00514320">
        <w:rPr>
          <w:rFonts w:eastAsia="Calibri" w:cs="Calibri"/>
          <w:color w:val="000000"/>
          <w:sz w:val="24"/>
          <w:lang w:val="sr-Cyrl-RS"/>
        </w:rPr>
        <w:t xml:space="preserve">, </w:t>
      </w:r>
      <w:r w:rsidR="00262BD5">
        <w:rPr>
          <w:rFonts w:eastAsia="Calibri" w:cs="Calibri"/>
          <w:color w:val="000000"/>
          <w:sz w:val="24"/>
          <w:lang w:val="sr-Cyrl-RS"/>
        </w:rPr>
        <w:t xml:space="preserve">најпре је потребно указати на </w:t>
      </w:r>
      <w:r w:rsidR="00C85331">
        <w:rPr>
          <w:rFonts w:eastAsia="Calibri" w:cs="Calibri"/>
          <w:color w:val="000000"/>
          <w:sz w:val="24"/>
          <w:lang w:val="sr-Cyrl-RS"/>
        </w:rPr>
        <w:t xml:space="preserve">нормативни оквир и </w:t>
      </w:r>
      <w:r w:rsidR="00262BD5">
        <w:rPr>
          <w:rFonts w:eastAsia="Calibri" w:cs="Calibri"/>
          <w:color w:val="000000"/>
          <w:sz w:val="24"/>
          <w:lang w:val="sr-Cyrl-RS"/>
        </w:rPr>
        <w:t xml:space="preserve">податке о ромској деци у хранитељским породицама. </w:t>
      </w:r>
      <w:r w:rsidR="00453969">
        <w:rPr>
          <w:rFonts w:eastAsia="Calibri" w:cs="Calibri"/>
          <w:color w:val="000000"/>
          <w:sz w:val="24"/>
          <w:lang w:val="sr-Cyrl-RS"/>
        </w:rPr>
        <w:t xml:space="preserve"> </w:t>
      </w:r>
    </w:p>
    <w:p w:rsidR="00A25643" w:rsidRPr="00CD32CE" w:rsidRDefault="00A25643" w:rsidP="00CD32CE">
      <w:pPr>
        <w:spacing w:after="0"/>
        <w:ind w:firstLine="709"/>
        <w:jc w:val="both"/>
        <w:rPr>
          <w:sz w:val="24"/>
          <w:szCs w:val="24"/>
        </w:rPr>
      </w:pPr>
      <w:r w:rsidRPr="00CD32CE">
        <w:rPr>
          <w:sz w:val="24"/>
          <w:szCs w:val="24"/>
          <w:lang w:val="sr-Cyrl-RS"/>
        </w:rPr>
        <w:t xml:space="preserve">У складу са </w:t>
      </w:r>
      <w:r w:rsidRPr="00CD32CE">
        <w:rPr>
          <w:sz w:val="24"/>
          <w:szCs w:val="24"/>
        </w:rPr>
        <w:t>Правилник</w:t>
      </w:r>
      <w:r w:rsidRPr="00CD32CE">
        <w:rPr>
          <w:sz w:val="24"/>
          <w:szCs w:val="24"/>
          <w:lang w:val="sr-Cyrl-RS"/>
        </w:rPr>
        <w:t>ом</w:t>
      </w:r>
      <w:r w:rsidRPr="00CD32CE">
        <w:rPr>
          <w:sz w:val="24"/>
          <w:szCs w:val="24"/>
        </w:rPr>
        <w:t xml:space="preserve"> о хранитељству</w:t>
      </w:r>
      <w:r w:rsidR="00CD32CE" w:rsidRPr="00CD32CE">
        <w:rPr>
          <w:rStyle w:val="FootnoteReference"/>
          <w:sz w:val="24"/>
          <w:szCs w:val="24"/>
        </w:rPr>
        <w:footnoteReference w:id="79"/>
      </w:r>
      <w:r w:rsidRPr="00CD32CE">
        <w:rPr>
          <w:sz w:val="24"/>
          <w:szCs w:val="24"/>
        </w:rPr>
        <w:t xml:space="preserve">, за остваривање најбољег интереса детета на хранитељству примењују се следећи стандарди: 1) избор хранитељске породице врши се из круга сродничких, односно других хранитељских породица које имају општу подобност за хранитељство и које испуњавају услове за бављење хранитељством у складу са овим правилником; 2) избор хранитељске породице врши се примарно у средини порекла детета кад је то у његовом најбољем интересу; 3) браћа и сестре се, по правилу, смештају у исту хранитељску породицу; 4) у хранитељску породицу се смешта највише троје деце, односно, двоје ако су деца са посебним потребама, осим када су у питању браћа и сестре; 5) дете за које се примењује хранитељство припрема се за смештај у хранитељску породицу, повратак у биолошку </w:t>
      </w:r>
      <w:r w:rsidRPr="00CD32CE">
        <w:rPr>
          <w:sz w:val="24"/>
          <w:szCs w:val="24"/>
        </w:rPr>
        <w:lastRenderedPageBreak/>
        <w:t xml:space="preserve">породицу, промену облика заштите и осамостаљивање; 6) развој и напредовање детета на хранитељству прати се континуирано и врши се увид у остваривање сврхе хранитељства, посетама хранитељској породици, интензивније у периоду прилагођавања, а током одвијања хранитељства најмање једном месечно; 7) за дете на хранитељству надлежни центар за социјални рад, у сарадњи са центром за породични смештај, доноси план услуга, који укључује и план подршке детету и хранитељској породици чија се реализација проверава два пута годишње; 8) детету и хранитељској породици обезбеђују се различити видови подршке у складу са потребама детета и хранитељске породице; 9) за обављање хранитељске улоге врши се процена опште подобности хранитеља која се преиспитује након две године, а у кризним ситуацијама одмах након наступања промене која је изазвала кризу; 10) хранитељи се за бављење хранитељством припремају по Програму припреме за хранитељство, у складу са овим правилником; 11) за хранитеље се, током одвијања хранитељства, најмање једном годишње у трајању од 10 сати рада, организују програми едукације у циљу јачања хранитељских компетенција; 12) за стручне раднике који обављају послове хранитељства, најмање једном годишње у трајању од 10 сати рада, организују се програми едукације у циљу јачања професионалних компетенција; 13) хранитељи и стручни радници центра за социјални рад остварују сараднички однос у циљу остваривања сврхе хранитељства и подељене одговорности за дете. </w:t>
      </w:r>
    </w:p>
    <w:p w:rsidR="00A25643" w:rsidRDefault="00A25643" w:rsidP="00CD32CE">
      <w:pPr>
        <w:spacing w:after="0"/>
        <w:ind w:firstLine="720"/>
        <w:jc w:val="both"/>
        <w:rPr>
          <w:sz w:val="24"/>
          <w:szCs w:val="24"/>
        </w:rPr>
      </w:pPr>
      <w:r w:rsidRPr="00CD32CE">
        <w:rPr>
          <w:sz w:val="24"/>
          <w:szCs w:val="24"/>
        </w:rPr>
        <w:t>На основу члана 33. истог Правилника за избор адекватне хранитељске породице за дете потребно је да она: 1) одговара циљевима заштите детета, према његовим актуелним и дугорочним потребама; 2) испуњава услове у погледу разлике у годинама између детета и хранитеља која треба да одговара односу родитељ - дете; 3) испуњава стандарде дефинисане овим правилником у погледу простора и опреме за дете; 4) живи у средини која располаже одговарајућим ресурсима према развојним и специфичним потребама детета; 5) живи у средини која ће омогућити очување успостављених односа детета са сродницима и другим блиским особама; 6) обезбеђује неговање и очување личног, породичног и националног идентитета детета; 7) одговара потребама детета у складу са његовим националним пореклом, узрастом, полом, образовним и другим потребама; 8) има посебне капацитете и мотивацију за задовољавање потреба детета које има теже здравствене или развојне тешкоће.</w:t>
      </w:r>
    </w:p>
    <w:p w:rsidR="00CD32CE" w:rsidRDefault="00CD32CE" w:rsidP="00CD32CE">
      <w:pPr>
        <w:spacing w:after="0"/>
        <w:ind w:firstLine="720"/>
        <w:jc w:val="both"/>
        <w:rPr>
          <w:sz w:val="24"/>
          <w:szCs w:val="24"/>
          <w:lang w:val="sr-Cyrl-RS"/>
        </w:rPr>
      </w:pPr>
      <w:r>
        <w:rPr>
          <w:sz w:val="24"/>
          <w:szCs w:val="24"/>
          <w:lang w:val="sr-Cyrl-RS"/>
        </w:rPr>
        <w:t>У табелама које следе дати су подаци о укупном броју деце на смештају у 2020. години и броју деце ромске националности на смештају по годинама.</w:t>
      </w:r>
    </w:p>
    <w:p w:rsidR="00CD32CE" w:rsidRDefault="00CD32CE" w:rsidP="00CD32CE">
      <w:pPr>
        <w:spacing w:after="0"/>
        <w:jc w:val="both"/>
        <w:rPr>
          <w:sz w:val="24"/>
          <w:szCs w:val="24"/>
          <w:lang w:val="sr-Cyrl-RS"/>
        </w:rPr>
      </w:pPr>
    </w:p>
    <w:tbl>
      <w:tblPr>
        <w:tblW w:w="7320" w:type="dxa"/>
        <w:tblInd w:w="849" w:type="dxa"/>
        <w:tblLook w:val="04A0" w:firstRow="1" w:lastRow="0" w:firstColumn="1" w:lastColumn="0" w:noHBand="0" w:noVBand="1"/>
      </w:tblPr>
      <w:tblGrid>
        <w:gridCol w:w="940"/>
        <w:gridCol w:w="2876"/>
        <w:gridCol w:w="3504"/>
      </w:tblGrid>
      <w:tr w:rsidR="00CD32CE" w:rsidRPr="00CD32CE" w:rsidTr="00086EBE">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2CE" w:rsidRPr="00CD32CE" w:rsidRDefault="00CD32CE" w:rsidP="00CD32CE">
            <w:pPr>
              <w:spacing w:after="0"/>
              <w:rPr>
                <w:rFonts w:eastAsia="Times New Roman"/>
                <w:color w:val="000000"/>
                <w:sz w:val="20"/>
                <w:szCs w:val="20"/>
              </w:rPr>
            </w:pPr>
            <w:r w:rsidRPr="00CD32CE">
              <w:rPr>
                <w:rFonts w:eastAsia="Times New Roman"/>
                <w:color w:val="000000"/>
                <w:sz w:val="20"/>
                <w:szCs w:val="20"/>
              </w:rPr>
              <w:t> </w:t>
            </w:r>
          </w:p>
        </w:tc>
        <w:tc>
          <w:tcPr>
            <w:tcW w:w="6380" w:type="dxa"/>
            <w:gridSpan w:val="2"/>
            <w:tcBorders>
              <w:top w:val="single" w:sz="4" w:space="0" w:color="auto"/>
              <w:left w:val="nil"/>
              <w:bottom w:val="single" w:sz="4" w:space="0" w:color="auto"/>
              <w:right w:val="single" w:sz="4" w:space="0" w:color="auto"/>
            </w:tcBorders>
            <w:shd w:val="clear" w:color="auto" w:fill="auto"/>
            <w:vAlign w:val="center"/>
            <w:hideMark/>
          </w:tcPr>
          <w:p w:rsidR="00864B9B" w:rsidRDefault="00CD32CE" w:rsidP="00CD32CE">
            <w:pPr>
              <w:spacing w:after="0"/>
              <w:jc w:val="center"/>
              <w:rPr>
                <w:rFonts w:eastAsia="Times New Roman"/>
                <w:bCs/>
                <w:color w:val="000000"/>
                <w:sz w:val="20"/>
                <w:szCs w:val="20"/>
              </w:rPr>
            </w:pPr>
            <w:r w:rsidRPr="00220E18">
              <w:rPr>
                <w:rFonts w:eastAsia="Times New Roman"/>
                <w:bCs/>
                <w:color w:val="000000"/>
                <w:sz w:val="20"/>
                <w:szCs w:val="20"/>
              </w:rPr>
              <w:t xml:space="preserve">БРОЈ ДЕЦЕ НА СМЕШТАЈУ ПРЕМА ВРСТИ СМЕШТАЈА </w:t>
            </w:r>
          </w:p>
          <w:p w:rsidR="00CD32CE" w:rsidRPr="00220E18" w:rsidRDefault="00CD32CE" w:rsidP="00CD32CE">
            <w:pPr>
              <w:spacing w:after="0"/>
              <w:jc w:val="center"/>
              <w:rPr>
                <w:rFonts w:eastAsia="Times New Roman"/>
                <w:bCs/>
                <w:color w:val="000000"/>
                <w:sz w:val="20"/>
                <w:szCs w:val="20"/>
              </w:rPr>
            </w:pPr>
            <w:r w:rsidRPr="00220E18">
              <w:rPr>
                <w:rFonts w:eastAsia="Times New Roman"/>
                <w:bCs/>
                <w:color w:val="000000"/>
                <w:sz w:val="20"/>
                <w:szCs w:val="20"/>
              </w:rPr>
              <w:t>(за 2020. годину)</w:t>
            </w:r>
          </w:p>
        </w:tc>
      </w:tr>
      <w:tr w:rsidR="00CD32CE" w:rsidRPr="00CD32CE" w:rsidTr="00086EBE">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D32CE" w:rsidRPr="00CD32CE" w:rsidRDefault="00CD32CE" w:rsidP="00CD32CE">
            <w:pPr>
              <w:spacing w:after="0"/>
              <w:rPr>
                <w:rFonts w:eastAsia="Times New Roman"/>
                <w:color w:val="000000"/>
                <w:sz w:val="20"/>
                <w:szCs w:val="20"/>
              </w:rPr>
            </w:pPr>
            <w:r w:rsidRPr="00CD32CE">
              <w:rPr>
                <w:rFonts w:eastAsia="Times New Roman"/>
                <w:color w:val="000000"/>
                <w:sz w:val="20"/>
                <w:szCs w:val="20"/>
              </w:rPr>
              <w:t> </w:t>
            </w:r>
          </w:p>
        </w:tc>
        <w:tc>
          <w:tcPr>
            <w:tcW w:w="2876" w:type="dxa"/>
            <w:tcBorders>
              <w:top w:val="nil"/>
              <w:left w:val="nil"/>
              <w:bottom w:val="single" w:sz="4" w:space="0" w:color="auto"/>
              <w:right w:val="single" w:sz="4" w:space="0" w:color="auto"/>
            </w:tcBorders>
            <w:shd w:val="clear" w:color="auto" w:fill="auto"/>
            <w:noWrap/>
            <w:vAlign w:val="center"/>
            <w:hideMark/>
          </w:tcPr>
          <w:p w:rsidR="00CD32CE" w:rsidRPr="00CD32CE" w:rsidRDefault="00CD32CE" w:rsidP="00CD32CE">
            <w:pPr>
              <w:spacing w:after="0"/>
              <w:jc w:val="center"/>
              <w:rPr>
                <w:rFonts w:eastAsia="Times New Roman"/>
                <w:bCs/>
                <w:color w:val="000000"/>
                <w:sz w:val="20"/>
                <w:szCs w:val="20"/>
              </w:rPr>
            </w:pPr>
            <w:r w:rsidRPr="00CD32CE">
              <w:rPr>
                <w:rFonts w:eastAsia="Times New Roman"/>
                <w:bCs/>
                <w:color w:val="000000"/>
                <w:sz w:val="20"/>
                <w:szCs w:val="20"/>
              </w:rPr>
              <w:t>домски смештај</w:t>
            </w:r>
          </w:p>
        </w:tc>
        <w:tc>
          <w:tcPr>
            <w:tcW w:w="3504" w:type="dxa"/>
            <w:tcBorders>
              <w:top w:val="nil"/>
              <w:left w:val="nil"/>
              <w:bottom w:val="single" w:sz="4" w:space="0" w:color="auto"/>
              <w:right w:val="single" w:sz="4" w:space="0" w:color="auto"/>
            </w:tcBorders>
            <w:shd w:val="clear" w:color="auto" w:fill="auto"/>
            <w:noWrap/>
            <w:vAlign w:val="center"/>
            <w:hideMark/>
          </w:tcPr>
          <w:p w:rsidR="00CD32CE" w:rsidRPr="00CD32CE" w:rsidRDefault="00CD32CE" w:rsidP="00CD32CE">
            <w:pPr>
              <w:spacing w:after="0"/>
              <w:jc w:val="center"/>
              <w:rPr>
                <w:rFonts w:eastAsia="Times New Roman"/>
                <w:bCs/>
                <w:color w:val="000000"/>
                <w:sz w:val="20"/>
                <w:szCs w:val="20"/>
              </w:rPr>
            </w:pPr>
            <w:r w:rsidRPr="00CD32CE">
              <w:rPr>
                <w:rFonts w:eastAsia="Times New Roman"/>
                <w:bCs/>
                <w:color w:val="000000"/>
                <w:sz w:val="20"/>
                <w:szCs w:val="20"/>
              </w:rPr>
              <w:t>породични смештај</w:t>
            </w:r>
          </w:p>
        </w:tc>
      </w:tr>
      <w:tr w:rsidR="00CD32CE" w:rsidRPr="00CD32CE" w:rsidTr="00086EBE">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D32CE" w:rsidRPr="00CD32CE" w:rsidRDefault="00CD32CE" w:rsidP="00CD32CE">
            <w:pPr>
              <w:spacing w:after="0"/>
              <w:rPr>
                <w:rFonts w:eastAsia="Times New Roman"/>
                <w:color w:val="000000"/>
                <w:sz w:val="20"/>
                <w:szCs w:val="20"/>
                <w:lang w:val="sr-Cyrl-RS"/>
              </w:rPr>
            </w:pPr>
            <w:r w:rsidRPr="00CD32CE">
              <w:rPr>
                <w:rFonts w:eastAsia="Times New Roman"/>
                <w:color w:val="000000"/>
                <w:sz w:val="20"/>
                <w:szCs w:val="20"/>
                <w:lang w:val="sr-Cyrl-RS"/>
              </w:rPr>
              <w:t xml:space="preserve">Деца </w:t>
            </w:r>
            <w:r w:rsidRPr="00CD32CE">
              <w:rPr>
                <w:rFonts w:eastAsia="Times New Roman"/>
                <w:color w:val="000000"/>
                <w:sz w:val="20"/>
                <w:szCs w:val="20"/>
              </w:rPr>
              <w:t>до 18</w:t>
            </w:r>
            <w:r w:rsidRPr="00CD32CE">
              <w:rPr>
                <w:rFonts w:eastAsia="Times New Roman"/>
                <w:color w:val="000000"/>
                <w:sz w:val="20"/>
                <w:szCs w:val="20"/>
                <w:lang w:val="sr-Cyrl-RS"/>
              </w:rPr>
              <w:t xml:space="preserve"> год.</w:t>
            </w:r>
          </w:p>
        </w:tc>
        <w:tc>
          <w:tcPr>
            <w:tcW w:w="2876" w:type="dxa"/>
            <w:tcBorders>
              <w:top w:val="nil"/>
              <w:left w:val="nil"/>
              <w:bottom w:val="single" w:sz="4" w:space="0" w:color="auto"/>
              <w:right w:val="single" w:sz="4" w:space="0" w:color="auto"/>
            </w:tcBorders>
            <w:shd w:val="clear" w:color="auto" w:fill="auto"/>
            <w:noWrap/>
            <w:vAlign w:val="bottom"/>
            <w:hideMark/>
          </w:tcPr>
          <w:p w:rsidR="00CD32CE" w:rsidRPr="00CD32CE" w:rsidRDefault="00CD32CE" w:rsidP="00CD32CE">
            <w:pPr>
              <w:spacing w:after="0"/>
              <w:jc w:val="right"/>
              <w:rPr>
                <w:rFonts w:eastAsia="Times New Roman"/>
                <w:color w:val="000000"/>
                <w:sz w:val="20"/>
                <w:szCs w:val="20"/>
              </w:rPr>
            </w:pPr>
            <w:r w:rsidRPr="00CD32CE">
              <w:rPr>
                <w:rFonts w:eastAsia="Times New Roman"/>
                <w:color w:val="000000"/>
                <w:sz w:val="20"/>
                <w:szCs w:val="20"/>
              </w:rPr>
              <w:t>633</w:t>
            </w:r>
          </w:p>
        </w:tc>
        <w:tc>
          <w:tcPr>
            <w:tcW w:w="3504" w:type="dxa"/>
            <w:tcBorders>
              <w:top w:val="nil"/>
              <w:left w:val="nil"/>
              <w:bottom w:val="single" w:sz="4" w:space="0" w:color="auto"/>
              <w:right w:val="single" w:sz="4" w:space="0" w:color="auto"/>
            </w:tcBorders>
            <w:shd w:val="clear" w:color="auto" w:fill="auto"/>
            <w:noWrap/>
            <w:vAlign w:val="bottom"/>
            <w:hideMark/>
          </w:tcPr>
          <w:p w:rsidR="00CD32CE" w:rsidRPr="00CD32CE" w:rsidRDefault="00CD32CE" w:rsidP="00CD32CE">
            <w:pPr>
              <w:spacing w:after="0"/>
              <w:jc w:val="right"/>
              <w:rPr>
                <w:rFonts w:eastAsia="Times New Roman"/>
                <w:color w:val="000000"/>
                <w:sz w:val="20"/>
                <w:szCs w:val="20"/>
              </w:rPr>
            </w:pPr>
            <w:r w:rsidRPr="00CD32CE">
              <w:rPr>
                <w:rFonts w:eastAsia="Times New Roman"/>
                <w:color w:val="000000"/>
                <w:sz w:val="20"/>
                <w:szCs w:val="20"/>
              </w:rPr>
              <w:t>5</w:t>
            </w:r>
            <w:r w:rsidRPr="00CD32CE">
              <w:rPr>
                <w:rFonts w:eastAsia="Times New Roman"/>
                <w:color w:val="000000"/>
                <w:sz w:val="20"/>
                <w:szCs w:val="20"/>
                <w:lang w:val="sr-Cyrl-RS"/>
              </w:rPr>
              <w:t>.</w:t>
            </w:r>
            <w:r w:rsidRPr="00CD32CE">
              <w:rPr>
                <w:rFonts w:eastAsia="Times New Roman"/>
                <w:color w:val="000000"/>
                <w:sz w:val="20"/>
                <w:szCs w:val="20"/>
              </w:rPr>
              <w:t>149</w:t>
            </w:r>
          </w:p>
        </w:tc>
      </w:tr>
    </w:tbl>
    <w:p w:rsidR="00CD32CE" w:rsidRPr="00CD32CE" w:rsidRDefault="00CD32CE" w:rsidP="00CD32CE">
      <w:pPr>
        <w:spacing w:after="0"/>
        <w:jc w:val="both"/>
        <w:rPr>
          <w:sz w:val="24"/>
          <w:szCs w:val="24"/>
          <w:lang w:val="sr-Cyrl-RS"/>
        </w:rPr>
      </w:pPr>
    </w:p>
    <w:tbl>
      <w:tblPr>
        <w:tblW w:w="7320" w:type="dxa"/>
        <w:tblInd w:w="849" w:type="dxa"/>
        <w:tblLook w:val="04A0" w:firstRow="1" w:lastRow="0" w:firstColumn="1" w:lastColumn="0" w:noHBand="0" w:noVBand="1"/>
      </w:tblPr>
      <w:tblGrid>
        <w:gridCol w:w="940"/>
        <w:gridCol w:w="2876"/>
        <w:gridCol w:w="3504"/>
      </w:tblGrid>
      <w:tr w:rsidR="00CD32CE" w:rsidRPr="00CD32CE" w:rsidTr="00086EBE">
        <w:trPr>
          <w:trHeight w:val="67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2CE" w:rsidRPr="00CD32CE" w:rsidRDefault="00CD32CE" w:rsidP="00CD32CE">
            <w:pPr>
              <w:spacing w:after="0"/>
              <w:rPr>
                <w:rFonts w:eastAsia="Times New Roman"/>
                <w:color w:val="000000"/>
                <w:sz w:val="20"/>
                <w:szCs w:val="20"/>
              </w:rPr>
            </w:pPr>
            <w:r w:rsidRPr="00CD32CE">
              <w:rPr>
                <w:rFonts w:eastAsia="Times New Roman"/>
                <w:color w:val="000000"/>
                <w:sz w:val="20"/>
                <w:szCs w:val="20"/>
              </w:rPr>
              <w:t> </w:t>
            </w:r>
          </w:p>
        </w:tc>
        <w:tc>
          <w:tcPr>
            <w:tcW w:w="6380" w:type="dxa"/>
            <w:gridSpan w:val="2"/>
            <w:tcBorders>
              <w:top w:val="single" w:sz="4" w:space="0" w:color="auto"/>
              <w:left w:val="nil"/>
              <w:bottom w:val="single" w:sz="4" w:space="0" w:color="auto"/>
              <w:right w:val="single" w:sz="4" w:space="0" w:color="auto"/>
            </w:tcBorders>
            <w:shd w:val="clear" w:color="auto" w:fill="auto"/>
            <w:vAlign w:val="center"/>
            <w:hideMark/>
          </w:tcPr>
          <w:p w:rsidR="00CD32CE" w:rsidRPr="00220E18" w:rsidRDefault="00CD32CE" w:rsidP="00CD32CE">
            <w:pPr>
              <w:spacing w:after="0"/>
              <w:jc w:val="center"/>
              <w:rPr>
                <w:rFonts w:eastAsia="Times New Roman"/>
                <w:bCs/>
                <w:color w:val="000000"/>
                <w:sz w:val="20"/>
                <w:szCs w:val="20"/>
              </w:rPr>
            </w:pPr>
            <w:r w:rsidRPr="00220E18">
              <w:rPr>
                <w:rFonts w:eastAsia="Times New Roman"/>
                <w:bCs/>
                <w:color w:val="000000"/>
                <w:sz w:val="20"/>
                <w:szCs w:val="20"/>
              </w:rPr>
              <w:t xml:space="preserve">БРОЈ </w:t>
            </w:r>
            <w:r w:rsidRPr="00220E18">
              <w:rPr>
                <w:rFonts w:eastAsia="Times New Roman"/>
                <w:bCs/>
                <w:color w:val="000000"/>
                <w:sz w:val="20"/>
                <w:szCs w:val="20"/>
                <w:lang w:val="sr-Cyrl-RS"/>
              </w:rPr>
              <w:t>ДЕЦЕ РОМСКЕ НАЦИОНАЛНОСТИ НА</w:t>
            </w:r>
            <w:r w:rsidRPr="00220E18">
              <w:rPr>
                <w:rFonts w:eastAsia="Times New Roman"/>
                <w:bCs/>
                <w:color w:val="000000"/>
                <w:sz w:val="20"/>
                <w:szCs w:val="20"/>
              </w:rPr>
              <w:t xml:space="preserve"> СМЕШТАЈ</w:t>
            </w:r>
            <w:r w:rsidRPr="00220E18">
              <w:rPr>
                <w:rFonts w:eastAsia="Times New Roman"/>
                <w:bCs/>
                <w:color w:val="000000"/>
                <w:sz w:val="20"/>
                <w:szCs w:val="20"/>
                <w:lang w:val="sr-Cyrl-RS"/>
              </w:rPr>
              <w:t>У</w:t>
            </w:r>
            <w:r w:rsidRPr="00220E18">
              <w:rPr>
                <w:rFonts w:eastAsia="Times New Roman"/>
                <w:bCs/>
                <w:color w:val="000000"/>
                <w:sz w:val="20"/>
                <w:szCs w:val="20"/>
              </w:rPr>
              <w:t xml:space="preserve"> ПРЕМА </w:t>
            </w:r>
            <w:r w:rsidRPr="00220E18">
              <w:rPr>
                <w:rFonts w:eastAsia="Times New Roman"/>
                <w:bCs/>
                <w:color w:val="000000"/>
                <w:sz w:val="20"/>
                <w:szCs w:val="20"/>
                <w:lang w:val="sr-Cyrl-RS"/>
              </w:rPr>
              <w:t>ВРСТИ СМЕШТАЈА</w:t>
            </w:r>
            <w:r w:rsidRPr="00220E18">
              <w:rPr>
                <w:rFonts w:eastAsia="Times New Roman"/>
                <w:bCs/>
                <w:color w:val="000000"/>
                <w:sz w:val="20"/>
                <w:szCs w:val="20"/>
              </w:rPr>
              <w:t xml:space="preserve"> (</w:t>
            </w:r>
            <w:r w:rsidRPr="00220E18">
              <w:rPr>
                <w:rFonts w:eastAsia="Times New Roman"/>
                <w:bCs/>
                <w:color w:val="000000"/>
                <w:sz w:val="20"/>
                <w:szCs w:val="20"/>
                <w:lang w:val="sr-Cyrl-RS"/>
              </w:rPr>
              <w:t>ПО ГОДИНАМА</w:t>
            </w:r>
            <w:r w:rsidRPr="00220E18">
              <w:rPr>
                <w:rFonts w:eastAsia="Times New Roman"/>
                <w:bCs/>
                <w:color w:val="000000"/>
                <w:sz w:val="20"/>
                <w:szCs w:val="20"/>
              </w:rPr>
              <w:t>)</w:t>
            </w:r>
          </w:p>
        </w:tc>
      </w:tr>
      <w:tr w:rsidR="00CD32CE" w:rsidRPr="00CD32CE" w:rsidTr="00086EBE">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D32CE" w:rsidRPr="00CD32CE" w:rsidRDefault="00CD32CE" w:rsidP="00CD32CE">
            <w:pPr>
              <w:spacing w:after="0"/>
              <w:rPr>
                <w:rFonts w:eastAsia="Times New Roman"/>
                <w:color w:val="000000"/>
                <w:sz w:val="20"/>
                <w:szCs w:val="20"/>
              </w:rPr>
            </w:pPr>
            <w:r w:rsidRPr="00CD32CE">
              <w:rPr>
                <w:rFonts w:eastAsia="Times New Roman"/>
                <w:color w:val="000000"/>
                <w:sz w:val="20"/>
                <w:szCs w:val="20"/>
              </w:rPr>
              <w:t> </w:t>
            </w:r>
            <w:r w:rsidRPr="00CD32CE">
              <w:rPr>
                <w:rFonts w:eastAsia="Times New Roman"/>
                <w:color w:val="000000"/>
                <w:sz w:val="20"/>
                <w:szCs w:val="20"/>
                <w:lang w:val="sr-Cyrl-RS"/>
              </w:rPr>
              <w:t xml:space="preserve">Деца </w:t>
            </w:r>
            <w:r w:rsidRPr="00CD32CE">
              <w:rPr>
                <w:rFonts w:eastAsia="Times New Roman"/>
                <w:color w:val="000000"/>
                <w:sz w:val="20"/>
                <w:szCs w:val="20"/>
              </w:rPr>
              <w:t>до 18</w:t>
            </w:r>
            <w:r w:rsidRPr="00CD32CE">
              <w:rPr>
                <w:rFonts w:eastAsia="Times New Roman"/>
                <w:color w:val="000000"/>
                <w:sz w:val="20"/>
                <w:szCs w:val="20"/>
                <w:lang w:val="sr-Cyrl-RS"/>
              </w:rPr>
              <w:t xml:space="preserve"> год.</w:t>
            </w:r>
          </w:p>
        </w:tc>
        <w:tc>
          <w:tcPr>
            <w:tcW w:w="2876" w:type="dxa"/>
            <w:tcBorders>
              <w:top w:val="nil"/>
              <w:left w:val="nil"/>
              <w:bottom w:val="single" w:sz="4" w:space="0" w:color="auto"/>
              <w:right w:val="single" w:sz="4" w:space="0" w:color="auto"/>
            </w:tcBorders>
            <w:shd w:val="clear" w:color="auto" w:fill="auto"/>
            <w:noWrap/>
            <w:vAlign w:val="center"/>
            <w:hideMark/>
          </w:tcPr>
          <w:p w:rsidR="00CD32CE" w:rsidRPr="00CD32CE" w:rsidRDefault="00CD32CE" w:rsidP="00CD32CE">
            <w:pPr>
              <w:spacing w:after="0"/>
              <w:jc w:val="center"/>
              <w:rPr>
                <w:rFonts w:eastAsia="Times New Roman"/>
                <w:bCs/>
                <w:color w:val="000000"/>
                <w:sz w:val="20"/>
                <w:szCs w:val="20"/>
              </w:rPr>
            </w:pPr>
            <w:r w:rsidRPr="00CD32CE">
              <w:rPr>
                <w:rFonts w:eastAsia="Times New Roman"/>
                <w:bCs/>
                <w:color w:val="000000"/>
                <w:sz w:val="20"/>
                <w:szCs w:val="20"/>
              </w:rPr>
              <w:t>домски смештај</w:t>
            </w:r>
          </w:p>
        </w:tc>
        <w:tc>
          <w:tcPr>
            <w:tcW w:w="3504" w:type="dxa"/>
            <w:tcBorders>
              <w:top w:val="nil"/>
              <w:left w:val="nil"/>
              <w:bottom w:val="single" w:sz="4" w:space="0" w:color="auto"/>
              <w:right w:val="single" w:sz="4" w:space="0" w:color="auto"/>
            </w:tcBorders>
            <w:shd w:val="clear" w:color="auto" w:fill="auto"/>
            <w:noWrap/>
            <w:vAlign w:val="center"/>
            <w:hideMark/>
          </w:tcPr>
          <w:p w:rsidR="00CD32CE" w:rsidRPr="00CD32CE" w:rsidRDefault="00CD32CE" w:rsidP="00CD32CE">
            <w:pPr>
              <w:spacing w:after="0"/>
              <w:jc w:val="center"/>
              <w:rPr>
                <w:rFonts w:eastAsia="Times New Roman"/>
                <w:bCs/>
                <w:color w:val="000000"/>
                <w:sz w:val="20"/>
                <w:szCs w:val="20"/>
              </w:rPr>
            </w:pPr>
            <w:r w:rsidRPr="00CD32CE">
              <w:rPr>
                <w:rFonts w:eastAsia="Times New Roman"/>
                <w:bCs/>
                <w:color w:val="000000"/>
                <w:sz w:val="20"/>
                <w:szCs w:val="20"/>
              </w:rPr>
              <w:t>породични смештај</w:t>
            </w:r>
          </w:p>
        </w:tc>
      </w:tr>
      <w:tr w:rsidR="00CD32CE" w:rsidRPr="00CD32CE" w:rsidTr="00086EBE">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tcPr>
          <w:p w:rsidR="00CD32CE" w:rsidRPr="00CD32CE" w:rsidRDefault="00CD32CE" w:rsidP="00CD32CE">
            <w:pPr>
              <w:spacing w:after="0"/>
              <w:rPr>
                <w:rFonts w:eastAsia="Times New Roman"/>
                <w:color w:val="000000"/>
                <w:sz w:val="20"/>
                <w:szCs w:val="20"/>
                <w:lang w:val="sr-Cyrl-RS"/>
              </w:rPr>
            </w:pPr>
            <w:r w:rsidRPr="00CD32CE">
              <w:rPr>
                <w:rFonts w:eastAsia="Times New Roman"/>
                <w:color w:val="000000"/>
                <w:sz w:val="20"/>
                <w:szCs w:val="20"/>
                <w:lang w:val="sr-Cyrl-RS"/>
              </w:rPr>
              <w:lastRenderedPageBreak/>
              <w:t>2017</w:t>
            </w:r>
          </w:p>
        </w:tc>
        <w:tc>
          <w:tcPr>
            <w:tcW w:w="2876" w:type="dxa"/>
            <w:tcBorders>
              <w:top w:val="nil"/>
              <w:left w:val="nil"/>
              <w:bottom w:val="single" w:sz="4" w:space="0" w:color="auto"/>
              <w:right w:val="single" w:sz="4" w:space="0" w:color="auto"/>
            </w:tcBorders>
            <w:shd w:val="clear" w:color="auto" w:fill="auto"/>
            <w:noWrap/>
            <w:vAlign w:val="bottom"/>
          </w:tcPr>
          <w:p w:rsidR="00CD32CE" w:rsidRPr="00CD32CE" w:rsidRDefault="00CD32CE" w:rsidP="00CD32CE">
            <w:pPr>
              <w:spacing w:after="0"/>
              <w:jc w:val="right"/>
              <w:rPr>
                <w:rFonts w:eastAsia="Times New Roman"/>
                <w:color w:val="000000"/>
                <w:sz w:val="20"/>
                <w:szCs w:val="20"/>
                <w:lang w:val="sr-Cyrl-RS"/>
              </w:rPr>
            </w:pPr>
            <w:r w:rsidRPr="00CD32CE">
              <w:rPr>
                <w:rFonts w:eastAsia="Times New Roman"/>
                <w:color w:val="000000"/>
                <w:sz w:val="20"/>
                <w:szCs w:val="20"/>
                <w:lang w:val="sr-Cyrl-RS"/>
              </w:rPr>
              <w:t>120</w:t>
            </w:r>
          </w:p>
        </w:tc>
        <w:tc>
          <w:tcPr>
            <w:tcW w:w="3504" w:type="dxa"/>
            <w:tcBorders>
              <w:top w:val="nil"/>
              <w:left w:val="nil"/>
              <w:bottom w:val="single" w:sz="4" w:space="0" w:color="auto"/>
              <w:right w:val="single" w:sz="4" w:space="0" w:color="auto"/>
            </w:tcBorders>
            <w:shd w:val="clear" w:color="auto" w:fill="auto"/>
            <w:noWrap/>
            <w:vAlign w:val="bottom"/>
          </w:tcPr>
          <w:p w:rsidR="00CD32CE" w:rsidRPr="00CD32CE" w:rsidRDefault="00CD32CE" w:rsidP="00CD32CE">
            <w:pPr>
              <w:spacing w:after="0"/>
              <w:jc w:val="right"/>
              <w:rPr>
                <w:rFonts w:eastAsia="Times New Roman"/>
                <w:color w:val="000000"/>
                <w:sz w:val="20"/>
                <w:szCs w:val="20"/>
                <w:lang w:val="sr-Cyrl-RS"/>
              </w:rPr>
            </w:pPr>
            <w:r w:rsidRPr="00CD32CE">
              <w:rPr>
                <w:rFonts w:eastAsia="Times New Roman"/>
                <w:color w:val="000000"/>
                <w:sz w:val="20"/>
                <w:szCs w:val="20"/>
                <w:lang w:val="sr-Cyrl-RS"/>
              </w:rPr>
              <w:t>915</w:t>
            </w:r>
          </w:p>
        </w:tc>
      </w:tr>
      <w:tr w:rsidR="00CD32CE" w:rsidRPr="00CD32CE" w:rsidTr="00086EBE">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tcPr>
          <w:p w:rsidR="00CD32CE" w:rsidRPr="00CD32CE" w:rsidRDefault="00CD32CE" w:rsidP="00CD32CE">
            <w:pPr>
              <w:spacing w:after="0"/>
              <w:rPr>
                <w:rFonts w:eastAsia="Times New Roman"/>
                <w:color w:val="000000"/>
                <w:sz w:val="20"/>
                <w:szCs w:val="20"/>
                <w:lang w:val="sr-Cyrl-RS"/>
              </w:rPr>
            </w:pPr>
            <w:r w:rsidRPr="00CD32CE">
              <w:rPr>
                <w:rFonts w:eastAsia="Times New Roman"/>
                <w:color w:val="000000"/>
                <w:sz w:val="20"/>
                <w:szCs w:val="20"/>
                <w:lang w:val="sr-Cyrl-RS"/>
              </w:rPr>
              <w:t>2018</w:t>
            </w:r>
          </w:p>
        </w:tc>
        <w:tc>
          <w:tcPr>
            <w:tcW w:w="2876" w:type="dxa"/>
            <w:tcBorders>
              <w:top w:val="nil"/>
              <w:left w:val="nil"/>
              <w:bottom w:val="single" w:sz="4" w:space="0" w:color="auto"/>
              <w:right w:val="single" w:sz="4" w:space="0" w:color="auto"/>
            </w:tcBorders>
            <w:shd w:val="clear" w:color="auto" w:fill="auto"/>
            <w:noWrap/>
            <w:vAlign w:val="bottom"/>
          </w:tcPr>
          <w:p w:rsidR="00CD32CE" w:rsidRPr="00CD32CE" w:rsidRDefault="00CD32CE" w:rsidP="00CD32CE">
            <w:pPr>
              <w:spacing w:after="0"/>
              <w:jc w:val="right"/>
              <w:rPr>
                <w:rFonts w:eastAsia="Times New Roman"/>
                <w:color w:val="000000"/>
                <w:sz w:val="20"/>
                <w:szCs w:val="20"/>
                <w:lang w:val="sr-Cyrl-RS"/>
              </w:rPr>
            </w:pPr>
            <w:r w:rsidRPr="00CD32CE">
              <w:rPr>
                <w:rFonts w:eastAsia="Times New Roman"/>
                <w:color w:val="000000"/>
                <w:sz w:val="20"/>
                <w:szCs w:val="20"/>
                <w:lang w:val="sr-Cyrl-RS"/>
              </w:rPr>
              <w:t>115</w:t>
            </w:r>
          </w:p>
        </w:tc>
        <w:tc>
          <w:tcPr>
            <w:tcW w:w="3504" w:type="dxa"/>
            <w:tcBorders>
              <w:top w:val="nil"/>
              <w:left w:val="nil"/>
              <w:bottom w:val="single" w:sz="4" w:space="0" w:color="auto"/>
              <w:right w:val="single" w:sz="4" w:space="0" w:color="auto"/>
            </w:tcBorders>
            <w:shd w:val="clear" w:color="auto" w:fill="auto"/>
            <w:noWrap/>
            <w:vAlign w:val="bottom"/>
          </w:tcPr>
          <w:p w:rsidR="00CD32CE" w:rsidRPr="00CD32CE" w:rsidRDefault="00CD32CE" w:rsidP="00CD32CE">
            <w:pPr>
              <w:spacing w:after="0"/>
              <w:jc w:val="right"/>
              <w:rPr>
                <w:rFonts w:eastAsia="Times New Roman"/>
                <w:color w:val="000000"/>
                <w:sz w:val="20"/>
                <w:szCs w:val="20"/>
                <w:lang w:val="sr-Cyrl-RS"/>
              </w:rPr>
            </w:pPr>
            <w:r w:rsidRPr="00CD32CE">
              <w:rPr>
                <w:rFonts w:eastAsia="Times New Roman"/>
                <w:color w:val="000000"/>
                <w:sz w:val="20"/>
                <w:szCs w:val="20"/>
                <w:lang w:val="sr-Cyrl-RS"/>
              </w:rPr>
              <w:t>830</w:t>
            </w:r>
          </w:p>
        </w:tc>
      </w:tr>
      <w:tr w:rsidR="00CD32CE" w:rsidRPr="00CD32CE" w:rsidTr="00086EBE">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tcPr>
          <w:p w:rsidR="00CD32CE" w:rsidRPr="00CD32CE" w:rsidRDefault="00CD32CE" w:rsidP="00CD32CE">
            <w:pPr>
              <w:spacing w:after="0"/>
              <w:rPr>
                <w:rFonts w:eastAsia="Times New Roman"/>
                <w:color w:val="000000"/>
                <w:sz w:val="20"/>
                <w:szCs w:val="20"/>
                <w:lang w:val="sr-Cyrl-RS"/>
              </w:rPr>
            </w:pPr>
            <w:r w:rsidRPr="00CD32CE">
              <w:rPr>
                <w:rFonts w:eastAsia="Times New Roman"/>
                <w:color w:val="000000"/>
                <w:sz w:val="20"/>
                <w:szCs w:val="20"/>
                <w:lang w:val="sr-Cyrl-RS"/>
              </w:rPr>
              <w:t>2019</w:t>
            </w:r>
          </w:p>
        </w:tc>
        <w:tc>
          <w:tcPr>
            <w:tcW w:w="2876" w:type="dxa"/>
            <w:tcBorders>
              <w:top w:val="nil"/>
              <w:left w:val="nil"/>
              <w:bottom w:val="single" w:sz="4" w:space="0" w:color="auto"/>
              <w:right w:val="single" w:sz="4" w:space="0" w:color="auto"/>
            </w:tcBorders>
            <w:shd w:val="clear" w:color="auto" w:fill="auto"/>
            <w:noWrap/>
            <w:vAlign w:val="bottom"/>
          </w:tcPr>
          <w:p w:rsidR="00CD32CE" w:rsidRPr="00CD32CE" w:rsidRDefault="00CD32CE" w:rsidP="00CD32CE">
            <w:pPr>
              <w:spacing w:after="0"/>
              <w:jc w:val="right"/>
              <w:rPr>
                <w:rFonts w:eastAsia="Times New Roman"/>
                <w:color w:val="000000"/>
                <w:sz w:val="20"/>
                <w:szCs w:val="20"/>
                <w:lang w:val="sr-Cyrl-RS"/>
              </w:rPr>
            </w:pPr>
            <w:r w:rsidRPr="00CD32CE">
              <w:rPr>
                <w:rFonts w:eastAsia="Times New Roman"/>
                <w:color w:val="000000"/>
                <w:sz w:val="20"/>
                <w:szCs w:val="20"/>
                <w:lang w:val="sr-Cyrl-RS"/>
              </w:rPr>
              <w:t>100</w:t>
            </w:r>
          </w:p>
        </w:tc>
        <w:tc>
          <w:tcPr>
            <w:tcW w:w="3504" w:type="dxa"/>
            <w:tcBorders>
              <w:top w:val="nil"/>
              <w:left w:val="nil"/>
              <w:bottom w:val="single" w:sz="4" w:space="0" w:color="auto"/>
              <w:right w:val="single" w:sz="4" w:space="0" w:color="auto"/>
            </w:tcBorders>
            <w:shd w:val="clear" w:color="auto" w:fill="auto"/>
            <w:noWrap/>
            <w:vAlign w:val="bottom"/>
          </w:tcPr>
          <w:p w:rsidR="00CD32CE" w:rsidRPr="00CD32CE" w:rsidRDefault="00CD32CE" w:rsidP="00CD32CE">
            <w:pPr>
              <w:spacing w:after="0"/>
              <w:jc w:val="right"/>
              <w:rPr>
                <w:rFonts w:eastAsia="Times New Roman"/>
                <w:color w:val="000000"/>
                <w:sz w:val="20"/>
                <w:szCs w:val="20"/>
                <w:lang w:val="sr-Cyrl-RS"/>
              </w:rPr>
            </w:pPr>
            <w:r w:rsidRPr="00CD32CE">
              <w:rPr>
                <w:rFonts w:eastAsia="Times New Roman"/>
                <w:color w:val="000000"/>
                <w:sz w:val="20"/>
                <w:szCs w:val="20"/>
                <w:lang w:val="sr-Cyrl-RS"/>
              </w:rPr>
              <w:t>790</w:t>
            </w:r>
          </w:p>
        </w:tc>
      </w:tr>
      <w:tr w:rsidR="00CD32CE" w:rsidRPr="00CD32CE" w:rsidTr="00086EBE">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tcPr>
          <w:p w:rsidR="00CD32CE" w:rsidRPr="00CD32CE" w:rsidRDefault="00CD32CE" w:rsidP="00CD32CE">
            <w:pPr>
              <w:spacing w:after="0"/>
              <w:rPr>
                <w:rFonts w:eastAsia="Times New Roman"/>
                <w:color w:val="000000"/>
                <w:sz w:val="20"/>
                <w:szCs w:val="20"/>
                <w:lang w:val="sr-Cyrl-RS"/>
              </w:rPr>
            </w:pPr>
            <w:r w:rsidRPr="00CD32CE">
              <w:rPr>
                <w:rFonts w:eastAsia="Times New Roman"/>
                <w:color w:val="000000"/>
                <w:sz w:val="20"/>
                <w:szCs w:val="20"/>
                <w:lang w:val="sr-Cyrl-RS"/>
              </w:rPr>
              <w:t>2020</w:t>
            </w:r>
          </w:p>
        </w:tc>
        <w:tc>
          <w:tcPr>
            <w:tcW w:w="2876" w:type="dxa"/>
            <w:tcBorders>
              <w:top w:val="nil"/>
              <w:left w:val="nil"/>
              <w:bottom w:val="single" w:sz="4" w:space="0" w:color="auto"/>
              <w:right w:val="single" w:sz="4" w:space="0" w:color="auto"/>
            </w:tcBorders>
            <w:shd w:val="clear" w:color="auto" w:fill="auto"/>
            <w:noWrap/>
            <w:vAlign w:val="bottom"/>
          </w:tcPr>
          <w:p w:rsidR="00CD32CE" w:rsidRPr="00CD32CE" w:rsidRDefault="00CD32CE" w:rsidP="00CD32CE">
            <w:pPr>
              <w:spacing w:after="0"/>
              <w:jc w:val="right"/>
              <w:rPr>
                <w:rFonts w:eastAsia="Times New Roman"/>
                <w:color w:val="000000"/>
                <w:sz w:val="20"/>
                <w:szCs w:val="20"/>
                <w:lang w:val="sr-Cyrl-RS"/>
              </w:rPr>
            </w:pPr>
            <w:r w:rsidRPr="00CD32CE">
              <w:rPr>
                <w:rFonts w:eastAsia="Times New Roman"/>
                <w:color w:val="000000"/>
                <w:sz w:val="20"/>
                <w:szCs w:val="20"/>
                <w:lang w:val="sr-Cyrl-RS"/>
              </w:rPr>
              <w:t>86</w:t>
            </w:r>
          </w:p>
        </w:tc>
        <w:tc>
          <w:tcPr>
            <w:tcW w:w="3504" w:type="dxa"/>
            <w:tcBorders>
              <w:top w:val="nil"/>
              <w:left w:val="nil"/>
              <w:bottom w:val="single" w:sz="4" w:space="0" w:color="auto"/>
              <w:right w:val="single" w:sz="4" w:space="0" w:color="auto"/>
            </w:tcBorders>
            <w:shd w:val="clear" w:color="auto" w:fill="auto"/>
            <w:noWrap/>
            <w:vAlign w:val="bottom"/>
          </w:tcPr>
          <w:p w:rsidR="00CD32CE" w:rsidRPr="00CD32CE" w:rsidRDefault="00CD32CE" w:rsidP="00CD32CE">
            <w:pPr>
              <w:spacing w:after="0"/>
              <w:jc w:val="right"/>
              <w:rPr>
                <w:rFonts w:eastAsia="Times New Roman"/>
                <w:color w:val="000000"/>
                <w:sz w:val="20"/>
                <w:szCs w:val="20"/>
                <w:lang w:val="sr-Cyrl-RS"/>
              </w:rPr>
            </w:pPr>
            <w:r w:rsidRPr="00CD32CE">
              <w:rPr>
                <w:rFonts w:eastAsia="Times New Roman"/>
                <w:color w:val="000000"/>
                <w:sz w:val="20"/>
                <w:szCs w:val="20"/>
                <w:lang w:val="sr-Cyrl-RS"/>
              </w:rPr>
              <w:t>752</w:t>
            </w:r>
          </w:p>
        </w:tc>
      </w:tr>
      <w:tr w:rsidR="00CD32CE" w:rsidRPr="00CD32CE" w:rsidTr="00086EBE">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D32CE" w:rsidRPr="00CD32CE" w:rsidRDefault="00CD32CE" w:rsidP="00CD32CE">
            <w:pPr>
              <w:spacing w:after="0"/>
              <w:rPr>
                <w:rFonts w:eastAsia="Times New Roman"/>
                <w:color w:val="000000"/>
                <w:sz w:val="20"/>
                <w:szCs w:val="20"/>
                <w:lang w:val="sr-Cyrl-RS"/>
              </w:rPr>
            </w:pPr>
            <w:r w:rsidRPr="00CD32CE">
              <w:rPr>
                <w:rFonts w:eastAsia="Times New Roman"/>
                <w:color w:val="000000"/>
                <w:sz w:val="20"/>
                <w:szCs w:val="20"/>
                <w:lang w:val="sr-Cyrl-RS"/>
              </w:rPr>
              <w:t>2021</w:t>
            </w:r>
          </w:p>
        </w:tc>
        <w:tc>
          <w:tcPr>
            <w:tcW w:w="2876" w:type="dxa"/>
            <w:tcBorders>
              <w:top w:val="nil"/>
              <w:left w:val="nil"/>
              <w:bottom w:val="single" w:sz="4" w:space="0" w:color="auto"/>
              <w:right w:val="single" w:sz="4" w:space="0" w:color="auto"/>
            </w:tcBorders>
            <w:shd w:val="clear" w:color="auto" w:fill="auto"/>
            <w:noWrap/>
            <w:vAlign w:val="bottom"/>
          </w:tcPr>
          <w:p w:rsidR="00CD32CE" w:rsidRPr="00CD32CE" w:rsidRDefault="00CD32CE" w:rsidP="00CD32CE">
            <w:pPr>
              <w:spacing w:after="0"/>
              <w:jc w:val="right"/>
              <w:rPr>
                <w:rFonts w:eastAsia="Times New Roman"/>
                <w:color w:val="000000"/>
                <w:sz w:val="20"/>
                <w:szCs w:val="20"/>
                <w:lang w:val="sr-Cyrl-RS"/>
              </w:rPr>
            </w:pPr>
            <w:r w:rsidRPr="00CD32CE">
              <w:rPr>
                <w:rFonts w:eastAsia="Times New Roman"/>
                <w:color w:val="000000"/>
                <w:sz w:val="20"/>
                <w:szCs w:val="20"/>
                <w:lang w:val="sr-Cyrl-RS"/>
              </w:rPr>
              <w:t>87</w:t>
            </w:r>
          </w:p>
        </w:tc>
        <w:tc>
          <w:tcPr>
            <w:tcW w:w="3504" w:type="dxa"/>
            <w:tcBorders>
              <w:top w:val="nil"/>
              <w:left w:val="nil"/>
              <w:bottom w:val="single" w:sz="4" w:space="0" w:color="auto"/>
              <w:right w:val="single" w:sz="4" w:space="0" w:color="auto"/>
            </w:tcBorders>
            <w:shd w:val="clear" w:color="auto" w:fill="auto"/>
            <w:noWrap/>
            <w:vAlign w:val="bottom"/>
          </w:tcPr>
          <w:p w:rsidR="00CD32CE" w:rsidRPr="00CD32CE" w:rsidRDefault="00CD32CE" w:rsidP="00CD32CE">
            <w:pPr>
              <w:spacing w:after="0"/>
              <w:jc w:val="right"/>
              <w:rPr>
                <w:rFonts w:eastAsia="Times New Roman"/>
                <w:color w:val="000000"/>
                <w:sz w:val="20"/>
                <w:szCs w:val="20"/>
                <w:lang w:val="sr-Cyrl-RS"/>
              </w:rPr>
            </w:pPr>
            <w:r w:rsidRPr="00CD32CE">
              <w:rPr>
                <w:rFonts w:eastAsia="Times New Roman"/>
                <w:color w:val="000000"/>
                <w:sz w:val="20"/>
                <w:szCs w:val="20"/>
                <w:lang w:val="sr-Cyrl-RS"/>
              </w:rPr>
              <w:t>725</w:t>
            </w:r>
          </w:p>
        </w:tc>
      </w:tr>
    </w:tbl>
    <w:p w:rsidR="00CD32CE" w:rsidRDefault="00CD32CE" w:rsidP="002D2488">
      <w:pPr>
        <w:spacing w:after="0"/>
        <w:ind w:firstLine="720"/>
        <w:rPr>
          <w:i/>
          <w:sz w:val="20"/>
          <w:szCs w:val="20"/>
          <w:lang w:val="sr-Cyrl-RS"/>
        </w:rPr>
      </w:pPr>
      <w:r w:rsidRPr="00CD32CE">
        <w:rPr>
          <w:i/>
          <w:sz w:val="20"/>
          <w:szCs w:val="20"/>
          <w:lang w:val="sr-Cyrl-RS"/>
        </w:rPr>
        <w:t>Извор: Подаци Информационог система Министарства за рад, запошљавање, борачка и</w:t>
      </w:r>
    </w:p>
    <w:p w:rsidR="00CD32CE" w:rsidRPr="00CD32CE" w:rsidRDefault="00CD32CE" w:rsidP="00CD32CE">
      <w:pPr>
        <w:spacing w:after="0"/>
        <w:ind w:left="2880" w:firstLine="720"/>
        <w:rPr>
          <w:i/>
          <w:sz w:val="20"/>
          <w:szCs w:val="20"/>
          <w:lang w:val="sr-Cyrl-RS"/>
        </w:rPr>
      </w:pPr>
      <w:r w:rsidRPr="00CD32CE">
        <w:rPr>
          <w:i/>
          <w:sz w:val="20"/>
          <w:szCs w:val="20"/>
          <w:lang w:val="sr-Cyrl-RS"/>
        </w:rPr>
        <w:t>социјална питања</w:t>
      </w:r>
    </w:p>
    <w:p w:rsidR="00CD32CE" w:rsidRDefault="00CD32CE" w:rsidP="00CD32CE">
      <w:pPr>
        <w:pStyle w:val="TableParagraph"/>
        <w:ind w:right="96"/>
        <w:jc w:val="both"/>
        <w:rPr>
          <w:b/>
          <w:sz w:val="24"/>
          <w:szCs w:val="24"/>
          <w:lang w:val="sr-Cyrl-RS"/>
        </w:rPr>
      </w:pPr>
    </w:p>
    <w:p w:rsidR="00CD32CE" w:rsidRPr="00CD32CE" w:rsidRDefault="00CD32CE" w:rsidP="007331C1">
      <w:pPr>
        <w:pStyle w:val="TableParagraph"/>
        <w:spacing w:line="276" w:lineRule="auto"/>
        <w:ind w:left="0" w:right="96" w:firstLine="611"/>
        <w:jc w:val="both"/>
        <w:rPr>
          <w:sz w:val="24"/>
          <w:szCs w:val="24"/>
          <w:lang w:val="sr-Cyrl-RS"/>
        </w:rPr>
      </w:pPr>
      <w:r w:rsidRPr="00CD32CE">
        <w:rPr>
          <w:sz w:val="24"/>
          <w:szCs w:val="24"/>
          <w:lang w:val="sr-Cyrl-RS"/>
        </w:rPr>
        <w:t xml:space="preserve">Из </w:t>
      </w:r>
      <w:r w:rsidR="009012E2">
        <w:rPr>
          <w:sz w:val="24"/>
          <w:szCs w:val="24"/>
          <w:lang w:val="sr-Cyrl-RS"/>
        </w:rPr>
        <w:t>наведених</w:t>
      </w:r>
      <w:r w:rsidRPr="00CD32CE">
        <w:rPr>
          <w:sz w:val="24"/>
          <w:szCs w:val="24"/>
          <w:lang w:val="sr-Cyrl-RS"/>
        </w:rPr>
        <w:t xml:space="preserve"> података може се закључити да није тачан податак </w:t>
      </w:r>
      <w:r w:rsidR="00C85331">
        <w:rPr>
          <w:sz w:val="24"/>
          <w:szCs w:val="24"/>
          <w:lang w:val="sr-Cyrl-RS"/>
        </w:rPr>
        <w:t xml:space="preserve">којим располаже Саветодавни комитет </w:t>
      </w:r>
      <w:r w:rsidRPr="00CD32CE">
        <w:rPr>
          <w:sz w:val="24"/>
          <w:szCs w:val="24"/>
          <w:lang w:val="sr-Cyrl-RS"/>
        </w:rPr>
        <w:t>да се око 30% деце ромске националности налази у хранитељским породицама</w:t>
      </w:r>
      <w:r w:rsidR="009012E2">
        <w:rPr>
          <w:sz w:val="24"/>
          <w:szCs w:val="24"/>
          <w:lang w:val="sr-Cyrl-RS"/>
        </w:rPr>
        <w:t>,</w:t>
      </w:r>
      <w:r w:rsidR="00C85331">
        <w:rPr>
          <w:sz w:val="24"/>
          <w:szCs w:val="24"/>
          <w:lang w:val="sr-Cyrl-RS"/>
        </w:rPr>
        <w:t xml:space="preserve"> већ</w:t>
      </w:r>
      <w:r w:rsidRPr="00CD32CE">
        <w:rPr>
          <w:sz w:val="24"/>
          <w:szCs w:val="24"/>
          <w:lang w:val="sr-Cyrl-RS"/>
        </w:rPr>
        <w:t xml:space="preserve"> је тај проценат упола мањи</w:t>
      </w:r>
      <w:r w:rsidR="009012E2">
        <w:rPr>
          <w:sz w:val="24"/>
          <w:szCs w:val="24"/>
          <w:lang w:val="sr-Cyrl-RS"/>
        </w:rPr>
        <w:t xml:space="preserve">, односно </w:t>
      </w:r>
      <w:r w:rsidRPr="00CD32CE">
        <w:rPr>
          <w:sz w:val="24"/>
          <w:szCs w:val="24"/>
          <w:lang w:val="sr-Cyrl-RS"/>
        </w:rPr>
        <w:t>око 15%</w:t>
      </w:r>
      <w:r w:rsidR="009012E2">
        <w:rPr>
          <w:sz w:val="24"/>
          <w:szCs w:val="24"/>
          <w:lang w:val="sr-Cyrl-RS"/>
        </w:rPr>
        <w:t xml:space="preserve"> деце (гледано у односу на 2020</w:t>
      </w:r>
      <w:r w:rsidRPr="00CD32CE">
        <w:rPr>
          <w:sz w:val="24"/>
          <w:szCs w:val="24"/>
          <w:lang w:val="sr-Cyrl-RS"/>
        </w:rPr>
        <w:t xml:space="preserve">).  </w:t>
      </w:r>
    </w:p>
    <w:p w:rsidR="00CD32CE" w:rsidRPr="00CD32CE" w:rsidRDefault="00CD32CE" w:rsidP="007331C1">
      <w:pPr>
        <w:pStyle w:val="TableParagraph"/>
        <w:spacing w:line="276" w:lineRule="auto"/>
        <w:ind w:left="0" w:right="96" w:firstLine="611"/>
        <w:jc w:val="both"/>
        <w:rPr>
          <w:sz w:val="24"/>
          <w:szCs w:val="24"/>
          <w:lang w:val="sr-Cyrl-RS"/>
        </w:rPr>
      </w:pPr>
      <w:r w:rsidRPr="00CD32CE">
        <w:rPr>
          <w:sz w:val="24"/>
          <w:szCs w:val="24"/>
          <w:lang w:val="sr-Cyrl-RS"/>
        </w:rPr>
        <w:t xml:space="preserve">У погледу констатације </w:t>
      </w:r>
      <w:r w:rsidR="00C85331">
        <w:rPr>
          <w:sz w:val="24"/>
          <w:szCs w:val="24"/>
          <w:lang w:val="sr-Cyrl-RS"/>
        </w:rPr>
        <w:t xml:space="preserve">Саветодавног комитета </w:t>
      </w:r>
      <w:r w:rsidRPr="00CD32CE">
        <w:rPr>
          <w:sz w:val="24"/>
          <w:szCs w:val="24"/>
          <w:lang w:val="sr-Cyrl-RS"/>
        </w:rPr>
        <w:t xml:space="preserve">да је </w:t>
      </w:r>
      <w:r w:rsidRPr="002D2488">
        <w:rPr>
          <w:i/>
          <w:sz w:val="24"/>
          <w:szCs w:val="24"/>
          <w:lang w:val="sr-Cyrl-RS"/>
        </w:rPr>
        <w:t>сиромаштво истакнуто као значајан фактор у доношењу одлука о склањању ромске деце из њихових породица</w:t>
      </w:r>
      <w:r w:rsidRPr="00CD32CE">
        <w:rPr>
          <w:sz w:val="24"/>
          <w:szCs w:val="24"/>
          <w:lang w:val="sr-Cyrl-RS"/>
        </w:rPr>
        <w:t xml:space="preserve"> </w:t>
      </w:r>
      <w:r w:rsidR="009012E2">
        <w:rPr>
          <w:sz w:val="24"/>
          <w:szCs w:val="24"/>
          <w:lang w:val="sr-Cyrl-RS"/>
        </w:rPr>
        <w:t>потребно је истаћи</w:t>
      </w:r>
      <w:r w:rsidRPr="00CD32CE">
        <w:rPr>
          <w:sz w:val="24"/>
          <w:szCs w:val="24"/>
          <w:lang w:val="sr-Cyrl-RS"/>
        </w:rPr>
        <w:t xml:space="preserve"> да се на основу чл</w:t>
      </w:r>
      <w:r w:rsidR="009012E2">
        <w:rPr>
          <w:sz w:val="24"/>
          <w:szCs w:val="24"/>
          <w:lang w:val="sr-Cyrl-RS"/>
        </w:rPr>
        <w:t>ана</w:t>
      </w:r>
      <w:r w:rsidRPr="00CD32CE">
        <w:rPr>
          <w:sz w:val="24"/>
          <w:szCs w:val="24"/>
          <w:lang w:val="sr-Cyrl-RS"/>
        </w:rPr>
        <w:t xml:space="preserve"> 81. Породичног закона</w:t>
      </w:r>
      <w:r w:rsidR="009012E2">
        <w:rPr>
          <w:rStyle w:val="FootnoteReference"/>
          <w:sz w:val="24"/>
          <w:szCs w:val="24"/>
          <w:lang w:val="sr-Cyrl-RS"/>
        </w:rPr>
        <w:footnoteReference w:id="80"/>
      </w:r>
      <w:r w:rsidRPr="00CD32CE">
        <w:rPr>
          <w:sz w:val="24"/>
          <w:szCs w:val="24"/>
          <w:lang w:val="sr-Cyrl-RS"/>
        </w:rPr>
        <w:t xml:space="preserve"> родитељи могу лишити родитељског права само када злоупотребљавају или грубо занемарују дужности родитеља. Суштина за лишење родитељског права је у томе да је понашање родитеља и старање о деци такво да захтева одузимање родитељског права а сиромаштво никада није разлог за лишавање докле год су родитељи савесни и адекватно воде бригу о детету. </w:t>
      </w:r>
    </w:p>
    <w:p w:rsidR="00CD32CE" w:rsidRPr="00CD32CE" w:rsidRDefault="00CD32CE" w:rsidP="007331C1">
      <w:pPr>
        <w:pStyle w:val="TableParagraph"/>
        <w:spacing w:line="276" w:lineRule="auto"/>
        <w:ind w:left="0" w:right="96"/>
        <w:jc w:val="both"/>
        <w:rPr>
          <w:sz w:val="24"/>
          <w:szCs w:val="24"/>
          <w:lang w:val="sr-Cyrl-RS"/>
        </w:rPr>
      </w:pPr>
      <w:r w:rsidRPr="00CD32CE">
        <w:rPr>
          <w:sz w:val="24"/>
          <w:szCs w:val="24"/>
          <w:lang w:val="sr-Cyrl-RS"/>
        </w:rPr>
        <w:tab/>
        <w:t xml:space="preserve">На основу члана 81. Породичног закона родитељ злоупотребљава права или грубо занемарује дужности из садржине родитељског права  ако: физички, сексуално или емоционално злоставља дете, израбљује дете силећи га на претерани рад или на рад који угрожава морал, здравље или образовање детета, односно на рад који је забрањен законом, ако подстиче дете на вршење кривичних дела, ако навикава дете на одавање рђавим склоностима, или на други начин злоупотребљава права детета. </w:t>
      </w:r>
    </w:p>
    <w:p w:rsidR="007331C1" w:rsidRPr="00C85331" w:rsidRDefault="00CD32CE" w:rsidP="00C85331">
      <w:pPr>
        <w:pStyle w:val="TableParagraph"/>
        <w:spacing w:line="276" w:lineRule="auto"/>
        <w:ind w:left="0" w:right="96" w:firstLine="612"/>
        <w:jc w:val="both"/>
        <w:rPr>
          <w:sz w:val="24"/>
          <w:szCs w:val="24"/>
          <w:lang w:val="sr-Cyrl-RS"/>
        </w:rPr>
      </w:pPr>
      <w:r w:rsidRPr="00CD32CE">
        <w:rPr>
          <w:sz w:val="24"/>
          <w:szCs w:val="24"/>
          <w:lang w:val="sr-Cyrl-RS"/>
        </w:rPr>
        <w:t>Родитељ грубо занемарује дужности из садржине родитељског права</w:t>
      </w:r>
      <w:r w:rsidR="009012E2">
        <w:rPr>
          <w:sz w:val="24"/>
          <w:szCs w:val="24"/>
          <w:lang w:val="sr-Cyrl-RS"/>
        </w:rPr>
        <w:t>:</w:t>
      </w:r>
      <w:r w:rsidRPr="00CD32CE">
        <w:rPr>
          <w:sz w:val="24"/>
          <w:szCs w:val="24"/>
          <w:lang w:val="sr-Cyrl-RS"/>
        </w:rPr>
        <w:t xml:space="preserve"> ако је напустио дете; ако се уопште не стара о детету са којим живи; ако избегава да издржава дете или да одржава личне односе са дететом са којим не живи, односно ако спречава одржавање личних односа детета и родитеља са којим дете не живи; ако с намером и неоправдано избегава да створи услове за заједнички живот са дететом које се налази у установи социјалне заштите за смештај корисника;</w:t>
      </w:r>
      <w:r w:rsidR="009012E2">
        <w:rPr>
          <w:sz w:val="24"/>
          <w:szCs w:val="24"/>
          <w:lang w:val="sr-Cyrl-RS"/>
        </w:rPr>
        <w:t xml:space="preserve"> </w:t>
      </w:r>
      <w:r w:rsidRPr="00CD32CE">
        <w:rPr>
          <w:sz w:val="24"/>
          <w:szCs w:val="24"/>
          <w:lang w:val="sr-Cyrl-RS"/>
        </w:rPr>
        <w:t>ако на други начин грубо занемарује дужности</w:t>
      </w:r>
      <w:r w:rsidR="00C85331">
        <w:rPr>
          <w:sz w:val="24"/>
          <w:szCs w:val="24"/>
          <w:lang w:val="sr-Cyrl-RS"/>
        </w:rPr>
        <w:t xml:space="preserve"> из садржине родитељског права.</w:t>
      </w:r>
    </w:p>
    <w:p w:rsidR="007331C1" w:rsidRPr="007331C1" w:rsidRDefault="007331C1" w:rsidP="00D7283E">
      <w:pPr>
        <w:pStyle w:val="TableParagraph"/>
        <w:spacing w:line="276" w:lineRule="auto"/>
        <w:ind w:left="0" w:right="96" w:firstLine="720"/>
        <w:jc w:val="both"/>
        <w:rPr>
          <w:sz w:val="24"/>
          <w:szCs w:val="24"/>
          <w:lang w:val="sr-Cyrl-RS"/>
        </w:rPr>
      </w:pPr>
      <w:r>
        <w:rPr>
          <w:sz w:val="24"/>
          <w:szCs w:val="24"/>
          <w:lang w:val="sr-Cyrl-RS"/>
        </w:rPr>
        <w:t>У вези са налазима</w:t>
      </w:r>
      <w:r w:rsidR="00C85331">
        <w:rPr>
          <w:sz w:val="24"/>
          <w:szCs w:val="24"/>
          <w:lang w:val="sr-Cyrl-RS"/>
        </w:rPr>
        <w:t xml:space="preserve"> Саветодавног комитета према којима се</w:t>
      </w:r>
      <w:r w:rsidR="00C85331" w:rsidRPr="00C85331">
        <w:t xml:space="preserve"> </w:t>
      </w:r>
      <w:r w:rsidR="00C85331">
        <w:rPr>
          <w:sz w:val="24"/>
          <w:szCs w:val="24"/>
          <w:lang w:val="sr-Cyrl-RS"/>
        </w:rPr>
        <w:t>још увек</w:t>
      </w:r>
      <w:r w:rsidR="00C85331" w:rsidRPr="00C85331">
        <w:rPr>
          <w:sz w:val="24"/>
          <w:szCs w:val="24"/>
          <w:lang w:val="sr-Cyrl-RS"/>
        </w:rPr>
        <w:t xml:space="preserve"> пријављују правне и практичне препреке у вези са административним процедурама за пријаву рођења, стицање држављанства, као и пријаву сталног боравка и издавање личних карти</w:t>
      </w:r>
      <w:r>
        <w:rPr>
          <w:sz w:val="24"/>
          <w:szCs w:val="24"/>
          <w:lang w:val="sr-Cyrl-RS"/>
        </w:rPr>
        <w:t xml:space="preserve">, власти </w:t>
      </w:r>
      <w:r w:rsidR="00C85331">
        <w:rPr>
          <w:sz w:val="24"/>
          <w:szCs w:val="24"/>
          <w:lang w:val="sr-Cyrl-RS"/>
        </w:rPr>
        <w:t xml:space="preserve">најпре </w:t>
      </w:r>
      <w:r>
        <w:rPr>
          <w:sz w:val="24"/>
          <w:szCs w:val="24"/>
          <w:lang w:val="sr-Cyrl-RS"/>
        </w:rPr>
        <w:t>истичу да правни</w:t>
      </w:r>
      <w:r w:rsidRPr="007331C1">
        <w:rPr>
          <w:sz w:val="24"/>
          <w:szCs w:val="24"/>
          <w:lang w:val="sr-Cyrl-RS"/>
        </w:rPr>
        <w:t xml:space="preserve"> оквир у Републици Србији обезбеђује сваком детету право на упис у матичну књигу рођених</w:t>
      </w:r>
      <w:r w:rsidR="007374F4">
        <w:rPr>
          <w:sz w:val="24"/>
          <w:szCs w:val="24"/>
          <w:lang w:val="sr-Cyrl-RS"/>
        </w:rPr>
        <w:t xml:space="preserve">. </w:t>
      </w:r>
      <w:r w:rsidRPr="007331C1">
        <w:rPr>
          <w:sz w:val="24"/>
          <w:szCs w:val="24"/>
          <w:lang w:val="sr-Cyrl-RS"/>
        </w:rPr>
        <w:t>Идентификација родитеља, односно мајке</w:t>
      </w:r>
      <w:r w:rsidR="007374F4">
        <w:rPr>
          <w:sz w:val="24"/>
          <w:szCs w:val="24"/>
          <w:lang w:val="sr-Cyrl-RS"/>
        </w:rPr>
        <w:t>,</w:t>
      </w:r>
      <w:r w:rsidRPr="007331C1">
        <w:rPr>
          <w:sz w:val="24"/>
          <w:szCs w:val="24"/>
          <w:lang w:val="sr-Cyrl-RS"/>
        </w:rPr>
        <w:t xml:space="preserve"> на начин предвиђен тач. 10. и 24. Упутства о вођењу матичних књига и обрасцима матичних књига</w:t>
      </w:r>
      <w:r w:rsidR="007374F4">
        <w:rPr>
          <w:rStyle w:val="FootnoteReference"/>
          <w:sz w:val="24"/>
          <w:szCs w:val="24"/>
          <w:lang w:val="sr-Cyrl-RS"/>
        </w:rPr>
        <w:footnoteReference w:id="81"/>
      </w:r>
      <w:r w:rsidRPr="007331C1">
        <w:rPr>
          <w:sz w:val="24"/>
          <w:szCs w:val="24"/>
          <w:lang w:val="sr-Cyrl-RS"/>
        </w:rPr>
        <w:t xml:space="preserve"> и члан</w:t>
      </w:r>
      <w:r w:rsidR="007374F4">
        <w:rPr>
          <w:sz w:val="24"/>
          <w:szCs w:val="24"/>
          <w:lang w:val="sr-Cyrl-RS"/>
        </w:rPr>
        <w:t>ом</w:t>
      </w:r>
      <w:r w:rsidRPr="007331C1">
        <w:rPr>
          <w:sz w:val="24"/>
          <w:szCs w:val="24"/>
          <w:lang w:val="sr-Cyrl-RS"/>
        </w:rPr>
        <w:t xml:space="preserve"> 5. Правилника о поступку издавања пријаве рођења детета и обрасцу пријаве рођења детета у здравственој установи</w:t>
      </w:r>
      <w:r w:rsidR="00864B9B">
        <w:rPr>
          <w:sz w:val="24"/>
          <w:szCs w:val="24"/>
          <w:lang w:val="sr-Cyrl-RS"/>
        </w:rPr>
        <w:t>,</w:t>
      </w:r>
      <w:r w:rsidR="007374F4">
        <w:rPr>
          <w:rStyle w:val="FootnoteReference"/>
          <w:sz w:val="24"/>
          <w:szCs w:val="24"/>
          <w:lang w:val="sr-Cyrl-RS"/>
        </w:rPr>
        <w:footnoteReference w:id="82"/>
      </w:r>
      <w:r w:rsidRPr="007331C1">
        <w:rPr>
          <w:sz w:val="24"/>
          <w:szCs w:val="24"/>
          <w:lang w:val="sr-Cyrl-RS"/>
        </w:rPr>
        <w:t xml:space="preserve"> усклађена је </w:t>
      </w:r>
      <w:r w:rsidRPr="007331C1">
        <w:rPr>
          <w:sz w:val="24"/>
          <w:szCs w:val="24"/>
          <w:lang w:val="sr-Cyrl-RS"/>
        </w:rPr>
        <w:lastRenderedPageBreak/>
        <w:t>са позитивним прописима Републике Србије у погледу идентификације лица. На тај начин обезбеђује се правна сигурност детета</w:t>
      </w:r>
      <w:r w:rsidRPr="00C85331">
        <w:rPr>
          <w:sz w:val="24"/>
          <w:szCs w:val="24"/>
          <w:lang w:val="sr-Cyrl-RS"/>
        </w:rPr>
        <w:t xml:space="preserve">, </w:t>
      </w:r>
      <w:r w:rsidR="007374F4" w:rsidRPr="00C85331">
        <w:rPr>
          <w:sz w:val="24"/>
          <w:szCs w:val="24"/>
          <w:lang w:val="sr-Cyrl-RS"/>
        </w:rPr>
        <w:t>а ова идентификација</w:t>
      </w:r>
      <w:r w:rsidRPr="00C85331">
        <w:rPr>
          <w:sz w:val="24"/>
          <w:szCs w:val="24"/>
          <w:lang w:val="sr-Cyrl-RS"/>
        </w:rPr>
        <w:t xml:space="preserve"> ни у ком случају не представља препреку за регистрацију рођења</w:t>
      </w:r>
      <w:r w:rsidRPr="007331C1">
        <w:rPr>
          <w:sz w:val="24"/>
          <w:szCs w:val="24"/>
          <w:lang w:val="sr-Cyrl-RS"/>
        </w:rPr>
        <w:t xml:space="preserve"> детета одмах по рођењу. Спроводећи овај стандард у поступцима у којима се одлучује о правима деце обезбеђује се механизам заштите у циљу спречавања сваке могуће врсте злоупотребе (нпр. трговине децом и људима) и на тај начин Република Србија уважава и спроводи обавезе које је преузела у складу са Конвенцијом Савета Европе о борби против трговине људима.</w:t>
      </w:r>
    </w:p>
    <w:p w:rsidR="007331C1" w:rsidRPr="007331C1" w:rsidRDefault="007331C1" w:rsidP="00D7283E">
      <w:pPr>
        <w:pStyle w:val="TableParagraph"/>
        <w:spacing w:line="276" w:lineRule="auto"/>
        <w:ind w:left="0" w:right="96" w:firstLine="720"/>
        <w:jc w:val="both"/>
        <w:rPr>
          <w:sz w:val="24"/>
          <w:szCs w:val="24"/>
          <w:lang w:val="sr-Cyrl-RS"/>
        </w:rPr>
      </w:pPr>
      <w:r w:rsidRPr="007331C1">
        <w:rPr>
          <w:sz w:val="24"/>
          <w:szCs w:val="24"/>
          <w:lang w:val="sr-Cyrl-RS"/>
        </w:rPr>
        <w:t xml:space="preserve">У току </w:t>
      </w:r>
      <w:r w:rsidR="00ED00B4">
        <w:rPr>
          <w:sz w:val="24"/>
          <w:szCs w:val="24"/>
          <w:lang w:val="sr-Cyrl-RS"/>
        </w:rPr>
        <w:t xml:space="preserve">реализације </w:t>
      </w:r>
      <w:r w:rsidRPr="007331C1">
        <w:rPr>
          <w:sz w:val="24"/>
          <w:szCs w:val="24"/>
          <w:lang w:val="sr-Cyrl-RS"/>
        </w:rPr>
        <w:t xml:space="preserve">другог по реду Споразума о разумевању између Министарства државне управе и локалне самоуправе, Заштитника грађана и Високог комесаријата Уједињених нација за избеглице - Представништво у Србији, додатно је </w:t>
      </w:r>
      <w:r w:rsidR="00ED00B4">
        <w:rPr>
          <w:sz w:val="24"/>
          <w:szCs w:val="24"/>
          <w:lang w:val="sr-Cyrl-RS"/>
        </w:rPr>
        <w:t xml:space="preserve">2020. године </w:t>
      </w:r>
      <w:r w:rsidRPr="007331C1">
        <w:rPr>
          <w:sz w:val="24"/>
          <w:szCs w:val="24"/>
          <w:lang w:val="sr-Cyrl-RS"/>
        </w:rPr>
        <w:t>унапређена ефикасност поступања службеника у овој области доношењем Инструкције за поступање у случајевима рођења детета чији родитељи немају лична документа ради омогућавања уписа у матичну књигу рођених.</w:t>
      </w:r>
      <w:r w:rsidR="007374F4">
        <w:rPr>
          <w:rStyle w:val="FootnoteReference"/>
          <w:sz w:val="24"/>
          <w:szCs w:val="24"/>
          <w:lang w:val="sr-Cyrl-RS"/>
        </w:rPr>
        <w:footnoteReference w:id="83"/>
      </w:r>
      <w:r w:rsidRPr="007331C1">
        <w:rPr>
          <w:sz w:val="24"/>
          <w:szCs w:val="24"/>
          <w:lang w:val="sr-Cyrl-RS"/>
        </w:rPr>
        <w:t xml:space="preserve"> Инструкција предвиђа координисан рад службеника (по принципу хитности и најбољег интереса детета) без обзира да ли је дете рођено у здравственој установи или изван ње, тако да се обезбеди идентификација родитеља, односно мајке ради уписа детета у матичну књигу рођених.</w:t>
      </w:r>
    </w:p>
    <w:p w:rsidR="007331C1" w:rsidRPr="007331C1" w:rsidRDefault="007331C1" w:rsidP="00D7283E">
      <w:pPr>
        <w:pStyle w:val="TableParagraph"/>
        <w:spacing w:line="276" w:lineRule="auto"/>
        <w:ind w:left="0" w:right="96"/>
        <w:jc w:val="both"/>
        <w:rPr>
          <w:sz w:val="24"/>
          <w:szCs w:val="24"/>
          <w:lang w:val="sr-Cyrl-RS"/>
        </w:rPr>
      </w:pPr>
      <w:r w:rsidRPr="007331C1">
        <w:rPr>
          <w:sz w:val="24"/>
          <w:szCs w:val="24"/>
          <w:lang w:val="sr-Cyrl-RS"/>
        </w:rPr>
        <w:t xml:space="preserve">Ради уписа у матичну књигу рођених, у складу са овом инструкцијом одмах по рођењу детета покреће се процедура идентификације мајке у сарадњи са службеницима Министарства унутрашњих послова и надлежним матичарима како би се истовремено покренуо одговарајући поступак обезбеђења личних докумената за мајку или њеног накнадног уписа у матичну књигу рођених. Инструкција се примењује без обзира да ли је дете рођено у здравственој установи или изван ње, и има за циљ не само ефикасан и брз упис новорођеног детета у матичну књигу рођених, већ и решавање евентуалног генерацијског проблема лица која нису уписана у матичну књигу рођених и истовремено утврђивање да ли мајка има још деце која нису уписана у матичну књигу рођених, како би се и ти случајеви идентификовали и решили. Имајући у виду да се према последњем истраживању УНХЦР из новембра 2020. године, случајеви да неко лице није уписано у матичну књигу рођених сада јављају као изузетак, на овај начин проблем тзв. правне невидљивости решава се на нивоу целе породице, чиме се ефикасно отклањају </w:t>
      </w:r>
      <w:r w:rsidR="002D2488">
        <w:rPr>
          <w:sz w:val="24"/>
          <w:szCs w:val="24"/>
          <w:lang w:val="sr-Cyrl-RS"/>
        </w:rPr>
        <w:t xml:space="preserve">и </w:t>
      </w:r>
      <w:r w:rsidRPr="007331C1">
        <w:rPr>
          <w:sz w:val="24"/>
          <w:szCs w:val="24"/>
          <w:lang w:val="sr-Cyrl-RS"/>
        </w:rPr>
        <w:t>ризици од апатридије.</w:t>
      </w:r>
    </w:p>
    <w:p w:rsidR="007331C1" w:rsidRDefault="007331C1" w:rsidP="00D7283E">
      <w:pPr>
        <w:pStyle w:val="TableParagraph"/>
        <w:spacing w:line="276" w:lineRule="auto"/>
        <w:ind w:left="0" w:right="96" w:firstLine="720"/>
        <w:jc w:val="both"/>
        <w:rPr>
          <w:sz w:val="24"/>
          <w:szCs w:val="24"/>
          <w:lang w:val="sr-Cyrl-RS"/>
        </w:rPr>
      </w:pPr>
      <w:r w:rsidRPr="007331C1">
        <w:rPr>
          <w:sz w:val="24"/>
          <w:szCs w:val="24"/>
          <w:lang w:val="sr-Cyrl-RS"/>
        </w:rPr>
        <w:t xml:space="preserve">Република Србија наставља </w:t>
      </w:r>
      <w:r w:rsidR="00ED00B4">
        <w:rPr>
          <w:sz w:val="24"/>
          <w:szCs w:val="24"/>
          <w:lang w:val="sr-Cyrl-RS"/>
        </w:rPr>
        <w:t xml:space="preserve">да буде посвећена решавању овог питања </w:t>
      </w:r>
      <w:r w:rsidRPr="007331C1">
        <w:rPr>
          <w:sz w:val="24"/>
          <w:szCs w:val="24"/>
          <w:lang w:val="sr-Cyrl-RS"/>
        </w:rPr>
        <w:t xml:space="preserve">и у наредном периоду, у оквиру трећег по реду Споразума о разумевању </w:t>
      </w:r>
      <w:r w:rsidR="00220E18">
        <w:rPr>
          <w:sz w:val="24"/>
          <w:szCs w:val="24"/>
          <w:lang w:val="sr-Cyrl-RS"/>
        </w:rPr>
        <w:t xml:space="preserve">који је потписан </w:t>
      </w:r>
      <w:r w:rsidR="00220E18" w:rsidRPr="00220E18">
        <w:rPr>
          <w:sz w:val="24"/>
          <w:szCs w:val="24"/>
          <w:lang w:val="sr-Cyrl-RS"/>
        </w:rPr>
        <w:t>10.</w:t>
      </w:r>
      <w:r w:rsidR="00220E18">
        <w:rPr>
          <w:sz w:val="24"/>
          <w:szCs w:val="24"/>
          <w:lang w:val="sr-Cyrl-RS"/>
        </w:rPr>
        <w:t xml:space="preserve"> фебруара </w:t>
      </w:r>
      <w:r w:rsidR="00220E18" w:rsidRPr="00220E18">
        <w:rPr>
          <w:sz w:val="24"/>
          <w:szCs w:val="24"/>
          <w:lang w:val="sr-Cyrl-RS"/>
        </w:rPr>
        <w:t>2022. године</w:t>
      </w:r>
      <w:r w:rsidR="00220E18">
        <w:rPr>
          <w:sz w:val="24"/>
          <w:szCs w:val="24"/>
          <w:lang w:val="sr-Cyrl-RS"/>
        </w:rPr>
        <w:t>,</w:t>
      </w:r>
      <w:r w:rsidR="00220E18" w:rsidRPr="00220E18">
        <w:rPr>
          <w:sz w:val="24"/>
          <w:szCs w:val="24"/>
          <w:lang w:val="sr-Cyrl-RS"/>
        </w:rPr>
        <w:t xml:space="preserve"> </w:t>
      </w:r>
      <w:r w:rsidRPr="007331C1">
        <w:rPr>
          <w:sz w:val="24"/>
          <w:szCs w:val="24"/>
          <w:lang w:val="sr-Cyrl-RS"/>
        </w:rPr>
        <w:t>у оквиру којег ће се уложити додатни напори како би шира јавност, са акцентом на припаднике ромске националне мањине, била информисана о начину на који се може остварити право на упис у матичну књигу рођених, као и приступ личним документима, уз пружање подршке решавању појединачних случајева лица која нису решила ово статусно питање.</w:t>
      </w:r>
    </w:p>
    <w:p w:rsidR="007331C1" w:rsidRPr="007331C1" w:rsidRDefault="007331C1" w:rsidP="00D7283E">
      <w:pPr>
        <w:pStyle w:val="TableParagraph"/>
        <w:spacing w:line="276" w:lineRule="auto"/>
        <w:ind w:left="0" w:right="96" w:firstLine="720"/>
        <w:jc w:val="both"/>
        <w:rPr>
          <w:sz w:val="24"/>
          <w:szCs w:val="24"/>
          <w:lang w:val="sr-Cyrl-RS"/>
        </w:rPr>
      </w:pPr>
      <w:r w:rsidRPr="007331C1">
        <w:rPr>
          <w:sz w:val="24"/>
          <w:szCs w:val="24"/>
          <w:lang w:val="sr-Cyrl-RS"/>
        </w:rPr>
        <w:t xml:space="preserve">Такође, </w:t>
      </w:r>
      <w:r w:rsidR="00ED00B4">
        <w:rPr>
          <w:sz w:val="24"/>
          <w:szCs w:val="24"/>
          <w:lang w:val="sr-Cyrl-RS"/>
        </w:rPr>
        <w:t xml:space="preserve">битно је истаћи да </w:t>
      </w:r>
      <w:r w:rsidRPr="007331C1">
        <w:rPr>
          <w:sz w:val="24"/>
          <w:szCs w:val="24"/>
          <w:lang w:val="sr-Cyrl-RS"/>
        </w:rPr>
        <w:t>процедура пријаве рођења искључује наплату било каквих такси, јер је Законом о републичким административним таксама</w:t>
      </w:r>
      <w:r w:rsidR="00ED00B4">
        <w:rPr>
          <w:rStyle w:val="FootnoteReference"/>
          <w:sz w:val="24"/>
          <w:szCs w:val="24"/>
          <w:lang w:val="sr-Cyrl-RS"/>
        </w:rPr>
        <w:footnoteReference w:id="84"/>
      </w:r>
      <w:r w:rsidRPr="007331C1">
        <w:rPr>
          <w:sz w:val="24"/>
          <w:szCs w:val="24"/>
          <w:lang w:val="sr-Cyrl-RS"/>
        </w:rPr>
        <w:t xml:space="preserve"> прописано да </w:t>
      </w:r>
      <w:r w:rsidRPr="007331C1">
        <w:rPr>
          <w:sz w:val="24"/>
          <w:szCs w:val="24"/>
          <w:lang w:val="sr-Cyrl-RS"/>
        </w:rPr>
        <w:lastRenderedPageBreak/>
        <w:t>се не плаћа такса за пријаве за упис у матичне књиге, а још 2011. године истим законом је утврђено ослобађање од плаћања административних такси за списе и радње које су у вези са поступком за накнадни упис чињенице рођења у матичну књигу рођених.</w:t>
      </w:r>
    </w:p>
    <w:p w:rsidR="007331C1" w:rsidRDefault="00ED00B4" w:rsidP="00D7283E">
      <w:pPr>
        <w:pStyle w:val="TableParagraph"/>
        <w:spacing w:line="276" w:lineRule="auto"/>
        <w:ind w:left="0" w:right="96" w:firstLine="720"/>
        <w:jc w:val="both"/>
        <w:rPr>
          <w:sz w:val="24"/>
          <w:szCs w:val="24"/>
          <w:lang w:val="sr-Cyrl-RS"/>
        </w:rPr>
      </w:pPr>
      <w:r>
        <w:rPr>
          <w:sz w:val="24"/>
          <w:szCs w:val="24"/>
          <w:lang w:val="sr-Cyrl-RS"/>
        </w:rPr>
        <w:t>Осим тога,</w:t>
      </w:r>
      <w:r w:rsidR="007331C1" w:rsidRPr="007331C1">
        <w:rPr>
          <w:sz w:val="24"/>
          <w:szCs w:val="24"/>
          <w:lang w:val="sr-Cyrl-RS"/>
        </w:rPr>
        <w:t xml:space="preserve"> свако лице које није уписано у матичну књигу рођених то право може остварити у поступку накнадног уписа. За лица која упис не могу извршити у управном поступку, омогућено је да се упишу кроз олакшану процедуру ванпарничног поступка утврђивања времена и места рођена. Право на накнадни упис се несметано остварује, а праћењем стања у овој области у табели у наставку дати су статистички подаци о броју уписа </w:t>
      </w:r>
      <w:r w:rsidR="00D7283E">
        <w:rPr>
          <w:sz w:val="24"/>
          <w:szCs w:val="24"/>
          <w:lang w:val="sr-Cyrl-RS"/>
        </w:rPr>
        <w:t xml:space="preserve">по </w:t>
      </w:r>
      <w:r w:rsidR="007331C1" w:rsidRPr="007331C1">
        <w:rPr>
          <w:sz w:val="24"/>
          <w:szCs w:val="24"/>
          <w:lang w:val="sr-Cyrl-RS"/>
        </w:rPr>
        <w:t>годин</w:t>
      </w:r>
      <w:r w:rsidR="00D7283E">
        <w:rPr>
          <w:sz w:val="24"/>
          <w:szCs w:val="24"/>
          <w:lang w:val="sr-Cyrl-RS"/>
        </w:rPr>
        <w:t>ама</w:t>
      </w:r>
      <w:r w:rsidR="007331C1" w:rsidRPr="007331C1">
        <w:rPr>
          <w:sz w:val="24"/>
          <w:szCs w:val="24"/>
          <w:lang w:val="sr-Cyrl-RS"/>
        </w:rPr>
        <w:t>.</w:t>
      </w:r>
    </w:p>
    <w:p w:rsidR="00D7283E" w:rsidRDefault="00D7283E" w:rsidP="007331C1">
      <w:pPr>
        <w:pStyle w:val="TableParagraph"/>
        <w:spacing w:line="276" w:lineRule="auto"/>
        <w:ind w:left="0" w:right="96"/>
        <w:jc w:val="both"/>
        <w:rPr>
          <w:sz w:val="24"/>
          <w:szCs w:val="24"/>
          <w:lang w:val="sr-Cyrl-RS"/>
        </w:rPr>
      </w:pPr>
    </w:p>
    <w:tbl>
      <w:tblPr>
        <w:tblStyle w:val="TableGrid"/>
        <w:tblW w:w="0" w:type="auto"/>
        <w:tblLook w:val="04A0" w:firstRow="1" w:lastRow="0" w:firstColumn="1" w:lastColumn="0" w:noHBand="0" w:noVBand="1"/>
      </w:tblPr>
      <w:tblGrid>
        <w:gridCol w:w="3005"/>
        <w:gridCol w:w="3005"/>
        <w:gridCol w:w="3006"/>
      </w:tblGrid>
      <w:tr w:rsidR="00D7283E" w:rsidRPr="00D7283E" w:rsidTr="00086EBE">
        <w:tc>
          <w:tcPr>
            <w:tcW w:w="9016" w:type="dxa"/>
            <w:gridSpan w:val="3"/>
          </w:tcPr>
          <w:p w:rsidR="00D7283E" w:rsidRPr="00D7283E" w:rsidRDefault="00D7283E" w:rsidP="00D7283E">
            <w:pPr>
              <w:pStyle w:val="TableParagraph"/>
              <w:spacing w:line="276" w:lineRule="auto"/>
              <w:ind w:left="0" w:right="96"/>
              <w:jc w:val="center"/>
              <w:rPr>
                <w:sz w:val="20"/>
                <w:szCs w:val="20"/>
                <w:lang w:val="sr-Cyrl-RS"/>
              </w:rPr>
            </w:pPr>
            <w:r w:rsidRPr="00D7283E">
              <w:rPr>
                <w:sz w:val="20"/>
                <w:szCs w:val="20"/>
                <w:lang w:val="sr-Cyrl-RS"/>
              </w:rPr>
              <w:t>Лица уписана у матичне књиге</w:t>
            </w:r>
          </w:p>
        </w:tc>
      </w:tr>
      <w:tr w:rsidR="00D7283E" w:rsidRPr="00D7283E" w:rsidTr="00D7283E">
        <w:tc>
          <w:tcPr>
            <w:tcW w:w="3005" w:type="dxa"/>
          </w:tcPr>
          <w:p w:rsidR="00D7283E" w:rsidRPr="00D7283E" w:rsidRDefault="00D7283E" w:rsidP="00D7283E">
            <w:pPr>
              <w:pStyle w:val="TableParagraph"/>
              <w:spacing w:line="276" w:lineRule="auto"/>
              <w:ind w:left="0" w:right="96"/>
              <w:jc w:val="center"/>
              <w:rPr>
                <w:sz w:val="20"/>
                <w:szCs w:val="20"/>
                <w:lang w:val="sr-Cyrl-RS"/>
              </w:rPr>
            </w:pPr>
            <w:r w:rsidRPr="00D7283E">
              <w:rPr>
                <w:sz w:val="20"/>
                <w:szCs w:val="20"/>
                <w:lang w:val="sr-Cyrl-RS"/>
              </w:rPr>
              <w:t>Година</w:t>
            </w:r>
          </w:p>
        </w:tc>
        <w:tc>
          <w:tcPr>
            <w:tcW w:w="3005" w:type="dxa"/>
          </w:tcPr>
          <w:p w:rsidR="00D7283E" w:rsidRPr="00D7283E" w:rsidRDefault="00D7283E" w:rsidP="00D7283E">
            <w:pPr>
              <w:pStyle w:val="TableParagraph"/>
              <w:spacing w:line="276" w:lineRule="auto"/>
              <w:ind w:left="0" w:right="96"/>
              <w:jc w:val="center"/>
              <w:rPr>
                <w:sz w:val="20"/>
                <w:szCs w:val="20"/>
                <w:lang w:val="sr-Cyrl-RS"/>
              </w:rPr>
            </w:pPr>
            <w:r w:rsidRPr="00D7283E">
              <w:rPr>
                <w:sz w:val="20"/>
                <w:szCs w:val="20"/>
                <w:lang w:val="sr-Cyrl-RS"/>
              </w:rPr>
              <w:t>Управни поступак – накнадни упис чињенице рођења у МКР</w:t>
            </w:r>
          </w:p>
        </w:tc>
        <w:tc>
          <w:tcPr>
            <w:tcW w:w="3006" w:type="dxa"/>
          </w:tcPr>
          <w:p w:rsidR="00D7283E" w:rsidRPr="00D7283E" w:rsidRDefault="00D7283E" w:rsidP="00D7283E">
            <w:pPr>
              <w:pStyle w:val="TableParagraph"/>
              <w:spacing w:line="276" w:lineRule="auto"/>
              <w:ind w:left="0" w:right="96"/>
              <w:jc w:val="center"/>
              <w:rPr>
                <w:sz w:val="20"/>
                <w:szCs w:val="20"/>
                <w:lang w:val="sr-Cyrl-RS"/>
              </w:rPr>
            </w:pPr>
            <w:r w:rsidRPr="00D7283E">
              <w:rPr>
                <w:sz w:val="20"/>
                <w:szCs w:val="20"/>
                <w:lang w:val="sr-Cyrl-RS"/>
              </w:rPr>
              <w:t>Ванпарнични поступак – утврђивање времена и места рођења</w:t>
            </w:r>
          </w:p>
        </w:tc>
      </w:tr>
      <w:tr w:rsidR="00D7283E" w:rsidRPr="00D7283E" w:rsidTr="00D7283E">
        <w:tc>
          <w:tcPr>
            <w:tcW w:w="3005" w:type="dxa"/>
          </w:tcPr>
          <w:p w:rsidR="00D7283E" w:rsidRPr="00D7283E" w:rsidRDefault="00D7283E" w:rsidP="007331C1">
            <w:pPr>
              <w:pStyle w:val="TableParagraph"/>
              <w:spacing w:line="276" w:lineRule="auto"/>
              <w:ind w:left="0" w:right="96"/>
              <w:jc w:val="both"/>
              <w:rPr>
                <w:sz w:val="20"/>
                <w:szCs w:val="20"/>
                <w:lang w:val="sr-Cyrl-RS"/>
              </w:rPr>
            </w:pPr>
            <w:r w:rsidRPr="00D7283E">
              <w:rPr>
                <w:sz w:val="20"/>
                <w:szCs w:val="20"/>
                <w:lang w:val="sr-Cyrl-RS"/>
              </w:rPr>
              <w:t>2017.</w:t>
            </w:r>
          </w:p>
        </w:tc>
        <w:tc>
          <w:tcPr>
            <w:tcW w:w="3005" w:type="dxa"/>
          </w:tcPr>
          <w:p w:rsidR="00D7283E" w:rsidRPr="00D7283E" w:rsidRDefault="00D7283E" w:rsidP="00D7283E">
            <w:pPr>
              <w:pStyle w:val="TableParagraph"/>
              <w:spacing w:line="276" w:lineRule="auto"/>
              <w:ind w:left="0" w:right="96"/>
              <w:jc w:val="center"/>
              <w:rPr>
                <w:sz w:val="20"/>
                <w:szCs w:val="20"/>
                <w:lang w:val="sr-Cyrl-RS"/>
              </w:rPr>
            </w:pPr>
            <w:r w:rsidRPr="00D7283E">
              <w:rPr>
                <w:sz w:val="20"/>
                <w:szCs w:val="20"/>
                <w:lang w:val="sr-Cyrl-RS"/>
              </w:rPr>
              <w:t>1537</w:t>
            </w:r>
          </w:p>
        </w:tc>
        <w:tc>
          <w:tcPr>
            <w:tcW w:w="3006" w:type="dxa"/>
          </w:tcPr>
          <w:p w:rsidR="00D7283E" w:rsidRPr="00D7283E" w:rsidRDefault="00D7283E" w:rsidP="00D7283E">
            <w:pPr>
              <w:pStyle w:val="TableParagraph"/>
              <w:spacing w:line="276" w:lineRule="auto"/>
              <w:ind w:left="0" w:right="96"/>
              <w:jc w:val="center"/>
              <w:rPr>
                <w:sz w:val="20"/>
                <w:szCs w:val="20"/>
                <w:lang w:val="sr-Cyrl-RS"/>
              </w:rPr>
            </w:pPr>
            <w:r w:rsidRPr="00D7283E">
              <w:rPr>
                <w:sz w:val="20"/>
                <w:szCs w:val="20"/>
                <w:lang w:val="sr-Cyrl-RS"/>
              </w:rPr>
              <w:t>508</w:t>
            </w:r>
          </w:p>
        </w:tc>
      </w:tr>
      <w:tr w:rsidR="00D7283E" w:rsidRPr="00D7283E" w:rsidTr="00D7283E">
        <w:tc>
          <w:tcPr>
            <w:tcW w:w="3005" w:type="dxa"/>
          </w:tcPr>
          <w:p w:rsidR="00D7283E" w:rsidRPr="00D7283E" w:rsidRDefault="00D7283E" w:rsidP="007331C1">
            <w:pPr>
              <w:pStyle w:val="TableParagraph"/>
              <w:spacing w:line="276" w:lineRule="auto"/>
              <w:ind w:left="0" w:right="96"/>
              <w:jc w:val="both"/>
              <w:rPr>
                <w:sz w:val="20"/>
                <w:szCs w:val="20"/>
                <w:lang w:val="sr-Cyrl-RS"/>
              </w:rPr>
            </w:pPr>
            <w:r w:rsidRPr="00D7283E">
              <w:rPr>
                <w:sz w:val="20"/>
                <w:szCs w:val="20"/>
                <w:lang w:val="sr-Cyrl-RS"/>
              </w:rPr>
              <w:t>2018.</w:t>
            </w:r>
          </w:p>
        </w:tc>
        <w:tc>
          <w:tcPr>
            <w:tcW w:w="3005" w:type="dxa"/>
          </w:tcPr>
          <w:p w:rsidR="00D7283E" w:rsidRPr="00D7283E" w:rsidRDefault="00D7283E" w:rsidP="00D7283E">
            <w:pPr>
              <w:pStyle w:val="TableParagraph"/>
              <w:spacing w:line="276" w:lineRule="auto"/>
              <w:ind w:left="0" w:right="96"/>
              <w:jc w:val="center"/>
              <w:rPr>
                <w:sz w:val="20"/>
                <w:szCs w:val="20"/>
                <w:lang w:val="sr-Cyrl-RS"/>
              </w:rPr>
            </w:pPr>
            <w:r w:rsidRPr="00D7283E">
              <w:rPr>
                <w:sz w:val="20"/>
                <w:szCs w:val="20"/>
                <w:lang w:val="sr-Cyrl-RS"/>
              </w:rPr>
              <w:t>846</w:t>
            </w:r>
          </w:p>
        </w:tc>
        <w:tc>
          <w:tcPr>
            <w:tcW w:w="3006" w:type="dxa"/>
          </w:tcPr>
          <w:p w:rsidR="00D7283E" w:rsidRPr="00D7283E" w:rsidRDefault="00D7283E" w:rsidP="00D7283E">
            <w:pPr>
              <w:pStyle w:val="TableParagraph"/>
              <w:spacing w:line="276" w:lineRule="auto"/>
              <w:ind w:left="0" w:right="96"/>
              <w:jc w:val="center"/>
              <w:rPr>
                <w:sz w:val="20"/>
                <w:szCs w:val="20"/>
                <w:lang w:val="sr-Cyrl-RS"/>
              </w:rPr>
            </w:pPr>
            <w:r w:rsidRPr="00D7283E">
              <w:rPr>
                <w:sz w:val="20"/>
                <w:szCs w:val="20"/>
                <w:lang w:val="sr-Cyrl-RS"/>
              </w:rPr>
              <w:t>261</w:t>
            </w:r>
          </w:p>
        </w:tc>
      </w:tr>
      <w:tr w:rsidR="00D7283E" w:rsidRPr="00D7283E" w:rsidTr="00D7283E">
        <w:tc>
          <w:tcPr>
            <w:tcW w:w="3005" w:type="dxa"/>
          </w:tcPr>
          <w:p w:rsidR="00D7283E" w:rsidRPr="00D7283E" w:rsidRDefault="00D7283E" w:rsidP="007331C1">
            <w:pPr>
              <w:pStyle w:val="TableParagraph"/>
              <w:spacing w:line="276" w:lineRule="auto"/>
              <w:ind w:left="0" w:right="96"/>
              <w:jc w:val="both"/>
              <w:rPr>
                <w:sz w:val="20"/>
                <w:szCs w:val="20"/>
                <w:lang w:val="sr-Cyrl-RS"/>
              </w:rPr>
            </w:pPr>
            <w:r w:rsidRPr="00D7283E">
              <w:rPr>
                <w:sz w:val="20"/>
                <w:szCs w:val="20"/>
                <w:lang w:val="sr-Cyrl-RS"/>
              </w:rPr>
              <w:t>2019.</w:t>
            </w:r>
          </w:p>
        </w:tc>
        <w:tc>
          <w:tcPr>
            <w:tcW w:w="3005" w:type="dxa"/>
          </w:tcPr>
          <w:p w:rsidR="00D7283E" w:rsidRPr="00D7283E" w:rsidRDefault="00D7283E" w:rsidP="00D7283E">
            <w:pPr>
              <w:pStyle w:val="TableParagraph"/>
              <w:spacing w:line="276" w:lineRule="auto"/>
              <w:ind w:left="0" w:right="96"/>
              <w:jc w:val="center"/>
              <w:rPr>
                <w:sz w:val="20"/>
                <w:szCs w:val="20"/>
                <w:lang w:val="sr-Cyrl-RS"/>
              </w:rPr>
            </w:pPr>
            <w:r w:rsidRPr="00D7283E">
              <w:rPr>
                <w:sz w:val="20"/>
                <w:szCs w:val="20"/>
                <w:lang w:val="sr-Cyrl-RS"/>
              </w:rPr>
              <w:t>476</w:t>
            </w:r>
          </w:p>
        </w:tc>
        <w:tc>
          <w:tcPr>
            <w:tcW w:w="3006" w:type="dxa"/>
          </w:tcPr>
          <w:p w:rsidR="00D7283E" w:rsidRPr="00D7283E" w:rsidRDefault="00D7283E" w:rsidP="00D7283E">
            <w:pPr>
              <w:pStyle w:val="TableParagraph"/>
              <w:spacing w:line="276" w:lineRule="auto"/>
              <w:ind w:left="0" w:right="96"/>
              <w:jc w:val="center"/>
              <w:rPr>
                <w:sz w:val="20"/>
                <w:szCs w:val="20"/>
                <w:lang w:val="sr-Cyrl-RS"/>
              </w:rPr>
            </w:pPr>
            <w:r w:rsidRPr="00D7283E">
              <w:rPr>
                <w:sz w:val="20"/>
                <w:szCs w:val="20"/>
                <w:lang w:val="sr-Cyrl-RS"/>
              </w:rPr>
              <w:t>451</w:t>
            </w:r>
          </w:p>
        </w:tc>
      </w:tr>
      <w:tr w:rsidR="00D7283E" w:rsidRPr="00D7283E" w:rsidTr="00D7283E">
        <w:tc>
          <w:tcPr>
            <w:tcW w:w="3005" w:type="dxa"/>
          </w:tcPr>
          <w:p w:rsidR="00D7283E" w:rsidRPr="00D7283E" w:rsidRDefault="00D7283E" w:rsidP="007331C1">
            <w:pPr>
              <w:pStyle w:val="TableParagraph"/>
              <w:spacing w:line="276" w:lineRule="auto"/>
              <w:ind w:left="0" w:right="96"/>
              <w:jc w:val="both"/>
              <w:rPr>
                <w:sz w:val="20"/>
                <w:szCs w:val="20"/>
                <w:lang w:val="sr-Cyrl-RS"/>
              </w:rPr>
            </w:pPr>
            <w:r w:rsidRPr="00D7283E">
              <w:rPr>
                <w:sz w:val="20"/>
                <w:szCs w:val="20"/>
                <w:lang w:val="sr-Cyrl-RS"/>
              </w:rPr>
              <w:t>2020.</w:t>
            </w:r>
          </w:p>
        </w:tc>
        <w:tc>
          <w:tcPr>
            <w:tcW w:w="3005" w:type="dxa"/>
          </w:tcPr>
          <w:p w:rsidR="00D7283E" w:rsidRPr="00D7283E" w:rsidRDefault="00D7283E" w:rsidP="00D7283E">
            <w:pPr>
              <w:pStyle w:val="TableParagraph"/>
              <w:spacing w:line="276" w:lineRule="auto"/>
              <w:ind w:left="0" w:right="96"/>
              <w:jc w:val="center"/>
              <w:rPr>
                <w:sz w:val="20"/>
                <w:szCs w:val="20"/>
                <w:lang w:val="sr-Cyrl-RS"/>
              </w:rPr>
            </w:pPr>
            <w:r w:rsidRPr="00D7283E">
              <w:rPr>
                <w:sz w:val="20"/>
                <w:szCs w:val="20"/>
                <w:lang w:val="sr-Cyrl-RS"/>
              </w:rPr>
              <w:t>430</w:t>
            </w:r>
          </w:p>
        </w:tc>
        <w:tc>
          <w:tcPr>
            <w:tcW w:w="3006" w:type="dxa"/>
          </w:tcPr>
          <w:p w:rsidR="00D7283E" w:rsidRPr="00D7283E" w:rsidRDefault="00D7283E" w:rsidP="00D7283E">
            <w:pPr>
              <w:pStyle w:val="TableParagraph"/>
              <w:spacing w:line="276" w:lineRule="auto"/>
              <w:ind w:left="0" w:right="96"/>
              <w:jc w:val="center"/>
              <w:rPr>
                <w:sz w:val="20"/>
                <w:szCs w:val="20"/>
                <w:lang w:val="sr-Cyrl-RS"/>
              </w:rPr>
            </w:pPr>
            <w:r w:rsidRPr="00D7283E">
              <w:rPr>
                <w:sz w:val="20"/>
                <w:szCs w:val="20"/>
                <w:lang w:val="sr-Cyrl-RS"/>
              </w:rPr>
              <w:t>299</w:t>
            </w:r>
          </w:p>
        </w:tc>
      </w:tr>
      <w:tr w:rsidR="00D7283E" w:rsidRPr="00D7283E" w:rsidTr="00D7283E">
        <w:tc>
          <w:tcPr>
            <w:tcW w:w="3005" w:type="dxa"/>
          </w:tcPr>
          <w:p w:rsidR="00D7283E" w:rsidRPr="00D7283E" w:rsidRDefault="00D7283E" w:rsidP="007331C1">
            <w:pPr>
              <w:pStyle w:val="TableParagraph"/>
              <w:spacing w:line="276" w:lineRule="auto"/>
              <w:ind w:left="0" w:right="96"/>
              <w:jc w:val="both"/>
              <w:rPr>
                <w:sz w:val="20"/>
                <w:szCs w:val="20"/>
                <w:lang w:val="sr-Cyrl-RS"/>
              </w:rPr>
            </w:pPr>
            <w:r w:rsidRPr="00D7283E">
              <w:rPr>
                <w:sz w:val="20"/>
                <w:szCs w:val="20"/>
                <w:lang w:val="sr-Cyrl-RS"/>
              </w:rPr>
              <w:t>2021.</w:t>
            </w:r>
          </w:p>
        </w:tc>
        <w:tc>
          <w:tcPr>
            <w:tcW w:w="3005" w:type="dxa"/>
          </w:tcPr>
          <w:p w:rsidR="00D7283E" w:rsidRPr="00D7283E" w:rsidRDefault="00D7283E" w:rsidP="00D7283E">
            <w:pPr>
              <w:pStyle w:val="TableParagraph"/>
              <w:spacing w:line="276" w:lineRule="auto"/>
              <w:ind w:left="0" w:right="96"/>
              <w:jc w:val="center"/>
              <w:rPr>
                <w:sz w:val="20"/>
                <w:szCs w:val="20"/>
                <w:lang w:val="sr-Cyrl-RS"/>
              </w:rPr>
            </w:pPr>
            <w:r w:rsidRPr="00D7283E">
              <w:rPr>
                <w:sz w:val="20"/>
                <w:szCs w:val="20"/>
                <w:lang w:val="sr-Cyrl-RS"/>
              </w:rPr>
              <w:t>316</w:t>
            </w:r>
          </w:p>
        </w:tc>
        <w:tc>
          <w:tcPr>
            <w:tcW w:w="3006" w:type="dxa"/>
          </w:tcPr>
          <w:p w:rsidR="00D7283E" w:rsidRPr="00D7283E" w:rsidRDefault="00D7283E" w:rsidP="00D7283E">
            <w:pPr>
              <w:pStyle w:val="TableParagraph"/>
              <w:spacing w:line="276" w:lineRule="auto"/>
              <w:ind w:left="0" w:right="96"/>
              <w:jc w:val="center"/>
              <w:rPr>
                <w:sz w:val="20"/>
                <w:szCs w:val="20"/>
                <w:lang w:val="sr-Cyrl-RS"/>
              </w:rPr>
            </w:pPr>
            <w:r w:rsidRPr="00D7283E">
              <w:rPr>
                <w:sz w:val="20"/>
                <w:szCs w:val="20"/>
                <w:lang w:val="sr-Cyrl-RS"/>
              </w:rPr>
              <w:t>221</w:t>
            </w:r>
          </w:p>
        </w:tc>
      </w:tr>
    </w:tbl>
    <w:p w:rsidR="00D7283E" w:rsidRPr="007331C1" w:rsidRDefault="00D7283E" w:rsidP="007331C1">
      <w:pPr>
        <w:pStyle w:val="TableParagraph"/>
        <w:spacing w:line="276" w:lineRule="auto"/>
        <w:ind w:left="0" w:right="96"/>
        <w:jc w:val="both"/>
        <w:rPr>
          <w:sz w:val="24"/>
          <w:szCs w:val="24"/>
          <w:lang w:val="sr-Cyrl-RS"/>
        </w:rPr>
      </w:pPr>
    </w:p>
    <w:p w:rsidR="00CD32CE" w:rsidRPr="00D7283E" w:rsidRDefault="00D7283E" w:rsidP="00D7283E">
      <w:pPr>
        <w:pStyle w:val="TableParagraph"/>
        <w:spacing w:line="276" w:lineRule="auto"/>
        <w:ind w:left="0" w:right="96" w:firstLine="720"/>
        <w:jc w:val="both"/>
        <w:rPr>
          <w:sz w:val="24"/>
          <w:szCs w:val="24"/>
          <w:lang w:val="sr-Cyrl-RS"/>
        </w:rPr>
      </w:pPr>
      <w:r w:rsidRPr="00D7283E">
        <w:rPr>
          <w:sz w:val="24"/>
          <w:szCs w:val="24"/>
          <w:lang w:val="sr-Cyrl-RS"/>
        </w:rPr>
        <w:t xml:space="preserve">У </w:t>
      </w:r>
      <w:r>
        <w:rPr>
          <w:sz w:val="24"/>
          <w:szCs w:val="24"/>
          <w:lang w:val="sr-Cyrl-RS"/>
        </w:rPr>
        <w:t>вези са наводима</w:t>
      </w:r>
      <w:r w:rsidRPr="00D7283E">
        <w:rPr>
          <w:sz w:val="24"/>
          <w:szCs w:val="24"/>
          <w:lang w:val="sr-Cyrl-RS"/>
        </w:rPr>
        <w:t xml:space="preserve"> да </w:t>
      </w:r>
      <w:r w:rsidRPr="002D2488">
        <w:rPr>
          <w:i/>
          <w:sz w:val="24"/>
          <w:szCs w:val="24"/>
          <w:lang w:val="sr-Cyrl-RS"/>
        </w:rPr>
        <w:t>Роми повратници са децом рођеном у иностранству наилазе на посебне потешкоће при уписивању своје деце у матичну књигу рођених</w:t>
      </w:r>
      <w:r w:rsidRPr="00D7283E">
        <w:rPr>
          <w:sz w:val="24"/>
          <w:szCs w:val="24"/>
          <w:lang w:val="sr-Cyrl-RS"/>
        </w:rPr>
        <w:t xml:space="preserve">, указујемо да </w:t>
      </w:r>
      <w:r w:rsidR="002D2488">
        <w:rPr>
          <w:sz w:val="24"/>
          <w:szCs w:val="24"/>
          <w:lang w:val="sr-Cyrl-RS"/>
        </w:rPr>
        <w:t xml:space="preserve">се, </w:t>
      </w:r>
      <w:r w:rsidRPr="00D7283E">
        <w:rPr>
          <w:sz w:val="24"/>
          <w:szCs w:val="24"/>
          <w:lang w:val="sr-Cyrl-RS"/>
        </w:rPr>
        <w:t>у складу са позитивним прописима у Републици Србији који регулишу област матичних књига свако дете које се роди у иностранству и чији је један од родитеља држављанин Републике Србије</w:t>
      </w:r>
      <w:r w:rsidR="002D2488">
        <w:rPr>
          <w:sz w:val="24"/>
          <w:szCs w:val="24"/>
          <w:lang w:val="sr-Cyrl-RS"/>
        </w:rPr>
        <w:t>,</w:t>
      </w:r>
      <w:r w:rsidRPr="00D7283E">
        <w:rPr>
          <w:sz w:val="24"/>
          <w:szCs w:val="24"/>
          <w:lang w:val="sr-Cyrl-RS"/>
        </w:rPr>
        <w:t xml:space="preserve"> уписује у матичну књигу рођених по пријави родитеља, на основу извода из матичне књиге иностраног органа.</w:t>
      </w:r>
    </w:p>
    <w:p w:rsidR="00D7283E" w:rsidRDefault="00576E43" w:rsidP="00761E91">
      <w:pPr>
        <w:pStyle w:val="TableParagraph"/>
        <w:spacing w:line="276" w:lineRule="auto"/>
        <w:ind w:left="0" w:right="96" w:firstLine="720"/>
        <w:jc w:val="both"/>
        <w:rPr>
          <w:sz w:val="24"/>
          <w:szCs w:val="24"/>
          <w:lang w:val="sr-Cyrl-RS"/>
        </w:rPr>
      </w:pPr>
      <w:r w:rsidRPr="00761E91">
        <w:rPr>
          <w:sz w:val="24"/>
          <w:szCs w:val="24"/>
          <w:lang w:val="sr-Cyrl-RS"/>
        </w:rPr>
        <w:t xml:space="preserve">У погледу проблема у вези са остваривањем права из система социјалне заштите, битно је истаћи да су лична документа предуслов да би неко имао приступ новчаној социјалној помоћи или коришћењу услуга у заједници. Препреке у приступу остваривању права на материјалну новчану помоћ имали </w:t>
      </w:r>
      <w:r w:rsidR="00C85331">
        <w:rPr>
          <w:sz w:val="24"/>
          <w:szCs w:val="24"/>
          <w:lang w:val="sr-Cyrl-RS"/>
        </w:rPr>
        <w:t xml:space="preserve">су </w:t>
      </w:r>
      <w:r w:rsidRPr="00761E91">
        <w:rPr>
          <w:sz w:val="24"/>
          <w:szCs w:val="24"/>
          <w:lang w:val="sr-Cyrl-RS"/>
        </w:rPr>
        <w:t xml:space="preserve">становници неформалних насеља који нису имали формално пријављено место пребивалишта. Унапређењем прописа и спровођењем активности предвиђених поменутим споразумима о разумевању, већина Рома у Србији </w:t>
      </w:r>
      <w:r w:rsidR="00761E91" w:rsidRPr="00761E91">
        <w:rPr>
          <w:sz w:val="24"/>
          <w:szCs w:val="24"/>
          <w:lang w:val="sr-Cyrl-RS"/>
        </w:rPr>
        <w:t xml:space="preserve">прибавила је потребна </w:t>
      </w:r>
      <w:r w:rsidRPr="00761E91">
        <w:rPr>
          <w:sz w:val="24"/>
          <w:szCs w:val="24"/>
          <w:lang w:val="sr-Cyrl-RS"/>
        </w:rPr>
        <w:t xml:space="preserve">документа </w:t>
      </w:r>
      <w:r w:rsidR="00761E91" w:rsidRPr="00761E91">
        <w:rPr>
          <w:sz w:val="24"/>
          <w:szCs w:val="24"/>
          <w:lang w:val="sr-Cyrl-RS"/>
        </w:rPr>
        <w:t>за остваривање ових права</w:t>
      </w:r>
      <w:r w:rsidRPr="00761E91">
        <w:rPr>
          <w:sz w:val="24"/>
          <w:szCs w:val="24"/>
          <w:lang w:val="sr-Cyrl-RS"/>
        </w:rPr>
        <w:t>.</w:t>
      </w:r>
    </w:p>
    <w:p w:rsidR="00761E91" w:rsidRDefault="008C4849" w:rsidP="00761E91">
      <w:pPr>
        <w:pStyle w:val="TableParagraph"/>
        <w:spacing w:line="276" w:lineRule="auto"/>
        <w:ind w:left="0" w:right="96" w:firstLine="720"/>
        <w:jc w:val="both"/>
        <w:rPr>
          <w:sz w:val="24"/>
          <w:szCs w:val="24"/>
          <w:lang w:val="sr-Cyrl-RS"/>
        </w:rPr>
      </w:pPr>
      <w:r w:rsidRPr="008C4849">
        <w:rPr>
          <w:sz w:val="24"/>
          <w:szCs w:val="24"/>
          <w:lang w:val="sr-Cyrl-RS"/>
        </w:rPr>
        <w:t>Закључно са 28.3.2022. године</w:t>
      </w:r>
      <w:r w:rsidR="00E11E52">
        <w:rPr>
          <w:sz w:val="24"/>
          <w:szCs w:val="24"/>
          <w:lang w:val="sr-Cyrl-RS"/>
        </w:rPr>
        <w:t>,</w:t>
      </w:r>
      <w:r w:rsidRPr="008C4849">
        <w:rPr>
          <w:sz w:val="24"/>
          <w:szCs w:val="24"/>
          <w:lang w:val="sr-Cyrl-RS"/>
        </w:rPr>
        <w:t xml:space="preserve"> Министарство унутрашњих послова је за 4.037 лица</w:t>
      </w:r>
      <w:r w:rsidR="00761E91" w:rsidRPr="00761E91">
        <w:rPr>
          <w:sz w:val="24"/>
          <w:szCs w:val="24"/>
          <w:lang w:val="sr-Cyrl-RS"/>
        </w:rPr>
        <w:t>, од којих већина живи у неформалним насељима, решењима утврдило пребивалиште на адреси надлежних центара за социјални рад (на основу Закона о пребивалишту и боравишту грађана</w:t>
      </w:r>
      <w:r w:rsidR="00761E91">
        <w:rPr>
          <w:sz w:val="24"/>
          <w:szCs w:val="24"/>
          <w:lang w:val="sr-Cyrl-RS"/>
        </w:rPr>
        <w:t>,</w:t>
      </w:r>
      <w:r w:rsidR="00761E91">
        <w:rPr>
          <w:rStyle w:val="FootnoteReference"/>
          <w:sz w:val="24"/>
          <w:szCs w:val="24"/>
          <w:lang w:val="sr-Cyrl-RS"/>
        </w:rPr>
        <w:footnoteReference w:id="85"/>
      </w:r>
      <w:r w:rsidR="00761E91" w:rsidRPr="00761E91">
        <w:rPr>
          <w:sz w:val="24"/>
          <w:szCs w:val="24"/>
          <w:lang w:val="sr-Cyrl-RS"/>
        </w:rPr>
        <w:t xml:space="preserve"> који је омогућио пријаву пребивалишта на адреси установе социјалне заштите за лица која немају пријављено пребивалиште по </w:t>
      </w:r>
      <w:r w:rsidR="00761E91">
        <w:rPr>
          <w:sz w:val="24"/>
          <w:szCs w:val="24"/>
          <w:lang w:val="sr-Cyrl-RS"/>
        </w:rPr>
        <w:t>другом основу), након чега су тим лицима</w:t>
      </w:r>
      <w:r w:rsidR="00761E91" w:rsidRPr="00761E91">
        <w:rPr>
          <w:sz w:val="24"/>
          <w:szCs w:val="24"/>
          <w:lang w:val="sr-Cyrl-RS"/>
        </w:rPr>
        <w:t xml:space="preserve"> издата и лична документа.</w:t>
      </w:r>
    </w:p>
    <w:p w:rsidR="00576E43" w:rsidRPr="00761E91" w:rsidRDefault="00761E91" w:rsidP="00761E91">
      <w:pPr>
        <w:pStyle w:val="TableParagraph"/>
        <w:spacing w:line="276" w:lineRule="auto"/>
        <w:ind w:left="0" w:right="96" w:firstLine="720"/>
        <w:jc w:val="both"/>
        <w:rPr>
          <w:sz w:val="24"/>
          <w:szCs w:val="24"/>
          <w:lang w:val="sr-Cyrl-RS"/>
        </w:rPr>
      </w:pPr>
      <w:r w:rsidRPr="00761E91">
        <w:rPr>
          <w:sz w:val="24"/>
          <w:szCs w:val="24"/>
          <w:lang w:val="sr-Cyrl-RS"/>
        </w:rPr>
        <w:t>Поред тога, доношење Закона о социјалној карти</w:t>
      </w:r>
      <w:r>
        <w:rPr>
          <w:rStyle w:val="FootnoteReference"/>
          <w:sz w:val="24"/>
          <w:szCs w:val="24"/>
          <w:lang w:val="sr-Cyrl-RS"/>
        </w:rPr>
        <w:footnoteReference w:id="86"/>
      </w:r>
      <w:r w:rsidRPr="00761E91">
        <w:rPr>
          <w:sz w:val="24"/>
          <w:szCs w:val="24"/>
          <w:lang w:val="sr-Cyrl-RS"/>
        </w:rPr>
        <w:t xml:space="preserve"> и успостављање Регистра </w:t>
      </w:r>
      <w:r w:rsidRPr="00761E91">
        <w:rPr>
          <w:sz w:val="24"/>
          <w:szCs w:val="24"/>
          <w:lang w:val="sr-Cyrl-RS"/>
        </w:rPr>
        <w:lastRenderedPageBreak/>
        <w:t>социјалн</w:t>
      </w:r>
      <w:r w:rsidR="00811B58">
        <w:rPr>
          <w:sz w:val="24"/>
          <w:szCs w:val="24"/>
          <w:lang w:val="sr-Cyrl-RS"/>
        </w:rPr>
        <w:t>их</w:t>
      </w:r>
      <w:r w:rsidRPr="00761E91">
        <w:rPr>
          <w:sz w:val="24"/>
          <w:szCs w:val="24"/>
          <w:lang w:val="sr-Cyrl-RS"/>
        </w:rPr>
        <w:t xml:space="preserve"> кар</w:t>
      </w:r>
      <w:r w:rsidR="00811B58">
        <w:rPr>
          <w:sz w:val="24"/>
          <w:szCs w:val="24"/>
          <w:lang w:val="sr-Cyrl-RS"/>
        </w:rPr>
        <w:t>а</w:t>
      </w:r>
      <w:r w:rsidRPr="00761E91">
        <w:rPr>
          <w:sz w:val="24"/>
          <w:szCs w:val="24"/>
          <w:lang w:val="sr-Cyrl-RS"/>
        </w:rPr>
        <w:t>та омогућава лакше остваривање права за кориснике, интеграцију са подацима Националне службе за запошљавање о незапослености, систематски преглед и проналажење најугроженијих незапослених особа, као и геореференцирање рањивих група и појединаца на територији Републике Србије. Такође, доприноси олакшаном остваривању права корисника путем е Управе</w:t>
      </w:r>
      <w:r w:rsidR="00C85331">
        <w:rPr>
          <w:sz w:val="24"/>
          <w:szCs w:val="24"/>
          <w:lang w:val="sr-Cyrl-RS"/>
        </w:rPr>
        <w:t>,</w:t>
      </w:r>
      <w:r w:rsidRPr="00761E91">
        <w:rPr>
          <w:sz w:val="24"/>
          <w:szCs w:val="24"/>
          <w:lang w:val="sr-Cyrl-RS"/>
        </w:rPr>
        <w:t xml:space="preserve"> јер ће им се омогућити да електронски кроз јединствену приступну тачку остваре своја права на олакшан начин. То у исто време потенцијалног корисника ослобађа обавезе прикупљања различите документације и компликоване административне процедуре, с обзиром </w:t>
      </w:r>
      <w:r w:rsidR="00811B58">
        <w:rPr>
          <w:sz w:val="24"/>
          <w:szCs w:val="24"/>
          <w:lang w:val="sr-Cyrl-RS"/>
        </w:rPr>
        <w:t xml:space="preserve">на то </w:t>
      </w:r>
      <w:r w:rsidRPr="00761E91">
        <w:rPr>
          <w:sz w:val="24"/>
          <w:szCs w:val="24"/>
          <w:lang w:val="sr-Cyrl-RS"/>
        </w:rPr>
        <w:t>да су све неопходне базе података умрежене кроз Регистар.</w:t>
      </w:r>
    </w:p>
    <w:p w:rsidR="00761E91" w:rsidRDefault="00761E91" w:rsidP="00CD32CE">
      <w:pPr>
        <w:pStyle w:val="TableParagraph"/>
        <w:spacing w:line="276" w:lineRule="auto"/>
        <w:ind w:left="0" w:right="96"/>
        <w:jc w:val="both"/>
        <w:rPr>
          <w:b/>
          <w:sz w:val="24"/>
          <w:szCs w:val="24"/>
          <w:lang w:val="sr-Cyrl-RS"/>
        </w:rPr>
      </w:pPr>
    </w:p>
    <w:p w:rsidR="00811B58" w:rsidRDefault="00811B58" w:rsidP="00CD32CE">
      <w:pPr>
        <w:pStyle w:val="TableParagraph"/>
        <w:spacing w:line="276" w:lineRule="auto"/>
        <w:ind w:left="0" w:right="96"/>
        <w:jc w:val="both"/>
        <w:rPr>
          <w:i/>
          <w:sz w:val="24"/>
          <w:szCs w:val="24"/>
          <w:lang w:val="sr-Cyrl-RS"/>
        </w:rPr>
      </w:pPr>
      <w:r w:rsidRPr="009C3510">
        <w:rPr>
          <w:i/>
          <w:sz w:val="24"/>
          <w:szCs w:val="24"/>
          <w:lang w:val="sr-Cyrl-RS"/>
        </w:rPr>
        <w:t>43. Саветодавни комитет позива власти да значајно појачају своје напоре у спровођењу и праћењу акционих планова у оквиру постављених рокова. Мере треба редовно пратити и периодично ревидирати како би се потврдило да су показатељи постигнути и да се сагледавају потребе заинтересованих лица. Процена и евалуација треба да се спроведу у консултацији са корисницима.</w:t>
      </w:r>
    </w:p>
    <w:p w:rsidR="00D9350E" w:rsidRDefault="00D9350E" w:rsidP="00AA3916">
      <w:pPr>
        <w:pStyle w:val="TableParagraph"/>
        <w:spacing w:line="276" w:lineRule="auto"/>
        <w:ind w:left="0" w:right="96"/>
        <w:jc w:val="both"/>
        <w:rPr>
          <w:i/>
          <w:sz w:val="24"/>
          <w:szCs w:val="24"/>
          <w:lang w:val="sr-Cyrl-RS"/>
        </w:rPr>
      </w:pPr>
    </w:p>
    <w:p w:rsidR="003073A1" w:rsidRPr="003073A1" w:rsidRDefault="003073A1" w:rsidP="00AA3916">
      <w:pPr>
        <w:pStyle w:val="TableParagraph"/>
        <w:spacing w:line="276" w:lineRule="auto"/>
        <w:ind w:left="0" w:right="96"/>
        <w:jc w:val="both"/>
        <w:rPr>
          <w:sz w:val="24"/>
          <w:szCs w:val="24"/>
          <w:lang w:val="sr-Cyrl-RS"/>
        </w:rPr>
      </w:pPr>
      <w:r>
        <w:rPr>
          <w:sz w:val="24"/>
          <w:szCs w:val="24"/>
          <w:lang w:val="sr-Cyrl-RS"/>
        </w:rPr>
        <w:tab/>
        <w:t xml:space="preserve">Будући да је у извештајном периоду престало важење већег броја стратешких докумената који су од значаја за остваривање права националних мањина, Република Србија је отпочела процес израде и увајања </w:t>
      </w:r>
      <w:r w:rsidR="00137956">
        <w:rPr>
          <w:sz w:val="24"/>
          <w:szCs w:val="24"/>
          <w:lang w:val="sr-Cyrl-RS"/>
        </w:rPr>
        <w:t>нових стратегија и акционих планова чијим спровођењем ће се даље унапређивати положај националних мањина или осетљивих друштвених група.</w:t>
      </w:r>
    </w:p>
    <w:p w:rsidR="00AA3916" w:rsidRDefault="00AA3916" w:rsidP="00705426">
      <w:pPr>
        <w:spacing w:after="0"/>
        <w:ind w:firstLine="720"/>
        <w:jc w:val="both"/>
        <w:rPr>
          <w:sz w:val="24"/>
          <w:szCs w:val="24"/>
          <w:lang w:val="sr-Cyrl-RS"/>
        </w:rPr>
      </w:pPr>
      <w:r w:rsidRPr="00AA3916">
        <w:rPr>
          <w:sz w:val="24"/>
          <w:szCs w:val="24"/>
          <w:lang w:val="sr-Cyrl-RS"/>
        </w:rPr>
        <w:t xml:space="preserve">Као резултат ревизије мера и активности из стратешког документа за социјално укључивање Рома и Ромкиња који је био предвиђен за период 2016-2025, као и потребе да се стратешке мере ускладе са новим </w:t>
      </w:r>
      <w:r w:rsidR="00C85331">
        <w:rPr>
          <w:sz w:val="24"/>
          <w:szCs w:val="24"/>
          <w:lang w:val="sr-Cyrl-RS"/>
        </w:rPr>
        <w:t>европским оквиром за инклузију Р</w:t>
      </w:r>
      <w:r w:rsidRPr="00AA3916">
        <w:rPr>
          <w:sz w:val="24"/>
          <w:szCs w:val="24"/>
          <w:lang w:val="sr-Cyrl-RS"/>
        </w:rPr>
        <w:t>ома, Влада је 3. фебруара 2022. године усвојила нову Стратегију за социјално укључивање Рома и Ромкиња у Републици Србији за период 2022-2030. </w:t>
      </w:r>
      <w:r w:rsidR="00E11E52">
        <w:rPr>
          <w:sz w:val="24"/>
          <w:szCs w:val="24"/>
          <w:lang w:val="sr-Cyrl-RS"/>
        </w:rPr>
        <w:t xml:space="preserve">Осим тога, будући да је окончана јавна расправа у вези с </w:t>
      </w:r>
      <w:r w:rsidR="00705426" w:rsidRPr="00E11E52">
        <w:rPr>
          <w:sz w:val="24"/>
          <w:szCs w:val="24"/>
          <w:lang w:val="sr-Cyrl-RS"/>
        </w:rPr>
        <w:t>Акциони</w:t>
      </w:r>
      <w:r w:rsidR="00E11E52" w:rsidRPr="00E11E52">
        <w:rPr>
          <w:sz w:val="24"/>
          <w:szCs w:val="24"/>
          <w:lang w:val="sr-Cyrl-RS"/>
        </w:rPr>
        <w:t>м</w:t>
      </w:r>
      <w:r w:rsidR="00705426" w:rsidRPr="00E11E52">
        <w:rPr>
          <w:sz w:val="24"/>
          <w:szCs w:val="24"/>
          <w:lang w:val="sr-Cyrl-RS"/>
        </w:rPr>
        <w:t xml:space="preserve"> план</w:t>
      </w:r>
      <w:r w:rsidR="00E11E52" w:rsidRPr="00E11E52">
        <w:rPr>
          <w:sz w:val="24"/>
          <w:szCs w:val="24"/>
          <w:lang w:val="sr-Cyrl-RS"/>
        </w:rPr>
        <w:t>ом</w:t>
      </w:r>
      <w:r w:rsidR="00705426" w:rsidRPr="00E11E52">
        <w:rPr>
          <w:sz w:val="24"/>
          <w:szCs w:val="24"/>
          <w:lang w:val="sr-Cyrl-RS"/>
        </w:rPr>
        <w:t xml:space="preserve"> за спровођење Стратегије за социјално укључивање Рома и Ромкиња у Републици Србији за период 2022-2024. године</w:t>
      </w:r>
      <w:r w:rsidR="00E11E52" w:rsidRPr="00E11E52">
        <w:rPr>
          <w:sz w:val="24"/>
          <w:szCs w:val="24"/>
          <w:lang w:val="sr-Cyrl-RS"/>
        </w:rPr>
        <w:t>, очекује се његово скоро усвајања</w:t>
      </w:r>
      <w:r w:rsidR="00705426" w:rsidRPr="00E11E52">
        <w:rPr>
          <w:sz w:val="24"/>
          <w:szCs w:val="24"/>
          <w:lang w:val="sr-Cyrl-RS"/>
        </w:rPr>
        <w:t>.</w:t>
      </w:r>
      <w:r w:rsidR="003073A1" w:rsidRPr="00E11E52">
        <w:rPr>
          <w:rStyle w:val="FootnoteReference"/>
          <w:sz w:val="24"/>
          <w:szCs w:val="24"/>
          <w:lang w:val="sr-Cyrl-RS"/>
        </w:rPr>
        <w:footnoteReference w:id="87"/>
      </w:r>
      <w:r w:rsidRPr="00AA3916">
        <w:rPr>
          <w:sz w:val="24"/>
          <w:szCs w:val="24"/>
          <w:lang w:val="sr-Cyrl-RS"/>
        </w:rPr>
        <w:t xml:space="preserve"> </w:t>
      </w:r>
    </w:p>
    <w:p w:rsidR="00AA3916" w:rsidRPr="00AA3916" w:rsidRDefault="00AA3916" w:rsidP="00705426">
      <w:pPr>
        <w:spacing w:after="0"/>
        <w:ind w:firstLine="720"/>
        <w:jc w:val="both"/>
        <w:rPr>
          <w:sz w:val="24"/>
          <w:szCs w:val="24"/>
          <w:lang w:val="sr-Cyrl-RS"/>
        </w:rPr>
      </w:pPr>
      <w:r w:rsidRPr="00AA3916">
        <w:rPr>
          <w:sz w:val="24"/>
          <w:szCs w:val="24"/>
          <w:lang w:val="sr-Cyrl-RS"/>
        </w:rPr>
        <w:t xml:space="preserve">У јуну 2021. године Влада је образовала ново Координационо тело коме председава Председник Владе, са задатком да прати процес социјалног укључивања Рома и Ромкиња и да прати спровођење стратегије и акционог плана из ове области. Координационо тело, ради веће оперативности, у свом оквиру има и Стручну групу коју чине представници свих ресора релевантних за спровођење мера дефинисаних стратегијом, док административно-техничку подршку у раду Стручне групе пружа Одсек за инклузију Рома у оквиру надлежног министарства. </w:t>
      </w:r>
    </w:p>
    <w:p w:rsidR="00AA3916" w:rsidRPr="00AA3916" w:rsidRDefault="00AA3916" w:rsidP="00705426">
      <w:pPr>
        <w:spacing w:after="0"/>
        <w:ind w:firstLine="720"/>
        <w:jc w:val="both"/>
        <w:rPr>
          <w:sz w:val="24"/>
          <w:szCs w:val="24"/>
          <w:lang w:val="sr-Cyrl-RS"/>
        </w:rPr>
      </w:pPr>
      <w:r w:rsidRPr="00AA3916">
        <w:rPr>
          <w:sz w:val="24"/>
          <w:szCs w:val="24"/>
          <w:lang w:val="sr-Cyrl-RS"/>
        </w:rPr>
        <w:t>Ради системског и свеобухватнијег управљања јавним политикама у области инклузије Рома и Ромкиња, као и у сврху веће у</w:t>
      </w:r>
      <w:r w:rsidR="00C85331">
        <w:rPr>
          <w:sz w:val="24"/>
          <w:szCs w:val="24"/>
          <w:lang w:val="sr-Cyrl-RS"/>
        </w:rPr>
        <w:t>кључености представника Рома и Р</w:t>
      </w:r>
      <w:r w:rsidRPr="00AA3916">
        <w:rPr>
          <w:sz w:val="24"/>
          <w:szCs w:val="24"/>
          <w:lang w:val="sr-Cyrl-RS"/>
        </w:rPr>
        <w:t xml:space="preserve">омкиња из цивилног сектора, надлежно министарство је започело процес формирања </w:t>
      </w:r>
      <w:r w:rsidRPr="00AA3916">
        <w:rPr>
          <w:sz w:val="24"/>
          <w:szCs w:val="24"/>
          <w:lang w:val="sr-Cyrl-RS"/>
        </w:rPr>
        <w:lastRenderedPageBreak/>
        <w:t xml:space="preserve">Платформе цивилног друштва, која подразумева механизам за редовну размену информација између удружења грађана и институција, а која ће бити подржана и електронском платформом за бржу и ефикаснију комуникацију. </w:t>
      </w:r>
    </w:p>
    <w:p w:rsidR="00E11E52" w:rsidRDefault="00AA3916" w:rsidP="00705426">
      <w:pPr>
        <w:spacing w:after="0"/>
        <w:ind w:firstLine="720"/>
        <w:jc w:val="both"/>
        <w:rPr>
          <w:rStyle w:val="None"/>
          <w:bCs/>
          <w:sz w:val="24"/>
          <w:szCs w:val="24"/>
          <w:lang w:val="sr-Cyrl-RS"/>
        </w:rPr>
      </w:pPr>
      <w:r w:rsidRPr="00AA3916">
        <w:rPr>
          <w:rStyle w:val="None"/>
          <w:bCs/>
          <w:sz w:val="24"/>
          <w:szCs w:val="24"/>
          <w:lang w:val="sr-Cyrl-RS"/>
        </w:rPr>
        <w:t>Стратегиј</w:t>
      </w:r>
      <w:r w:rsidR="00705426">
        <w:rPr>
          <w:rStyle w:val="None"/>
          <w:bCs/>
          <w:sz w:val="24"/>
          <w:szCs w:val="24"/>
          <w:lang w:val="sr-Cyrl-RS"/>
        </w:rPr>
        <w:t>а</w:t>
      </w:r>
      <w:r w:rsidRPr="00AA3916">
        <w:rPr>
          <w:rStyle w:val="None"/>
          <w:bCs/>
          <w:sz w:val="24"/>
          <w:szCs w:val="24"/>
          <w:lang w:val="sr-Cyrl-RS"/>
        </w:rPr>
        <w:t xml:space="preserve"> превенције и заштите од дискриминације </w:t>
      </w:r>
      <w:r w:rsidR="00705426">
        <w:rPr>
          <w:rStyle w:val="None"/>
          <w:bCs/>
          <w:sz w:val="24"/>
          <w:szCs w:val="24"/>
          <w:lang w:val="sr-Cyrl-RS"/>
        </w:rPr>
        <w:t xml:space="preserve">за период од </w:t>
      </w:r>
      <w:r w:rsidRPr="00AA3916">
        <w:rPr>
          <w:rStyle w:val="None"/>
          <w:bCs/>
          <w:sz w:val="24"/>
          <w:szCs w:val="24"/>
          <w:lang w:val="sr-Cyrl-RS"/>
        </w:rPr>
        <w:t>2022</w:t>
      </w:r>
      <w:r w:rsidR="00705426">
        <w:rPr>
          <w:rStyle w:val="None"/>
          <w:bCs/>
          <w:sz w:val="24"/>
          <w:szCs w:val="24"/>
          <w:lang w:val="sr-Cyrl-RS"/>
        </w:rPr>
        <w:t xml:space="preserve">. до </w:t>
      </w:r>
      <w:r w:rsidRPr="00AA3916">
        <w:rPr>
          <w:rStyle w:val="None"/>
          <w:bCs/>
          <w:sz w:val="24"/>
          <w:szCs w:val="24"/>
          <w:lang w:val="sr-Cyrl-RS"/>
        </w:rPr>
        <w:t>2030</w:t>
      </w:r>
      <w:r w:rsidR="00705426">
        <w:rPr>
          <w:rStyle w:val="None"/>
          <w:bCs/>
          <w:sz w:val="24"/>
          <w:szCs w:val="24"/>
          <w:lang w:val="sr-Cyrl-RS"/>
        </w:rPr>
        <w:t xml:space="preserve">. године усвојена је </w:t>
      </w:r>
      <w:r w:rsidR="00705426" w:rsidRPr="00705426">
        <w:rPr>
          <w:rStyle w:val="None"/>
          <w:bCs/>
          <w:sz w:val="24"/>
          <w:szCs w:val="24"/>
          <w:lang w:val="sr-Cyrl-RS"/>
        </w:rPr>
        <w:t>20. јануара 2022. године</w:t>
      </w:r>
      <w:r w:rsidR="00705426">
        <w:rPr>
          <w:rStyle w:val="None"/>
          <w:bCs/>
          <w:sz w:val="24"/>
          <w:szCs w:val="24"/>
          <w:lang w:val="sr-Cyrl-RS"/>
        </w:rPr>
        <w:t>.</w:t>
      </w:r>
      <w:r w:rsidRPr="00AA3916">
        <w:rPr>
          <w:rStyle w:val="None"/>
          <w:bCs/>
          <w:sz w:val="24"/>
          <w:szCs w:val="24"/>
          <w:lang w:val="sr-Cyrl-RS"/>
        </w:rPr>
        <w:t xml:space="preserve"> </w:t>
      </w:r>
      <w:r w:rsidR="00E11E52" w:rsidRPr="00E11E52">
        <w:rPr>
          <w:rStyle w:val="None"/>
          <w:bCs/>
          <w:sz w:val="24"/>
          <w:szCs w:val="24"/>
          <w:lang w:val="sr-Cyrl-RS"/>
        </w:rPr>
        <w:t>Јавн</w:t>
      </w:r>
      <w:r w:rsidR="00E11E52">
        <w:rPr>
          <w:rStyle w:val="None"/>
          <w:bCs/>
          <w:sz w:val="24"/>
          <w:szCs w:val="24"/>
          <w:lang w:val="sr-Cyrl-RS"/>
        </w:rPr>
        <w:t>а</w:t>
      </w:r>
      <w:r w:rsidR="00E11E52" w:rsidRPr="00E11E52">
        <w:rPr>
          <w:rStyle w:val="None"/>
          <w:bCs/>
          <w:sz w:val="24"/>
          <w:szCs w:val="24"/>
          <w:lang w:val="sr-Cyrl-RS"/>
        </w:rPr>
        <w:t xml:space="preserve"> расправ</w:t>
      </w:r>
      <w:r w:rsidR="00E11E52">
        <w:rPr>
          <w:rStyle w:val="None"/>
          <w:bCs/>
          <w:sz w:val="24"/>
          <w:szCs w:val="24"/>
          <w:lang w:val="sr-Cyrl-RS"/>
        </w:rPr>
        <w:t>а</w:t>
      </w:r>
      <w:r w:rsidR="00E11E52" w:rsidRPr="00E11E52">
        <w:rPr>
          <w:rStyle w:val="None"/>
          <w:bCs/>
          <w:sz w:val="24"/>
          <w:szCs w:val="24"/>
          <w:lang w:val="sr-Cyrl-RS"/>
        </w:rPr>
        <w:t xml:space="preserve"> </w:t>
      </w:r>
      <w:r w:rsidR="00E11E52">
        <w:rPr>
          <w:rStyle w:val="None"/>
          <w:bCs/>
          <w:sz w:val="24"/>
          <w:szCs w:val="24"/>
          <w:lang w:val="sr-Cyrl-RS"/>
        </w:rPr>
        <w:t>о</w:t>
      </w:r>
      <w:r w:rsidR="00E11E52" w:rsidRPr="00E11E52">
        <w:rPr>
          <w:rStyle w:val="None"/>
          <w:bCs/>
          <w:sz w:val="24"/>
          <w:szCs w:val="24"/>
          <w:lang w:val="sr-Cyrl-RS"/>
        </w:rPr>
        <w:t xml:space="preserve"> Предлог</w:t>
      </w:r>
      <w:r w:rsidR="00E11E52">
        <w:rPr>
          <w:rStyle w:val="None"/>
          <w:bCs/>
          <w:sz w:val="24"/>
          <w:szCs w:val="24"/>
          <w:lang w:val="sr-Cyrl-RS"/>
        </w:rPr>
        <w:t>у</w:t>
      </w:r>
      <w:r w:rsidR="00E11E52" w:rsidRPr="00E11E52">
        <w:rPr>
          <w:rStyle w:val="None"/>
          <w:bCs/>
          <w:sz w:val="24"/>
          <w:szCs w:val="24"/>
          <w:lang w:val="sr-Cyrl-RS"/>
        </w:rPr>
        <w:t xml:space="preserve"> акционог плана (2022–2023) за</w:t>
      </w:r>
      <w:r w:rsidR="00E11E52">
        <w:rPr>
          <w:rStyle w:val="None"/>
          <w:bCs/>
          <w:sz w:val="24"/>
          <w:szCs w:val="24"/>
          <w:lang w:val="sr-Cyrl-RS"/>
        </w:rPr>
        <w:t xml:space="preserve"> </w:t>
      </w:r>
      <w:r w:rsidR="00E11E52" w:rsidRPr="00E11E52">
        <w:rPr>
          <w:rStyle w:val="None"/>
          <w:bCs/>
          <w:sz w:val="24"/>
          <w:szCs w:val="24"/>
          <w:lang w:val="sr-Cyrl-RS"/>
        </w:rPr>
        <w:t>спровођење Стратегије превенције и заштите од дискриминације за период од</w:t>
      </w:r>
      <w:r w:rsidR="00E11E52">
        <w:rPr>
          <w:rStyle w:val="None"/>
          <w:bCs/>
          <w:sz w:val="24"/>
          <w:szCs w:val="24"/>
          <w:lang w:val="sr-Cyrl-RS"/>
        </w:rPr>
        <w:t xml:space="preserve"> </w:t>
      </w:r>
      <w:r w:rsidR="00E11E52" w:rsidRPr="00E11E52">
        <w:rPr>
          <w:rStyle w:val="None"/>
          <w:bCs/>
          <w:sz w:val="24"/>
          <w:szCs w:val="24"/>
          <w:lang w:val="sr-Cyrl-RS"/>
        </w:rPr>
        <w:t>2022. до 2030. године спроведен</w:t>
      </w:r>
      <w:r w:rsidR="00E11E52">
        <w:rPr>
          <w:rStyle w:val="None"/>
          <w:bCs/>
          <w:sz w:val="24"/>
          <w:szCs w:val="24"/>
          <w:lang w:val="sr-Cyrl-RS"/>
        </w:rPr>
        <w:t>а је</w:t>
      </w:r>
      <w:r w:rsidR="00E11E52" w:rsidRPr="00E11E52">
        <w:rPr>
          <w:rStyle w:val="None"/>
          <w:bCs/>
          <w:sz w:val="24"/>
          <w:szCs w:val="24"/>
          <w:lang w:val="sr-Cyrl-RS"/>
        </w:rPr>
        <w:t xml:space="preserve"> у периоду од 10. до 29. јуна 2022. године</w:t>
      </w:r>
      <w:r w:rsidR="00E11E52">
        <w:rPr>
          <w:rStyle w:val="None"/>
          <w:bCs/>
          <w:sz w:val="24"/>
          <w:szCs w:val="24"/>
          <w:lang w:val="sr-Cyrl-RS"/>
        </w:rPr>
        <w:t>.</w:t>
      </w:r>
    </w:p>
    <w:p w:rsidR="00705426" w:rsidRDefault="003073A1" w:rsidP="00705426">
      <w:pPr>
        <w:spacing w:after="0"/>
        <w:ind w:firstLine="720"/>
        <w:jc w:val="both"/>
        <w:rPr>
          <w:rStyle w:val="None"/>
          <w:bCs/>
          <w:sz w:val="24"/>
          <w:szCs w:val="24"/>
          <w:lang w:val="sr-Cyrl-RS"/>
        </w:rPr>
      </w:pPr>
      <w:r w:rsidRPr="003073A1">
        <w:rPr>
          <w:rStyle w:val="None"/>
          <w:bCs/>
          <w:sz w:val="24"/>
          <w:szCs w:val="24"/>
          <w:lang w:val="sr-Cyrl-RS"/>
        </w:rPr>
        <w:t xml:space="preserve">Крајем 2021. године образована је Посебна радна група за припрему текста Предлога акционог плана за остваривање права националних мањина, коју чине представници надлежних институција, националних савета националних мањина и организација цивилног друштва. Акциони план ће бити базиран, између осталог, на Извештају о напретку у процесу приступања Србије Европској унији, препорукама из Четвртог мишљења Саветодавног комитета о спровођењу Оквирне конвенције за заштиту националних мањина, као и на закључцима и препорукама из „Ex-post aнализе о реализацији Акционог плана за остваривање права националних мањина”. Радна група је до сада одржала </w:t>
      </w:r>
      <w:r w:rsidR="00E11E52">
        <w:rPr>
          <w:rStyle w:val="None"/>
          <w:bCs/>
          <w:sz w:val="24"/>
          <w:szCs w:val="24"/>
          <w:lang w:val="sr-Cyrl-RS"/>
        </w:rPr>
        <w:t>већи број</w:t>
      </w:r>
      <w:r w:rsidRPr="003073A1">
        <w:rPr>
          <w:rStyle w:val="None"/>
          <w:bCs/>
          <w:sz w:val="24"/>
          <w:szCs w:val="24"/>
          <w:lang w:val="sr-Cyrl-RS"/>
        </w:rPr>
        <w:t xml:space="preserve"> састанка</w:t>
      </w:r>
      <w:r w:rsidR="00E11E52">
        <w:rPr>
          <w:rStyle w:val="None"/>
          <w:bCs/>
          <w:sz w:val="24"/>
          <w:szCs w:val="24"/>
          <w:lang w:val="sr-Cyrl-RS"/>
        </w:rPr>
        <w:t>, а</w:t>
      </w:r>
      <w:r w:rsidR="008F512E" w:rsidRPr="008F512E">
        <w:rPr>
          <w:rStyle w:val="None"/>
          <w:bCs/>
          <w:sz w:val="24"/>
          <w:szCs w:val="24"/>
          <w:lang w:val="sr-Cyrl-RS"/>
        </w:rPr>
        <w:t xml:space="preserve"> у циљу што прецизнијег дефинисања мера и активности из Акционог плана, </w:t>
      </w:r>
      <w:r w:rsidR="008F512E">
        <w:rPr>
          <w:rStyle w:val="None"/>
          <w:bCs/>
          <w:sz w:val="24"/>
          <w:szCs w:val="24"/>
          <w:lang w:val="sr-Cyrl-RS"/>
        </w:rPr>
        <w:t xml:space="preserve">редовно се </w:t>
      </w:r>
      <w:r w:rsidR="008F512E" w:rsidRPr="008F512E">
        <w:rPr>
          <w:rStyle w:val="None"/>
          <w:bCs/>
          <w:sz w:val="24"/>
          <w:szCs w:val="24"/>
          <w:lang w:val="sr-Cyrl-RS"/>
        </w:rPr>
        <w:t>одржа</w:t>
      </w:r>
      <w:r w:rsidR="008F512E">
        <w:rPr>
          <w:rStyle w:val="None"/>
          <w:bCs/>
          <w:sz w:val="24"/>
          <w:szCs w:val="24"/>
          <w:lang w:val="sr-Cyrl-RS"/>
        </w:rPr>
        <w:t>вају</w:t>
      </w:r>
      <w:r w:rsidR="008F512E" w:rsidRPr="008F512E">
        <w:rPr>
          <w:rStyle w:val="None"/>
          <w:bCs/>
          <w:sz w:val="24"/>
          <w:szCs w:val="24"/>
          <w:lang w:val="sr-Cyrl-RS"/>
        </w:rPr>
        <w:t xml:space="preserve"> и појединачни консултативни састанци са представницима релевантних државних органа, као и са представницима националних савета националних мањина.  </w:t>
      </w:r>
    </w:p>
    <w:p w:rsidR="007254BB" w:rsidRPr="00137956" w:rsidRDefault="00137956" w:rsidP="00FC290F">
      <w:pPr>
        <w:spacing w:after="0"/>
        <w:ind w:firstLine="720"/>
        <w:jc w:val="both"/>
        <w:rPr>
          <w:bCs/>
          <w:sz w:val="24"/>
          <w:szCs w:val="24"/>
          <w:lang w:val="sr-Cyrl-RS"/>
        </w:rPr>
      </w:pPr>
      <w:r>
        <w:rPr>
          <w:rStyle w:val="None"/>
          <w:bCs/>
          <w:sz w:val="24"/>
          <w:szCs w:val="24"/>
          <w:lang w:val="sr-Cyrl-RS"/>
        </w:rPr>
        <w:t>Свим наведеним документима предвиђене су мере које имају за циљ праћење њиховог остваривања, као и прикупљање релевантних података. Штавише, у извештајном периоду предузете су мере за ефективно спровођење и праћење остваривања претходно важећих стратешких докумената</w:t>
      </w:r>
      <w:r w:rsidR="00FC290F">
        <w:rPr>
          <w:rStyle w:val="None"/>
          <w:bCs/>
          <w:sz w:val="24"/>
          <w:szCs w:val="24"/>
          <w:lang w:val="sr-Cyrl-RS"/>
        </w:rPr>
        <w:t>, које су, између осталог, посужиле за ревизију и усвајање нових стратешких докумената.</w:t>
      </w:r>
      <w:r>
        <w:rPr>
          <w:rStyle w:val="None"/>
          <w:bCs/>
          <w:sz w:val="24"/>
          <w:szCs w:val="24"/>
          <w:lang w:val="sr-Cyrl-RS"/>
        </w:rPr>
        <w:t xml:space="preserve"> Тако </w:t>
      </w:r>
      <w:r w:rsidR="00FC290F">
        <w:rPr>
          <w:rStyle w:val="None"/>
          <w:bCs/>
          <w:sz w:val="24"/>
          <w:szCs w:val="24"/>
          <w:lang w:val="sr-Cyrl-RS"/>
        </w:rPr>
        <w:t xml:space="preserve">је у периоду </w:t>
      </w:r>
      <w:r w:rsidR="00FC290F" w:rsidRPr="00FC290F">
        <w:rPr>
          <w:rStyle w:val="None"/>
          <w:bCs/>
          <w:sz w:val="24"/>
          <w:szCs w:val="24"/>
          <w:lang w:val="sr-Cyrl-RS"/>
        </w:rPr>
        <w:t>јун – октобар 2017. године</w:t>
      </w:r>
      <w:r w:rsidR="00FC290F">
        <w:rPr>
          <w:rStyle w:val="None"/>
          <w:bCs/>
          <w:sz w:val="24"/>
          <w:szCs w:val="24"/>
          <w:lang w:val="sr-Cyrl-RS"/>
        </w:rPr>
        <w:t xml:space="preserve"> припремљена А</w:t>
      </w:r>
      <w:r w:rsidR="00FC290F" w:rsidRPr="00FC290F">
        <w:rPr>
          <w:rStyle w:val="None"/>
          <w:bCs/>
          <w:sz w:val="24"/>
          <w:szCs w:val="24"/>
          <w:lang w:val="sr-Cyrl-RS"/>
        </w:rPr>
        <w:t xml:space="preserve">нализа примене </w:t>
      </w:r>
      <w:r w:rsidR="00FC290F">
        <w:rPr>
          <w:rStyle w:val="None"/>
          <w:bCs/>
          <w:sz w:val="24"/>
          <w:szCs w:val="24"/>
          <w:lang w:val="sr-Cyrl-RS"/>
        </w:rPr>
        <w:t>С</w:t>
      </w:r>
      <w:r w:rsidR="00FC290F" w:rsidRPr="00FC290F">
        <w:rPr>
          <w:rStyle w:val="None"/>
          <w:bCs/>
          <w:sz w:val="24"/>
          <w:szCs w:val="24"/>
          <w:lang w:val="sr-Cyrl-RS"/>
        </w:rPr>
        <w:t xml:space="preserve">тратегије превенције и заштите од дискриминације за период 2014-2018. </w:t>
      </w:r>
      <w:r w:rsidR="00FC290F">
        <w:rPr>
          <w:rStyle w:val="None"/>
          <w:bCs/>
          <w:sz w:val="24"/>
          <w:szCs w:val="24"/>
          <w:lang w:val="sr-Cyrl-RS"/>
        </w:rPr>
        <w:t>г</w:t>
      </w:r>
      <w:r w:rsidR="00FC290F" w:rsidRPr="00FC290F">
        <w:rPr>
          <w:rStyle w:val="None"/>
          <w:bCs/>
          <w:sz w:val="24"/>
          <w:szCs w:val="24"/>
          <w:lang w:val="sr-Cyrl-RS"/>
        </w:rPr>
        <w:t>одина</w:t>
      </w:r>
      <w:r w:rsidR="00FC290F">
        <w:rPr>
          <w:rStyle w:val="None"/>
          <w:bCs/>
          <w:sz w:val="24"/>
          <w:szCs w:val="24"/>
          <w:lang w:val="sr-Cyrl-RS"/>
        </w:rPr>
        <w:t>. Такође, у новембру 2018. године извршена је А</w:t>
      </w:r>
      <w:r w:rsidR="00FC290F" w:rsidRPr="00FC290F">
        <w:rPr>
          <w:rStyle w:val="None"/>
          <w:bCs/>
          <w:sz w:val="24"/>
          <w:szCs w:val="24"/>
          <w:lang w:val="sr-Cyrl-RS"/>
        </w:rPr>
        <w:t>нализа извештаја</w:t>
      </w:r>
      <w:r w:rsidR="00FC290F">
        <w:rPr>
          <w:rStyle w:val="None"/>
          <w:bCs/>
          <w:sz w:val="24"/>
          <w:szCs w:val="24"/>
          <w:lang w:val="sr-Cyrl-RS"/>
        </w:rPr>
        <w:t xml:space="preserve"> </w:t>
      </w:r>
      <w:r w:rsidR="00FC290F" w:rsidRPr="00FC290F">
        <w:rPr>
          <w:rStyle w:val="None"/>
          <w:bCs/>
          <w:sz w:val="24"/>
          <w:szCs w:val="24"/>
          <w:lang w:val="sr-Cyrl-RS"/>
        </w:rPr>
        <w:t xml:space="preserve">о примени </w:t>
      </w:r>
      <w:r w:rsidR="00FC290F">
        <w:rPr>
          <w:rStyle w:val="None"/>
          <w:bCs/>
          <w:sz w:val="24"/>
          <w:szCs w:val="24"/>
          <w:lang w:val="sr-Cyrl-RS"/>
        </w:rPr>
        <w:t>А</w:t>
      </w:r>
      <w:r w:rsidR="00FC290F" w:rsidRPr="00FC290F">
        <w:rPr>
          <w:rStyle w:val="None"/>
          <w:bCs/>
          <w:sz w:val="24"/>
          <w:szCs w:val="24"/>
          <w:lang w:val="sr-Cyrl-RS"/>
        </w:rPr>
        <w:t>кционог плана за остваривање права националних мањина</w:t>
      </w:r>
      <w:r w:rsidR="00FC290F">
        <w:rPr>
          <w:rStyle w:val="None"/>
          <w:bCs/>
          <w:sz w:val="24"/>
          <w:szCs w:val="24"/>
          <w:lang w:val="sr-Cyrl-RS"/>
        </w:rPr>
        <w:t xml:space="preserve"> у оквиру </w:t>
      </w:r>
      <w:r w:rsidR="00FC290F" w:rsidRPr="00FC290F">
        <w:rPr>
          <w:rStyle w:val="None"/>
          <w:bCs/>
          <w:sz w:val="24"/>
          <w:szCs w:val="24"/>
          <w:lang w:val="sr-Cyrl-RS"/>
        </w:rPr>
        <w:t>пројект</w:t>
      </w:r>
      <w:r w:rsidR="00FC290F">
        <w:rPr>
          <w:rStyle w:val="None"/>
          <w:bCs/>
          <w:sz w:val="24"/>
          <w:szCs w:val="24"/>
          <w:lang w:val="sr-Cyrl-RS"/>
        </w:rPr>
        <w:t>а</w:t>
      </w:r>
      <w:r w:rsidR="00FC290F" w:rsidRPr="00FC290F">
        <w:rPr>
          <w:rStyle w:val="None"/>
          <w:bCs/>
          <w:sz w:val="24"/>
          <w:szCs w:val="24"/>
          <w:lang w:val="sr-Cyrl-RS"/>
        </w:rPr>
        <w:t xml:space="preserve"> „Јачање заштите националних мањина у Србији”</w:t>
      </w:r>
      <w:r w:rsidR="00FC290F">
        <w:rPr>
          <w:rStyle w:val="None"/>
          <w:bCs/>
          <w:sz w:val="24"/>
          <w:szCs w:val="24"/>
          <w:lang w:val="sr-Cyrl-RS"/>
        </w:rPr>
        <w:t xml:space="preserve"> који је био саставни део </w:t>
      </w:r>
      <w:r w:rsidR="00FC290F" w:rsidRPr="00FC290F">
        <w:rPr>
          <w:rStyle w:val="None"/>
          <w:bCs/>
          <w:sz w:val="24"/>
          <w:szCs w:val="24"/>
          <w:lang w:val="sr-Cyrl-RS"/>
        </w:rPr>
        <w:t>„Horizontal Facility за Западни Балкан и Турску</w:t>
      </w:r>
      <w:r w:rsidR="00FC290F">
        <w:rPr>
          <w:rStyle w:val="None"/>
          <w:bCs/>
          <w:sz w:val="24"/>
          <w:szCs w:val="24"/>
          <w:lang w:val="sr-Cyrl-RS"/>
        </w:rPr>
        <w:t>“</w:t>
      </w:r>
      <w:r w:rsidR="00FC290F" w:rsidRPr="00FC290F">
        <w:rPr>
          <w:rStyle w:val="None"/>
          <w:bCs/>
          <w:sz w:val="24"/>
          <w:szCs w:val="24"/>
          <w:lang w:val="sr-Cyrl-RS"/>
        </w:rPr>
        <w:t xml:space="preserve"> - Заједнички програм између Европске уније и Савета Европе</w:t>
      </w:r>
      <w:r w:rsidR="00FC290F">
        <w:rPr>
          <w:rStyle w:val="None"/>
          <w:bCs/>
          <w:sz w:val="24"/>
          <w:szCs w:val="24"/>
          <w:lang w:val="sr-Cyrl-RS"/>
        </w:rPr>
        <w:t>.</w:t>
      </w:r>
      <w:r w:rsidR="00FC290F" w:rsidRPr="00FC290F">
        <w:rPr>
          <w:rStyle w:val="None"/>
          <w:bCs/>
          <w:sz w:val="24"/>
          <w:szCs w:val="24"/>
          <w:lang w:val="sr-Cyrl-RS"/>
        </w:rPr>
        <w:t xml:space="preserve"> </w:t>
      </w:r>
      <w:r w:rsidR="00FC290F">
        <w:rPr>
          <w:rStyle w:val="None"/>
          <w:bCs/>
          <w:sz w:val="24"/>
          <w:szCs w:val="24"/>
          <w:lang w:val="sr-Cyrl-RS"/>
        </w:rPr>
        <w:t xml:space="preserve">Напослетку, </w:t>
      </w:r>
      <w:r>
        <w:rPr>
          <w:rStyle w:val="None"/>
          <w:bCs/>
          <w:sz w:val="24"/>
          <w:szCs w:val="24"/>
          <w:lang w:val="sr-Cyrl-RS"/>
        </w:rPr>
        <w:t>у</w:t>
      </w:r>
      <w:r w:rsidR="007254BB" w:rsidRPr="003B3E1D">
        <w:rPr>
          <w:sz w:val="24"/>
          <w:szCs w:val="24"/>
        </w:rPr>
        <w:t xml:space="preserve"> оквиру пројекта „Промоција различитости и равноправности у Србији”, који је део заједничког програма Европске уније и Савета Европе „Horizontal Facility за Западни Балкан и Турску 2019-2022”, ангажовани </w:t>
      </w:r>
      <w:r w:rsidR="00FC290F">
        <w:rPr>
          <w:sz w:val="24"/>
          <w:szCs w:val="24"/>
          <w:lang w:val="sr-Cyrl-RS"/>
        </w:rPr>
        <w:t xml:space="preserve">су </w:t>
      </w:r>
      <w:r w:rsidR="007254BB">
        <w:rPr>
          <w:sz w:val="24"/>
          <w:szCs w:val="24"/>
          <w:lang w:val="sr-Cyrl-RS"/>
        </w:rPr>
        <w:t xml:space="preserve">независни </w:t>
      </w:r>
      <w:r w:rsidR="007254BB" w:rsidRPr="003B3E1D">
        <w:rPr>
          <w:sz w:val="24"/>
          <w:szCs w:val="24"/>
        </w:rPr>
        <w:t>експерти који су припремили „Еx-post анализу ефеката примене Акционог плана за остваривање права националних мањина“.</w:t>
      </w:r>
      <w:r w:rsidR="007254BB" w:rsidRPr="003B3E1D">
        <w:rPr>
          <w:sz w:val="24"/>
          <w:szCs w:val="24"/>
          <w:lang w:val="sr-Cyrl-RS"/>
        </w:rPr>
        <w:t xml:space="preserve"> </w:t>
      </w:r>
      <w:r w:rsidR="007254BB" w:rsidRPr="007254BB">
        <w:rPr>
          <w:sz w:val="24"/>
          <w:szCs w:val="24"/>
          <w:lang w:val="sr-Cyrl-RS"/>
        </w:rPr>
        <w:t>Основни циљ анализе био је да обезбеди процену учинака Акционог плана, односно да оцени његову релевантност, ефективност, ефикасност и одрживост, како би се донела одлука о будућим корацима у планирању јавних политика у области права националних мањина.</w:t>
      </w:r>
    </w:p>
    <w:p w:rsidR="007254BB" w:rsidRPr="009E1C84" w:rsidRDefault="007254BB" w:rsidP="008F512E">
      <w:pPr>
        <w:spacing w:after="0"/>
        <w:ind w:firstLine="720"/>
        <w:jc w:val="both"/>
        <w:rPr>
          <w:sz w:val="24"/>
          <w:szCs w:val="24"/>
          <w:lang w:val="sr-Cyrl-RS"/>
        </w:rPr>
      </w:pPr>
      <w:r>
        <w:rPr>
          <w:sz w:val="24"/>
          <w:szCs w:val="24"/>
          <w:lang w:val="sr-Cyrl-RS"/>
        </w:rPr>
        <w:t>У Анализи се наводи да се н</w:t>
      </w:r>
      <w:r w:rsidRPr="00E06945">
        <w:rPr>
          <w:sz w:val="24"/>
          <w:szCs w:val="24"/>
          <w:lang w:val="sr-Cyrl-RS"/>
        </w:rPr>
        <w:t>а основу расположивих података може констатовати да је највећи део стратешких циљева „делимично остварен”</w:t>
      </w:r>
      <w:r>
        <w:rPr>
          <w:sz w:val="24"/>
          <w:szCs w:val="24"/>
          <w:lang w:val="sr-Cyrl-RS"/>
        </w:rPr>
        <w:t>. Када су у питању појединачне а</w:t>
      </w:r>
      <w:r w:rsidRPr="009E1C84">
        <w:rPr>
          <w:sz w:val="24"/>
          <w:szCs w:val="24"/>
          <w:lang w:val="sr-Cyrl-RS"/>
        </w:rPr>
        <w:t>ктивности</w:t>
      </w:r>
      <w:r>
        <w:rPr>
          <w:sz w:val="24"/>
          <w:szCs w:val="24"/>
          <w:lang w:val="sr-Cyrl-RS"/>
        </w:rPr>
        <w:t xml:space="preserve">, оне </w:t>
      </w:r>
      <w:r w:rsidRPr="009E1C84">
        <w:rPr>
          <w:sz w:val="24"/>
          <w:szCs w:val="24"/>
          <w:lang w:val="sr-Cyrl-RS"/>
        </w:rPr>
        <w:t xml:space="preserve">су генерално водиле ка остварењу резултата, али </w:t>
      </w:r>
      <w:r>
        <w:rPr>
          <w:sz w:val="24"/>
          <w:szCs w:val="24"/>
          <w:lang w:val="sr-Cyrl-RS"/>
        </w:rPr>
        <w:t xml:space="preserve">је констатовано да </w:t>
      </w:r>
      <w:r w:rsidRPr="009E1C84">
        <w:rPr>
          <w:sz w:val="24"/>
          <w:szCs w:val="24"/>
          <w:lang w:val="sr-Cyrl-RS"/>
        </w:rPr>
        <w:t xml:space="preserve">између </w:t>
      </w:r>
      <w:r>
        <w:rPr>
          <w:sz w:val="24"/>
          <w:szCs w:val="24"/>
          <w:lang w:val="sr-Cyrl-RS"/>
        </w:rPr>
        <w:t xml:space="preserve">појединих </w:t>
      </w:r>
      <w:r w:rsidRPr="009E1C84">
        <w:rPr>
          <w:sz w:val="24"/>
          <w:szCs w:val="24"/>
          <w:lang w:val="sr-Cyrl-RS"/>
        </w:rPr>
        <w:t>резултата и активности често није п</w:t>
      </w:r>
      <w:r>
        <w:rPr>
          <w:sz w:val="24"/>
          <w:szCs w:val="24"/>
          <w:lang w:val="sr-Cyrl-RS"/>
        </w:rPr>
        <w:t xml:space="preserve">остојала довољно конкретна веза, као и да је због </w:t>
      </w:r>
      <w:r w:rsidRPr="009E1C84">
        <w:rPr>
          <w:sz w:val="24"/>
          <w:szCs w:val="24"/>
          <w:lang w:val="sr-Cyrl-RS"/>
        </w:rPr>
        <w:t>недовољне процене доступних капацитета за спровођење активности, кашњење једне активности не</w:t>
      </w:r>
      <w:r>
        <w:rPr>
          <w:sz w:val="24"/>
          <w:szCs w:val="24"/>
          <w:lang w:val="sr-Cyrl-RS"/>
        </w:rPr>
        <w:t>ретко узроковало</w:t>
      </w:r>
      <w:r w:rsidRPr="009E1C84">
        <w:rPr>
          <w:sz w:val="24"/>
          <w:szCs w:val="24"/>
          <w:lang w:val="sr-Cyrl-RS"/>
        </w:rPr>
        <w:t xml:space="preserve"> и кашњење других.</w:t>
      </w:r>
    </w:p>
    <w:p w:rsidR="007254BB" w:rsidRDefault="00FC290F" w:rsidP="00FC290F">
      <w:pPr>
        <w:spacing w:after="0"/>
        <w:ind w:firstLine="720"/>
        <w:jc w:val="both"/>
        <w:rPr>
          <w:sz w:val="24"/>
          <w:szCs w:val="24"/>
          <w:lang w:val="sr-Cyrl-RS"/>
        </w:rPr>
      </w:pPr>
      <w:r>
        <w:rPr>
          <w:sz w:val="24"/>
          <w:szCs w:val="24"/>
          <w:lang w:val="sr-Cyrl-RS"/>
        </w:rPr>
        <w:lastRenderedPageBreak/>
        <w:t>Према Анализи, н</w:t>
      </w:r>
      <w:r w:rsidR="007254BB" w:rsidRPr="00396767">
        <w:rPr>
          <w:sz w:val="24"/>
          <w:szCs w:val="24"/>
          <w:lang w:val="sr-Cyrl-RS"/>
        </w:rPr>
        <w:t>ајвећа постигнућа остварена су у области законских решења и њихове доследније примене</w:t>
      </w:r>
      <w:r w:rsidR="007254BB">
        <w:rPr>
          <w:sz w:val="24"/>
          <w:szCs w:val="24"/>
          <w:lang w:val="sr-Cyrl-RS"/>
        </w:rPr>
        <w:t>.</w:t>
      </w:r>
      <w:r w:rsidR="007254BB" w:rsidRPr="00396767">
        <w:rPr>
          <w:sz w:val="24"/>
          <w:szCs w:val="24"/>
          <w:lang w:val="sr-Cyrl-RS"/>
        </w:rPr>
        <w:t xml:space="preserve"> </w:t>
      </w:r>
      <w:r w:rsidR="007254BB">
        <w:rPr>
          <w:sz w:val="24"/>
          <w:szCs w:val="24"/>
          <w:lang w:val="sr-Cyrl-RS"/>
        </w:rPr>
        <w:t>О</w:t>
      </w:r>
      <w:r w:rsidR="007254BB" w:rsidRPr="00396767">
        <w:rPr>
          <w:sz w:val="24"/>
          <w:szCs w:val="24"/>
          <w:lang w:val="sr-Cyrl-RS"/>
        </w:rPr>
        <w:t xml:space="preserve">стварене су све активности усмерене ка измени законодавства неопходног за стварање законског основа за унос података о националној припадности у збирке података и креирање мера афирмативне акције, обуке матичара, унапређење </w:t>
      </w:r>
      <w:r w:rsidR="007254BB">
        <w:rPr>
          <w:sz w:val="24"/>
          <w:szCs w:val="24"/>
          <w:lang w:val="sr-Cyrl-RS"/>
        </w:rPr>
        <w:t xml:space="preserve">посебног бирачког списка </w:t>
      </w:r>
      <w:r>
        <w:rPr>
          <w:sz w:val="24"/>
          <w:szCs w:val="24"/>
          <w:lang w:val="sr-Cyrl-RS"/>
        </w:rPr>
        <w:t xml:space="preserve">за изборе за националне савете националних мањина </w:t>
      </w:r>
      <w:r w:rsidR="007254BB">
        <w:rPr>
          <w:sz w:val="24"/>
          <w:szCs w:val="24"/>
          <w:lang w:val="sr-Cyrl-RS"/>
        </w:rPr>
        <w:t>и упис</w:t>
      </w:r>
      <w:r w:rsidR="007254BB" w:rsidRPr="00396767">
        <w:rPr>
          <w:sz w:val="24"/>
          <w:szCs w:val="24"/>
          <w:lang w:val="sr-Cyrl-RS"/>
        </w:rPr>
        <w:t xml:space="preserve"> лица у матичну књигу рођених путем накнадног уписа. </w:t>
      </w:r>
      <w:r w:rsidR="007254BB">
        <w:rPr>
          <w:sz w:val="24"/>
          <w:szCs w:val="24"/>
          <w:lang w:val="sr-Cyrl-RS"/>
        </w:rPr>
        <w:t>Н</w:t>
      </w:r>
      <w:r w:rsidR="007254BB" w:rsidRPr="006B7154">
        <w:rPr>
          <w:sz w:val="24"/>
          <w:szCs w:val="24"/>
          <w:lang w:val="sr-Cyrl-RS"/>
        </w:rPr>
        <w:t xml:space="preserve">апредак чине </w:t>
      </w:r>
      <w:r w:rsidR="007254BB">
        <w:rPr>
          <w:sz w:val="24"/>
          <w:szCs w:val="24"/>
          <w:lang w:val="sr-Cyrl-RS"/>
        </w:rPr>
        <w:t xml:space="preserve">и </w:t>
      </w:r>
      <w:r w:rsidR="007254BB" w:rsidRPr="006B7154">
        <w:rPr>
          <w:sz w:val="24"/>
          <w:szCs w:val="24"/>
          <w:lang w:val="sr-Cyrl-RS"/>
        </w:rPr>
        <w:t xml:space="preserve">измене већег броја закона и подзаконских аката </w:t>
      </w:r>
      <w:r w:rsidR="007254BB">
        <w:rPr>
          <w:sz w:val="24"/>
          <w:szCs w:val="24"/>
          <w:lang w:val="sr-Cyrl-RS"/>
        </w:rPr>
        <w:t>којима</w:t>
      </w:r>
      <w:r w:rsidR="007254BB" w:rsidRPr="006B7154">
        <w:rPr>
          <w:sz w:val="24"/>
          <w:szCs w:val="24"/>
          <w:lang w:val="sr-Cyrl-RS"/>
        </w:rPr>
        <w:t xml:space="preserve"> је створена основа за вођење, на добровољној бази, података о заступљености националних мањина и увођење конкретних афирмативних мера за запошљавање у јавном сектору и правосуђу</w:t>
      </w:r>
      <w:r w:rsidR="007254BB">
        <w:rPr>
          <w:sz w:val="24"/>
          <w:szCs w:val="24"/>
          <w:lang w:val="sr-Cyrl-RS"/>
        </w:rPr>
        <w:t xml:space="preserve">, као и </w:t>
      </w:r>
      <w:r w:rsidR="007254BB" w:rsidRPr="00396767">
        <w:rPr>
          <w:sz w:val="24"/>
          <w:szCs w:val="24"/>
          <w:lang w:val="sr-Cyrl-RS"/>
        </w:rPr>
        <w:t xml:space="preserve">измене законодавног оквира којим се регулише рад </w:t>
      </w:r>
      <w:r w:rsidR="007254BB">
        <w:rPr>
          <w:sz w:val="24"/>
          <w:szCs w:val="24"/>
          <w:lang w:val="sr-Cyrl-RS"/>
        </w:rPr>
        <w:t>н</w:t>
      </w:r>
      <w:r w:rsidR="007254BB" w:rsidRPr="00396767">
        <w:rPr>
          <w:sz w:val="24"/>
          <w:szCs w:val="24"/>
          <w:lang w:val="sr-Cyrl-RS"/>
        </w:rPr>
        <w:t>ационалних савета и операционализује Буџетски фонд</w:t>
      </w:r>
      <w:r w:rsidR="007254BB">
        <w:rPr>
          <w:sz w:val="24"/>
          <w:szCs w:val="24"/>
          <w:lang w:val="sr-Cyrl-RS"/>
        </w:rPr>
        <w:t xml:space="preserve"> за националне мањине</w:t>
      </w:r>
      <w:r w:rsidR="007254BB" w:rsidRPr="00396767">
        <w:rPr>
          <w:sz w:val="24"/>
          <w:szCs w:val="24"/>
          <w:lang w:val="sr-Cyrl-RS"/>
        </w:rPr>
        <w:t>.</w:t>
      </w:r>
      <w:r w:rsidR="007254BB">
        <w:rPr>
          <w:sz w:val="24"/>
          <w:szCs w:val="24"/>
          <w:lang w:val="sr-Cyrl-RS"/>
        </w:rPr>
        <w:t xml:space="preserve"> </w:t>
      </w:r>
    </w:p>
    <w:p w:rsidR="007254BB" w:rsidRDefault="007254BB" w:rsidP="008F512E">
      <w:pPr>
        <w:spacing w:after="0"/>
        <w:ind w:firstLine="720"/>
        <w:jc w:val="both"/>
        <w:rPr>
          <w:sz w:val="24"/>
          <w:szCs w:val="24"/>
          <w:lang w:val="sr-Cyrl-RS"/>
        </w:rPr>
      </w:pPr>
      <w:r w:rsidRPr="007254BB">
        <w:rPr>
          <w:sz w:val="24"/>
          <w:szCs w:val="24"/>
          <w:lang w:val="sr-Cyrl-RS"/>
        </w:rPr>
        <w:t xml:space="preserve">У циљу израде квалитетнијег, ефективнијег, ефикаснијег и одрживијег Акционог плана у будућности, у </w:t>
      </w:r>
      <w:r w:rsidR="008F512E">
        <w:rPr>
          <w:sz w:val="24"/>
          <w:szCs w:val="24"/>
          <w:lang w:val="sr-Cyrl-RS"/>
        </w:rPr>
        <w:t>А</w:t>
      </w:r>
      <w:r w:rsidRPr="007254BB">
        <w:rPr>
          <w:sz w:val="24"/>
          <w:szCs w:val="24"/>
          <w:lang w:val="sr-Cyrl-RS"/>
        </w:rPr>
        <w:t>нализи с</w:t>
      </w:r>
      <w:r w:rsidR="008F512E">
        <w:rPr>
          <w:sz w:val="24"/>
          <w:szCs w:val="24"/>
          <w:lang w:val="sr-Cyrl-RS"/>
        </w:rPr>
        <w:t>у</w:t>
      </w:r>
      <w:r w:rsidRPr="007254BB">
        <w:rPr>
          <w:sz w:val="24"/>
          <w:szCs w:val="24"/>
          <w:lang w:val="sr-Cyrl-RS"/>
        </w:rPr>
        <w:t xml:space="preserve"> </w:t>
      </w:r>
      <w:r w:rsidR="008F512E">
        <w:rPr>
          <w:sz w:val="24"/>
          <w:szCs w:val="24"/>
          <w:lang w:val="sr-Cyrl-RS"/>
        </w:rPr>
        <w:t>дате</w:t>
      </w:r>
      <w:r w:rsidRPr="007254BB">
        <w:rPr>
          <w:sz w:val="24"/>
          <w:szCs w:val="24"/>
          <w:lang w:val="sr-Cyrl-RS"/>
        </w:rPr>
        <w:t xml:space="preserve"> </w:t>
      </w:r>
      <w:r w:rsidR="008F512E">
        <w:rPr>
          <w:sz w:val="24"/>
          <w:szCs w:val="24"/>
          <w:lang w:val="sr-Cyrl-RS"/>
        </w:rPr>
        <w:t xml:space="preserve">одговарајуће препоруке. </w:t>
      </w:r>
      <w:r w:rsidRPr="0052656C">
        <w:rPr>
          <w:sz w:val="24"/>
          <w:szCs w:val="24"/>
          <w:lang w:val="sr-Cyrl-RS"/>
        </w:rPr>
        <w:t>Полазећи од закључака и препорука из Ex-post aнализе поче</w:t>
      </w:r>
      <w:r>
        <w:rPr>
          <w:sz w:val="24"/>
          <w:szCs w:val="24"/>
          <w:lang w:val="sr-Cyrl-RS"/>
        </w:rPr>
        <w:t>о</w:t>
      </w:r>
      <w:r w:rsidRPr="0052656C">
        <w:rPr>
          <w:sz w:val="24"/>
          <w:szCs w:val="24"/>
          <w:lang w:val="sr-Cyrl-RS"/>
        </w:rPr>
        <w:t xml:space="preserve"> </w:t>
      </w:r>
      <w:r>
        <w:rPr>
          <w:sz w:val="24"/>
          <w:szCs w:val="24"/>
          <w:lang w:val="sr-Cyrl-RS"/>
        </w:rPr>
        <w:t>ј</w:t>
      </w:r>
      <w:r w:rsidRPr="0052656C">
        <w:rPr>
          <w:sz w:val="24"/>
          <w:szCs w:val="24"/>
          <w:lang w:val="sr-Cyrl-RS"/>
        </w:rPr>
        <w:t>е рад на припреми новог стратешког документа за остваривање права националних мањина</w:t>
      </w:r>
      <w:r w:rsidR="008F512E">
        <w:rPr>
          <w:sz w:val="24"/>
          <w:szCs w:val="24"/>
          <w:lang w:val="sr-Cyrl-RS"/>
        </w:rPr>
        <w:t>, који је, као што је истакнуто, у време припреме овог извештаја у фази израде</w:t>
      </w:r>
      <w:r w:rsidRPr="0052656C">
        <w:rPr>
          <w:sz w:val="24"/>
          <w:szCs w:val="24"/>
          <w:lang w:val="sr-Cyrl-RS"/>
        </w:rPr>
        <w:t>.</w:t>
      </w:r>
      <w:r w:rsidRPr="0052656C">
        <w:t xml:space="preserve"> </w:t>
      </w:r>
    </w:p>
    <w:p w:rsidR="00811B58" w:rsidRPr="00811B58" w:rsidRDefault="00811B58" w:rsidP="00CD32CE">
      <w:pPr>
        <w:pStyle w:val="TableParagraph"/>
        <w:spacing w:line="276" w:lineRule="auto"/>
        <w:ind w:left="0" w:right="96"/>
        <w:jc w:val="both"/>
        <w:rPr>
          <w:i/>
          <w:sz w:val="24"/>
          <w:szCs w:val="24"/>
          <w:lang w:val="sr-Cyrl-RS"/>
        </w:rPr>
      </w:pPr>
    </w:p>
    <w:p w:rsidR="00A25643" w:rsidRDefault="00A25643" w:rsidP="005F59AC">
      <w:pPr>
        <w:pStyle w:val="TableParagraph"/>
        <w:spacing w:line="276" w:lineRule="auto"/>
        <w:ind w:left="0" w:right="-46"/>
        <w:jc w:val="both"/>
        <w:rPr>
          <w:i/>
          <w:sz w:val="24"/>
          <w:szCs w:val="24"/>
          <w:lang w:val="sr-Cyrl-RS"/>
        </w:rPr>
      </w:pPr>
      <w:r w:rsidRPr="003347AE">
        <w:rPr>
          <w:i/>
          <w:sz w:val="24"/>
          <w:szCs w:val="24"/>
          <w:lang w:val="sr-Cyrl-RS"/>
        </w:rPr>
        <w:t xml:space="preserve">44. </w:t>
      </w:r>
      <w:r w:rsidR="00811B58" w:rsidRPr="00811B58">
        <w:rPr>
          <w:i/>
          <w:sz w:val="24"/>
          <w:szCs w:val="24"/>
          <w:lang w:val="sr-Cyrl-RS"/>
        </w:rPr>
        <w:t>Саветодавни комитет апелује на власти да се одлучно позабаве структуралном дискриминацијом са којом се суочавају припадници ромске националне мањине у погледу њиховог статуса држављанства, као и становања, здравства, образовања и запошљавања, укључујући предузимање неопходних афирмативних мера за решавање проблема корена узрока дискриминације са којом се Роми суочавају.</w:t>
      </w:r>
    </w:p>
    <w:p w:rsidR="00A25643" w:rsidRDefault="00A25643" w:rsidP="00A25643">
      <w:pPr>
        <w:spacing w:after="0"/>
        <w:jc w:val="both"/>
        <w:rPr>
          <w:i/>
          <w:sz w:val="24"/>
          <w:szCs w:val="24"/>
          <w:lang w:val="sr-Cyrl-RS"/>
        </w:rPr>
      </w:pPr>
    </w:p>
    <w:p w:rsidR="008572C6" w:rsidRDefault="008572C6" w:rsidP="008572C6">
      <w:pPr>
        <w:spacing w:after="0"/>
        <w:ind w:firstLine="720"/>
        <w:jc w:val="both"/>
        <w:rPr>
          <w:sz w:val="24"/>
          <w:szCs w:val="24"/>
          <w:lang w:val="sr-Cyrl-RS"/>
        </w:rPr>
      </w:pPr>
      <w:r>
        <w:rPr>
          <w:sz w:val="24"/>
          <w:szCs w:val="24"/>
          <w:lang w:val="sr-Cyrl-RS"/>
        </w:rPr>
        <w:t>Одговор на ову препоруку садржан је у одговору на препоруку 1. из Резолуције Комитета министара.</w:t>
      </w:r>
    </w:p>
    <w:p w:rsidR="00334F7A" w:rsidRDefault="00334F7A" w:rsidP="00334F7A">
      <w:pPr>
        <w:spacing w:after="0"/>
        <w:jc w:val="both"/>
        <w:rPr>
          <w:sz w:val="24"/>
          <w:szCs w:val="24"/>
          <w:lang w:val="sr-Cyrl-RS"/>
        </w:rPr>
      </w:pPr>
    </w:p>
    <w:p w:rsidR="00841498" w:rsidRPr="00F333CD" w:rsidRDefault="00841498" w:rsidP="00F333CD">
      <w:pPr>
        <w:pStyle w:val="Heading2"/>
        <w:jc w:val="center"/>
        <w:rPr>
          <w:rFonts w:ascii="Times New Roman" w:hAnsi="Times New Roman" w:cs="Times New Roman"/>
          <w:b/>
          <w:sz w:val="24"/>
          <w:szCs w:val="24"/>
          <w:lang w:val="sr-Cyrl-RS"/>
        </w:rPr>
      </w:pPr>
      <w:bookmarkStart w:id="16" w:name="_Toc111191331"/>
      <w:r w:rsidRPr="00F333CD">
        <w:rPr>
          <w:rFonts w:ascii="Times New Roman" w:hAnsi="Times New Roman" w:cs="Times New Roman"/>
          <w:b/>
          <w:color w:val="auto"/>
          <w:sz w:val="24"/>
          <w:szCs w:val="24"/>
          <w:lang w:val="sr-Cyrl-RS"/>
        </w:rPr>
        <w:t>Члан 5. Оквирне конвенције</w:t>
      </w:r>
      <w:bookmarkEnd w:id="16"/>
    </w:p>
    <w:p w:rsidR="00841498" w:rsidRPr="00F333CD" w:rsidRDefault="00841498" w:rsidP="00F333CD">
      <w:pPr>
        <w:pStyle w:val="Heading3"/>
        <w:jc w:val="center"/>
        <w:rPr>
          <w:rFonts w:ascii="Times New Roman" w:hAnsi="Times New Roman" w:cs="Times New Roman"/>
          <w:b/>
          <w:lang w:val="sr-Cyrl-RS"/>
        </w:rPr>
      </w:pPr>
      <w:bookmarkStart w:id="17" w:name="_Toc111191332"/>
      <w:r w:rsidRPr="00F333CD">
        <w:rPr>
          <w:rFonts w:ascii="Times New Roman" w:hAnsi="Times New Roman" w:cs="Times New Roman"/>
          <w:b/>
          <w:color w:val="auto"/>
          <w:lang w:val="sr-Cyrl-RS"/>
        </w:rPr>
        <w:t>Очување и промоција свих идентитета и култура националних мањина</w:t>
      </w:r>
      <w:bookmarkEnd w:id="17"/>
    </w:p>
    <w:p w:rsidR="00841498" w:rsidRDefault="00841498" w:rsidP="0077600F">
      <w:pPr>
        <w:spacing w:after="0"/>
        <w:jc w:val="both"/>
        <w:rPr>
          <w:sz w:val="24"/>
          <w:szCs w:val="24"/>
          <w:highlight w:val="yellow"/>
          <w:lang w:val="sr-Cyrl-RS"/>
        </w:rPr>
      </w:pPr>
    </w:p>
    <w:p w:rsidR="00671635" w:rsidRPr="00D34941" w:rsidRDefault="00671635" w:rsidP="00671635">
      <w:pPr>
        <w:spacing w:after="0"/>
        <w:jc w:val="both"/>
        <w:rPr>
          <w:i/>
          <w:sz w:val="24"/>
          <w:szCs w:val="24"/>
          <w:lang w:val="sr-Cyrl-RS"/>
        </w:rPr>
      </w:pPr>
      <w:r w:rsidRPr="00D34941">
        <w:rPr>
          <w:i/>
          <w:sz w:val="24"/>
          <w:szCs w:val="24"/>
          <w:lang w:val="sr-Cyrl-RS"/>
        </w:rPr>
        <w:t>51. Саветодавни комитет позива власти да додатно појачају средства додељена Буџетском фонду за националне мањине и предузму потребне мере како би осигурале додатна средства за националне мањине у централној и јужној Србији. Такође позива власти да развију могућности за изградњу капацитета за организације са мање ресурса како би повећале своје шансе на конкурсима за финансирање из Буџетског фонда за националне мањине и обезбеде да конкурсне процедуре буду осмишљене тако да се њима узимају у обзир специфичне потребе мањина.</w:t>
      </w:r>
    </w:p>
    <w:p w:rsidR="00671635" w:rsidRDefault="00671635" w:rsidP="00671635">
      <w:pPr>
        <w:spacing w:after="0"/>
        <w:jc w:val="both"/>
        <w:rPr>
          <w:i/>
          <w:sz w:val="24"/>
          <w:szCs w:val="24"/>
          <w:lang w:val="sr-Cyrl-RS"/>
        </w:rPr>
      </w:pPr>
    </w:p>
    <w:p w:rsidR="00F31B10" w:rsidRPr="00F31B10" w:rsidRDefault="00F31B10" w:rsidP="00F31B10">
      <w:pPr>
        <w:spacing w:after="0"/>
        <w:ind w:firstLine="720"/>
        <w:jc w:val="both"/>
        <w:rPr>
          <w:sz w:val="24"/>
          <w:szCs w:val="24"/>
          <w:lang w:val="sr-Cyrl-RS"/>
        </w:rPr>
      </w:pPr>
      <w:r w:rsidRPr="00F31B10">
        <w:rPr>
          <w:sz w:val="24"/>
          <w:szCs w:val="24"/>
          <w:lang w:val="sr-Cyrl-RS"/>
        </w:rPr>
        <w:t>Одговор на ову препоруку садржан је у одговору на препоруку 1</w:t>
      </w:r>
      <w:r>
        <w:rPr>
          <w:sz w:val="24"/>
          <w:szCs w:val="24"/>
          <w:lang w:val="sr-Cyrl-RS"/>
        </w:rPr>
        <w:t>2</w:t>
      </w:r>
      <w:r w:rsidRPr="00F31B10">
        <w:rPr>
          <w:sz w:val="24"/>
          <w:szCs w:val="24"/>
          <w:lang w:val="sr-Cyrl-RS"/>
        </w:rPr>
        <w:t>. из Резолуције Комитета министара.</w:t>
      </w:r>
    </w:p>
    <w:p w:rsidR="00D34941" w:rsidRPr="00D34941" w:rsidRDefault="00D34941" w:rsidP="00671635">
      <w:pPr>
        <w:spacing w:after="0"/>
        <w:jc w:val="both"/>
        <w:rPr>
          <w:sz w:val="24"/>
          <w:szCs w:val="24"/>
          <w:lang w:val="sr-Cyrl-RS"/>
        </w:rPr>
      </w:pPr>
      <w:r>
        <w:rPr>
          <w:sz w:val="24"/>
          <w:szCs w:val="24"/>
          <w:lang w:val="sr-Cyrl-RS"/>
        </w:rPr>
        <w:tab/>
      </w:r>
    </w:p>
    <w:p w:rsidR="00671635" w:rsidRDefault="00671635" w:rsidP="003E3814">
      <w:pPr>
        <w:spacing w:after="0"/>
        <w:jc w:val="both"/>
        <w:rPr>
          <w:i/>
          <w:sz w:val="24"/>
          <w:szCs w:val="24"/>
          <w:lang w:val="sr-Cyrl-RS"/>
        </w:rPr>
      </w:pPr>
      <w:r w:rsidRPr="00671635">
        <w:rPr>
          <w:i/>
          <w:sz w:val="24"/>
          <w:szCs w:val="24"/>
          <w:lang w:val="sr-Cyrl-RS"/>
        </w:rPr>
        <w:t>52. Саветодавни комитет такође позива власти, на државном и на покрајинском нивоу, да даље промовишу и подржавају мултикултуралне и интеркултурне пројекте и обезбеђују редовно финансирање, као и одрживост.</w:t>
      </w:r>
    </w:p>
    <w:p w:rsidR="00FC49CE" w:rsidRDefault="00FC49CE" w:rsidP="00671635">
      <w:pPr>
        <w:spacing w:after="0"/>
        <w:jc w:val="both"/>
        <w:rPr>
          <w:i/>
          <w:sz w:val="24"/>
          <w:szCs w:val="24"/>
          <w:lang w:val="sr-Cyrl-RS"/>
        </w:rPr>
      </w:pPr>
    </w:p>
    <w:p w:rsidR="00F31B10" w:rsidRDefault="00F31B10" w:rsidP="00671635">
      <w:pPr>
        <w:spacing w:after="0"/>
        <w:jc w:val="both"/>
        <w:rPr>
          <w:i/>
          <w:sz w:val="24"/>
          <w:szCs w:val="24"/>
          <w:lang w:val="sr-Cyrl-RS"/>
        </w:rPr>
      </w:pPr>
      <w:r>
        <w:rPr>
          <w:i/>
          <w:sz w:val="24"/>
          <w:szCs w:val="24"/>
          <w:lang w:val="sr-Cyrl-RS"/>
        </w:rPr>
        <w:t>М</w:t>
      </w:r>
      <w:r w:rsidRPr="00671635">
        <w:rPr>
          <w:i/>
          <w:sz w:val="24"/>
          <w:szCs w:val="24"/>
          <w:lang w:val="sr-Cyrl-RS"/>
        </w:rPr>
        <w:t>ултикултуралн</w:t>
      </w:r>
      <w:r>
        <w:rPr>
          <w:i/>
          <w:sz w:val="24"/>
          <w:szCs w:val="24"/>
          <w:lang w:val="sr-Cyrl-RS"/>
        </w:rPr>
        <w:t>и</w:t>
      </w:r>
      <w:r w:rsidRPr="00671635">
        <w:rPr>
          <w:i/>
          <w:sz w:val="24"/>
          <w:szCs w:val="24"/>
          <w:lang w:val="sr-Cyrl-RS"/>
        </w:rPr>
        <w:t xml:space="preserve"> и интеркултурн</w:t>
      </w:r>
      <w:r>
        <w:rPr>
          <w:i/>
          <w:sz w:val="24"/>
          <w:szCs w:val="24"/>
          <w:lang w:val="sr-Cyrl-RS"/>
        </w:rPr>
        <w:t>и</w:t>
      </w:r>
      <w:r w:rsidRPr="00671635">
        <w:rPr>
          <w:i/>
          <w:sz w:val="24"/>
          <w:szCs w:val="24"/>
          <w:lang w:val="sr-Cyrl-RS"/>
        </w:rPr>
        <w:t xml:space="preserve"> пројект</w:t>
      </w:r>
      <w:r>
        <w:rPr>
          <w:i/>
          <w:sz w:val="24"/>
          <w:szCs w:val="24"/>
          <w:lang w:val="sr-Cyrl-RS"/>
        </w:rPr>
        <w:t>и</w:t>
      </w:r>
    </w:p>
    <w:p w:rsidR="00F31B10" w:rsidRDefault="00F31B10" w:rsidP="00671635">
      <w:pPr>
        <w:spacing w:after="0"/>
        <w:jc w:val="both"/>
        <w:rPr>
          <w:i/>
          <w:sz w:val="24"/>
          <w:szCs w:val="24"/>
          <w:lang w:val="sr-Cyrl-RS"/>
        </w:rPr>
      </w:pPr>
    </w:p>
    <w:p w:rsidR="00FC49CE" w:rsidRDefault="00FC49CE" w:rsidP="00FC49CE">
      <w:pPr>
        <w:spacing w:after="0"/>
        <w:ind w:firstLine="720"/>
        <w:jc w:val="both"/>
        <w:rPr>
          <w:sz w:val="24"/>
          <w:szCs w:val="24"/>
          <w:lang w:val="sr-Cyrl-RS"/>
        </w:rPr>
      </w:pPr>
      <w:r w:rsidRPr="00FC49CE">
        <w:rPr>
          <w:sz w:val="24"/>
          <w:szCs w:val="24"/>
          <w:lang w:val="sr-Cyrl-RS"/>
        </w:rPr>
        <w:t xml:space="preserve">Министарство културе и информисања је </w:t>
      </w:r>
      <w:r w:rsidR="00F31B10">
        <w:rPr>
          <w:sz w:val="24"/>
          <w:szCs w:val="24"/>
          <w:lang w:val="sr-Cyrl-RS"/>
        </w:rPr>
        <w:t xml:space="preserve">поводом конкурсног суфинансирања </w:t>
      </w:r>
      <w:r w:rsidRPr="00FC49CE">
        <w:rPr>
          <w:sz w:val="24"/>
          <w:szCs w:val="24"/>
          <w:lang w:val="sr-Cyrl-RS"/>
        </w:rPr>
        <w:t xml:space="preserve"> </w:t>
      </w:r>
      <w:r w:rsidR="00F31B10">
        <w:rPr>
          <w:sz w:val="24"/>
          <w:szCs w:val="24"/>
          <w:lang w:val="sr-Cyrl-RS"/>
        </w:rPr>
        <w:t xml:space="preserve">пројеката од значаја за националне мањине које се спроводи сваке године, </w:t>
      </w:r>
      <w:r w:rsidRPr="00FC49CE">
        <w:rPr>
          <w:sz w:val="24"/>
          <w:szCs w:val="24"/>
          <w:lang w:val="sr-Cyrl-RS"/>
        </w:rPr>
        <w:t xml:space="preserve">у </w:t>
      </w:r>
      <w:r w:rsidR="00F31B10">
        <w:rPr>
          <w:sz w:val="24"/>
          <w:szCs w:val="24"/>
          <w:lang w:val="sr-Cyrl-RS"/>
        </w:rPr>
        <w:t xml:space="preserve">више наврата </w:t>
      </w:r>
      <w:r w:rsidRPr="00FC49CE">
        <w:rPr>
          <w:sz w:val="24"/>
          <w:szCs w:val="24"/>
          <w:lang w:val="sr-Cyrl-RS"/>
        </w:rPr>
        <w:t xml:space="preserve">истицало да је карактер пријављених пројеката најчешће такав да </w:t>
      </w:r>
      <w:r w:rsidR="00B52373">
        <w:rPr>
          <w:sz w:val="24"/>
          <w:szCs w:val="24"/>
          <w:lang w:val="sr-Cyrl-RS"/>
        </w:rPr>
        <w:t xml:space="preserve">пројекти </w:t>
      </w:r>
      <w:r w:rsidRPr="00FC49CE">
        <w:rPr>
          <w:sz w:val="24"/>
          <w:szCs w:val="24"/>
          <w:lang w:val="sr-Cyrl-RS"/>
        </w:rPr>
        <w:t xml:space="preserve">у недовољној мери комуницирају са широм заједницом, односно да су затворени у оквире једне мањине. Имајући ово у виду, </w:t>
      </w:r>
      <w:r w:rsidR="00F31B10">
        <w:rPr>
          <w:sz w:val="24"/>
          <w:szCs w:val="24"/>
          <w:lang w:val="sr-Cyrl-RS"/>
        </w:rPr>
        <w:t>ре</w:t>
      </w:r>
      <w:r w:rsidRPr="00FC49CE">
        <w:rPr>
          <w:sz w:val="24"/>
          <w:szCs w:val="24"/>
          <w:lang w:val="sr-Cyrl-RS"/>
        </w:rPr>
        <w:t xml:space="preserve">дефинисани су конкурсни приоритети, </w:t>
      </w:r>
      <w:r w:rsidR="00F31B10">
        <w:rPr>
          <w:sz w:val="24"/>
          <w:szCs w:val="24"/>
          <w:lang w:val="sr-Cyrl-RS"/>
        </w:rPr>
        <w:t>тако да</w:t>
      </w:r>
      <w:r w:rsidRPr="00FC49CE">
        <w:rPr>
          <w:sz w:val="24"/>
          <w:szCs w:val="24"/>
          <w:lang w:val="sr-Cyrl-RS"/>
        </w:rPr>
        <w:t xml:space="preserve"> се предност даје пројектима који негују културне и језичке особености </w:t>
      </w:r>
      <w:r w:rsidR="00F31B10">
        <w:rPr>
          <w:sz w:val="24"/>
          <w:szCs w:val="24"/>
          <w:lang w:val="sr-Cyrl-RS"/>
        </w:rPr>
        <w:t xml:space="preserve">више </w:t>
      </w:r>
      <w:r w:rsidRPr="00FC49CE">
        <w:rPr>
          <w:sz w:val="24"/>
          <w:szCs w:val="24"/>
          <w:lang w:val="sr-Cyrl-RS"/>
        </w:rPr>
        <w:t>националних мањина и подстичу на међукултурни дијалог. У оквиру конкурса</w:t>
      </w:r>
      <w:r>
        <w:rPr>
          <w:sz w:val="24"/>
          <w:szCs w:val="24"/>
          <w:lang w:val="sr-Cyrl-RS"/>
        </w:rPr>
        <w:t xml:space="preserve"> за културне делатности националних мањина</w:t>
      </w:r>
      <w:r w:rsidRPr="00FC49CE">
        <w:rPr>
          <w:sz w:val="24"/>
          <w:szCs w:val="24"/>
          <w:lang w:val="sr-Cyrl-RS"/>
        </w:rPr>
        <w:t xml:space="preserve"> број конкурсних пријава за област мултикултурног стварал</w:t>
      </w:r>
      <w:r w:rsidR="00B820A7">
        <w:rPr>
          <w:sz w:val="24"/>
          <w:szCs w:val="24"/>
          <w:lang w:val="sr-Cyrl-RS"/>
        </w:rPr>
        <w:t>аштва се у извештајном периоду</w:t>
      </w:r>
      <w:r w:rsidRPr="00FC49CE">
        <w:rPr>
          <w:sz w:val="24"/>
          <w:szCs w:val="24"/>
          <w:lang w:val="sr-Cyrl-RS"/>
        </w:rPr>
        <w:t xml:space="preserve"> повећао, али, нажалост, њихов квалитет није био на задовољавајућем нивоу да би и број подржаних пројеката пратио ову статистику. У наредном периоду ће се, у оквиру планираних едукативних мера, радити на подизању свести о важности мултикултурног приступа, као и на садржинском квалитету понуђених пројеката.</w:t>
      </w:r>
      <w:r>
        <w:rPr>
          <w:sz w:val="24"/>
          <w:szCs w:val="24"/>
          <w:lang w:val="sr-Cyrl-RS"/>
        </w:rPr>
        <w:t xml:space="preserve"> </w:t>
      </w:r>
      <w:r w:rsidRPr="00FC49CE">
        <w:rPr>
          <w:sz w:val="24"/>
          <w:szCs w:val="24"/>
          <w:lang w:val="sr-Cyrl-RS"/>
        </w:rPr>
        <w:t xml:space="preserve">Табела у наставку </w:t>
      </w:r>
      <w:r w:rsidR="00F31B10">
        <w:rPr>
          <w:sz w:val="24"/>
          <w:szCs w:val="24"/>
          <w:lang w:val="sr-Cyrl-RS"/>
        </w:rPr>
        <w:t>садржи податке о мултикултуралним пројектима на</w:t>
      </w:r>
      <w:r w:rsidRPr="00FC49CE">
        <w:rPr>
          <w:sz w:val="24"/>
          <w:szCs w:val="24"/>
          <w:lang w:val="sr-Cyrl-RS"/>
        </w:rPr>
        <w:t xml:space="preserve"> </w:t>
      </w:r>
      <w:r w:rsidR="00F31B10">
        <w:rPr>
          <w:sz w:val="24"/>
          <w:szCs w:val="24"/>
          <w:lang w:val="sr-Cyrl-RS"/>
        </w:rPr>
        <w:t xml:space="preserve">специјализованим </w:t>
      </w:r>
      <w:r w:rsidRPr="00FC49CE">
        <w:rPr>
          <w:sz w:val="24"/>
          <w:szCs w:val="24"/>
          <w:lang w:val="sr-Cyrl-RS"/>
        </w:rPr>
        <w:t>конкурс</w:t>
      </w:r>
      <w:r w:rsidR="00F31B10">
        <w:rPr>
          <w:sz w:val="24"/>
          <w:szCs w:val="24"/>
          <w:lang w:val="sr-Cyrl-RS"/>
        </w:rPr>
        <w:t>има</w:t>
      </w:r>
      <w:r w:rsidRPr="00FC49CE">
        <w:rPr>
          <w:sz w:val="24"/>
          <w:szCs w:val="24"/>
          <w:lang w:val="sr-Cyrl-RS"/>
        </w:rPr>
        <w:t xml:space="preserve"> </w:t>
      </w:r>
      <w:r w:rsidR="00F31B10">
        <w:rPr>
          <w:sz w:val="24"/>
          <w:szCs w:val="24"/>
          <w:lang w:val="sr-Cyrl-RS"/>
        </w:rPr>
        <w:t xml:space="preserve">који су искључиво намењени </w:t>
      </w:r>
      <w:r w:rsidRPr="00FC49CE">
        <w:rPr>
          <w:sz w:val="24"/>
          <w:szCs w:val="24"/>
          <w:lang w:val="sr-Cyrl-RS"/>
        </w:rPr>
        <w:t xml:space="preserve">за </w:t>
      </w:r>
      <w:r w:rsidR="00F31B10">
        <w:rPr>
          <w:sz w:val="24"/>
          <w:szCs w:val="24"/>
          <w:lang w:val="sr-Cyrl-RS"/>
        </w:rPr>
        <w:t xml:space="preserve">суфинансирање </w:t>
      </w:r>
      <w:r w:rsidRPr="00FC49CE">
        <w:rPr>
          <w:sz w:val="24"/>
          <w:szCs w:val="24"/>
          <w:lang w:val="sr-Cyrl-RS"/>
        </w:rPr>
        <w:t>културне делатности националних мањина</w:t>
      </w:r>
      <w:r>
        <w:rPr>
          <w:sz w:val="24"/>
          <w:szCs w:val="24"/>
          <w:lang w:val="sr-Cyrl-RS"/>
        </w:rPr>
        <w:t xml:space="preserve">. </w:t>
      </w:r>
    </w:p>
    <w:p w:rsidR="00FC49CE" w:rsidRDefault="00FC49CE" w:rsidP="00FC49CE">
      <w:pPr>
        <w:spacing w:after="0"/>
        <w:jc w:val="both"/>
        <w:rPr>
          <w:sz w:val="24"/>
          <w:szCs w:val="24"/>
          <w:lang w:val="sr-Cyrl-RS"/>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FC49CE" w:rsidRPr="00E470B3" w:rsidTr="00CC11E2">
        <w:tc>
          <w:tcPr>
            <w:tcW w:w="1502" w:type="dxa"/>
          </w:tcPr>
          <w:p w:rsidR="00FC49CE" w:rsidRPr="00E470B3" w:rsidRDefault="00FC49CE" w:rsidP="00CC11E2">
            <w:pPr>
              <w:spacing w:after="0"/>
              <w:jc w:val="center"/>
              <w:rPr>
                <w:sz w:val="20"/>
                <w:szCs w:val="20"/>
                <w:lang w:val="sr-Cyrl-RS"/>
              </w:rPr>
            </w:pPr>
          </w:p>
        </w:tc>
        <w:tc>
          <w:tcPr>
            <w:tcW w:w="1502" w:type="dxa"/>
          </w:tcPr>
          <w:p w:rsidR="00FC49CE" w:rsidRPr="00E470B3" w:rsidRDefault="00FC49CE" w:rsidP="00CC11E2">
            <w:pPr>
              <w:spacing w:after="0"/>
              <w:jc w:val="center"/>
              <w:rPr>
                <w:sz w:val="20"/>
                <w:szCs w:val="20"/>
                <w:lang w:val="sr-Cyrl-RS"/>
              </w:rPr>
            </w:pPr>
            <w:r w:rsidRPr="00E470B3">
              <w:rPr>
                <w:sz w:val="20"/>
                <w:szCs w:val="20"/>
                <w:lang w:val="sr-Cyrl-RS"/>
              </w:rPr>
              <w:t>2017.</w:t>
            </w:r>
          </w:p>
        </w:tc>
        <w:tc>
          <w:tcPr>
            <w:tcW w:w="1503" w:type="dxa"/>
          </w:tcPr>
          <w:p w:rsidR="00FC49CE" w:rsidRPr="00E470B3" w:rsidRDefault="00FC49CE" w:rsidP="00CC11E2">
            <w:pPr>
              <w:spacing w:after="0"/>
              <w:jc w:val="center"/>
              <w:rPr>
                <w:sz w:val="20"/>
                <w:szCs w:val="20"/>
                <w:lang w:val="sr-Cyrl-RS"/>
              </w:rPr>
            </w:pPr>
            <w:r w:rsidRPr="00E470B3">
              <w:rPr>
                <w:sz w:val="20"/>
                <w:szCs w:val="20"/>
                <w:lang w:val="sr-Cyrl-RS"/>
              </w:rPr>
              <w:t>2018.</w:t>
            </w:r>
          </w:p>
        </w:tc>
        <w:tc>
          <w:tcPr>
            <w:tcW w:w="1503" w:type="dxa"/>
          </w:tcPr>
          <w:p w:rsidR="00FC49CE" w:rsidRPr="00E470B3" w:rsidRDefault="00FC49CE" w:rsidP="00CC11E2">
            <w:pPr>
              <w:spacing w:after="0"/>
              <w:jc w:val="center"/>
              <w:rPr>
                <w:sz w:val="20"/>
                <w:szCs w:val="20"/>
                <w:lang w:val="sr-Cyrl-RS"/>
              </w:rPr>
            </w:pPr>
            <w:r w:rsidRPr="00E470B3">
              <w:rPr>
                <w:sz w:val="20"/>
                <w:szCs w:val="20"/>
                <w:lang w:val="sr-Cyrl-RS"/>
              </w:rPr>
              <w:t>2019.</w:t>
            </w:r>
          </w:p>
        </w:tc>
        <w:tc>
          <w:tcPr>
            <w:tcW w:w="1503" w:type="dxa"/>
          </w:tcPr>
          <w:p w:rsidR="00FC49CE" w:rsidRPr="00E470B3" w:rsidRDefault="00FC49CE" w:rsidP="00CC11E2">
            <w:pPr>
              <w:spacing w:after="0"/>
              <w:jc w:val="center"/>
              <w:rPr>
                <w:sz w:val="20"/>
                <w:szCs w:val="20"/>
                <w:lang w:val="sr-Cyrl-RS"/>
              </w:rPr>
            </w:pPr>
            <w:r w:rsidRPr="00E470B3">
              <w:rPr>
                <w:sz w:val="20"/>
                <w:szCs w:val="20"/>
                <w:lang w:val="sr-Cyrl-RS"/>
              </w:rPr>
              <w:t>2020.</w:t>
            </w:r>
          </w:p>
        </w:tc>
        <w:tc>
          <w:tcPr>
            <w:tcW w:w="1503" w:type="dxa"/>
          </w:tcPr>
          <w:p w:rsidR="00FC49CE" w:rsidRPr="00E470B3" w:rsidRDefault="00FC49CE" w:rsidP="00CC11E2">
            <w:pPr>
              <w:spacing w:after="0"/>
              <w:jc w:val="center"/>
              <w:rPr>
                <w:sz w:val="20"/>
                <w:szCs w:val="20"/>
                <w:lang w:val="sr-Cyrl-RS"/>
              </w:rPr>
            </w:pPr>
            <w:r w:rsidRPr="00E470B3">
              <w:rPr>
                <w:sz w:val="20"/>
                <w:szCs w:val="20"/>
                <w:lang w:val="sr-Cyrl-RS"/>
              </w:rPr>
              <w:t>2021.</w:t>
            </w:r>
          </w:p>
        </w:tc>
      </w:tr>
      <w:tr w:rsidR="00FC49CE" w:rsidRPr="00DD045B" w:rsidTr="00CC11E2">
        <w:tc>
          <w:tcPr>
            <w:tcW w:w="1502" w:type="dxa"/>
            <w:vAlign w:val="bottom"/>
          </w:tcPr>
          <w:p w:rsidR="00FC49CE" w:rsidRPr="00E470B3" w:rsidRDefault="00FC49CE" w:rsidP="00CC11E2">
            <w:pPr>
              <w:spacing w:after="0"/>
              <w:rPr>
                <w:rFonts w:eastAsia="Times New Roman"/>
                <w:color w:val="000000"/>
                <w:sz w:val="20"/>
                <w:szCs w:val="20"/>
              </w:rPr>
            </w:pPr>
            <w:r>
              <w:rPr>
                <w:rFonts w:eastAsia="Times New Roman"/>
                <w:color w:val="000000"/>
                <w:sz w:val="20"/>
                <w:szCs w:val="20"/>
                <w:lang w:val="sr-Cyrl-RS"/>
              </w:rPr>
              <w:t>Б</w:t>
            </w:r>
            <w:r w:rsidRPr="00E470B3">
              <w:rPr>
                <w:rFonts w:eastAsia="Times New Roman"/>
                <w:color w:val="000000"/>
                <w:sz w:val="20"/>
                <w:szCs w:val="20"/>
              </w:rPr>
              <w:t xml:space="preserve">рој </w:t>
            </w:r>
            <w:r>
              <w:rPr>
                <w:rFonts w:eastAsia="Times New Roman"/>
                <w:color w:val="000000"/>
                <w:sz w:val="20"/>
                <w:szCs w:val="20"/>
                <w:lang w:val="sr-Cyrl-RS"/>
              </w:rPr>
              <w:t xml:space="preserve">пријављених </w:t>
            </w:r>
            <w:r w:rsidRPr="00E470B3">
              <w:rPr>
                <w:rFonts w:eastAsia="Times New Roman"/>
                <w:color w:val="000000"/>
                <w:sz w:val="20"/>
                <w:szCs w:val="20"/>
              </w:rPr>
              <w:t>пројеката</w:t>
            </w:r>
          </w:p>
        </w:tc>
        <w:tc>
          <w:tcPr>
            <w:tcW w:w="1502" w:type="dxa"/>
            <w:vAlign w:val="center"/>
          </w:tcPr>
          <w:p w:rsidR="00FC49CE" w:rsidRPr="00FC49CE" w:rsidRDefault="00FC49CE" w:rsidP="00CC11E2">
            <w:pPr>
              <w:spacing w:after="0"/>
              <w:jc w:val="center"/>
              <w:rPr>
                <w:rFonts w:eastAsia="Times New Roman"/>
                <w:color w:val="000000"/>
                <w:sz w:val="20"/>
                <w:szCs w:val="20"/>
                <w:lang w:val="sr-Cyrl-RS"/>
              </w:rPr>
            </w:pPr>
            <w:r>
              <w:rPr>
                <w:rFonts w:eastAsia="Times New Roman"/>
                <w:color w:val="000000"/>
                <w:sz w:val="20"/>
                <w:szCs w:val="20"/>
                <w:lang w:val="sr-Cyrl-RS"/>
              </w:rPr>
              <w:t>9</w:t>
            </w:r>
          </w:p>
        </w:tc>
        <w:tc>
          <w:tcPr>
            <w:tcW w:w="1503" w:type="dxa"/>
            <w:vAlign w:val="center"/>
          </w:tcPr>
          <w:p w:rsidR="00FC49CE" w:rsidRPr="00DD045B" w:rsidRDefault="00FC49CE" w:rsidP="00CC11E2">
            <w:pPr>
              <w:spacing w:after="0"/>
              <w:jc w:val="center"/>
              <w:rPr>
                <w:rFonts w:eastAsia="Times New Roman"/>
                <w:color w:val="000000"/>
                <w:sz w:val="20"/>
                <w:szCs w:val="20"/>
                <w:lang w:val="sr-Cyrl-RS"/>
              </w:rPr>
            </w:pPr>
            <w:r>
              <w:rPr>
                <w:rFonts w:eastAsia="Times New Roman"/>
                <w:color w:val="000000"/>
                <w:sz w:val="20"/>
                <w:szCs w:val="20"/>
                <w:lang w:val="sr-Cyrl-RS"/>
              </w:rPr>
              <w:t>8</w:t>
            </w:r>
          </w:p>
        </w:tc>
        <w:tc>
          <w:tcPr>
            <w:tcW w:w="1503" w:type="dxa"/>
            <w:vAlign w:val="center"/>
          </w:tcPr>
          <w:p w:rsidR="00FC49CE" w:rsidRPr="00DD045B" w:rsidRDefault="00FC49CE" w:rsidP="00CC11E2">
            <w:pPr>
              <w:spacing w:after="0"/>
              <w:jc w:val="center"/>
              <w:rPr>
                <w:rFonts w:eastAsia="Times New Roman"/>
                <w:color w:val="000000"/>
                <w:sz w:val="20"/>
                <w:szCs w:val="20"/>
                <w:lang w:val="sr-Cyrl-RS"/>
              </w:rPr>
            </w:pPr>
            <w:r>
              <w:rPr>
                <w:rFonts w:eastAsia="Times New Roman"/>
                <w:color w:val="000000"/>
                <w:sz w:val="20"/>
                <w:szCs w:val="20"/>
                <w:lang w:val="sr-Cyrl-RS"/>
              </w:rPr>
              <w:t>10</w:t>
            </w:r>
          </w:p>
        </w:tc>
        <w:tc>
          <w:tcPr>
            <w:tcW w:w="1503" w:type="dxa"/>
            <w:vAlign w:val="center"/>
          </w:tcPr>
          <w:p w:rsidR="00FC49CE" w:rsidRPr="00DD045B" w:rsidRDefault="00FC49CE" w:rsidP="00CC11E2">
            <w:pPr>
              <w:spacing w:after="0"/>
              <w:jc w:val="center"/>
              <w:rPr>
                <w:rFonts w:eastAsia="Times New Roman"/>
                <w:color w:val="000000"/>
                <w:sz w:val="20"/>
                <w:szCs w:val="20"/>
                <w:lang w:val="sr-Cyrl-RS"/>
              </w:rPr>
            </w:pPr>
            <w:r>
              <w:rPr>
                <w:rFonts w:eastAsia="Times New Roman"/>
                <w:color w:val="000000"/>
                <w:sz w:val="20"/>
                <w:szCs w:val="20"/>
                <w:lang w:val="sr-Cyrl-RS"/>
              </w:rPr>
              <w:t>10</w:t>
            </w:r>
          </w:p>
        </w:tc>
        <w:tc>
          <w:tcPr>
            <w:tcW w:w="1503" w:type="dxa"/>
            <w:vAlign w:val="center"/>
          </w:tcPr>
          <w:p w:rsidR="00FC49CE" w:rsidRPr="00DD045B" w:rsidRDefault="00FC49CE" w:rsidP="00B820A7">
            <w:pPr>
              <w:spacing w:after="0"/>
              <w:jc w:val="center"/>
              <w:rPr>
                <w:rFonts w:eastAsia="Times New Roman"/>
                <w:color w:val="000000"/>
                <w:sz w:val="20"/>
                <w:szCs w:val="20"/>
                <w:lang w:val="sr-Cyrl-RS"/>
              </w:rPr>
            </w:pPr>
            <w:r>
              <w:rPr>
                <w:rFonts w:eastAsia="Times New Roman"/>
                <w:color w:val="000000"/>
                <w:sz w:val="20"/>
                <w:szCs w:val="20"/>
                <w:lang w:val="sr-Cyrl-RS"/>
              </w:rPr>
              <w:t>1</w:t>
            </w:r>
            <w:r w:rsidR="00B820A7">
              <w:rPr>
                <w:rFonts w:eastAsia="Times New Roman"/>
                <w:color w:val="000000"/>
                <w:sz w:val="20"/>
                <w:szCs w:val="20"/>
                <w:lang w:val="sr-Cyrl-RS"/>
              </w:rPr>
              <w:t>2</w:t>
            </w:r>
          </w:p>
        </w:tc>
      </w:tr>
      <w:tr w:rsidR="00FC49CE" w:rsidRPr="00DD045B" w:rsidTr="00CC11E2">
        <w:tc>
          <w:tcPr>
            <w:tcW w:w="1502" w:type="dxa"/>
            <w:vAlign w:val="bottom"/>
          </w:tcPr>
          <w:p w:rsidR="00FC49CE" w:rsidRDefault="00FC49CE" w:rsidP="00FC49CE">
            <w:pPr>
              <w:spacing w:after="0"/>
              <w:rPr>
                <w:rFonts w:eastAsia="Times New Roman"/>
                <w:color w:val="000000"/>
                <w:sz w:val="20"/>
                <w:szCs w:val="20"/>
                <w:lang w:val="sr-Cyrl-RS"/>
              </w:rPr>
            </w:pPr>
            <w:r>
              <w:rPr>
                <w:rFonts w:eastAsia="Times New Roman"/>
                <w:color w:val="000000"/>
                <w:sz w:val="20"/>
                <w:szCs w:val="20"/>
                <w:lang w:val="sr-Cyrl-RS"/>
              </w:rPr>
              <w:t>Б</w:t>
            </w:r>
            <w:r w:rsidRPr="00E470B3">
              <w:rPr>
                <w:rFonts w:eastAsia="Times New Roman"/>
                <w:color w:val="000000"/>
                <w:sz w:val="20"/>
                <w:szCs w:val="20"/>
              </w:rPr>
              <w:t xml:space="preserve">рој </w:t>
            </w:r>
            <w:r>
              <w:rPr>
                <w:rFonts w:eastAsia="Times New Roman"/>
                <w:color w:val="000000"/>
                <w:sz w:val="20"/>
                <w:szCs w:val="20"/>
                <w:lang w:val="sr-Cyrl-RS"/>
              </w:rPr>
              <w:t xml:space="preserve">подржаних </w:t>
            </w:r>
            <w:r w:rsidRPr="00E470B3">
              <w:rPr>
                <w:rFonts w:eastAsia="Times New Roman"/>
                <w:color w:val="000000"/>
                <w:sz w:val="20"/>
                <w:szCs w:val="20"/>
              </w:rPr>
              <w:t>пројеката</w:t>
            </w:r>
          </w:p>
        </w:tc>
        <w:tc>
          <w:tcPr>
            <w:tcW w:w="1502" w:type="dxa"/>
            <w:vAlign w:val="center"/>
          </w:tcPr>
          <w:p w:rsidR="00FC49CE" w:rsidRPr="00FC49CE" w:rsidRDefault="00FC49CE" w:rsidP="00CC11E2">
            <w:pPr>
              <w:spacing w:after="0"/>
              <w:jc w:val="center"/>
              <w:rPr>
                <w:rFonts w:eastAsia="Times New Roman"/>
                <w:color w:val="000000"/>
                <w:sz w:val="20"/>
                <w:szCs w:val="20"/>
                <w:lang w:val="sr-Cyrl-RS"/>
              </w:rPr>
            </w:pPr>
            <w:r>
              <w:rPr>
                <w:rFonts w:eastAsia="Times New Roman"/>
                <w:color w:val="000000"/>
                <w:sz w:val="20"/>
                <w:szCs w:val="20"/>
                <w:lang w:val="sr-Cyrl-RS"/>
              </w:rPr>
              <w:t>6</w:t>
            </w:r>
          </w:p>
        </w:tc>
        <w:tc>
          <w:tcPr>
            <w:tcW w:w="1503" w:type="dxa"/>
            <w:vAlign w:val="center"/>
          </w:tcPr>
          <w:p w:rsidR="00FC49CE" w:rsidRDefault="00FC49CE" w:rsidP="00CC11E2">
            <w:pPr>
              <w:spacing w:after="0"/>
              <w:jc w:val="center"/>
              <w:rPr>
                <w:rFonts w:eastAsia="Times New Roman"/>
                <w:color w:val="000000"/>
                <w:sz w:val="20"/>
                <w:szCs w:val="20"/>
                <w:lang w:val="sr-Cyrl-RS"/>
              </w:rPr>
            </w:pPr>
            <w:r>
              <w:rPr>
                <w:rFonts w:eastAsia="Times New Roman"/>
                <w:color w:val="000000"/>
                <w:sz w:val="20"/>
                <w:szCs w:val="20"/>
                <w:lang w:val="sr-Cyrl-RS"/>
              </w:rPr>
              <w:t>6</w:t>
            </w:r>
          </w:p>
        </w:tc>
        <w:tc>
          <w:tcPr>
            <w:tcW w:w="1503" w:type="dxa"/>
            <w:vAlign w:val="center"/>
          </w:tcPr>
          <w:p w:rsidR="00FC49CE" w:rsidRDefault="00FC49CE" w:rsidP="00CC11E2">
            <w:pPr>
              <w:spacing w:after="0"/>
              <w:jc w:val="center"/>
              <w:rPr>
                <w:rFonts w:eastAsia="Times New Roman"/>
                <w:color w:val="000000"/>
                <w:sz w:val="20"/>
                <w:szCs w:val="20"/>
                <w:lang w:val="sr-Cyrl-RS"/>
              </w:rPr>
            </w:pPr>
            <w:r>
              <w:rPr>
                <w:rFonts w:eastAsia="Times New Roman"/>
                <w:color w:val="000000"/>
                <w:sz w:val="20"/>
                <w:szCs w:val="20"/>
                <w:lang w:val="sr-Cyrl-RS"/>
              </w:rPr>
              <w:t>5</w:t>
            </w:r>
          </w:p>
        </w:tc>
        <w:tc>
          <w:tcPr>
            <w:tcW w:w="1503" w:type="dxa"/>
            <w:vAlign w:val="center"/>
          </w:tcPr>
          <w:p w:rsidR="00FC49CE" w:rsidRDefault="00B820A7" w:rsidP="00CC11E2">
            <w:pPr>
              <w:spacing w:after="0"/>
              <w:jc w:val="center"/>
              <w:rPr>
                <w:rFonts w:eastAsia="Times New Roman"/>
                <w:color w:val="000000"/>
                <w:sz w:val="20"/>
                <w:szCs w:val="20"/>
                <w:lang w:val="sr-Cyrl-RS"/>
              </w:rPr>
            </w:pPr>
            <w:r>
              <w:rPr>
                <w:rFonts w:eastAsia="Times New Roman"/>
                <w:color w:val="000000"/>
                <w:sz w:val="20"/>
                <w:szCs w:val="20"/>
                <w:lang w:val="sr-Cyrl-RS"/>
              </w:rPr>
              <w:t>7</w:t>
            </w:r>
          </w:p>
        </w:tc>
        <w:tc>
          <w:tcPr>
            <w:tcW w:w="1503" w:type="dxa"/>
            <w:vAlign w:val="center"/>
          </w:tcPr>
          <w:p w:rsidR="00FC49CE" w:rsidRDefault="00B820A7" w:rsidP="00CC11E2">
            <w:pPr>
              <w:spacing w:after="0"/>
              <w:jc w:val="center"/>
              <w:rPr>
                <w:rFonts w:eastAsia="Times New Roman"/>
                <w:color w:val="000000"/>
                <w:sz w:val="20"/>
                <w:szCs w:val="20"/>
                <w:lang w:val="sr-Cyrl-RS"/>
              </w:rPr>
            </w:pPr>
            <w:r>
              <w:rPr>
                <w:rFonts w:eastAsia="Times New Roman"/>
                <w:color w:val="000000"/>
                <w:sz w:val="20"/>
                <w:szCs w:val="20"/>
                <w:lang w:val="sr-Cyrl-RS"/>
              </w:rPr>
              <w:t>7</w:t>
            </w:r>
          </w:p>
        </w:tc>
      </w:tr>
      <w:tr w:rsidR="00FC49CE" w:rsidRPr="00E470B3" w:rsidTr="00CC11E2">
        <w:tc>
          <w:tcPr>
            <w:tcW w:w="1502" w:type="dxa"/>
          </w:tcPr>
          <w:p w:rsidR="00FC49CE" w:rsidRPr="00E470B3" w:rsidRDefault="00FC49CE" w:rsidP="00CC11E2">
            <w:pPr>
              <w:spacing w:after="0"/>
              <w:jc w:val="both"/>
              <w:rPr>
                <w:sz w:val="20"/>
                <w:szCs w:val="20"/>
                <w:lang w:val="sr-Cyrl-RS"/>
              </w:rPr>
            </w:pPr>
            <w:r>
              <w:rPr>
                <w:sz w:val="20"/>
                <w:szCs w:val="20"/>
                <w:lang w:val="sr-Cyrl-RS"/>
              </w:rPr>
              <w:t>Износ средстава</w:t>
            </w:r>
          </w:p>
        </w:tc>
        <w:tc>
          <w:tcPr>
            <w:tcW w:w="1502" w:type="dxa"/>
            <w:vAlign w:val="center"/>
          </w:tcPr>
          <w:p w:rsidR="00FC49CE" w:rsidRPr="00E470B3" w:rsidRDefault="00FC49CE" w:rsidP="00B820A7">
            <w:pPr>
              <w:spacing w:after="0"/>
              <w:jc w:val="center"/>
              <w:rPr>
                <w:sz w:val="20"/>
                <w:szCs w:val="20"/>
                <w:lang w:val="sr-Cyrl-RS"/>
              </w:rPr>
            </w:pPr>
            <w:r w:rsidRPr="00FC49CE">
              <w:rPr>
                <w:sz w:val="20"/>
                <w:szCs w:val="20"/>
                <w:lang w:val="sr-Cyrl-RS"/>
              </w:rPr>
              <w:t>1</w:t>
            </w:r>
            <w:r w:rsidR="00B820A7">
              <w:rPr>
                <w:sz w:val="20"/>
                <w:szCs w:val="20"/>
                <w:lang w:val="sr-Cyrl-RS"/>
              </w:rPr>
              <w:t>.</w:t>
            </w:r>
            <w:r w:rsidRPr="00FC49CE">
              <w:rPr>
                <w:sz w:val="20"/>
                <w:szCs w:val="20"/>
                <w:lang w:val="sr-Cyrl-RS"/>
              </w:rPr>
              <w:t>100</w:t>
            </w:r>
            <w:r w:rsidR="00B820A7">
              <w:rPr>
                <w:sz w:val="20"/>
                <w:szCs w:val="20"/>
                <w:lang w:val="sr-Cyrl-RS"/>
              </w:rPr>
              <w:t>.</w:t>
            </w:r>
            <w:r w:rsidRPr="00FC49CE">
              <w:rPr>
                <w:sz w:val="20"/>
                <w:szCs w:val="20"/>
                <w:lang w:val="sr-Cyrl-RS"/>
              </w:rPr>
              <w:t>000</w:t>
            </w:r>
            <w:r w:rsidR="00B820A7">
              <w:rPr>
                <w:sz w:val="20"/>
                <w:szCs w:val="20"/>
                <w:lang w:val="sr-Cyrl-RS"/>
              </w:rPr>
              <w:t>,</w:t>
            </w:r>
            <w:r w:rsidRPr="00FC49CE">
              <w:rPr>
                <w:sz w:val="20"/>
                <w:szCs w:val="20"/>
                <w:lang w:val="sr-Cyrl-RS"/>
              </w:rPr>
              <w:t>00</w:t>
            </w:r>
          </w:p>
        </w:tc>
        <w:tc>
          <w:tcPr>
            <w:tcW w:w="1503" w:type="dxa"/>
            <w:vAlign w:val="center"/>
          </w:tcPr>
          <w:p w:rsidR="00FC49CE" w:rsidRPr="00E470B3" w:rsidRDefault="00FC49CE" w:rsidP="00B820A7">
            <w:pPr>
              <w:spacing w:after="0"/>
              <w:jc w:val="center"/>
              <w:rPr>
                <w:sz w:val="20"/>
                <w:szCs w:val="20"/>
                <w:lang w:val="sr-Cyrl-RS"/>
              </w:rPr>
            </w:pPr>
            <w:r w:rsidRPr="00FC49CE">
              <w:rPr>
                <w:rFonts w:eastAsia="Times New Roman"/>
                <w:color w:val="000000"/>
                <w:sz w:val="20"/>
                <w:szCs w:val="20"/>
              </w:rPr>
              <w:t>720</w:t>
            </w:r>
            <w:r w:rsidR="00B820A7">
              <w:rPr>
                <w:rFonts w:eastAsia="Times New Roman"/>
                <w:color w:val="000000"/>
                <w:sz w:val="20"/>
                <w:szCs w:val="20"/>
                <w:lang w:val="sr-Cyrl-RS"/>
              </w:rPr>
              <w:t>.</w:t>
            </w:r>
            <w:r w:rsidRPr="00FC49CE">
              <w:rPr>
                <w:rFonts w:eastAsia="Times New Roman"/>
                <w:color w:val="000000"/>
                <w:sz w:val="20"/>
                <w:szCs w:val="20"/>
              </w:rPr>
              <w:t>000</w:t>
            </w:r>
            <w:r w:rsidR="00B820A7">
              <w:rPr>
                <w:rFonts w:eastAsia="Times New Roman"/>
                <w:color w:val="000000"/>
                <w:sz w:val="20"/>
                <w:szCs w:val="20"/>
                <w:lang w:val="sr-Cyrl-RS"/>
              </w:rPr>
              <w:t>,</w:t>
            </w:r>
            <w:r w:rsidRPr="00FC49CE">
              <w:rPr>
                <w:rFonts w:eastAsia="Times New Roman"/>
                <w:color w:val="000000"/>
                <w:sz w:val="20"/>
                <w:szCs w:val="20"/>
              </w:rPr>
              <w:t>00</w:t>
            </w:r>
          </w:p>
        </w:tc>
        <w:tc>
          <w:tcPr>
            <w:tcW w:w="1503" w:type="dxa"/>
            <w:vAlign w:val="center"/>
          </w:tcPr>
          <w:p w:rsidR="00FC49CE" w:rsidRPr="00E470B3" w:rsidRDefault="00FC49CE" w:rsidP="00B820A7">
            <w:pPr>
              <w:spacing w:after="0"/>
              <w:jc w:val="center"/>
              <w:rPr>
                <w:sz w:val="20"/>
                <w:szCs w:val="20"/>
                <w:lang w:val="sr-Cyrl-RS"/>
              </w:rPr>
            </w:pPr>
            <w:r w:rsidRPr="00FC49CE">
              <w:rPr>
                <w:rFonts w:eastAsia="Times New Roman"/>
                <w:color w:val="000000"/>
                <w:sz w:val="20"/>
                <w:szCs w:val="20"/>
              </w:rPr>
              <w:t>667</w:t>
            </w:r>
            <w:r w:rsidR="00B820A7">
              <w:rPr>
                <w:rFonts w:eastAsia="Times New Roman"/>
                <w:color w:val="000000"/>
                <w:sz w:val="20"/>
                <w:szCs w:val="20"/>
                <w:lang w:val="sr-Cyrl-RS"/>
              </w:rPr>
              <w:t>.</w:t>
            </w:r>
            <w:r w:rsidRPr="00FC49CE">
              <w:rPr>
                <w:rFonts w:eastAsia="Times New Roman"/>
                <w:color w:val="000000"/>
                <w:sz w:val="20"/>
                <w:szCs w:val="20"/>
              </w:rPr>
              <w:t>000</w:t>
            </w:r>
            <w:r w:rsidR="00B820A7">
              <w:rPr>
                <w:rFonts w:eastAsia="Times New Roman"/>
                <w:color w:val="000000"/>
                <w:sz w:val="20"/>
                <w:szCs w:val="20"/>
                <w:lang w:val="sr-Cyrl-RS"/>
              </w:rPr>
              <w:t>,</w:t>
            </w:r>
            <w:r w:rsidRPr="00FC49CE">
              <w:rPr>
                <w:rFonts w:eastAsia="Times New Roman"/>
                <w:color w:val="000000"/>
                <w:sz w:val="20"/>
                <w:szCs w:val="20"/>
              </w:rPr>
              <w:t>00</w:t>
            </w:r>
          </w:p>
        </w:tc>
        <w:tc>
          <w:tcPr>
            <w:tcW w:w="1503" w:type="dxa"/>
            <w:vAlign w:val="center"/>
          </w:tcPr>
          <w:p w:rsidR="00FC49CE" w:rsidRPr="00E470B3" w:rsidRDefault="00B820A7" w:rsidP="00B820A7">
            <w:pPr>
              <w:spacing w:after="0"/>
              <w:jc w:val="center"/>
              <w:rPr>
                <w:sz w:val="20"/>
                <w:szCs w:val="20"/>
                <w:lang w:val="sr-Cyrl-RS"/>
              </w:rPr>
            </w:pPr>
            <w:r w:rsidRPr="00B820A7">
              <w:rPr>
                <w:rFonts w:eastAsia="Times New Roman"/>
                <w:color w:val="000000"/>
                <w:sz w:val="20"/>
                <w:szCs w:val="20"/>
              </w:rPr>
              <w:t>845</w:t>
            </w:r>
            <w:r>
              <w:rPr>
                <w:rFonts w:eastAsia="Times New Roman"/>
                <w:color w:val="000000"/>
                <w:sz w:val="20"/>
                <w:szCs w:val="20"/>
                <w:lang w:val="sr-Cyrl-RS"/>
              </w:rPr>
              <w:t>.</w:t>
            </w:r>
            <w:r>
              <w:rPr>
                <w:rFonts w:eastAsia="Times New Roman"/>
                <w:color w:val="000000"/>
                <w:sz w:val="20"/>
                <w:szCs w:val="20"/>
              </w:rPr>
              <w:t>000,</w:t>
            </w:r>
            <w:r w:rsidRPr="00B820A7">
              <w:rPr>
                <w:rFonts w:eastAsia="Times New Roman"/>
                <w:color w:val="000000"/>
                <w:sz w:val="20"/>
                <w:szCs w:val="20"/>
              </w:rPr>
              <w:t>00</w:t>
            </w:r>
          </w:p>
        </w:tc>
        <w:tc>
          <w:tcPr>
            <w:tcW w:w="1503" w:type="dxa"/>
            <w:vAlign w:val="center"/>
          </w:tcPr>
          <w:p w:rsidR="00FC49CE" w:rsidRPr="00E470B3" w:rsidRDefault="00B820A7" w:rsidP="00B820A7">
            <w:pPr>
              <w:spacing w:after="0"/>
              <w:jc w:val="center"/>
              <w:rPr>
                <w:sz w:val="20"/>
                <w:szCs w:val="20"/>
                <w:lang w:val="sr-Cyrl-RS"/>
              </w:rPr>
            </w:pPr>
            <w:r w:rsidRPr="00B820A7">
              <w:rPr>
                <w:rFonts w:eastAsia="Times New Roman"/>
                <w:color w:val="000000"/>
                <w:sz w:val="20"/>
                <w:szCs w:val="20"/>
              </w:rPr>
              <w:t>840</w:t>
            </w:r>
            <w:r>
              <w:rPr>
                <w:rFonts w:eastAsia="Times New Roman"/>
                <w:color w:val="000000"/>
                <w:sz w:val="20"/>
                <w:szCs w:val="20"/>
                <w:lang w:val="sr-Cyrl-RS"/>
              </w:rPr>
              <w:t>.</w:t>
            </w:r>
            <w:r w:rsidRPr="00B820A7">
              <w:rPr>
                <w:rFonts w:eastAsia="Times New Roman"/>
                <w:color w:val="000000"/>
                <w:sz w:val="20"/>
                <w:szCs w:val="20"/>
              </w:rPr>
              <w:t>000</w:t>
            </w:r>
            <w:r>
              <w:rPr>
                <w:rFonts w:eastAsia="Times New Roman"/>
                <w:color w:val="000000"/>
                <w:sz w:val="20"/>
                <w:szCs w:val="20"/>
                <w:lang w:val="sr-Cyrl-RS"/>
              </w:rPr>
              <w:t>,</w:t>
            </w:r>
            <w:r w:rsidRPr="00B820A7">
              <w:rPr>
                <w:rFonts w:eastAsia="Times New Roman"/>
                <w:color w:val="000000"/>
                <w:sz w:val="20"/>
                <w:szCs w:val="20"/>
              </w:rPr>
              <w:t>00</w:t>
            </w:r>
          </w:p>
        </w:tc>
      </w:tr>
    </w:tbl>
    <w:p w:rsidR="00FC49CE" w:rsidRDefault="00FC49CE" w:rsidP="00FC49CE">
      <w:pPr>
        <w:spacing w:after="0"/>
        <w:jc w:val="both"/>
        <w:rPr>
          <w:sz w:val="24"/>
          <w:szCs w:val="24"/>
          <w:lang w:val="sr-Cyrl-RS"/>
        </w:rPr>
      </w:pPr>
    </w:p>
    <w:p w:rsidR="00B820A7" w:rsidRDefault="00F31B10" w:rsidP="00B820A7">
      <w:pPr>
        <w:spacing w:after="0"/>
        <w:ind w:firstLine="720"/>
        <w:jc w:val="both"/>
        <w:rPr>
          <w:sz w:val="24"/>
          <w:szCs w:val="24"/>
          <w:lang w:val="sr-Cyrl-RS"/>
        </w:rPr>
      </w:pPr>
      <w:r>
        <w:rPr>
          <w:sz w:val="24"/>
          <w:szCs w:val="24"/>
          <w:lang w:val="sr-Cyrl-RS"/>
        </w:rPr>
        <w:t xml:space="preserve">Осим </w:t>
      </w:r>
      <w:r w:rsidRPr="00F31B10">
        <w:rPr>
          <w:sz w:val="24"/>
          <w:szCs w:val="24"/>
          <w:lang w:val="sr-Cyrl-RS"/>
        </w:rPr>
        <w:t>на специјализованим конкурсима који су искључиво намењени за суфинансирање културне делатности националних мањина</w:t>
      </w:r>
      <w:r>
        <w:rPr>
          <w:sz w:val="24"/>
          <w:szCs w:val="24"/>
          <w:lang w:val="sr-Cyrl-RS"/>
        </w:rPr>
        <w:t>, с</w:t>
      </w:r>
      <w:r w:rsidR="00B820A7" w:rsidRPr="00B820A7">
        <w:rPr>
          <w:sz w:val="24"/>
          <w:szCs w:val="24"/>
          <w:lang w:val="sr-Cyrl-RS"/>
        </w:rPr>
        <w:t>уфинансира</w:t>
      </w:r>
      <w:r w:rsidR="00D42473">
        <w:rPr>
          <w:sz w:val="24"/>
          <w:szCs w:val="24"/>
          <w:lang w:val="sr-Cyrl-RS"/>
        </w:rPr>
        <w:t xml:space="preserve">ње </w:t>
      </w:r>
      <w:r w:rsidR="00D42473" w:rsidRPr="00B820A7">
        <w:rPr>
          <w:sz w:val="24"/>
          <w:szCs w:val="24"/>
          <w:lang w:val="sr-Cyrl-RS"/>
        </w:rPr>
        <w:t>мултикултурни</w:t>
      </w:r>
      <w:r w:rsidR="00D42473">
        <w:rPr>
          <w:sz w:val="24"/>
          <w:szCs w:val="24"/>
          <w:lang w:val="sr-Cyrl-RS"/>
        </w:rPr>
        <w:t>х</w:t>
      </w:r>
      <w:r w:rsidR="00D42473" w:rsidRPr="00B820A7">
        <w:rPr>
          <w:sz w:val="24"/>
          <w:szCs w:val="24"/>
          <w:lang w:val="sr-Cyrl-RS"/>
        </w:rPr>
        <w:t xml:space="preserve"> пројект</w:t>
      </w:r>
      <w:r w:rsidR="00D42473">
        <w:rPr>
          <w:sz w:val="24"/>
          <w:szCs w:val="24"/>
          <w:lang w:val="sr-Cyrl-RS"/>
        </w:rPr>
        <w:t>ата</w:t>
      </w:r>
      <w:r w:rsidR="00D42473" w:rsidRPr="00B820A7">
        <w:rPr>
          <w:sz w:val="24"/>
          <w:szCs w:val="24"/>
          <w:lang w:val="sr-Cyrl-RS"/>
        </w:rPr>
        <w:t xml:space="preserve"> </w:t>
      </w:r>
      <w:r>
        <w:rPr>
          <w:sz w:val="24"/>
          <w:szCs w:val="24"/>
          <w:lang w:val="sr-Cyrl-RS"/>
        </w:rPr>
        <w:t xml:space="preserve">вршено је и </w:t>
      </w:r>
      <w:r w:rsidR="00B820A7" w:rsidRPr="00B820A7">
        <w:rPr>
          <w:sz w:val="24"/>
          <w:szCs w:val="24"/>
          <w:lang w:val="sr-Cyrl-RS"/>
        </w:rPr>
        <w:t xml:space="preserve">на другим конкурсима Министарства, </w:t>
      </w:r>
      <w:r w:rsidR="00976A12">
        <w:rPr>
          <w:sz w:val="24"/>
          <w:szCs w:val="24"/>
          <w:lang w:val="sr-Cyrl-RS"/>
        </w:rPr>
        <w:t xml:space="preserve">о чему су подаци дати </w:t>
      </w:r>
      <w:r w:rsidR="00B820A7">
        <w:rPr>
          <w:sz w:val="24"/>
          <w:szCs w:val="24"/>
          <w:lang w:val="sr-Cyrl-RS"/>
        </w:rPr>
        <w:t>у доњој табели.</w:t>
      </w:r>
    </w:p>
    <w:p w:rsidR="00B820A7" w:rsidRDefault="00B820A7" w:rsidP="00B820A7">
      <w:pPr>
        <w:spacing w:after="0"/>
        <w:jc w:val="both"/>
        <w:rPr>
          <w:sz w:val="24"/>
          <w:szCs w:val="24"/>
          <w:lang w:val="sr-Cyrl-RS"/>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B820A7" w:rsidRPr="00E470B3" w:rsidTr="00CC11E2">
        <w:tc>
          <w:tcPr>
            <w:tcW w:w="1502" w:type="dxa"/>
          </w:tcPr>
          <w:p w:rsidR="00B820A7" w:rsidRPr="00E470B3" w:rsidRDefault="00B820A7" w:rsidP="00CC11E2">
            <w:pPr>
              <w:spacing w:after="0"/>
              <w:jc w:val="center"/>
              <w:rPr>
                <w:sz w:val="20"/>
                <w:szCs w:val="20"/>
                <w:lang w:val="sr-Cyrl-RS"/>
              </w:rPr>
            </w:pPr>
          </w:p>
        </w:tc>
        <w:tc>
          <w:tcPr>
            <w:tcW w:w="1502" w:type="dxa"/>
          </w:tcPr>
          <w:p w:rsidR="00B820A7" w:rsidRPr="00E470B3" w:rsidRDefault="00B820A7" w:rsidP="00CC11E2">
            <w:pPr>
              <w:spacing w:after="0"/>
              <w:jc w:val="center"/>
              <w:rPr>
                <w:sz w:val="20"/>
                <w:szCs w:val="20"/>
                <w:lang w:val="sr-Cyrl-RS"/>
              </w:rPr>
            </w:pPr>
            <w:r w:rsidRPr="00E470B3">
              <w:rPr>
                <w:sz w:val="20"/>
                <w:szCs w:val="20"/>
                <w:lang w:val="sr-Cyrl-RS"/>
              </w:rPr>
              <w:t>2017.</w:t>
            </w:r>
          </w:p>
        </w:tc>
        <w:tc>
          <w:tcPr>
            <w:tcW w:w="1503" w:type="dxa"/>
          </w:tcPr>
          <w:p w:rsidR="00B820A7" w:rsidRPr="00E470B3" w:rsidRDefault="00B820A7" w:rsidP="00CC11E2">
            <w:pPr>
              <w:spacing w:after="0"/>
              <w:jc w:val="center"/>
              <w:rPr>
                <w:sz w:val="20"/>
                <w:szCs w:val="20"/>
                <w:lang w:val="sr-Cyrl-RS"/>
              </w:rPr>
            </w:pPr>
            <w:r w:rsidRPr="00E470B3">
              <w:rPr>
                <w:sz w:val="20"/>
                <w:szCs w:val="20"/>
                <w:lang w:val="sr-Cyrl-RS"/>
              </w:rPr>
              <w:t>2018.</w:t>
            </w:r>
          </w:p>
        </w:tc>
        <w:tc>
          <w:tcPr>
            <w:tcW w:w="1503" w:type="dxa"/>
          </w:tcPr>
          <w:p w:rsidR="00B820A7" w:rsidRPr="00E470B3" w:rsidRDefault="00B820A7" w:rsidP="00CC11E2">
            <w:pPr>
              <w:spacing w:after="0"/>
              <w:jc w:val="center"/>
              <w:rPr>
                <w:sz w:val="20"/>
                <w:szCs w:val="20"/>
                <w:lang w:val="sr-Cyrl-RS"/>
              </w:rPr>
            </w:pPr>
            <w:r w:rsidRPr="00E470B3">
              <w:rPr>
                <w:sz w:val="20"/>
                <w:szCs w:val="20"/>
                <w:lang w:val="sr-Cyrl-RS"/>
              </w:rPr>
              <w:t>2019.</w:t>
            </w:r>
          </w:p>
        </w:tc>
        <w:tc>
          <w:tcPr>
            <w:tcW w:w="1503" w:type="dxa"/>
          </w:tcPr>
          <w:p w:rsidR="00B820A7" w:rsidRPr="00E470B3" w:rsidRDefault="00B820A7" w:rsidP="00CC11E2">
            <w:pPr>
              <w:spacing w:after="0"/>
              <w:jc w:val="center"/>
              <w:rPr>
                <w:sz w:val="20"/>
                <w:szCs w:val="20"/>
                <w:lang w:val="sr-Cyrl-RS"/>
              </w:rPr>
            </w:pPr>
            <w:r w:rsidRPr="00E470B3">
              <w:rPr>
                <w:sz w:val="20"/>
                <w:szCs w:val="20"/>
                <w:lang w:val="sr-Cyrl-RS"/>
              </w:rPr>
              <w:t>2020.</w:t>
            </w:r>
          </w:p>
        </w:tc>
        <w:tc>
          <w:tcPr>
            <w:tcW w:w="1503" w:type="dxa"/>
          </w:tcPr>
          <w:p w:rsidR="00B820A7" w:rsidRPr="00E470B3" w:rsidRDefault="00B820A7" w:rsidP="00CC11E2">
            <w:pPr>
              <w:spacing w:after="0"/>
              <w:jc w:val="center"/>
              <w:rPr>
                <w:sz w:val="20"/>
                <w:szCs w:val="20"/>
                <w:lang w:val="sr-Cyrl-RS"/>
              </w:rPr>
            </w:pPr>
            <w:r w:rsidRPr="00E470B3">
              <w:rPr>
                <w:sz w:val="20"/>
                <w:szCs w:val="20"/>
                <w:lang w:val="sr-Cyrl-RS"/>
              </w:rPr>
              <w:t>2021.</w:t>
            </w:r>
          </w:p>
        </w:tc>
      </w:tr>
      <w:tr w:rsidR="00B820A7" w:rsidRPr="00DD045B" w:rsidTr="00CC11E2">
        <w:tc>
          <w:tcPr>
            <w:tcW w:w="1502" w:type="dxa"/>
            <w:vAlign w:val="bottom"/>
          </w:tcPr>
          <w:p w:rsidR="00B820A7" w:rsidRDefault="00B820A7" w:rsidP="00CC11E2">
            <w:pPr>
              <w:spacing w:after="0"/>
              <w:rPr>
                <w:rFonts w:eastAsia="Times New Roman"/>
                <w:color w:val="000000"/>
                <w:sz w:val="20"/>
                <w:szCs w:val="20"/>
                <w:lang w:val="sr-Cyrl-RS"/>
              </w:rPr>
            </w:pPr>
            <w:r>
              <w:rPr>
                <w:rFonts w:eastAsia="Times New Roman"/>
                <w:color w:val="000000"/>
                <w:sz w:val="20"/>
                <w:szCs w:val="20"/>
                <w:lang w:val="sr-Cyrl-RS"/>
              </w:rPr>
              <w:t>Б</w:t>
            </w:r>
            <w:r w:rsidRPr="00E470B3">
              <w:rPr>
                <w:rFonts w:eastAsia="Times New Roman"/>
                <w:color w:val="000000"/>
                <w:sz w:val="20"/>
                <w:szCs w:val="20"/>
              </w:rPr>
              <w:t xml:space="preserve">рој </w:t>
            </w:r>
            <w:r>
              <w:rPr>
                <w:rFonts w:eastAsia="Times New Roman"/>
                <w:color w:val="000000"/>
                <w:sz w:val="20"/>
                <w:szCs w:val="20"/>
                <w:lang w:val="sr-Cyrl-RS"/>
              </w:rPr>
              <w:t xml:space="preserve">подржаних </w:t>
            </w:r>
            <w:r w:rsidRPr="00E470B3">
              <w:rPr>
                <w:rFonts w:eastAsia="Times New Roman"/>
                <w:color w:val="000000"/>
                <w:sz w:val="20"/>
                <w:szCs w:val="20"/>
              </w:rPr>
              <w:t>пројеката</w:t>
            </w:r>
          </w:p>
        </w:tc>
        <w:tc>
          <w:tcPr>
            <w:tcW w:w="1502" w:type="dxa"/>
            <w:vAlign w:val="center"/>
          </w:tcPr>
          <w:p w:rsidR="00B820A7" w:rsidRPr="00FC49CE" w:rsidRDefault="00B820A7" w:rsidP="00CC11E2">
            <w:pPr>
              <w:spacing w:after="0"/>
              <w:jc w:val="center"/>
              <w:rPr>
                <w:rFonts w:eastAsia="Times New Roman"/>
                <w:color w:val="000000"/>
                <w:sz w:val="20"/>
                <w:szCs w:val="20"/>
                <w:lang w:val="sr-Cyrl-RS"/>
              </w:rPr>
            </w:pPr>
            <w:r>
              <w:rPr>
                <w:rFonts w:eastAsia="Times New Roman"/>
                <w:color w:val="000000"/>
                <w:sz w:val="20"/>
                <w:szCs w:val="20"/>
                <w:lang w:val="sr-Cyrl-RS"/>
              </w:rPr>
              <w:t>5</w:t>
            </w:r>
          </w:p>
        </w:tc>
        <w:tc>
          <w:tcPr>
            <w:tcW w:w="1503" w:type="dxa"/>
            <w:vAlign w:val="center"/>
          </w:tcPr>
          <w:p w:rsidR="00B820A7" w:rsidRDefault="00B820A7" w:rsidP="00CC11E2">
            <w:pPr>
              <w:spacing w:after="0"/>
              <w:jc w:val="center"/>
              <w:rPr>
                <w:rFonts w:eastAsia="Times New Roman"/>
                <w:color w:val="000000"/>
                <w:sz w:val="20"/>
                <w:szCs w:val="20"/>
                <w:lang w:val="sr-Cyrl-RS"/>
              </w:rPr>
            </w:pPr>
            <w:r>
              <w:rPr>
                <w:rFonts w:eastAsia="Times New Roman"/>
                <w:color w:val="000000"/>
                <w:sz w:val="20"/>
                <w:szCs w:val="20"/>
                <w:lang w:val="sr-Cyrl-RS"/>
              </w:rPr>
              <w:t>4</w:t>
            </w:r>
          </w:p>
        </w:tc>
        <w:tc>
          <w:tcPr>
            <w:tcW w:w="1503" w:type="dxa"/>
            <w:vAlign w:val="center"/>
          </w:tcPr>
          <w:p w:rsidR="00B820A7" w:rsidRDefault="00B820A7" w:rsidP="00CC11E2">
            <w:pPr>
              <w:spacing w:after="0"/>
              <w:jc w:val="center"/>
              <w:rPr>
                <w:rFonts w:eastAsia="Times New Roman"/>
                <w:color w:val="000000"/>
                <w:sz w:val="20"/>
                <w:szCs w:val="20"/>
                <w:lang w:val="sr-Cyrl-RS"/>
              </w:rPr>
            </w:pPr>
            <w:r>
              <w:rPr>
                <w:rFonts w:eastAsia="Times New Roman"/>
                <w:color w:val="000000"/>
                <w:sz w:val="20"/>
                <w:szCs w:val="20"/>
                <w:lang w:val="sr-Cyrl-RS"/>
              </w:rPr>
              <w:t>7</w:t>
            </w:r>
          </w:p>
        </w:tc>
        <w:tc>
          <w:tcPr>
            <w:tcW w:w="1503" w:type="dxa"/>
            <w:vAlign w:val="center"/>
          </w:tcPr>
          <w:p w:rsidR="00B820A7" w:rsidRDefault="00B820A7" w:rsidP="00CC11E2">
            <w:pPr>
              <w:spacing w:after="0"/>
              <w:jc w:val="center"/>
              <w:rPr>
                <w:rFonts w:eastAsia="Times New Roman"/>
                <w:color w:val="000000"/>
                <w:sz w:val="20"/>
                <w:szCs w:val="20"/>
                <w:lang w:val="sr-Cyrl-RS"/>
              </w:rPr>
            </w:pPr>
            <w:r>
              <w:rPr>
                <w:rFonts w:eastAsia="Times New Roman"/>
                <w:color w:val="000000"/>
                <w:sz w:val="20"/>
                <w:szCs w:val="20"/>
                <w:lang w:val="sr-Cyrl-RS"/>
              </w:rPr>
              <w:t>9</w:t>
            </w:r>
          </w:p>
        </w:tc>
        <w:tc>
          <w:tcPr>
            <w:tcW w:w="1503" w:type="dxa"/>
            <w:vAlign w:val="center"/>
          </w:tcPr>
          <w:p w:rsidR="00B820A7" w:rsidRDefault="00B820A7" w:rsidP="00CC11E2">
            <w:pPr>
              <w:spacing w:after="0"/>
              <w:jc w:val="center"/>
              <w:rPr>
                <w:rFonts w:eastAsia="Times New Roman"/>
                <w:color w:val="000000"/>
                <w:sz w:val="20"/>
                <w:szCs w:val="20"/>
                <w:lang w:val="sr-Cyrl-RS"/>
              </w:rPr>
            </w:pPr>
            <w:r>
              <w:rPr>
                <w:rFonts w:eastAsia="Times New Roman"/>
                <w:color w:val="000000"/>
                <w:sz w:val="20"/>
                <w:szCs w:val="20"/>
                <w:lang w:val="sr-Cyrl-RS"/>
              </w:rPr>
              <w:t>8</w:t>
            </w:r>
          </w:p>
        </w:tc>
      </w:tr>
      <w:tr w:rsidR="00B820A7" w:rsidRPr="00E470B3" w:rsidTr="00CC11E2">
        <w:tc>
          <w:tcPr>
            <w:tcW w:w="1502" w:type="dxa"/>
          </w:tcPr>
          <w:p w:rsidR="00B820A7" w:rsidRPr="00E470B3" w:rsidRDefault="00B820A7" w:rsidP="00CC11E2">
            <w:pPr>
              <w:spacing w:after="0"/>
              <w:jc w:val="both"/>
              <w:rPr>
                <w:sz w:val="20"/>
                <w:szCs w:val="20"/>
                <w:lang w:val="sr-Cyrl-RS"/>
              </w:rPr>
            </w:pPr>
            <w:r>
              <w:rPr>
                <w:sz w:val="20"/>
                <w:szCs w:val="20"/>
                <w:lang w:val="sr-Cyrl-RS"/>
              </w:rPr>
              <w:t>Износ средстава</w:t>
            </w:r>
          </w:p>
        </w:tc>
        <w:tc>
          <w:tcPr>
            <w:tcW w:w="1502" w:type="dxa"/>
            <w:vAlign w:val="center"/>
          </w:tcPr>
          <w:p w:rsidR="00B820A7" w:rsidRPr="00E470B3" w:rsidRDefault="00B820A7" w:rsidP="00B820A7">
            <w:pPr>
              <w:spacing w:after="0"/>
              <w:jc w:val="center"/>
              <w:rPr>
                <w:sz w:val="20"/>
                <w:szCs w:val="20"/>
                <w:lang w:val="sr-Cyrl-RS"/>
              </w:rPr>
            </w:pPr>
            <w:r w:rsidRPr="00B820A7">
              <w:rPr>
                <w:sz w:val="20"/>
                <w:szCs w:val="20"/>
                <w:lang w:val="sr-Cyrl-RS"/>
              </w:rPr>
              <w:t>1</w:t>
            </w:r>
            <w:r>
              <w:rPr>
                <w:sz w:val="20"/>
                <w:szCs w:val="20"/>
                <w:lang w:val="sr-Cyrl-RS"/>
              </w:rPr>
              <w:t>.</w:t>
            </w:r>
            <w:r w:rsidRPr="00B820A7">
              <w:rPr>
                <w:sz w:val="20"/>
                <w:szCs w:val="20"/>
                <w:lang w:val="sr-Cyrl-RS"/>
              </w:rPr>
              <w:t>850</w:t>
            </w:r>
            <w:r>
              <w:rPr>
                <w:sz w:val="20"/>
                <w:szCs w:val="20"/>
                <w:lang w:val="sr-Cyrl-RS"/>
              </w:rPr>
              <w:t>.000,</w:t>
            </w:r>
            <w:r w:rsidRPr="00B820A7">
              <w:rPr>
                <w:sz w:val="20"/>
                <w:szCs w:val="20"/>
                <w:lang w:val="sr-Cyrl-RS"/>
              </w:rPr>
              <w:t>00</w:t>
            </w:r>
          </w:p>
        </w:tc>
        <w:tc>
          <w:tcPr>
            <w:tcW w:w="1503" w:type="dxa"/>
            <w:vAlign w:val="center"/>
          </w:tcPr>
          <w:p w:rsidR="00B820A7" w:rsidRPr="00E470B3" w:rsidRDefault="00B820A7" w:rsidP="00B820A7">
            <w:pPr>
              <w:spacing w:after="0"/>
              <w:jc w:val="center"/>
              <w:rPr>
                <w:sz w:val="20"/>
                <w:szCs w:val="20"/>
                <w:lang w:val="sr-Cyrl-RS"/>
              </w:rPr>
            </w:pPr>
            <w:r w:rsidRPr="00B820A7">
              <w:rPr>
                <w:sz w:val="20"/>
                <w:szCs w:val="20"/>
                <w:lang w:val="sr-Cyrl-RS"/>
              </w:rPr>
              <w:t>2</w:t>
            </w:r>
            <w:r>
              <w:rPr>
                <w:sz w:val="20"/>
                <w:szCs w:val="20"/>
                <w:lang w:val="sr-Cyrl-RS"/>
              </w:rPr>
              <w:t>.</w:t>
            </w:r>
            <w:r w:rsidRPr="00B820A7">
              <w:rPr>
                <w:sz w:val="20"/>
                <w:szCs w:val="20"/>
                <w:lang w:val="sr-Cyrl-RS"/>
              </w:rPr>
              <w:t>310</w:t>
            </w:r>
            <w:r>
              <w:rPr>
                <w:sz w:val="20"/>
                <w:szCs w:val="20"/>
                <w:lang w:val="sr-Cyrl-RS"/>
              </w:rPr>
              <w:t>.</w:t>
            </w:r>
            <w:r w:rsidRPr="00B820A7">
              <w:rPr>
                <w:sz w:val="20"/>
                <w:szCs w:val="20"/>
                <w:lang w:val="sr-Cyrl-RS"/>
              </w:rPr>
              <w:t>000</w:t>
            </w:r>
            <w:r>
              <w:rPr>
                <w:sz w:val="20"/>
                <w:szCs w:val="20"/>
                <w:lang w:val="sr-Cyrl-RS"/>
              </w:rPr>
              <w:t>,</w:t>
            </w:r>
            <w:r w:rsidRPr="00B820A7">
              <w:rPr>
                <w:sz w:val="20"/>
                <w:szCs w:val="20"/>
                <w:lang w:val="sr-Cyrl-RS"/>
              </w:rPr>
              <w:t>00</w:t>
            </w:r>
          </w:p>
        </w:tc>
        <w:tc>
          <w:tcPr>
            <w:tcW w:w="1503" w:type="dxa"/>
            <w:vAlign w:val="center"/>
          </w:tcPr>
          <w:p w:rsidR="00B820A7" w:rsidRPr="00E470B3" w:rsidRDefault="00B820A7" w:rsidP="00B820A7">
            <w:pPr>
              <w:spacing w:after="0"/>
              <w:jc w:val="center"/>
              <w:rPr>
                <w:sz w:val="20"/>
                <w:szCs w:val="20"/>
                <w:lang w:val="sr-Cyrl-RS"/>
              </w:rPr>
            </w:pPr>
            <w:r w:rsidRPr="00B820A7">
              <w:rPr>
                <w:sz w:val="20"/>
                <w:szCs w:val="20"/>
                <w:lang w:val="sr-Cyrl-RS"/>
              </w:rPr>
              <w:t>5</w:t>
            </w:r>
            <w:r>
              <w:rPr>
                <w:sz w:val="20"/>
                <w:szCs w:val="20"/>
                <w:lang w:val="sr-Cyrl-RS"/>
              </w:rPr>
              <w:t>.</w:t>
            </w:r>
            <w:r w:rsidRPr="00B820A7">
              <w:rPr>
                <w:sz w:val="20"/>
                <w:szCs w:val="20"/>
                <w:lang w:val="sr-Cyrl-RS"/>
              </w:rPr>
              <w:t>909</w:t>
            </w:r>
            <w:r>
              <w:rPr>
                <w:sz w:val="20"/>
                <w:szCs w:val="20"/>
                <w:lang w:val="sr-Cyrl-RS"/>
              </w:rPr>
              <w:t>.</w:t>
            </w:r>
            <w:r w:rsidRPr="00B820A7">
              <w:rPr>
                <w:sz w:val="20"/>
                <w:szCs w:val="20"/>
                <w:lang w:val="sr-Cyrl-RS"/>
              </w:rPr>
              <w:t>000</w:t>
            </w:r>
            <w:r>
              <w:rPr>
                <w:sz w:val="20"/>
                <w:szCs w:val="20"/>
                <w:lang w:val="sr-Cyrl-RS"/>
              </w:rPr>
              <w:t>,</w:t>
            </w:r>
            <w:r w:rsidRPr="00B820A7">
              <w:rPr>
                <w:sz w:val="20"/>
                <w:szCs w:val="20"/>
                <w:lang w:val="sr-Cyrl-RS"/>
              </w:rPr>
              <w:t>00</w:t>
            </w:r>
          </w:p>
        </w:tc>
        <w:tc>
          <w:tcPr>
            <w:tcW w:w="1503" w:type="dxa"/>
            <w:vAlign w:val="center"/>
          </w:tcPr>
          <w:p w:rsidR="00B820A7" w:rsidRPr="00E470B3" w:rsidRDefault="00B820A7" w:rsidP="00B820A7">
            <w:pPr>
              <w:spacing w:after="0"/>
              <w:jc w:val="center"/>
              <w:rPr>
                <w:sz w:val="20"/>
                <w:szCs w:val="20"/>
                <w:lang w:val="sr-Cyrl-RS"/>
              </w:rPr>
            </w:pPr>
            <w:r w:rsidRPr="00B820A7">
              <w:rPr>
                <w:sz w:val="20"/>
                <w:szCs w:val="20"/>
                <w:lang w:val="sr-Cyrl-RS"/>
              </w:rPr>
              <w:t>6</w:t>
            </w:r>
            <w:r>
              <w:rPr>
                <w:sz w:val="20"/>
                <w:szCs w:val="20"/>
                <w:lang w:val="sr-Cyrl-RS"/>
              </w:rPr>
              <w:t>.</w:t>
            </w:r>
            <w:r w:rsidRPr="00B820A7">
              <w:rPr>
                <w:sz w:val="20"/>
                <w:szCs w:val="20"/>
                <w:lang w:val="sr-Cyrl-RS"/>
              </w:rPr>
              <w:t>640</w:t>
            </w:r>
            <w:r>
              <w:rPr>
                <w:sz w:val="20"/>
                <w:szCs w:val="20"/>
                <w:lang w:val="sr-Cyrl-RS"/>
              </w:rPr>
              <w:t>.</w:t>
            </w:r>
            <w:r w:rsidRPr="00B820A7">
              <w:rPr>
                <w:sz w:val="20"/>
                <w:szCs w:val="20"/>
                <w:lang w:val="sr-Cyrl-RS"/>
              </w:rPr>
              <w:t>000</w:t>
            </w:r>
            <w:r>
              <w:rPr>
                <w:sz w:val="20"/>
                <w:szCs w:val="20"/>
                <w:lang w:val="sr-Cyrl-RS"/>
              </w:rPr>
              <w:t>,</w:t>
            </w:r>
            <w:r w:rsidRPr="00B820A7">
              <w:rPr>
                <w:sz w:val="20"/>
                <w:szCs w:val="20"/>
                <w:lang w:val="sr-Cyrl-RS"/>
              </w:rPr>
              <w:t>00</w:t>
            </w:r>
          </w:p>
        </w:tc>
        <w:tc>
          <w:tcPr>
            <w:tcW w:w="1503" w:type="dxa"/>
            <w:vAlign w:val="center"/>
          </w:tcPr>
          <w:p w:rsidR="00B820A7" w:rsidRPr="00E470B3" w:rsidRDefault="00B820A7" w:rsidP="00B820A7">
            <w:pPr>
              <w:spacing w:after="0"/>
              <w:jc w:val="center"/>
              <w:rPr>
                <w:sz w:val="20"/>
                <w:szCs w:val="20"/>
                <w:lang w:val="sr-Cyrl-RS"/>
              </w:rPr>
            </w:pPr>
            <w:r w:rsidRPr="00B820A7">
              <w:rPr>
                <w:sz w:val="20"/>
                <w:szCs w:val="20"/>
                <w:lang w:val="sr-Cyrl-RS"/>
              </w:rPr>
              <w:t>7</w:t>
            </w:r>
            <w:r>
              <w:rPr>
                <w:sz w:val="20"/>
                <w:szCs w:val="20"/>
                <w:lang w:val="sr-Cyrl-RS"/>
              </w:rPr>
              <w:t>.020.</w:t>
            </w:r>
            <w:r w:rsidRPr="00B820A7">
              <w:rPr>
                <w:sz w:val="20"/>
                <w:szCs w:val="20"/>
                <w:lang w:val="sr-Cyrl-RS"/>
              </w:rPr>
              <w:t>000</w:t>
            </w:r>
            <w:r>
              <w:rPr>
                <w:sz w:val="20"/>
                <w:szCs w:val="20"/>
                <w:lang w:val="sr-Cyrl-RS"/>
              </w:rPr>
              <w:t>,</w:t>
            </w:r>
            <w:r w:rsidRPr="00B820A7">
              <w:rPr>
                <w:sz w:val="20"/>
                <w:szCs w:val="20"/>
                <w:lang w:val="sr-Cyrl-RS"/>
              </w:rPr>
              <w:t>00</w:t>
            </w:r>
          </w:p>
        </w:tc>
      </w:tr>
    </w:tbl>
    <w:p w:rsidR="00B820A7" w:rsidRDefault="00B820A7" w:rsidP="00B820A7">
      <w:pPr>
        <w:spacing w:after="0"/>
        <w:jc w:val="both"/>
        <w:rPr>
          <w:sz w:val="24"/>
          <w:szCs w:val="24"/>
          <w:lang w:val="sr-Cyrl-RS"/>
        </w:rPr>
      </w:pPr>
    </w:p>
    <w:p w:rsidR="00D42473" w:rsidRDefault="00DC6F68" w:rsidP="00A67214">
      <w:pPr>
        <w:spacing w:after="0"/>
        <w:ind w:firstLine="720"/>
        <w:jc w:val="both"/>
        <w:rPr>
          <w:sz w:val="24"/>
          <w:szCs w:val="24"/>
          <w:lang w:val="sr-Cyrl-RS"/>
        </w:rPr>
      </w:pPr>
      <w:r w:rsidRPr="00DC6F68">
        <w:rPr>
          <w:sz w:val="24"/>
          <w:szCs w:val="24"/>
          <w:lang w:val="sr-Cyrl-RS"/>
        </w:rPr>
        <w:t xml:space="preserve">У области заштите и очувања културног наслеђа у АП Војводини, конкурс за финансирање – суфинансирање пројеката који се расписује на годишњем нивоу, подразумева пројекте у области заштите непокретног, покретног и нематеријалног наслеђа свих народа и националних мањина чије се наслеђе, сходно закону, сматра културним добром. У складу са међународним стандардима, културно наслеђе као </w:t>
      </w:r>
      <w:r w:rsidRPr="00DC6F68">
        <w:rPr>
          <w:sz w:val="24"/>
          <w:szCs w:val="24"/>
          <w:lang w:val="sr-Cyrl-RS"/>
        </w:rPr>
        <w:lastRenderedPageBreak/>
        <w:t xml:space="preserve">цивилизацијска тековина припада свима, те </w:t>
      </w:r>
      <w:r w:rsidR="00B52373">
        <w:rPr>
          <w:sz w:val="24"/>
          <w:szCs w:val="24"/>
          <w:lang w:val="sr-Cyrl-RS"/>
        </w:rPr>
        <w:t xml:space="preserve">је </w:t>
      </w:r>
      <w:r w:rsidRPr="00DC6F68">
        <w:rPr>
          <w:sz w:val="24"/>
          <w:szCs w:val="24"/>
          <w:lang w:val="sr-Cyrl-RS"/>
        </w:rPr>
        <w:t>добробит од његове заштите и очувања заједничка</w:t>
      </w:r>
      <w:r w:rsidR="00B52373">
        <w:rPr>
          <w:sz w:val="24"/>
          <w:szCs w:val="24"/>
          <w:lang w:val="sr-Cyrl-RS"/>
        </w:rPr>
        <w:t>, а</w:t>
      </w:r>
      <w:r w:rsidRPr="00DC6F68">
        <w:rPr>
          <w:sz w:val="24"/>
          <w:szCs w:val="24"/>
          <w:lang w:val="sr-Cyrl-RS"/>
        </w:rPr>
        <w:t xml:space="preserve"> највећи број подржаних пројеката (</w:t>
      </w:r>
      <w:r w:rsidR="00A67214">
        <w:rPr>
          <w:sz w:val="24"/>
          <w:szCs w:val="24"/>
          <w:lang w:val="sr-Cyrl-RS"/>
        </w:rPr>
        <w:t>више од</w:t>
      </w:r>
      <w:r w:rsidRPr="00DC6F68">
        <w:rPr>
          <w:sz w:val="24"/>
          <w:szCs w:val="24"/>
          <w:lang w:val="sr-Cyrl-RS"/>
        </w:rPr>
        <w:t xml:space="preserve"> 80 %) по овом конкурсу има мултикултурни карактер.</w:t>
      </w:r>
      <w:r w:rsidR="00A67214">
        <w:rPr>
          <w:sz w:val="24"/>
          <w:szCs w:val="24"/>
          <w:lang w:val="sr-Cyrl-RS"/>
        </w:rPr>
        <w:t xml:space="preserve"> </w:t>
      </w:r>
      <w:r w:rsidRPr="00DC6F68">
        <w:rPr>
          <w:sz w:val="24"/>
          <w:szCs w:val="24"/>
          <w:lang w:val="sr-Cyrl-RS"/>
        </w:rPr>
        <w:t xml:space="preserve">У области савременог стваралаштва, </w:t>
      </w:r>
      <w:r w:rsidR="00A67214">
        <w:rPr>
          <w:sz w:val="24"/>
          <w:szCs w:val="24"/>
          <w:lang w:val="sr-Cyrl-RS"/>
        </w:rPr>
        <w:t xml:space="preserve">такође се </w:t>
      </w:r>
      <w:r w:rsidRPr="00DC6F68">
        <w:rPr>
          <w:sz w:val="24"/>
          <w:szCs w:val="24"/>
          <w:lang w:val="sr-Cyrl-RS"/>
        </w:rPr>
        <w:t xml:space="preserve">подржавају пројекти који имају мултикултурну димензију, а број подржаних </w:t>
      </w:r>
      <w:r w:rsidR="00A67214">
        <w:rPr>
          <w:sz w:val="24"/>
          <w:szCs w:val="24"/>
          <w:lang w:val="sr-Cyrl-RS"/>
        </w:rPr>
        <w:t xml:space="preserve">мултикултурних </w:t>
      </w:r>
      <w:r w:rsidRPr="00DC6F68">
        <w:rPr>
          <w:sz w:val="24"/>
          <w:szCs w:val="24"/>
          <w:lang w:val="sr-Cyrl-RS"/>
        </w:rPr>
        <w:t xml:space="preserve">пројеката зависи </w:t>
      </w:r>
      <w:r w:rsidR="00A67214">
        <w:rPr>
          <w:sz w:val="24"/>
          <w:szCs w:val="24"/>
          <w:lang w:val="sr-Cyrl-RS"/>
        </w:rPr>
        <w:t xml:space="preserve">пре свега </w:t>
      </w:r>
      <w:r w:rsidRPr="00DC6F68">
        <w:rPr>
          <w:sz w:val="24"/>
          <w:szCs w:val="24"/>
          <w:lang w:val="sr-Cyrl-RS"/>
        </w:rPr>
        <w:t>од броја и квалитета поднетих пријава.</w:t>
      </w:r>
    </w:p>
    <w:p w:rsidR="00A67214" w:rsidRDefault="00A67214" w:rsidP="00A67214">
      <w:pPr>
        <w:spacing w:after="0"/>
        <w:jc w:val="both"/>
        <w:rPr>
          <w:sz w:val="24"/>
          <w:szCs w:val="24"/>
          <w:lang w:val="sr-Cyrl-RS"/>
        </w:rPr>
      </w:pPr>
    </w:p>
    <w:tbl>
      <w:tblPr>
        <w:tblStyle w:val="TableGrid"/>
        <w:tblW w:w="0" w:type="auto"/>
        <w:tblLook w:val="04A0" w:firstRow="1" w:lastRow="0" w:firstColumn="1" w:lastColumn="0" w:noHBand="0" w:noVBand="1"/>
      </w:tblPr>
      <w:tblGrid>
        <w:gridCol w:w="1587"/>
        <w:gridCol w:w="1503"/>
        <w:gridCol w:w="1504"/>
        <w:gridCol w:w="1504"/>
        <w:gridCol w:w="1453"/>
        <w:gridCol w:w="1465"/>
      </w:tblGrid>
      <w:tr w:rsidR="00A62F9D" w:rsidRPr="00E470B3" w:rsidTr="00CC11E2">
        <w:tc>
          <w:tcPr>
            <w:tcW w:w="9016" w:type="dxa"/>
            <w:gridSpan w:val="6"/>
          </w:tcPr>
          <w:p w:rsidR="00A62F9D" w:rsidRDefault="00A62F9D" w:rsidP="00A62F9D">
            <w:pPr>
              <w:spacing w:after="0"/>
              <w:jc w:val="center"/>
              <w:rPr>
                <w:rFonts w:eastAsia="Times New Roman"/>
                <w:color w:val="000000"/>
                <w:sz w:val="20"/>
                <w:szCs w:val="20"/>
                <w:lang w:val="sr-Cyrl-RS"/>
              </w:rPr>
            </w:pPr>
            <w:r>
              <w:rPr>
                <w:rFonts w:eastAsia="Times New Roman"/>
                <w:color w:val="000000"/>
                <w:sz w:val="20"/>
                <w:szCs w:val="20"/>
                <w:lang w:val="sr-Cyrl-RS"/>
              </w:rPr>
              <w:t>З</w:t>
            </w:r>
            <w:r w:rsidRPr="00A67214">
              <w:rPr>
                <w:rFonts w:eastAsia="Times New Roman"/>
                <w:color w:val="000000"/>
                <w:sz w:val="20"/>
                <w:szCs w:val="20"/>
                <w:lang w:val="sr-Cyrl-RS"/>
              </w:rPr>
              <w:t>аштита и очување културног наслеђа</w:t>
            </w:r>
          </w:p>
          <w:p w:rsidR="00A62F9D" w:rsidRPr="00E470B3" w:rsidRDefault="00A62F9D" w:rsidP="00A62F9D">
            <w:pPr>
              <w:spacing w:after="0"/>
              <w:jc w:val="center"/>
              <w:rPr>
                <w:sz w:val="20"/>
                <w:szCs w:val="20"/>
                <w:lang w:val="sr-Cyrl-RS"/>
              </w:rPr>
            </w:pPr>
          </w:p>
        </w:tc>
      </w:tr>
      <w:tr w:rsidR="00B73822" w:rsidRPr="00E470B3" w:rsidTr="000B30D0">
        <w:tc>
          <w:tcPr>
            <w:tcW w:w="1587" w:type="dxa"/>
          </w:tcPr>
          <w:p w:rsidR="00A67214" w:rsidRPr="00E470B3" w:rsidRDefault="00A67214" w:rsidP="00CC11E2">
            <w:pPr>
              <w:spacing w:after="0"/>
              <w:jc w:val="center"/>
              <w:rPr>
                <w:sz w:val="20"/>
                <w:szCs w:val="20"/>
                <w:lang w:val="sr-Cyrl-RS"/>
              </w:rPr>
            </w:pPr>
          </w:p>
        </w:tc>
        <w:tc>
          <w:tcPr>
            <w:tcW w:w="1503" w:type="dxa"/>
          </w:tcPr>
          <w:p w:rsidR="00A67214" w:rsidRPr="00E470B3" w:rsidRDefault="00A67214" w:rsidP="00CC11E2">
            <w:pPr>
              <w:spacing w:after="0"/>
              <w:jc w:val="center"/>
              <w:rPr>
                <w:sz w:val="20"/>
                <w:szCs w:val="20"/>
                <w:lang w:val="sr-Cyrl-RS"/>
              </w:rPr>
            </w:pPr>
            <w:r w:rsidRPr="00E470B3">
              <w:rPr>
                <w:sz w:val="20"/>
                <w:szCs w:val="20"/>
                <w:lang w:val="sr-Cyrl-RS"/>
              </w:rPr>
              <w:t>2017.</w:t>
            </w:r>
          </w:p>
        </w:tc>
        <w:tc>
          <w:tcPr>
            <w:tcW w:w="1504" w:type="dxa"/>
          </w:tcPr>
          <w:p w:rsidR="00A67214" w:rsidRPr="00E470B3" w:rsidRDefault="00A67214" w:rsidP="00CC11E2">
            <w:pPr>
              <w:spacing w:after="0"/>
              <w:jc w:val="center"/>
              <w:rPr>
                <w:sz w:val="20"/>
                <w:szCs w:val="20"/>
                <w:lang w:val="sr-Cyrl-RS"/>
              </w:rPr>
            </w:pPr>
            <w:r w:rsidRPr="00E470B3">
              <w:rPr>
                <w:sz w:val="20"/>
                <w:szCs w:val="20"/>
                <w:lang w:val="sr-Cyrl-RS"/>
              </w:rPr>
              <w:t>2018.</w:t>
            </w:r>
          </w:p>
        </w:tc>
        <w:tc>
          <w:tcPr>
            <w:tcW w:w="1504" w:type="dxa"/>
          </w:tcPr>
          <w:p w:rsidR="00A67214" w:rsidRPr="00E470B3" w:rsidRDefault="00A67214" w:rsidP="00CC11E2">
            <w:pPr>
              <w:spacing w:after="0"/>
              <w:jc w:val="center"/>
              <w:rPr>
                <w:sz w:val="20"/>
                <w:szCs w:val="20"/>
                <w:lang w:val="sr-Cyrl-RS"/>
              </w:rPr>
            </w:pPr>
            <w:r w:rsidRPr="00E470B3">
              <w:rPr>
                <w:sz w:val="20"/>
                <w:szCs w:val="20"/>
                <w:lang w:val="sr-Cyrl-RS"/>
              </w:rPr>
              <w:t>2019.</w:t>
            </w:r>
          </w:p>
        </w:tc>
        <w:tc>
          <w:tcPr>
            <w:tcW w:w="1453" w:type="dxa"/>
          </w:tcPr>
          <w:p w:rsidR="00A67214" w:rsidRPr="00E470B3" w:rsidRDefault="00A67214" w:rsidP="00CC11E2">
            <w:pPr>
              <w:spacing w:after="0"/>
              <w:jc w:val="center"/>
              <w:rPr>
                <w:sz w:val="20"/>
                <w:szCs w:val="20"/>
                <w:lang w:val="sr-Cyrl-RS"/>
              </w:rPr>
            </w:pPr>
            <w:r w:rsidRPr="00E470B3">
              <w:rPr>
                <w:sz w:val="20"/>
                <w:szCs w:val="20"/>
                <w:lang w:val="sr-Cyrl-RS"/>
              </w:rPr>
              <w:t>2020.</w:t>
            </w:r>
          </w:p>
        </w:tc>
        <w:tc>
          <w:tcPr>
            <w:tcW w:w="1465" w:type="dxa"/>
          </w:tcPr>
          <w:p w:rsidR="00A67214" w:rsidRPr="00E470B3" w:rsidRDefault="00A67214" w:rsidP="00CC11E2">
            <w:pPr>
              <w:spacing w:after="0"/>
              <w:jc w:val="center"/>
              <w:rPr>
                <w:sz w:val="20"/>
                <w:szCs w:val="20"/>
                <w:lang w:val="sr-Cyrl-RS"/>
              </w:rPr>
            </w:pPr>
            <w:r w:rsidRPr="00E470B3">
              <w:rPr>
                <w:sz w:val="20"/>
                <w:szCs w:val="20"/>
                <w:lang w:val="sr-Cyrl-RS"/>
              </w:rPr>
              <w:t>2021.</w:t>
            </w:r>
          </w:p>
        </w:tc>
      </w:tr>
      <w:tr w:rsidR="00B73822" w:rsidRPr="00DD045B" w:rsidTr="000B30D0">
        <w:tc>
          <w:tcPr>
            <w:tcW w:w="1587" w:type="dxa"/>
            <w:vAlign w:val="bottom"/>
          </w:tcPr>
          <w:p w:rsidR="00A67214" w:rsidRPr="00B73822" w:rsidRDefault="00B1174C" w:rsidP="00B1174C">
            <w:pPr>
              <w:spacing w:after="0"/>
              <w:rPr>
                <w:rFonts w:eastAsia="Times New Roman"/>
                <w:color w:val="000000"/>
                <w:sz w:val="20"/>
                <w:szCs w:val="20"/>
                <w:lang w:val="sr-Cyrl-RS"/>
              </w:rPr>
            </w:pPr>
            <w:r w:rsidRPr="00B73822">
              <w:rPr>
                <w:rFonts w:eastAsia="Times New Roman"/>
                <w:color w:val="000000"/>
                <w:sz w:val="20"/>
                <w:szCs w:val="20"/>
                <w:lang w:val="sr-Cyrl-RS"/>
              </w:rPr>
              <w:t>Укупан б</w:t>
            </w:r>
            <w:r w:rsidR="00A67214" w:rsidRPr="00B73822">
              <w:rPr>
                <w:rFonts w:eastAsia="Times New Roman"/>
                <w:color w:val="000000"/>
                <w:sz w:val="20"/>
                <w:szCs w:val="20"/>
                <w:lang w:val="sr-Cyrl-RS"/>
              </w:rPr>
              <w:t>рој пројеката</w:t>
            </w:r>
          </w:p>
        </w:tc>
        <w:tc>
          <w:tcPr>
            <w:tcW w:w="1503" w:type="dxa"/>
            <w:vAlign w:val="center"/>
          </w:tcPr>
          <w:p w:rsidR="00A67214" w:rsidRPr="00FC49CE" w:rsidRDefault="00A62F9D" w:rsidP="00172885">
            <w:pPr>
              <w:spacing w:after="0"/>
              <w:jc w:val="center"/>
              <w:rPr>
                <w:rFonts w:eastAsia="Times New Roman"/>
                <w:color w:val="000000"/>
                <w:sz w:val="20"/>
                <w:szCs w:val="20"/>
                <w:lang w:val="sr-Cyrl-RS"/>
              </w:rPr>
            </w:pPr>
            <w:r>
              <w:rPr>
                <w:rFonts w:eastAsia="Times New Roman"/>
                <w:color w:val="000000"/>
                <w:sz w:val="20"/>
                <w:szCs w:val="20"/>
                <w:lang w:val="sr-Cyrl-RS"/>
              </w:rPr>
              <w:t>31</w:t>
            </w:r>
          </w:p>
        </w:tc>
        <w:tc>
          <w:tcPr>
            <w:tcW w:w="1504" w:type="dxa"/>
            <w:vAlign w:val="center"/>
          </w:tcPr>
          <w:p w:rsidR="00A67214" w:rsidRDefault="00B73822" w:rsidP="00172885">
            <w:pPr>
              <w:spacing w:after="0"/>
              <w:jc w:val="center"/>
              <w:rPr>
                <w:rFonts w:eastAsia="Times New Roman"/>
                <w:color w:val="000000"/>
                <w:sz w:val="20"/>
                <w:szCs w:val="20"/>
                <w:lang w:val="sr-Cyrl-RS"/>
              </w:rPr>
            </w:pPr>
            <w:r>
              <w:rPr>
                <w:rFonts w:eastAsia="Times New Roman"/>
                <w:color w:val="000000"/>
                <w:sz w:val="20"/>
                <w:szCs w:val="20"/>
                <w:lang w:val="sr-Cyrl-RS"/>
              </w:rPr>
              <w:t>64</w:t>
            </w:r>
          </w:p>
        </w:tc>
        <w:tc>
          <w:tcPr>
            <w:tcW w:w="1504" w:type="dxa"/>
            <w:vAlign w:val="center"/>
          </w:tcPr>
          <w:p w:rsidR="00A67214" w:rsidRDefault="00B73822" w:rsidP="00172885">
            <w:pPr>
              <w:spacing w:after="0"/>
              <w:jc w:val="center"/>
              <w:rPr>
                <w:rFonts w:eastAsia="Times New Roman"/>
                <w:color w:val="000000"/>
                <w:sz w:val="20"/>
                <w:szCs w:val="20"/>
                <w:lang w:val="sr-Cyrl-RS"/>
              </w:rPr>
            </w:pPr>
            <w:r>
              <w:rPr>
                <w:rFonts w:eastAsia="Times New Roman"/>
                <w:color w:val="000000"/>
                <w:sz w:val="20"/>
                <w:szCs w:val="20"/>
                <w:lang w:val="sr-Cyrl-RS"/>
              </w:rPr>
              <w:t>36</w:t>
            </w:r>
          </w:p>
        </w:tc>
        <w:tc>
          <w:tcPr>
            <w:tcW w:w="1453" w:type="dxa"/>
            <w:vAlign w:val="center"/>
          </w:tcPr>
          <w:p w:rsidR="00A67214" w:rsidRDefault="00B73822" w:rsidP="00172885">
            <w:pPr>
              <w:spacing w:after="0"/>
              <w:jc w:val="center"/>
              <w:rPr>
                <w:rFonts w:eastAsia="Times New Roman"/>
                <w:color w:val="000000"/>
                <w:sz w:val="20"/>
                <w:szCs w:val="20"/>
                <w:lang w:val="sr-Cyrl-RS"/>
              </w:rPr>
            </w:pPr>
            <w:r>
              <w:rPr>
                <w:rFonts w:eastAsia="Times New Roman"/>
                <w:color w:val="000000"/>
                <w:sz w:val="20"/>
                <w:szCs w:val="20"/>
                <w:lang w:val="sr-Cyrl-RS"/>
              </w:rPr>
              <w:t>30</w:t>
            </w:r>
          </w:p>
        </w:tc>
        <w:tc>
          <w:tcPr>
            <w:tcW w:w="1465" w:type="dxa"/>
            <w:vAlign w:val="center"/>
          </w:tcPr>
          <w:p w:rsidR="00A67214" w:rsidRDefault="00B73822" w:rsidP="00172885">
            <w:pPr>
              <w:spacing w:after="0"/>
              <w:jc w:val="center"/>
              <w:rPr>
                <w:rFonts w:eastAsia="Times New Roman"/>
                <w:color w:val="000000"/>
                <w:sz w:val="20"/>
                <w:szCs w:val="20"/>
                <w:lang w:val="sr-Cyrl-RS"/>
              </w:rPr>
            </w:pPr>
            <w:r>
              <w:rPr>
                <w:rFonts w:eastAsia="Times New Roman"/>
                <w:color w:val="000000"/>
                <w:sz w:val="20"/>
                <w:szCs w:val="20"/>
                <w:lang w:val="sr-Cyrl-RS"/>
              </w:rPr>
              <w:t>91</w:t>
            </w:r>
          </w:p>
        </w:tc>
      </w:tr>
      <w:tr w:rsidR="00B1174C" w:rsidRPr="00DD045B" w:rsidTr="000B30D0">
        <w:tc>
          <w:tcPr>
            <w:tcW w:w="1587" w:type="dxa"/>
            <w:vAlign w:val="bottom"/>
          </w:tcPr>
          <w:p w:rsidR="00B1174C" w:rsidRPr="00B73822" w:rsidRDefault="00B1174C" w:rsidP="00CC11E2">
            <w:pPr>
              <w:spacing w:after="0"/>
              <w:rPr>
                <w:rFonts w:eastAsia="Times New Roman"/>
                <w:color w:val="000000"/>
                <w:sz w:val="20"/>
                <w:szCs w:val="20"/>
                <w:lang w:val="sr-Cyrl-RS"/>
              </w:rPr>
            </w:pPr>
            <w:r w:rsidRPr="00B73822">
              <w:rPr>
                <w:rFonts w:eastAsia="Times New Roman"/>
                <w:color w:val="000000"/>
                <w:sz w:val="20"/>
                <w:szCs w:val="20"/>
                <w:lang w:val="sr-Cyrl-RS"/>
              </w:rPr>
              <w:t>Мултикултурни</w:t>
            </w:r>
          </w:p>
        </w:tc>
        <w:tc>
          <w:tcPr>
            <w:tcW w:w="1503" w:type="dxa"/>
            <w:vAlign w:val="center"/>
          </w:tcPr>
          <w:p w:rsidR="00B1174C" w:rsidRDefault="00B73822" w:rsidP="00172885">
            <w:pPr>
              <w:spacing w:after="0"/>
              <w:jc w:val="center"/>
              <w:rPr>
                <w:rFonts w:eastAsia="Times New Roman"/>
                <w:color w:val="000000"/>
                <w:sz w:val="20"/>
                <w:szCs w:val="20"/>
                <w:lang w:val="sr-Cyrl-RS"/>
              </w:rPr>
            </w:pPr>
            <w:r>
              <w:rPr>
                <w:rFonts w:eastAsia="Times New Roman"/>
                <w:color w:val="000000"/>
                <w:sz w:val="20"/>
                <w:szCs w:val="20"/>
                <w:lang w:val="sr-Cyrl-RS"/>
              </w:rPr>
              <w:t>28</w:t>
            </w:r>
          </w:p>
        </w:tc>
        <w:tc>
          <w:tcPr>
            <w:tcW w:w="1504" w:type="dxa"/>
            <w:vAlign w:val="center"/>
          </w:tcPr>
          <w:p w:rsidR="00B1174C" w:rsidRDefault="00B73822" w:rsidP="00172885">
            <w:pPr>
              <w:spacing w:after="0"/>
              <w:jc w:val="center"/>
              <w:rPr>
                <w:rFonts w:eastAsia="Times New Roman"/>
                <w:color w:val="000000"/>
                <w:sz w:val="20"/>
                <w:szCs w:val="20"/>
                <w:lang w:val="sr-Cyrl-RS"/>
              </w:rPr>
            </w:pPr>
            <w:r>
              <w:rPr>
                <w:rFonts w:eastAsia="Times New Roman"/>
                <w:color w:val="000000"/>
                <w:sz w:val="20"/>
                <w:szCs w:val="20"/>
                <w:lang w:val="sr-Cyrl-RS"/>
              </w:rPr>
              <w:t>57</w:t>
            </w:r>
          </w:p>
        </w:tc>
        <w:tc>
          <w:tcPr>
            <w:tcW w:w="1504" w:type="dxa"/>
            <w:vAlign w:val="center"/>
          </w:tcPr>
          <w:p w:rsidR="00B1174C" w:rsidRDefault="00B73822" w:rsidP="00172885">
            <w:pPr>
              <w:spacing w:after="0"/>
              <w:jc w:val="center"/>
              <w:rPr>
                <w:rFonts w:eastAsia="Times New Roman"/>
                <w:color w:val="000000"/>
                <w:sz w:val="20"/>
                <w:szCs w:val="20"/>
                <w:lang w:val="sr-Cyrl-RS"/>
              </w:rPr>
            </w:pPr>
            <w:r>
              <w:rPr>
                <w:rFonts w:eastAsia="Times New Roman"/>
                <w:color w:val="000000"/>
                <w:sz w:val="20"/>
                <w:szCs w:val="20"/>
                <w:lang w:val="sr-Cyrl-RS"/>
              </w:rPr>
              <w:t>30</w:t>
            </w:r>
          </w:p>
        </w:tc>
        <w:tc>
          <w:tcPr>
            <w:tcW w:w="1453" w:type="dxa"/>
            <w:vAlign w:val="center"/>
          </w:tcPr>
          <w:p w:rsidR="00B1174C" w:rsidRDefault="00B73822" w:rsidP="00172885">
            <w:pPr>
              <w:spacing w:after="0"/>
              <w:jc w:val="center"/>
              <w:rPr>
                <w:rFonts w:eastAsia="Times New Roman"/>
                <w:color w:val="000000"/>
                <w:sz w:val="20"/>
                <w:szCs w:val="20"/>
                <w:lang w:val="sr-Cyrl-RS"/>
              </w:rPr>
            </w:pPr>
            <w:r>
              <w:rPr>
                <w:rFonts w:eastAsia="Times New Roman"/>
                <w:color w:val="000000"/>
                <w:sz w:val="20"/>
                <w:szCs w:val="20"/>
                <w:lang w:val="sr-Cyrl-RS"/>
              </w:rPr>
              <w:t>25</w:t>
            </w:r>
          </w:p>
        </w:tc>
        <w:tc>
          <w:tcPr>
            <w:tcW w:w="1465" w:type="dxa"/>
            <w:vAlign w:val="center"/>
          </w:tcPr>
          <w:p w:rsidR="00B1174C" w:rsidRDefault="00B73822" w:rsidP="00172885">
            <w:pPr>
              <w:spacing w:after="0"/>
              <w:jc w:val="center"/>
              <w:rPr>
                <w:rFonts w:eastAsia="Times New Roman"/>
                <w:color w:val="000000"/>
                <w:sz w:val="20"/>
                <w:szCs w:val="20"/>
                <w:lang w:val="sr-Cyrl-RS"/>
              </w:rPr>
            </w:pPr>
            <w:r>
              <w:rPr>
                <w:rFonts w:eastAsia="Times New Roman"/>
                <w:color w:val="000000"/>
                <w:sz w:val="20"/>
                <w:szCs w:val="20"/>
                <w:lang w:val="sr-Cyrl-RS"/>
              </w:rPr>
              <w:t>77</w:t>
            </w:r>
          </w:p>
        </w:tc>
      </w:tr>
      <w:tr w:rsidR="00B73822" w:rsidRPr="00E470B3" w:rsidTr="000B30D0">
        <w:tc>
          <w:tcPr>
            <w:tcW w:w="1587" w:type="dxa"/>
          </w:tcPr>
          <w:p w:rsidR="00A67214" w:rsidRPr="00B73822" w:rsidRDefault="00A67214" w:rsidP="000B30D0">
            <w:pPr>
              <w:spacing w:after="0"/>
              <w:rPr>
                <w:sz w:val="20"/>
                <w:szCs w:val="20"/>
                <w:lang w:val="sr-Cyrl-RS"/>
              </w:rPr>
            </w:pPr>
            <w:r w:rsidRPr="00B73822">
              <w:rPr>
                <w:sz w:val="20"/>
                <w:szCs w:val="20"/>
                <w:lang w:val="sr-Cyrl-RS"/>
              </w:rPr>
              <w:t>Износ средстава</w:t>
            </w:r>
            <w:r w:rsidR="00A62F9D" w:rsidRPr="00B73822">
              <w:rPr>
                <w:sz w:val="20"/>
                <w:szCs w:val="20"/>
                <w:lang w:val="sr-Cyrl-RS"/>
              </w:rPr>
              <w:t xml:space="preserve"> на конкурсу</w:t>
            </w:r>
          </w:p>
        </w:tc>
        <w:tc>
          <w:tcPr>
            <w:tcW w:w="1503" w:type="dxa"/>
            <w:vAlign w:val="center"/>
          </w:tcPr>
          <w:p w:rsidR="00A67214" w:rsidRPr="00E470B3" w:rsidRDefault="00A62F9D" w:rsidP="00A62F9D">
            <w:pPr>
              <w:spacing w:after="0"/>
              <w:jc w:val="center"/>
              <w:rPr>
                <w:sz w:val="20"/>
                <w:szCs w:val="20"/>
                <w:lang w:val="sr-Cyrl-RS"/>
              </w:rPr>
            </w:pPr>
            <w:r>
              <w:rPr>
                <w:sz w:val="20"/>
                <w:szCs w:val="20"/>
                <w:lang w:val="sr-Cyrl-RS"/>
              </w:rPr>
              <w:t>7</w:t>
            </w:r>
            <w:r w:rsidR="00A67214">
              <w:rPr>
                <w:sz w:val="20"/>
                <w:szCs w:val="20"/>
                <w:lang w:val="sr-Cyrl-RS"/>
              </w:rPr>
              <w:t>.</w:t>
            </w:r>
            <w:r>
              <w:rPr>
                <w:sz w:val="20"/>
                <w:szCs w:val="20"/>
                <w:lang w:val="sr-Cyrl-RS"/>
              </w:rPr>
              <w:t>00</w:t>
            </w:r>
            <w:r w:rsidR="00A67214" w:rsidRPr="00B820A7">
              <w:rPr>
                <w:sz w:val="20"/>
                <w:szCs w:val="20"/>
                <w:lang w:val="sr-Cyrl-RS"/>
              </w:rPr>
              <w:t>0</w:t>
            </w:r>
            <w:r w:rsidR="00A67214">
              <w:rPr>
                <w:sz w:val="20"/>
                <w:szCs w:val="20"/>
                <w:lang w:val="sr-Cyrl-RS"/>
              </w:rPr>
              <w:t>.000,</w:t>
            </w:r>
            <w:r w:rsidR="00A67214" w:rsidRPr="00B820A7">
              <w:rPr>
                <w:sz w:val="20"/>
                <w:szCs w:val="20"/>
                <w:lang w:val="sr-Cyrl-RS"/>
              </w:rPr>
              <w:t>00</w:t>
            </w:r>
          </w:p>
        </w:tc>
        <w:tc>
          <w:tcPr>
            <w:tcW w:w="1504" w:type="dxa"/>
            <w:vAlign w:val="center"/>
          </w:tcPr>
          <w:p w:rsidR="00A67214" w:rsidRPr="00E470B3" w:rsidRDefault="00A62F9D" w:rsidP="00CC11E2">
            <w:pPr>
              <w:spacing w:after="0"/>
              <w:jc w:val="center"/>
              <w:rPr>
                <w:sz w:val="20"/>
                <w:szCs w:val="20"/>
                <w:lang w:val="sr-Cyrl-RS"/>
              </w:rPr>
            </w:pPr>
            <w:r w:rsidRPr="00A62F9D">
              <w:rPr>
                <w:sz w:val="20"/>
                <w:szCs w:val="20"/>
                <w:lang w:val="sr-Cyrl-RS"/>
              </w:rPr>
              <w:t>7.000.000,00</w:t>
            </w:r>
          </w:p>
        </w:tc>
        <w:tc>
          <w:tcPr>
            <w:tcW w:w="1504" w:type="dxa"/>
            <w:vAlign w:val="center"/>
          </w:tcPr>
          <w:p w:rsidR="00A67214" w:rsidRPr="00E470B3" w:rsidRDefault="00A62F9D" w:rsidP="00CC11E2">
            <w:pPr>
              <w:spacing w:after="0"/>
              <w:jc w:val="center"/>
              <w:rPr>
                <w:sz w:val="20"/>
                <w:szCs w:val="20"/>
                <w:lang w:val="sr-Cyrl-RS"/>
              </w:rPr>
            </w:pPr>
            <w:r w:rsidRPr="00A62F9D">
              <w:rPr>
                <w:sz w:val="20"/>
                <w:szCs w:val="20"/>
                <w:lang w:val="sr-Cyrl-RS"/>
              </w:rPr>
              <w:t>7.000.000,00</w:t>
            </w:r>
          </w:p>
        </w:tc>
        <w:tc>
          <w:tcPr>
            <w:tcW w:w="1453" w:type="dxa"/>
            <w:vAlign w:val="center"/>
          </w:tcPr>
          <w:p w:rsidR="00A67214" w:rsidRPr="00E470B3" w:rsidRDefault="00A62F9D" w:rsidP="00CC11E2">
            <w:pPr>
              <w:spacing w:after="0"/>
              <w:jc w:val="center"/>
              <w:rPr>
                <w:sz w:val="20"/>
                <w:szCs w:val="20"/>
                <w:lang w:val="sr-Cyrl-RS"/>
              </w:rPr>
            </w:pPr>
            <w:r w:rsidRPr="00A62F9D">
              <w:rPr>
                <w:sz w:val="20"/>
                <w:szCs w:val="20"/>
                <w:lang w:val="sr-Cyrl-RS"/>
              </w:rPr>
              <w:t>7.000.000,00</w:t>
            </w:r>
          </w:p>
        </w:tc>
        <w:tc>
          <w:tcPr>
            <w:tcW w:w="1465" w:type="dxa"/>
            <w:vAlign w:val="center"/>
          </w:tcPr>
          <w:p w:rsidR="00A67214" w:rsidRPr="00E470B3" w:rsidRDefault="00B1174C" w:rsidP="00CC11E2">
            <w:pPr>
              <w:spacing w:after="0"/>
              <w:jc w:val="center"/>
              <w:rPr>
                <w:sz w:val="20"/>
                <w:szCs w:val="20"/>
                <w:lang w:val="sr-Cyrl-RS"/>
              </w:rPr>
            </w:pPr>
            <w:r w:rsidRPr="00B1174C">
              <w:rPr>
                <w:sz w:val="20"/>
                <w:szCs w:val="20"/>
                <w:lang w:val="sr-Cyrl-RS"/>
              </w:rPr>
              <w:t>32.810.400,00</w:t>
            </w:r>
          </w:p>
        </w:tc>
      </w:tr>
      <w:tr w:rsidR="000B30D0" w:rsidRPr="00E470B3" w:rsidTr="00CC11E2">
        <w:tc>
          <w:tcPr>
            <w:tcW w:w="9016" w:type="dxa"/>
            <w:gridSpan w:val="6"/>
          </w:tcPr>
          <w:p w:rsidR="000B30D0" w:rsidRDefault="000B30D0" w:rsidP="00CC11E2">
            <w:pPr>
              <w:spacing w:after="0"/>
              <w:jc w:val="center"/>
              <w:rPr>
                <w:sz w:val="20"/>
                <w:szCs w:val="20"/>
                <w:lang w:val="sr-Cyrl-RS"/>
              </w:rPr>
            </w:pPr>
            <w:r>
              <w:rPr>
                <w:sz w:val="20"/>
                <w:szCs w:val="20"/>
                <w:lang w:val="sr-Cyrl-RS"/>
              </w:rPr>
              <w:t>С</w:t>
            </w:r>
            <w:r w:rsidRPr="000B30D0">
              <w:rPr>
                <w:sz w:val="20"/>
                <w:szCs w:val="20"/>
                <w:lang w:val="sr-Cyrl-RS"/>
              </w:rPr>
              <w:t>авремено стваралаштво</w:t>
            </w:r>
          </w:p>
          <w:p w:rsidR="000B30D0" w:rsidRPr="00B1174C" w:rsidRDefault="000B30D0" w:rsidP="00CC11E2">
            <w:pPr>
              <w:spacing w:after="0"/>
              <w:jc w:val="center"/>
              <w:rPr>
                <w:sz w:val="20"/>
                <w:szCs w:val="20"/>
                <w:lang w:val="sr-Cyrl-RS"/>
              </w:rPr>
            </w:pPr>
          </w:p>
        </w:tc>
      </w:tr>
      <w:tr w:rsidR="002529CA" w:rsidRPr="00E470B3" w:rsidTr="000B30D0">
        <w:tc>
          <w:tcPr>
            <w:tcW w:w="1587" w:type="dxa"/>
          </w:tcPr>
          <w:p w:rsidR="002529CA" w:rsidRPr="000B30D0" w:rsidRDefault="00172885" w:rsidP="00CC11E2">
            <w:pPr>
              <w:spacing w:after="0"/>
              <w:jc w:val="both"/>
              <w:rPr>
                <w:sz w:val="20"/>
                <w:szCs w:val="20"/>
              </w:rPr>
            </w:pPr>
            <w:r>
              <w:rPr>
                <w:sz w:val="20"/>
                <w:szCs w:val="20"/>
                <w:lang w:val="sr-Cyrl-RS"/>
              </w:rPr>
              <w:t>Б</w:t>
            </w:r>
            <w:r w:rsidR="000B30D0" w:rsidRPr="000B30D0">
              <w:rPr>
                <w:sz w:val="20"/>
                <w:szCs w:val="20"/>
              </w:rPr>
              <w:t>рој пројеката</w:t>
            </w:r>
          </w:p>
        </w:tc>
        <w:tc>
          <w:tcPr>
            <w:tcW w:w="1503" w:type="dxa"/>
            <w:vAlign w:val="center"/>
          </w:tcPr>
          <w:p w:rsidR="002529CA" w:rsidRDefault="00172885" w:rsidP="00A62F9D">
            <w:pPr>
              <w:spacing w:after="0"/>
              <w:jc w:val="center"/>
              <w:rPr>
                <w:sz w:val="20"/>
                <w:szCs w:val="20"/>
                <w:lang w:val="sr-Cyrl-RS"/>
              </w:rPr>
            </w:pPr>
            <w:r>
              <w:rPr>
                <w:sz w:val="20"/>
                <w:szCs w:val="20"/>
                <w:lang w:val="sr-Cyrl-RS"/>
              </w:rPr>
              <w:t>1</w:t>
            </w:r>
          </w:p>
        </w:tc>
        <w:tc>
          <w:tcPr>
            <w:tcW w:w="1504" w:type="dxa"/>
            <w:vAlign w:val="center"/>
          </w:tcPr>
          <w:p w:rsidR="002529CA" w:rsidRPr="00A62F9D" w:rsidRDefault="00172885" w:rsidP="00CC11E2">
            <w:pPr>
              <w:spacing w:after="0"/>
              <w:jc w:val="center"/>
              <w:rPr>
                <w:sz w:val="20"/>
                <w:szCs w:val="20"/>
                <w:lang w:val="sr-Cyrl-RS"/>
              </w:rPr>
            </w:pPr>
            <w:r>
              <w:rPr>
                <w:sz w:val="20"/>
                <w:szCs w:val="20"/>
                <w:lang w:val="sr-Cyrl-RS"/>
              </w:rPr>
              <w:t>1</w:t>
            </w:r>
          </w:p>
        </w:tc>
        <w:tc>
          <w:tcPr>
            <w:tcW w:w="1504" w:type="dxa"/>
            <w:vAlign w:val="center"/>
          </w:tcPr>
          <w:p w:rsidR="002529CA" w:rsidRPr="00A62F9D" w:rsidRDefault="00172885" w:rsidP="00CC11E2">
            <w:pPr>
              <w:spacing w:after="0"/>
              <w:jc w:val="center"/>
              <w:rPr>
                <w:sz w:val="20"/>
                <w:szCs w:val="20"/>
                <w:lang w:val="sr-Cyrl-RS"/>
              </w:rPr>
            </w:pPr>
            <w:r>
              <w:rPr>
                <w:sz w:val="20"/>
                <w:szCs w:val="20"/>
                <w:lang w:val="sr-Cyrl-RS"/>
              </w:rPr>
              <w:t>1</w:t>
            </w:r>
          </w:p>
        </w:tc>
        <w:tc>
          <w:tcPr>
            <w:tcW w:w="1453" w:type="dxa"/>
            <w:vAlign w:val="center"/>
          </w:tcPr>
          <w:p w:rsidR="002529CA" w:rsidRPr="00A62F9D" w:rsidRDefault="00172885" w:rsidP="00CC11E2">
            <w:pPr>
              <w:spacing w:after="0"/>
              <w:jc w:val="center"/>
              <w:rPr>
                <w:sz w:val="20"/>
                <w:szCs w:val="20"/>
                <w:lang w:val="sr-Cyrl-RS"/>
              </w:rPr>
            </w:pPr>
            <w:r>
              <w:rPr>
                <w:sz w:val="20"/>
                <w:szCs w:val="20"/>
                <w:lang w:val="sr-Cyrl-RS"/>
              </w:rPr>
              <w:t>2</w:t>
            </w:r>
          </w:p>
        </w:tc>
        <w:tc>
          <w:tcPr>
            <w:tcW w:w="1465" w:type="dxa"/>
            <w:vAlign w:val="center"/>
          </w:tcPr>
          <w:p w:rsidR="002529CA" w:rsidRPr="00B1174C" w:rsidRDefault="00172885" w:rsidP="00CC11E2">
            <w:pPr>
              <w:spacing w:after="0"/>
              <w:jc w:val="center"/>
              <w:rPr>
                <w:sz w:val="20"/>
                <w:szCs w:val="20"/>
                <w:lang w:val="sr-Cyrl-RS"/>
              </w:rPr>
            </w:pPr>
            <w:r>
              <w:rPr>
                <w:sz w:val="20"/>
                <w:szCs w:val="20"/>
                <w:lang w:val="sr-Cyrl-RS"/>
              </w:rPr>
              <w:t>2</w:t>
            </w:r>
          </w:p>
        </w:tc>
      </w:tr>
      <w:tr w:rsidR="000B30D0" w:rsidRPr="00E470B3" w:rsidTr="000B30D0">
        <w:tc>
          <w:tcPr>
            <w:tcW w:w="1587" w:type="dxa"/>
          </w:tcPr>
          <w:p w:rsidR="000B30D0" w:rsidRPr="000B30D0" w:rsidRDefault="000B30D0" w:rsidP="00CC11E2">
            <w:pPr>
              <w:spacing w:after="0"/>
              <w:jc w:val="both"/>
              <w:rPr>
                <w:sz w:val="20"/>
                <w:szCs w:val="20"/>
              </w:rPr>
            </w:pPr>
          </w:p>
        </w:tc>
        <w:tc>
          <w:tcPr>
            <w:tcW w:w="1503" w:type="dxa"/>
            <w:vAlign w:val="center"/>
          </w:tcPr>
          <w:p w:rsidR="000B30D0" w:rsidRDefault="00172885" w:rsidP="00A62F9D">
            <w:pPr>
              <w:spacing w:after="0"/>
              <w:jc w:val="center"/>
              <w:rPr>
                <w:sz w:val="20"/>
                <w:szCs w:val="20"/>
                <w:lang w:val="sr-Cyrl-RS"/>
              </w:rPr>
            </w:pPr>
            <w:r w:rsidRPr="00172885">
              <w:rPr>
                <w:sz w:val="20"/>
                <w:szCs w:val="20"/>
                <w:lang w:val="sr-Cyrl-RS"/>
              </w:rPr>
              <w:t>400.000,00</w:t>
            </w:r>
          </w:p>
        </w:tc>
        <w:tc>
          <w:tcPr>
            <w:tcW w:w="1504" w:type="dxa"/>
            <w:vAlign w:val="center"/>
          </w:tcPr>
          <w:p w:rsidR="000B30D0" w:rsidRPr="00A62F9D" w:rsidRDefault="00172885" w:rsidP="00CC11E2">
            <w:pPr>
              <w:spacing w:after="0"/>
              <w:jc w:val="center"/>
              <w:rPr>
                <w:sz w:val="20"/>
                <w:szCs w:val="20"/>
                <w:lang w:val="sr-Cyrl-RS"/>
              </w:rPr>
            </w:pPr>
            <w:r>
              <w:rPr>
                <w:sz w:val="20"/>
                <w:szCs w:val="20"/>
                <w:lang w:val="sr-Cyrl-RS"/>
              </w:rPr>
              <w:t>5</w:t>
            </w:r>
            <w:r w:rsidRPr="00172885">
              <w:rPr>
                <w:sz w:val="20"/>
                <w:szCs w:val="20"/>
                <w:lang w:val="sr-Cyrl-RS"/>
              </w:rPr>
              <w:t>00.000,00</w:t>
            </w:r>
          </w:p>
        </w:tc>
        <w:tc>
          <w:tcPr>
            <w:tcW w:w="1504" w:type="dxa"/>
            <w:vAlign w:val="center"/>
          </w:tcPr>
          <w:p w:rsidR="000B30D0" w:rsidRPr="00A62F9D" w:rsidRDefault="00172885" w:rsidP="00CC11E2">
            <w:pPr>
              <w:spacing w:after="0"/>
              <w:jc w:val="center"/>
              <w:rPr>
                <w:sz w:val="20"/>
                <w:szCs w:val="20"/>
                <w:lang w:val="sr-Cyrl-RS"/>
              </w:rPr>
            </w:pPr>
            <w:r>
              <w:rPr>
                <w:sz w:val="20"/>
                <w:szCs w:val="20"/>
                <w:lang w:val="sr-Cyrl-RS"/>
              </w:rPr>
              <w:t>5</w:t>
            </w:r>
            <w:r w:rsidRPr="00172885">
              <w:rPr>
                <w:sz w:val="20"/>
                <w:szCs w:val="20"/>
                <w:lang w:val="sr-Cyrl-RS"/>
              </w:rPr>
              <w:t>00.000,00</w:t>
            </w:r>
          </w:p>
        </w:tc>
        <w:tc>
          <w:tcPr>
            <w:tcW w:w="1453" w:type="dxa"/>
            <w:vAlign w:val="center"/>
          </w:tcPr>
          <w:p w:rsidR="000B30D0" w:rsidRPr="00A62F9D" w:rsidRDefault="00172885" w:rsidP="00CC11E2">
            <w:pPr>
              <w:spacing w:after="0"/>
              <w:jc w:val="center"/>
              <w:rPr>
                <w:sz w:val="20"/>
                <w:szCs w:val="20"/>
                <w:lang w:val="sr-Cyrl-RS"/>
              </w:rPr>
            </w:pPr>
            <w:r>
              <w:rPr>
                <w:sz w:val="20"/>
                <w:szCs w:val="20"/>
                <w:lang w:val="sr-Cyrl-RS"/>
              </w:rPr>
              <w:t>6</w:t>
            </w:r>
            <w:r w:rsidRPr="00172885">
              <w:rPr>
                <w:sz w:val="20"/>
                <w:szCs w:val="20"/>
                <w:lang w:val="sr-Cyrl-RS"/>
              </w:rPr>
              <w:t>00.000,00</w:t>
            </w:r>
          </w:p>
        </w:tc>
        <w:tc>
          <w:tcPr>
            <w:tcW w:w="1465" w:type="dxa"/>
            <w:vAlign w:val="center"/>
          </w:tcPr>
          <w:p w:rsidR="000B30D0" w:rsidRPr="00B1174C" w:rsidRDefault="00172885" w:rsidP="00CC11E2">
            <w:pPr>
              <w:spacing w:after="0"/>
              <w:jc w:val="center"/>
              <w:rPr>
                <w:sz w:val="20"/>
                <w:szCs w:val="20"/>
                <w:lang w:val="sr-Cyrl-RS"/>
              </w:rPr>
            </w:pPr>
            <w:r w:rsidRPr="00172885">
              <w:rPr>
                <w:sz w:val="20"/>
                <w:szCs w:val="20"/>
                <w:lang w:val="sr-Cyrl-RS"/>
              </w:rPr>
              <w:t>400.000,00</w:t>
            </w:r>
          </w:p>
        </w:tc>
      </w:tr>
    </w:tbl>
    <w:p w:rsidR="005A6E59" w:rsidRDefault="00172885" w:rsidP="00A475C5">
      <w:pPr>
        <w:spacing w:after="0"/>
        <w:jc w:val="both"/>
        <w:rPr>
          <w:sz w:val="24"/>
          <w:szCs w:val="24"/>
          <w:lang w:val="sr-Cyrl-RS"/>
        </w:rPr>
      </w:pPr>
      <w:r>
        <w:rPr>
          <w:sz w:val="24"/>
          <w:szCs w:val="24"/>
          <w:lang w:val="sr-Cyrl-RS"/>
        </w:rPr>
        <w:tab/>
      </w:r>
    </w:p>
    <w:p w:rsidR="000B6903" w:rsidRDefault="00172885" w:rsidP="005A6E59">
      <w:pPr>
        <w:spacing w:after="0"/>
        <w:ind w:firstLine="720"/>
        <w:jc w:val="both"/>
        <w:rPr>
          <w:sz w:val="24"/>
          <w:szCs w:val="24"/>
          <w:lang w:val="sr-Cyrl-RS"/>
        </w:rPr>
      </w:pPr>
      <w:r w:rsidRPr="00172885">
        <w:rPr>
          <w:sz w:val="24"/>
          <w:szCs w:val="24"/>
          <w:lang w:val="sr-Cyrl-RS"/>
        </w:rPr>
        <w:t xml:space="preserve">Пројекат „Афирмација мултикултурализма и толеранције у Војводини”, чији је циљ неговање културног диверзитета и развијање духа међуетничке толеранције код грађана Војводине, успешно се реализује од 2005. године. </w:t>
      </w:r>
      <w:r w:rsidR="000B6903" w:rsidRPr="000B6903">
        <w:rPr>
          <w:sz w:val="24"/>
          <w:szCs w:val="24"/>
          <w:lang w:val="sr-Cyrl-RS"/>
        </w:rPr>
        <w:t>Активности пројекта усмерене су к</w:t>
      </w:r>
      <w:r w:rsidR="000B6903">
        <w:rPr>
          <w:sz w:val="24"/>
          <w:szCs w:val="24"/>
          <w:lang w:val="sr-Cyrl-RS"/>
        </w:rPr>
        <w:t>а</w:t>
      </w:r>
      <w:r w:rsidR="000B6903" w:rsidRPr="000B6903">
        <w:rPr>
          <w:sz w:val="24"/>
          <w:szCs w:val="24"/>
          <w:lang w:val="sr-Cyrl-RS"/>
        </w:rPr>
        <w:t xml:space="preserve"> младима, првенствено </w:t>
      </w:r>
      <w:r w:rsidR="000B6903">
        <w:rPr>
          <w:sz w:val="24"/>
          <w:szCs w:val="24"/>
          <w:lang w:val="sr-Cyrl-RS"/>
        </w:rPr>
        <w:t>ученицима</w:t>
      </w:r>
      <w:r w:rsidR="000B6903" w:rsidRPr="000B6903">
        <w:rPr>
          <w:sz w:val="24"/>
          <w:szCs w:val="24"/>
          <w:lang w:val="sr-Cyrl-RS"/>
        </w:rPr>
        <w:t xml:space="preserve"> у вишим разредима основне школе и свим разредима средње школе</w:t>
      </w:r>
      <w:r w:rsidR="000B6903">
        <w:rPr>
          <w:sz w:val="24"/>
          <w:szCs w:val="24"/>
          <w:lang w:val="sr-Cyrl-RS"/>
        </w:rPr>
        <w:t>,</w:t>
      </w:r>
      <w:r w:rsidR="000B6903" w:rsidRPr="000B6903">
        <w:rPr>
          <w:sz w:val="24"/>
          <w:szCs w:val="24"/>
          <w:lang w:val="sr-Cyrl-RS"/>
        </w:rPr>
        <w:t xml:space="preserve"> </w:t>
      </w:r>
      <w:r w:rsidR="000B6903">
        <w:rPr>
          <w:sz w:val="24"/>
          <w:szCs w:val="24"/>
          <w:lang w:val="sr-Cyrl-RS"/>
        </w:rPr>
        <w:t>а и</w:t>
      </w:r>
      <w:r w:rsidR="000B6903" w:rsidRPr="000B6903">
        <w:rPr>
          <w:sz w:val="24"/>
          <w:szCs w:val="24"/>
          <w:lang w:val="sr-Cyrl-RS"/>
        </w:rPr>
        <w:t>мајући у виду то да пројекти подразумевају укључивање и непосредан контакт више хиљада младих, реализација пројекта посредно утиче и на ширу популацију у Војводини.</w:t>
      </w:r>
      <w:r w:rsidR="00A475C5">
        <w:rPr>
          <w:sz w:val="24"/>
          <w:szCs w:val="24"/>
          <w:lang w:val="sr-Cyrl-RS"/>
        </w:rPr>
        <w:t xml:space="preserve"> </w:t>
      </w:r>
      <w:r w:rsidR="00CF5CC0" w:rsidRPr="00CF5CC0">
        <w:rPr>
          <w:sz w:val="24"/>
          <w:szCs w:val="24"/>
          <w:lang w:val="sr-Cyrl-RS"/>
        </w:rPr>
        <w:t xml:space="preserve">У 2020. </w:t>
      </w:r>
      <w:r w:rsidR="00CF5CC0">
        <w:rPr>
          <w:sz w:val="24"/>
          <w:szCs w:val="24"/>
          <w:lang w:val="sr-Cyrl-RS"/>
        </w:rPr>
        <w:t xml:space="preserve">и 2021. години неке од </w:t>
      </w:r>
      <w:r w:rsidR="000B6903" w:rsidRPr="000B6903">
        <w:rPr>
          <w:sz w:val="24"/>
          <w:szCs w:val="24"/>
          <w:lang w:val="sr-Cyrl-RS"/>
        </w:rPr>
        <w:t xml:space="preserve">активности </w:t>
      </w:r>
      <w:r w:rsidR="000B6903">
        <w:rPr>
          <w:sz w:val="24"/>
          <w:szCs w:val="24"/>
          <w:lang w:val="sr-Cyrl-RS"/>
        </w:rPr>
        <w:t xml:space="preserve">у оквиру </w:t>
      </w:r>
      <w:r w:rsidR="000B6903" w:rsidRPr="000B6903">
        <w:rPr>
          <w:sz w:val="24"/>
          <w:szCs w:val="24"/>
          <w:lang w:val="sr-Cyrl-RS"/>
        </w:rPr>
        <w:t>пројекта</w:t>
      </w:r>
      <w:r w:rsidR="00B52373" w:rsidRPr="00B52373">
        <w:t xml:space="preserve"> </w:t>
      </w:r>
      <w:r w:rsidR="00B52373" w:rsidRPr="00B52373">
        <w:rPr>
          <w:sz w:val="24"/>
          <w:szCs w:val="24"/>
          <w:lang w:val="sr-Cyrl-RS"/>
        </w:rPr>
        <w:t>нису реализоване</w:t>
      </w:r>
      <w:r w:rsidR="000B6903" w:rsidRPr="000B6903">
        <w:rPr>
          <w:sz w:val="24"/>
          <w:szCs w:val="24"/>
          <w:lang w:val="sr-Cyrl-RS"/>
        </w:rPr>
        <w:t xml:space="preserve"> </w:t>
      </w:r>
      <w:r w:rsidR="00CF5CC0">
        <w:rPr>
          <w:sz w:val="24"/>
          <w:szCs w:val="24"/>
          <w:lang w:val="sr-Cyrl-RS"/>
        </w:rPr>
        <w:t>због пандемије</w:t>
      </w:r>
      <w:r w:rsidR="000B6903" w:rsidRPr="000B6903">
        <w:rPr>
          <w:sz w:val="24"/>
          <w:szCs w:val="24"/>
          <w:lang w:val="sr-Cyrl-RS"/>
        </w:rPr>
        <w:t xml:space="preserve"> болести изазване КОВИД</w:t>
      </w:r>
      <w:r w:rsidR="000B6903">
        <w:rPr>
          <w:sz w:val="24"/>
          <w:szCs w:val="24"/>
          <w:lang w:val="sr-Cyrl-RS"/>
        </w:rPr>
        <w:t>-</w:t>
      </w:r>
      <w:r w:rsidR="000B6903" w:rsidRPr="000B6903">
        <w:rPr>
          <w:sz w:val="24"/>
          <w:szCs w:val="24"/>
          <w:lang w:val="sr-Cyrl-RS"/>
        </w:rPr>
        <w:t xml:space="preserve">19 вирусом, будући да </w:t>
      </w:r>
      <w:r w:rsidR="00CF5CC0">
        <w:rPr>
          <w:sz w:val="24"/>
          <w:szCs w:val="24"/>
          <w:lang w:val="sr-Cyrl-RS"/>
        </w:rPr>
        <w:t xml:space="preserve">су </w:t>
      </w:r>
      <w:r w:rsidR="000B6903" w:rsidRPr="000B6903">
        <w:rPr>
          <w:sz w:val="24"/>
          <w:szCs w:val="24"/>
          <w:lang w:val="sr-Cyrl-RS"/>
        </w:rPr>
        <w:t>подразумева</w:t>
      </w:r>
      <w:r w:rsidR="00CF5CC0">
        <w:rPr>
          <w:sz w:val="24"/>
          <w:szCs w:val="24"/>
          <w:lang w:val="sr-Cyrl-RS"/>
        </w:rPr>
        <w:t>ле</w:t>
      </w:r>
      <w:r w:rsidR="000B6903" w:rsidRPr="000B6903">
        <w:rPr>
          <w:sz w:val="24"/>
          <w:szCs w:val="24"/>
          <w:lang w:val="sr-Cyrl-RS"/>
        </w:rPr>
        <w:t xml:space="preserve"> учешће великог броја уче</w:t>
      </w:r>
      <w:r w:rsidR="00371D4F">
        <w:rPr>
          <w:sz w:val="24"/>
          <w:szCs w:val="24"/>
          <w:lang w:val="sr-Cyrl-RS"/>
        </w:rPr>
        <w:t>с</w:t>
      </w:r>
      <w:r w:rsidR="000B6903" w:rsidRPr="000B6903">
        <w:rPr>
          <w:sz w:val="24"/>
          <w:szCs w:val="24"/>
          <w:lang w:val="sr-Cyrl-RS"/>
        </w:rPr>
        <w:t xml:space="preserve">ника на истом простору. </w:t>
      </w:r>
      <w:r w:rsidR="00A475C5">
        <w:rPr>
          <w:sz w:val="24"/>
          <w:szCs w:val="24"/>
          <w:lang w:val="sr-Cyrl-RS"/>
        </w:rPr>
        <w:t>У табели која следи садржани су подаци о активностима реализованим у оквиру овог пројекта у извештајном периоду.</w:t>
      </w:r>
    </w:p>
    <w:p w:rsidR="00F81F4A" w:rsidRDefault="00F81F4A" w:rsidP="00F81F4A">
      <w:pPr>
        <w:spacing w:after="0"/>
        <w:jc w:val="both"/>
        <w:rPr>
          <w:sz w:val="24"/>
          <w:szCs w:val="24"/>
          <w:lang w:val="sr-Cyrl-RS"/>
        </w:rPr>
      </w:pPr>
    </w:p>
    <w:tbl>
      <w:tblPr>
        <w:tblStyle w:val="TableGrid"/>
        <w:tblW w:w="9042" w:type="dxa"/>
        <w:tblLook w:val="04A0" w:firstRow="1" w:lastRow="0" w:firstColumn="1" w:lastColumn="0" w:noHBand="0" w:noVBand="1"/>
      </w:tblPr>
      <w:tblGrid>
        <w:gridCol w:w="3014"/>
        <w:gridCol w:w="3014"/>
        <w:gridCol w:w="3014"/>
      </w:tblGrid>
      <w:tr w:rsidR="00F81F4A" w:rsidRPr="0034105D" w:rsidTr="00F81F4A">
        <w:trPr>
          <w:trHeight w:val="345"/>
        </w:trPr>
        <w:tc>
          <w:tcPr>
            <w:tcW w:w="3014" w:type="dxa"/>
          </w:tcPr>
          <w:p w:rsidR="00F81F4A" w:rsidRPr="0034105D" w:rsidRDefault="00F81F4A" w:rsidP="00A475C5">
            <w:pPr>
              <w:spacing w:after="0"/>
              <w:jc w:val="center"/>
              <w:rPr>
                <w:sz w:val="20"/>
                <w:szCs w:val="20"/>
                <w:lang w:val="sr-Cyrl-RS"/>
              </w:rPr>
            </w:pPr>
            <w:r w:rsidRPr="0034105D">
              <w:rPr>
                <w:sz w:val="20"/>
                <w:szCs w:val="20"/>
                <w:lang w:val="sr-Cyrl-RS"/>
              </w:rPr>
              <w:t>Подпројекти</w:t>
            </w:r>
          </w:p>
        </w:tc>
        <w:tc>
          <w:tcPr>
            <w:tcW w:w="3014" w:type="dxa"/>
          </w:tcPr>
          <w:p w:rsidR="00F81F4A" w:rsidRPr="0034105D" w:rsidRDefault="00F81F4A" w:rsidP="00A475C5">
            <w:pPr>
              <w:spacing w:after="0"/>
              <w:jc w:val="center"/>
              <w:rPr>
                <w:sz w:val="20"/>
                <w:szCs w:val="20"/>
                <w:lang w:val="sr-Cyrl-RS"/>
              </w:rPr>
            </w:pPr>
            <w:r w:rsidRPr="0034105D">
              <w:rPr>
                <w:sz w:val="20"/>
                <w:szCs w:val="20"/>
                <w:lang w:val="sr-Cyrl-RS"/>
              </w:rPr>
              <w:t>Учесници</w:t>
            </w:r>
          </w:p>
        </w:tc>
        <w:tc>
          <w:tcPr>
            <w:tcW w:w="3014" w:type="dxa"/>
          </w:tcPr>
          <w:p w:rsidR="00F81F4A" w:rsidRPr="0034105D" w:rsidRDefault="00F81F4A" w:rsidP="00A475C5">
            <w:pPr>
              <w:spacing w:after="0"/>
              <w:jc w:val="center"/>
              <w:rPr>
                <w:sz w:val="20"/>
                <w:szCs w:val="20"/>
                <w:lang w:val="sr-Cyrl-RS"/>
              </w:rPr>
            </w:pPr>
            <w:r w:rsidRPr="0034105D">
              <w:rPr>
                <w:sz w:val="20"/>
                <w:szCs w:val="20"/>
                <w:lang w:val="sr-Cyrl-RS"/>
              </w:rPr>
              <w:t>Пратеће активности</w:t>
            </w:r>
          </w:p>
        </w:tc>
      </w:tr>
      <w:tr w:rsidR="00F81F4A" w:rsidRPr="0034105D" w:rsidTr="00CC11E2">
        <w:trPr>
          <w:trHeight w:val="345"/>
        </w:trPr>
        <w:tc>
          <w:tcPr>
            <w:tcW w:w="9042" w:type="dxa"/>
            <w:gridSpan w:val="3"/>
          </w:tcPr>
          <w:p w:rsidR="00F81F4A" w:rsidRPr="0034105D" w:rsidRDefault="00F81F4A" w:rsidP="00F81F4A">
            <w:pPr>
              <w:spacing w:after="0"/>
              <w:jc w:val="center"/>
              <w:rPr>
                <w:sz w:val="20"/>
                <w:szCs w:val="20"/>
                <w:lang w:val="sr-Cyrl-RS"/>
              </w:rPr>
            </w:pPr>
            <w:r w:rsidRPr="0034105D">
              <w:rPr>
                <w:sz w:val="20"/>
                <w:szCs w:val="20"/>
                <w:lang w:val="sr-Cyrl-RS"/>
              </w:rPr>
              <w:t>2017.</w:t>
            </w:r>
          </w:p>
        </w:tc>
      </w:tr>
      <w:tr w:rsidR="00F81F4A" w:rsidRPr="0034105D" w:rsidTr="00F81F4A">
        <w:trPr>
          <w:trHeight w:val="671"/>
        </w:trPr>
        <w:tc>
          <w:tcPr>
            <w:tcW w:w="3014" w:type="dxa"/>
          </w:tcPr>
          <w:p w:rsidR="00F81F4A" w:rsidRPr="0034105D" w:rsidRDefault="00F81F4A" w:rsidP="0034105D">
            <w:pPr>
              <w:spacing w:after="0"/>
              <w:rPr>
                <w:sz w:val="20"/>
                <w:szCs w:val="20"/>
                <w:lang w:val="sr-Cyrl-RS"/>
              </w:rPr>
            </w:pPr>
            <w:r w:rsidRPr="0034105D">
              <w:rPr>
                <w:sz w:val="20"/>
                <w:szCs w:val="20"/>
                <w:lang w:val="sr-Cyrl-RS"/>
              </w:rPr>
              <w:t>Квиз „Колико се познајемо”</w:t>
            </w:r>
          </w:p>
        </w:tc>
        <w:tc>
          <w:tcPr>
            <w:tcW w:w="3014" w:type="dxa"/>
          </w:tcPr>
          <w:p w:rsidR="00F81F4A" w:rsidRPr="0034105D" w:rsidRDefault="00F81F4A" w:rsidP="0034105D">
            <w:pPr>
              <w:spacing w:after="0"/>
              <w:rPr>
                <w:sz w:val="20"/>
                <w:szCs w:val="20"/>
                <w:lang w:val="sr-Cyrl-RS"/>
              </w:rPr>
            </w:pPr>
            <w:r w:rsidRPr="0034105D">
              <w:rPr>
                <w:sz w:val="20"/>
                <w:szCs w:val="20"/>
                <w:lang w:val="sr-Cyrl-RS"/>
              </w:rPr>
              <w:t>Екипе из 44 средње школе</w:t>
            </w:r>
          </w:p>
        </w:tc>
        <w:tc>
          <w:tcPr>
            <w:tcW w:w="3014" w:type="dxa"/>
          </w:tcPr>
          <w:p w:rsidR="00F81F4A" w:rsidRPr="0034105D" w:rsidRDefault="00F81F4A" w:rsidP="0034105D">
            <w:pPr>
              <w:spacing w:after="0"/>
              <w:rPr>
                <w:sz w:val="20"/>
                <w:szCs w:val="20"/>
                <w:lang w:val="sr-Cyrl-RS"/>
              </w:rPr>
            </w:pPr>
            <w:r w:rsidRPr="0034105D">
              <w:rPr>
                <w:sz w:val="20"/>
                <w:szCs w:val="20"/>
                <w:lang w:val="sr-Cyrl-RS"/>
              </w:rPr>
              <w:t>Репортаже са регионалних и  полуфиналних такмичења и целокупна финална емисија емитоване су на програмима Јавне медијске установе РТВ</w:t>
            </w:r>
          </w:p>
        </w:tc>
      </w:tr>
      <w:tr w:rsidR="00F81F4A" w:rsidRPr="0034105D" w:rsidTr="0034105D">
        <w:trPr>
          <w:trHeight w:val="568"/>
        </w:trPr>
        <w:tc>
          <w:tcPr>
            <w:tcW w:w="3014" w:type="dxa"/>
          </w:tcPr>
          <w:p w:rsidR="00F81F4A" w:rsidRPr="0034105D" w:rsidRDefault="00F81F4A" w:rsidP="0034105D">
            <w:pPr>
              <w:spacing w:after="0"/>
              <w:rPr>
                <w:sz w:val="20"/>
                <w:szCs w:val="20"/>
                <w:lang w:val="sr-Cyrl-RS"/>
              </w:rPr>
            </w:pPr>
            <w:r w:rsidRPr="0034105D">
              <w:rPr>
                <w:sz w:val="20"/>
                <w:szCs w:val="20"/>
                <w:lang w:val="sr-Cyrl-RS"/>
              </w:rPr>
              <w:t>„Камп без граница, Кањижа 2017“</w:t>
            </w:r>
          </w:p>
        </w:tc>
        <w:tc>
          <w:tcPr>
            <w:tcW w:w="3014" w:type="dxa"/>
          </w:tcPr>
          <w:p w:rsidR="00F81F4A" w:rsidRPr="0034105D" w:rsidRDefault="00F81F4A" w:rsidP="0034105D">
            <w:pPr>
              <w:spacing w:after="0"/>
              <w:rPr>
                <w:sz w:val="20"/>
                <w:szCs w:val="20"/>
                <w:lang w:val="sr-Cyrl-RS"/>
              </w:rPr>
            </w:pPr>
            <w:r w:rsidRPr="0034105D">
              <w:rPr>
                <w:sz w:val="20"/>
                <w:szCs w:val="20"/>
                <w:lang w:val="sr-Cyrl-RS"/>
              </w:rPr>
              <w:t>144 такмичара из 16 средњих школа</w:t>
            </w:r>
          </w:p>
        </w:tc>
        <w:tc>
          <w:tcPr>
            <w:tcW w:w="3014" w:type="dxa"/>
          </w:tcPr>
          <w:p w:rsidR="00F81F4A" w:rsidRPr="0034105D" w:rsidRDefault="00F81F4A" w:rsidP="0034105D">
            <w:pPr>
              <w:spacing w:after="0"/>
              <w:rPr>
                <w:sz w:val="20"/>
                <w:szCs w:val="20"/>
                <w:lang w:val="sr-Cyrl-RS"/>
              </w:rPr>
            </w:pPr>
          </w:p>
        </w:tc>
      </w:tr>
      <w:tr w:rsidR="00F81F4A" w:rsidRPr="0034105D" w:rsidTr="0034105D">
        <w:trPr>
          <w:trHeight w:val="690"/>
        </w:trPr>
        <w:tc>
          <w:tcPr>
            <w:tcW w:w="3014" w:type="dxa"/>
          </w:tcPr>
          <w:p w:rsidR="00F81F4A" w:rsidRPr="0034105D" w:rsidRDefault="00F81F4A" w:rsidP="0034105D">
            <w:pPr>
              <w:spacing w:after="0"/>
              <w:rPr>
                <w:sz w:val="20"/>
                <w:szCs w:val="20"/>
                <w:lang w:val="sr-Cyrl-RS"/>
              </w:rPr>
            </w:pPr>
            <w:r w:rsidRPr="0034105D">
              <w:rPr>
                <w:sz w:val="20"/>
                <w:szCs w:val="20"/>
                <w:lang w:val="sr-Cyrl-RS"/>
              </w:rPr>
              <w:t>Едукативно путовање – Словенија</w:t>
            </w:r>
          </w:p>
        </w:tc>
        <w:tc>
          <w:tcPr>
            <w:tcW w:w="3014" w:type="dxa"/>
          </w:tcPr>
          <w:p w:rsidR="00F81F4A" w:rsidRPr="0034105D" w:rsidRDefault="0034105D" w:rsidP="0034105D">
            <w:pPr>
              <w:spacing w:after="0"/>
              <w:rPr>
                <w:sz w:val="20"/>
                <w:szCs w:val="20"/>
                <w:lang w:val="sr-Cyrl-RS"/>
              </w:rPr>
            </w:pPr>
            <w:r w:rsidRPr="0034105D">
              <w:rPr>
                <w:sz w:val="20"/>
                <w:szCs w:val="20"/>
                <w:lang w:val="sr-Cyrl-RS"/>
              </w:rPr>
              <w:t xml:space="preserve">40 ученика и шест професора </w:t>
            </w:r>
          </w:p>
        </w:tc>
        <w:tc>
          <w:tcPr>
            <w:tcW w:w="3014" w:type="dxa"/>
          </w:tcPr>
          <w:p w:rsidR="00F81F4A" w:rsidRPr="0034105D" w:rsidRDefault="0034105D" w:rsidP="0034105D">
            <w:pPr>
              <w:spacing w:after="0"/>
              <w:rPr>
                <w:sz w:val="20"/>
                <w:szCs w:val="20"/>
                <w:lang w:val="sr-Cyrl-RS"/>
              </w:rPr>
            </w:pPr>
            <w:r w:rsidRPr="0034105D">
              <w:rPr>
                <w:sz w:val="20"/>
                <w:szCs w:val="20"/>
                <w:lang w:val="sr-Cyrl-RS"/>
              </w:rPr>
              <w:t>Репортаже са путовања емитована је на програмима Јавне медијске установе РТВ</w:t>
            </w:r>
          </w:p>
        </w:tc>
      </w:tr>
      <w:tr w:rsidR="00CF5CC0" w:rsidRPr="0034105D" w:rsidTr="00CF5CC0">
        <w:trPr>
          <w:trHeight w:val="460"/>
        </w:trPr>
        <w:tc>
          <w:tcPr>
            <w:tcW w:w="6028" w:type="dxa"/>
            <w:gridSpan w:val="2"/>
          </w:tcPr>
          <w:p w:rsidR="00CF5CC0" w:rsidRPr="00CF5CC0" w:rsidRDefault="00CF5CC0" w:rsidP="00CF5CC0">
            <w:pPr>
              <w:spacing w:after="0"/>
              <w:rPr>
                <w:b/>
                <w:sz w:val="20"/>
                <w:szCs w:val="20"/>
                <w:lang w:val="sr-Cyrl-RS"/>
              </w:rPr>
            </w:pPr>
            <w:r w:rsidRPr="00CF5CC0">
              <w:rPr>
                <w:b/>
                <w:sz w:val="20"/>
                <w:szCs w:val="20"/>
                <w:lang w:val="sr-Cyrl-RS"/>
              </w:rPr>
              <w:t>Укупна средства</w:t>
            </w:r>
          </w:p>
        </w:tc>
        <w:tc>
          <w:tcPr>
            <w:tcW w:w="3014" w:type="dxa"/>
          </w:tcPr>
          <w:p w:rsidR="00CF5CC0" w:rsidRPr="00CF5CC0" w:rsidRDefault="00CF5CC0" w:rsidP="00CF5CC0">
            <w:pPr>
              <w:spacing w:after="0"/>
              <w:jc w:val="right"/>
              <w:rPr>
                <w:b/>
                <w:sz w:val="20"/>
                <w:szCs w:val="20"/>
                <w:lang w:val="sr-Cyrl-RS"/>
              </w:rPr>
            </w:pPr>
            <w:r w:rsidRPr="00CF5CC0">
              <w:rPr>
                <w:b/>
                <w:sz w:val="20"/>
                <w:szCs w:val="20"/>
                <w:lang w:val="sr-Cyrl-RS"/>
              </w:rPr>
              <w:t>29.350.707,92</w:t>
            </w:r>
          </w:p>
        </w:tc>
      </w:tr>
      <w:tr w:rsidR="0034105D" w:rsidRPr="0034105D" w:rsidTr="0034105D">
        <w:trPr>
          <w:trHeight w:val="318"/>
        </w:trPr>
        <w:tc>
          <w:tcPr>
            <w:tcW w:w="9042" w:type="dxa"/>
            <w:gridSpan w:val="3"/>
          </w:tcPr>
          <w:p w:rsidR="0034105D" w:rsidRPr="0034105D" w:rsidRDefault="0034105D" w:rsidP="0034105D">
            <w:pPr>
              <w:spacing w:after="0"/>
              <w:jc w:val="center"/>
              <w:rPr>
                <w:sz w:val="20"/>
                <w:szCs w:val="20"/>
                <w:lang w:val="sr-Cyrl-RS"/>
              </w:rPr>
            </w:pPr>
            <w:r>
              <w:rPr>
                <w:sz w:val="20"/>
                <w:szCs w:val="20"/>
                <w:lang w:val="sr-Cyrl-RS"/>
              </w:rPr>
              <w:t>2018.</w:t>
            </w:r>
          </w:p>
        </w:tc>
      </w:tr>
      <w:tr w:rsidR="0034105D" w:rsidRPr="0034105D" w:rsidTr="0034105D">
        <w:trPr>
          <w:trHeight w:val="690"/>
        </w:trPr>
        <w:tc>
          <w:tcPr>
            <w:tcW w:w="3014" w:type="dxa"/>
          </w:tcPr>
          <w:p w:rsidR="0034105D" w:rsidRPr="0034105D" w:rsidRDefault="0034105D" w:rsidP="0034105D">
            <w:pPr>
              <w:spacing w:after="0"/>
              <w:rPr>
                <w:sz w:val="20"/>
                <w:szCs w:val="20"/>
                <w:lang w:val="sr-Cyrl-RS"/>
              </w:rPr>
            </w:pPr>
            <w:r w:rsidRPr="0034105D">
              <w:rPr>
                <w:sz w:val="20"/>
                <w:szCs w:val="20"/>
                <w:lang w:val="sr-Cyrl-RS"/>
              </w:rPr>
              <w:lastRenderedPageBreak/>
              <w:t>Квиз „Колико се познајемо”</w:t>
            </w:r>
          </w:p>
        </w:tc>
        <w:tc>
          <w:tcPr>
            <w:tcW w:w="3014" w:type="dxa"/>
          </w:tcPr>
          <w:p w:rsidR="0034105D" w:rsidRPr="0034105D" w:rsidRDefault="0034105D" w:rsidP="0034105D">
            <w:pPr>
              <w:spacing w:after="0"/>
              <w:rPr>
                <w:sz w:val="20"/>
                <w:szCs w:val="20"/>
                <w:lang w:val="sr-Cyrl-RS"/>
              </w:rPr>
            </w:pPr>
            <w:r>
              <w:rPr>
                <w:sz w:val="20"/>
                <w:szCs w:val="20"/>
                <w:lang w:val="sr-Cyrl-RS"/>
              </w:rPr>
              <w:t>Е</w:t>
            </w:r>
            <w:r w:rsidRPr="0034105D">
              <w:rPr>
                <w:sz w:val="20"/>
                <w:szCs w:val="20"/>
                <w:lang w:val="sr-Cyrl-RS"/>
              </w:rPr>
              <w:t xml:space="preserve">кипе </w:t>
            </w:r>
            <w:r>
              <w:rPr>
                <w:sz w:val="20"/>
                <w:szCs w:val="20"/>
                <w:lang w:val="sr-Cyrl-RS"/>
              </w:rPr>
              <w:t xml:space="preserve">из </w:t>
            </w:r>
            <w:r w:rsidRPr="0034105D">
              <w:rPr>
                <w:sz w:val="20"/>
                <w:szCs w:val="20"/>
                <w:lang w:val="sr-Cyrl-RS"/>
              </w:rPr>
              <w:t>27 средњих школа</w:t>
            </w:r>
          </w:p>
        </w:tc>
        <w:tc>
          <w:tcPr>
            <w:tcW w:w="3014" w:type="dxa"/>
          </w:tcPr>
          <w:p w:rsidR="0034105D" w:rsidRPr="0034105D" w:rsidRDefault="0034105D" w:rsidP="0034105D">
            <w:pPr>
              <w:spacing w:after="0"/>
              <w:rPr>
                <w:sz w:val="20"/>
                <w:szCs w:val="20"/>
                <w:lang w:val="sr-Cyrl-RS"/>
              </w:rPr>
            </w:pPr>
            <w:r w:rsidRPr="0034105D">
              <w:rPr>
                <w:sz w:val="20"/>
                <w:szCs w:val="20"/>
                <w:lang w:val="sr-Cyrl-RS"/>
              </w:rPr>
              <w:t>Репортаже са регионалних и  полуфиналних такмичења и целокупна финална емисија емитоване су на програмима Јавне медијске установе РТВ</w:t>
            </w:r>
          </w:p>
        </w:tc>
      </w:tr>
      <w:tr w:rsidR="0034105D" w:rsidRPr="0034105D" w:rsidTr="0034105D">
        <w:trPr>
          <w:trHeight w:val="498"/>
        </w:trPr>
        <w:tc>
          <w:tcPr>
            <w:tcW w:w="3014" w:type="dxa"/>
          </w:tcPr>
          <w:p w:rsidR="0034105D" w:rsidRPr="0034105D" w:rsidRDefault="0034105D" w:rsidP="0034105D">
            <w:pPr>
              <w:spacing w:after="0"/>
              <w:rPr>
                <w:sz w:val="20"/>
                <w:szCs w:val="20"/>
                <w:lang w:val="sr-Cyrl-RS"/>
              </w:rPr>
            </w:pPr>
            <w:r w:rsidRPr="0034105D">
              <w:rPr>
                <w:sz w:val="20"/>
                <w:szCs w:val="20"/>
                <w:lang w:val="sr-Cyrl-RS"/>
              </w:rPr>
              <w:t>„Камп без граница, Кањижа 2018“</w:t>
            </w:r>
          </w:p>
        </w:tc>
        <w:tc>
          <w:tcPr>
            <w:tcW w:w="3014" w:type="dxa"/>
          </w:tcPr>
          <w:p w:rsidR="0034105D" w:rsidRPr="0034105D" w:rsidRDefault="0034105D" w:rsidP="0034105D">
            <w:pPr>
              <w:spacing w:after="0"/>
              <w:rPr>
                <w:sz w:val="20"/>
                <w:szCs w:val="20"/>
                <w:lang w:val="sr-Cyrl-RS"/>
              </w:rPr>
            </w:pPr>
            <w:r w:rsidRPr="0034105D">
              <w:rPr>
                <w:sz w:val="20"/>
                <w:szCs w:val="20"/>
                <w:lang w:val="sr-Cyrl-RS"/>
              </w:rPr>
              <w:t>136 такмичара из 16 средњих школа</w:t>
            </w:r>
          </w:p>
        </w:tc>
        <w:tc>
          <w:tcPr>
            <w:tcW w:w="3014" w:type="dxa"/>
          </w:tcPr>
          <w:p w:rsidR="0034105D" w:rsidRPr="0034105D" w:rsidRDefault="0034105D" w:rsidP="0034105D">
            <w:pPr>
              <w:spacing w:after="0"/>
              <w:rPr>
                <w:sz w:val="20"/>
                <w:szCs w:val="20"/>
                <w:lang w:val="sr-Cyrl-RS"/>
              </w:rPr>
            </w:pPr>
          </w:p>
        </w:tc>
      </w:tr>
      <w:tr w:rsidR="0034105D" w:rsidRPr="0034105D" w:rsidTr="0034105D">
        <w:trPr>
          <w:trHeight w:val="690"/>
        </w:trPr>
        <w:tc>
          <w:tcPr>
            <w:tcW w:w="3014" w:type="dxa"/>
          </w:tcPr>
          <w:p w:rsidR="0034105D" w:rsidRPr="0034105D" w:rsidRDefault="0034105D" w:rsidP="0034105D">
            <w:pPr>
              <w:spacing w:after="0"/>
              <w:rPr>
                <w:sz w:val="20"/>
                <w:szCs w:val="20"/>
                <w:lang w:val="sr-Cyrl-RS"/>
              </w:rPr>
            </w:pPr>
            <w:r w:rsidRPr="0034105D">
              <w:rPr>
                <w:sz w:val="20"/>
                <w:szCs w:val="20"/>
                <w:lang w:val="sr-Cyrl-RS"/>
              </w:rPr>
              <w:t>Едукативно путовање – Република Словачка</w:t>
            </w:r>
          </w:p>
        </w:tc>
        <w:tc>
          <w:tcPr>
            <w:tcW w:w="3014" w:type="dxa"/>
          </w:tcPr>
          <w:p w:rsidR="0034105D" w:rsidRPr="0034105D" w:rsidRDefault="0034105D" w:rsidP="0034105D">
            <w:pPr>
              <w:spacing w:after="0"/>
              <w:rPr>
                <w:sz w:val="20"/>
                <w:szCs w:val="20"/>
                <w:lang w:val="sr-Cyrl-RS"/>
              </w:rPr>
            </w:pPr>
            <w:r w:rsidRPr="0034105D">
              <w:rPr>
                <w:sz w:val="20"/>
                <w:szCs w:val="20"/>
                <w:lang w:val="sr-Cyrl-RS"/>
              </w:rPr>
              <w:t>36 ученика и шест професора</w:t>
            </w:r>
          </w:p>
        </w:tc>
        <w:tc>
          <w:tcPr>
            <w:tcW w:w="3014" w:type="dxa"/>
          </w:tcPr>
          <w:p w:rsidR="0034105D" w:rsidRPr="0034105D" w:rsidRDefault="0034105D" w:rsidP="0034105D">
            <w:pPr>
              <w:spacing w:after="0"/>
              <w:rPr>
                <w:sz w:val="20"/>
                <w:szCs w:val="20"/>
                <w:lang w:val="sr-Cyrl-RS"/>
              </w:rPr>
            </w:pPr>
            <w:r w:rsidRPr="0034105D">
              <w:rPr>
                <w:sz w:val="20"/>
                <w:szCs w:val="20"/>
                <w:lang w:val="sr-Cyrl-RS"/>
              </w:rPr>
              <w:t>Репортаже са путовања емитована је на програмима Јавне медијске установе РТВ</w:t>
            </w:r>
          </w:p>
        </w:tc>
      </w:tr>
      <w:tr w:rsidR="00CF5CC0" w:rsidRPr="0034105D" w:rsidTr="00CF5CC0">
        <w:trPr>
          <w:trHeight w:val="433"/>
        </w:trPr>
        <w:tc>
          <w:tcPr>
            <w:tcW w:w="6028" w:type="dxa"/>
            <w:gridSpan w:val="2"/>
          </w:tcPr>
          <w:p w:rsidR="00CF5CC0" w:rsidRPr="00CF5CC0" w:rsidRDefault="00CF5CC0" w:rsidP="0034105D">
            <w:pPr>
              <w:spacing w:after="0"/>
              <w:rPr>
                <w:b/>
                <w:sz w:val="20"/>
                <w:szCs w:val="20"/>
                <w:lang w:val="sr-Cyrl-RS"/>
              </w:rPr>
            </w:pPr>
            <w:r w:rsidRPr="00CF5CC0">
              <w:rPr>
                <w:b/>
                <w:sz w:val="20"/>
                <w:szCs w:val="20"/>
                <w:lang w:val="sr-Cyrl-RS"/>
              </w:rPr>
              <w:t>Укупна средства</w:t>
            </w:r>
          </w:p>
        </w:tc>
        <w:tc>
          <w:tcPr>
            <w:tcW w:w="3014" w:type="dxa"/>
          </w:tcPr>
          <w:p w:rsidR="00CF5CC0" w:rsidRPr="00CF5CC0" w:rsidRDefault="00CF5CC0" w:rsidP="00CF5CC0">
            <w:pPr>
              <w:spacing w:after="0"/>
              <w:jc w:val="right"/>
              <w:rPr>
                <w:b/>
                <w:sz w:val="20"/>
                <w:szCs w:val="20"/>
                <w:lang w:val="sr-Cyrl-RS"/>
              </w:rPr>
            </w:pPr>
            <w:r w:rsidRPr="00CF5CC0">
              <w:rPr>
                <w:b/>
                <w:sz w:val="20"/>
                <w:szCs w:val="20"/>
                <w:lang w:val="sr-Cyrl-RS"/>
              </w:rPr>
              <w:t>22.443.212,63</w:t>
            </w:r>
          </w:p>
        </w:tc>
      </w:tr>
      <w:tr w:rsidR="0034105D" w:rsidRPr="0034105D" w:rsidTr="0034105D">
        <w:trPr>
          <w:trHeight w:val="291"/>
        </w:trPr>
        <w:tc>
          <w:tcPr>
            <w:tcW w:w="9042" w:type="dxa"/>
            <w:gridSpan w:val="3"/>
          </w:tcPr>
          <w:p w:rsidR="0034105D" w:rsidRPr="0034105D" w:rsidRDefault="0034105D" w:rsidP="0034105D">
            <w:pPr>
              <w:spacing w:after="0"/>
              <w:jc w:val="center"/>
              <w:rPr>
                <w:sz w:val="20"/>
                <w:szCs w:val="20"/>
                <w:lang w:val="sr-Cyrl-RS"/>
              </w:rPr>
            </w:pPr>
            <w:r>
              <w:rPr>
                <w:sz w:val="20"/>
                <w:szCs w:val="20"/>
                <w:lang w:val="sr-Cyrl-RS"/>
              </w:rPr>
              <w:t>2019.</w:t>
            </w:r>
          </w:p>
        </w:tc>
      </w:tr>
      <w:tr w:rsidR="0034105D" w:rsidRPr="0034105D" w:rsidTr="0034105D">
        <w:trPr>
          <w:trHeight w:val="690"/>
        </w:trPr>
        <w:tc>
          <w:tcPr>
            <w:tcW w:w="3014" w:type="dxa"/>
          </w:tcPr>
          <w:p w:rsidR="0034105D" w:rsidRPr="0034105D" w:rsidRDefault="0034105D" w:rsidP="0034105D">
            <w:pPr>
              <w:spacing w:after="0"/>
              <w:rPr>
                <w:sz w:val="20"/>
                <w:szCs w:val="20"/>
                <w:lang w:val="sr-Cyrl-RS"/>
              </w:rPr>
            </w:pPr>
            <w:r w:rsidRPr="0034105D">
              <w:rPr>
                <w:sz w:val="20"/>
                <w:szCs w:val="20"/>
                <w:lang w:val="sr-Cyrl-RS"/>
              </w:rPr>
              <w:t>Квиз „Колико се познајемо”</w:t>
            </w:r>
          </w:p>
        </w:tc>
        <w:tc>
          <w:tcPr>
            <w:tcW w:w="3014" w:type="dxa"/>
          </w:tcPr>
          <w:p w:rsidR="0034105D" w:rsidRPr="0034105D" w:rsidRDefault="0034105D" w:rsidP="0034105D">
            <w:pPr>
              <w:spacing w:after="0"/>
              <w:rPr>
                <w:sz w:val="20"/>
                <w:szCs w:val="20"/>
                <w:lang w:val="sr-Cyrl-RS"/>
              </w:rPr>
            </w:pPr>
            <w:r>
              <w:rPr>
                <w:sz w:val="20"/>
                <w:szCs w:val="20"/>
                <w:lang w:val="sr-Cyrl-RS"/>
              </w:rPr>
              <w:t>Е</w:t>
            </w:r>
            <w:r w:rsidRPr="0034105D">
              <w:rPr>
                <w:sz w:val="20"/>
                <w:szCs w:val="20"/>
                <w:lang w:val="sr-Cyrl-RS"/>
              </w:rPr>
              <w:t xml:space="preserve">кипе </w:t>
            </w:r>
            <w:r>
              <w:rPr>
                <w:sz w:val="20"/>
                <w:szCs w:val="20"/>
                <w:lang w:val="sr-Cyrl-RS"/>
              </w:rPr>
              <w:t xml:space="preserve">из </w:t>
            </w:r>
            <w:r w:rsidRPr="0034105D">
              <w:rPr>
                <w:sz w:val="20"/>
                <w:szCs w:val="20"/>
                <w:lang w:val="sr-Cyrl-RS"/>
              </w:rPr>
              <w:t>27 средњих школа</w:t>
            </w:r>
          </w:p>
        </w:tc>
        <w:tc>
          <w:tcPr>
            <w:tcW w:w="3014" w:type="dxa"/>
          </w:tcPr>
          <w:p w:rsidR="0034105D" w:rsidRPr="0034105D" w:rsidRDefault="0034105D" w:rsidP="0034105D">
            <w:pPr>
              <w:spacing w:after="0"/>
              <w:rPr>
                <w:sz w:val="20"/>
                <w:szCs w:val="20"/>
                <w:lang w:val="sr-Cyrl-RS"/>
              </w:rPr>
            </w:pPr>
            <w:r w:rsidRPr="0034105D">
              <w:rPr>
                <w:sz w:val="20"/>
                <w:szCs w:val="20"/>
                <w:lang w:val="sr-Cyrl-RS"/>
              </w:rPr>
              <w:t>Репортаже са регионалних и  полуфиналних такмичења и целокупна финална емисија емитоване су на програмима Јавне медијске установе РТВ</w:t>
            </w:r>
          </w:p>
        </w:tc>
      </w:tr>
      <w:tr w:rsidR="0034105D" w:rsidRPr="0034105D" w:rsidTr="0034105D">
        <w:trPr>
          <w:trHeight w:val="690"/>
        </w:trPr>
        <w:tc>
          <w:tcPr>
            <w:tcW w:w="3014" w:type="dxa"/>
          </w:tcPr>
          <w:p w:rsidR="0034105D" w:rsidRPr="0034105D" w:rsidRDefault="0034105D" w:rsidP="0034105D">
            <w:pPr>
              <w:spacing w:after="0"/>
              <w:rPr>
                <w:sz w:val="20"/>
                <w:szCs w:val="20"/>
                <w:lang w:val="sr-Cyrl-RS"/>
              </w:rPr>
            </w:pPr>
            <w:r w:rsidRPr="0034105D">
              <w:rPr>
                <w:sz w:val="20"/>
                <w:szCs w:val="20"/>
                <w:lang w:val="sr-Cyrl-RS"/>
              </w:rPr>
              <w:t>Конкурс за суфинансирање пројеката очувања и неговања међунационалне толеранције у Војводини</w:t>
            </w:r>
          </w:p>
        </w:tc>
        <w:tc>
          <w:tcPr>
            <w:tcW w:w="3014" w:type="dxa"/>
          </w:tcPr>
          <w:p w:rsidR="00CF5CC0" w:rsidRPr="0034105D" w:rsidRDefault="00CF5CC0" w:rsidP="00CF5CC0">
            <w:pPr>
              <w:spacing w:after="0"/>
              <w:rPr>
                <w:sz w:val="20"/>
                <w:szCs w:val="20"/>
                <w:lang w:val="sr-Cyrl-RS"/>
              </w:rPr>
            </w:pPr>
            <w:r>
              <w:rPr>
                <w:sz w:val="20"/>
                <w:szCs w:val="20"/>
                <w:lang w:val="sr-Cyrl-RS"/>
              </w:rPr>
              <w:t xml:space="preserve">Од </w:t>
            </w:r>
            <w:r w:rsidRPr="00CF5CC0">
              <w:rPr>
                <w:sz w:val="20"/>
                <w:szCs w:val="20"/>
                <w:lang w:val="sr-Cyrl-RS"/>
              </w:rPr>
              <w:t xml:space="preserve">288 </w:t>
            </w:r>
            <w:r>
              <w:rPr>
                <w:sz w:val="20"/>
                <w:szCs w:val="20"/>
                <w:lang w:val="sr-Cyrl-RS"/>
              </w:rPr>
              <w:t xml:space="preserve">пројеката који су </w:t>
            </w:r>
            <w:r w:rsidRPr="00CF5CC0">
              <w:rPr>
                <w:sz w:val="20"/>
                <w:szCs w:val="20"/>
                <w:lang w:val="sr-Cyrl-RS"/>
              </w:rPr>
              <w:t>задовољавал</w:t>
            </w:r>
            <w:r>
              <w:rPr>
                <w:sz w:val="20"/>
                <w:szCs w:val="20"/>
                <w:lang w:val="sr-Cyrl-RS"/>
              </w:rPr>
              <w:t>и</w:t>
            </w:r>
            <w:r w:rsidRPr="00CF5CC0">
              <w:rPr>
                <w:sz w:val="20"/>
                <w:szCs w:val="20"/>
                <w:lang w:val="sr-Cyrl-RS"/>
              </w:rPr>
              <w:t xml:space="preserve"> услове конкурса</w:t>
            </w:r>
            <w:r>
              <w:rPr>
                <w:sz w:val="20"/>
                <w:szCs w:val="20"/>
                <w:lang w:val="sr-Cyrl-RS"/>
              </w:rPr>
              <w:t xml:space="preserve">, финансирано је </w:t>
            </w:r>
            <w:r w:rsidRPr="00CF5CC0">
              <w:rPr>
                <w:sz w:val="20"/>
                <w:szCs w:val="20"/>
                <w:lang w:val="sr-Cyrl-RS"/>
              </w:rPr>
              <w:t>139</w:t>
            </w:r>
            <w:r>
              <w:rPr>
                <w:sz w:val="20"/>
                <w:szCs w:val="20"/>
                <w:lang w:val="sr-Cyrl-RS"/>
              </w:rPr>
              <w:t xml:space="preserve"> пројеката</w:t>
            </w:r>
          </w:p>
        </w:tc>
        <w:tc>
          <w:tcPr>
            <w:tcW w:w="3014" w:type="dxa"/>
          </w:tcPr>
          <w:p w:rsidR="0034105D" w:rsidRPr="0034105D" w:rsidRDefault="0034105D" w:rsidP="0034105D">
            <w:pPr>
              <w:spacing w:after="0"/>
              <w:rPr>
                <w:sz w:val="20"/>
                <w:szCs w:val="20"/>
                <w:lang w:val="sr-Cyrl-RS"/>
              </w:rPr>
            </w:pPr>
          </w:p>
        </w:tc>
      </w:tr>
      <w:tr w:rsidR="0034105D" w:rsidRPr="0034105D" w:rsidTr="0034105D">
        <w:trPr>
          <w:trHeight w:val="690"/>
        </w:trPr>
        <w:tc>
          <w:tcPr>
            <w:tcW w:w="3014" w:type="dxa"/>
          </w:tcPr>
          <w:p w:rsidR="0034105D" w:rsidRPr="0034105D" w:rsidRDefault="0034105D" w:rsidP="0034105D">
            <w:pPr>
              <w:spacing w:after="0"/>
              <w:rPr>
                <w:sz w:val="20"/>
                <w:szCs w:val="20"/>
                <w:lang w:val="sr-Cyrl-RS"/>
              </w:rPr>
            </w:pPr>
            <w:r w:rsidRPr="0034105D">
              <w:rPr>
                <w:sz w:val="20"/>
                <w:szCs w:val="20"/>
                <w:lang w:val="sr-Cyrl-RS"/>
              </w:rPr>
              <w:t xml:space="preserve">Едукативно путовање – </w:t>
            </w:r>
            <w:r>
              <w:rPr>
                <w:sz w:val="20"/>
                <w:szCs w:val="20"/>
                <w:lang w:val="sr-Cyrl-RS"/>
              </w:rPr>
              <w:t>Румунија</w:t>
            </w:r>
          </w:p>
        </w:tc>
        <w:tc>
          <w:tcPr>
            <w:tcW w:w="3014" w:type="dxa"/>
          </w:tcPr>
          <w:p w:rsidR="0034105D" w:rsidRPr="0034105D" w:rsidRDefault="00486CD3" w:rsidP="00486CD3">
            <w:pPr>
              <w:spacing w:after="0"/>
              <w:rPr>
                <w:sz w:val="20"/>
                <w:szCs w:val="20"/>
                <w:lang w:val="sr-Cyrl-RS"/>
              </w:rPr>
            </w:pPr>
            <w:r w:rsidRPr="00486CD3">
              <w:rPr>
                <w:sz w:val="20"/>
                <w:szCs w:val="20"/>
                <w:lang w:val="sr-Cyrl-RS"/>
              </w:rPr>
              <w:t xml:space="preserve">45 ученика и </w:t>
            </w:r>
            <w:r>
              <w:rPr>
                <w:sz w:val="20"/>
                <w:szCs w:val="20"/>
                <w:lang w:val="sr-Cyrl-RS"/>
              </w:rPr>
              <w:t>11</w:t>
            </w:r>
            <w:r w:rsidRPr="00486CD3">
              <w:rPr>
                <w:sz w:val="20"/>
                <w:szCs w:val="20"/>
                <w:lang w:val="sr-Cyrl-RS"/>
              </w:rPr>
              <w:t xml:space="preserve"> професора</w:t>
            </w:r>
          </w:p>
        </w:tc>
        <w:tc>
          <w:tcPr>
            <w:tcW w:w="3014" w:type="dxa"/>
          </w:tcPr>
          <w:p w:rsidR="0034105D" w:rsidRPr="0034105D" w:rsidRDefault="0034105D" w:rsidP="0034105D">
            <w:pPr>
              <w:spacing w:after="0"/>
              <w:rPr>
                <w:sz w:val="20"/>
                <w:szCs w:val="20"/>
                <w:lang w:val="sr-Cyrl-RS"/>
              </w:rPr>
            </w:pPr>
          </w:p>
        </w:tc>
      </w:tr>
      <w:tr w:rsidR="00CF5CC0" w:rsidRPr="0034105D" w:rsidTr="00CF5CC0">
        <w:trPr>
          <w:trHeight w:val="483"/>
        </w:trPr>
        <w:tc>
          <w:tcPr>
            <w:tcW w:w="6028" w:type="dxa"/>
            <w:gridSpan w:val="2"/>
          </w:tcPr>
          <w:p w:rsidR="00CF5CC0" w:rsidRPr="00CF5CC0" w:rsidRDefault="00CF5CC0" w:rsidP="0034105D">
            <w:pPr>
              <w:spacing w:after="0"/>
              <w:rPr>
                <w:b/>
                <w:sz w:val="20"/>
                <w:szCs w:val="20"/>
                <w:lang w:val="sr-Cyrl-RS"/>
              </w:rPr>
            </w:pPr>
            <w:r w:rsidRPr="00CF5CC0">
              <w:rPr>
                <w:b/>
                <w:sz w:val="20"/>
                <w:szCs w:val="20"/>
                <w:lang w:val="sr-Cyrl-RS"/>
              </w:rPr>
              <w:t>Укупна средства</w:t>
            </w:r>
          </w:p>
        </w:tc>
        <w:tc>
          <w:tcPr>
            <w:tcW w:w="3014" w:type="dxa"/>
          </w:tcPr>
          <w:p w:rsidR="00CF5CC0" w:rsidRPr="00CF5CC0" w:rsidRDefault="00CF5CC0" w:rsidP="00CF5CC0">
            <w:pPr>
              <w:spacing w:after="0"/>
              <w:jc w:val="right"/>
              <w:rPr>
                <w:b/>
                <w:sz w:val="20"/>
                <w:szCs w:val="20"/>
                <w:lang w:val="sr-Cyrl-RS"/>
              </w:rPr>
            </w:pPr>
            <w:r w:rsidRPr="00CF5CC0">
              <w:rPr>
                <w:b/>
                <w:sz w:val="20"/>
                <w:szCs w:val="20"/>
                <w:lang w:val="sr-Cyrl-RS"/>
              </w:rPr>
              <w:t>20.968.647,17</w:t>
            </w:r>
          </w:p>
        </w:tc>
      </w:tr>
      <w:tr w:rsidR="00CF5CC0" w:rsidRPr="0034105D" w:rsidTr="00CF5CC0">
        <w:trPr>
          <w:trHeight w:val="277"/>
        </w:trPr>
        <w:tc>
          <w:tcPr>
            <w:tcW w:w="9042" w:type="dxa"/>
            <w:gridSpan w:val="3"/>
          </w:tcPr>
          <w:p w:rsidR="00CF5CC0" w:rsidRPr="0034105D" w:rsidRDefault="00CF5CC0" w:rsidP="00CF5CC0">
            <w:pPr>
              <w:spacing w:after="0"/>
              <w:jc w:val="center"/>
              <w:rPr>
                <w:sz w:val="20"/>
                <w:szCs w:val="20"/>
                <w:lang w:val="sr-Cyrl-RS"/>
              </w:rPr>
            </w:pPr>
            <w:r>
              <w:rPr>
                <w:sz w:val="20"/>
                <w:szCs w:val="20"/>
                <w:lang w:val="sr-Cyrl-RS"/>
              </w:rPr>
              <w:t>2020.</w:t>
            </w:r>
          </w:p>
        </w:tc>
      </w:tr>
      <w:tr w:rsidR="00CF5CC0" w:rsidRPr="0034105D" w:rsidTr="0034105D">
        <w:trPr>
          <w:trHeight w:val="690"/>
        </w:trPr>
        <w:tc>
          <w:tcPr>
            <w:tcW w:w="3014" w:type="dxa"/>
          </w:tcPr>
          <w:p w:rsidR="00CF5CC0" w:rsidRPr="0034105D" w:rsidRDefault="00486CD3" w:rsidP="00486CD3">
            <w:pPr>
              <w:spacing w:after="0"/>
              <w:rPr>
                <w:sz w:val="20"/>
                <w:szCs w:val="20"/>
                <w:lang w:val="sr-Cyrl-RS"/>
              </w:rPr>
            </w:pPr>
            <w:r w:rsidRPr="00486CD3">
              <w:rPr>
                <w:sz w:val="20"/>
                <w:szCs w:val="20"/>
                <w:lang w:val="sr-Cyrl-RS"/>
              </w:rPr>
              <w:t>Конкурс за избор видео-рада</w:t>
            </w:r>
            <w:r>
              <w:rPr>
                <w:sz w:val="20"/>
                <w:szCs w:val="20"/>
                <w:lang w:val="sr-Cyrl-RS"/>
              </w:rPr>
              <w:t xml:space="preserve">: </w:t>
            </w:r>
            <w:r w:rsidRPr="00486CD3">
              <w:rPr>
                <w:sz w:val="20"/>
                <w:szCs w:val="20"/>
                <w:lang w:val="sr-Cyrl-RS"/>
              </w:rPr>
              <w:t>„Mултикултуралност и етничка разноликост у Војводини”</w:t>
            </w:r>
          </w:p>
        </w:tc>
        <w:tc>
          <w:tcPr>
            <w:tcW w:w="3014" w:type="dxa"/>
          </w:tcPr>
          <w:p w:rsidR="00CF5CC0" w:rsidRPr="0034105D" w:rsidRDefault="00486CD3" w:rsidP="0034105D">
            <w:pPr>
              <w:spacing w:after="0"/>
              <w:rPr>
                <w:sz w:val="20"/>
                <w:szCs w:val="20"/>
                <w:lang w:val="sr-Cyrl-RS"/>
              </w:rPr>
            </w:pPr>
            <w:r>
              <w:rPr>
                <w:sz w:val="20"/>
                <w:szCs w:val="20"/>
                <w:lang w:val="sr-Cyrl-RS"/>
              </w:rPr>
              <w:t>У</w:t>
            </w:r>
            <w:r w:rsidRPr="00486CD3">
              <w:rPr>
                <w:sz w:val="20"/>
                <w:szCs w:val="20"/>
                <w:lang w:val="sr-Cyrl-RS"/>
              </w:rPr>
              <w:t>ченици средњих школа</w:t>
            </w:r>
          </w:p>
        </w:tc>
        <w:tc>
          <w:tcPr>
            <w:tcW w:w="3014" w:type="dxa"/>
          </w:tcPr>
          <w:p w:rsidR="00CF5CC0" w:rsidRPr="0034105D" w:rsidRDefault="00CF5CC0" w:rsidP="0034105D">
            <w:pPr>
              <w:spacing w:after="0"/>
              <w:rPr>
                <w:sz w:val="20"/>
                <w:szCs w:val="20"/>
                <w:lang w:val="sr-Cyrl-RS"/>
              </w:rPr>
            </w:pPr>
          </w:p>
        </w:tc>
      </w:tr>
      <w:tr w:rsidR="00CF5CC0" w:rsidRPr="0034105D" w:rsidTr="0034105D">
        <w:trPr>
          <w:trHeight w:val="690"/>
        </w:trPr>
        <w:tc>
          <w:tcPr>
            <w:tcW w:w="3014" w:type="dxa"/>
          </w:tcPr>
          <w:p w:rsidR="00CF5CC0" w:rsidRPr="0034105D" w:rsidRDefault="00486CD3" w:rsidP="0034105D">
            <w:pPr>
              <w:spacing w:after="0"/>
              <w:rPr>
                <w:sz w:val="20"/>
                <w:szCs w:val="20"/>
                <w:lang w:val="sr-Cyrl-RS"/>
              </w:rPr>
            </w:pPr>
            <w:r w:rsidRPr="00486CD3">
              <w:rPr>
                <w:sz w:val="20"/>
                <w:szCs w:val="20"/>
                <w:lang w:val="sr-Cyrl-RS"/>
              </w:rPr>
              <w:t>Конкурс за суфинансирање пројеката очувања и неговања међунационалне толеранције у Војводини</w:t>
            </w:r>
          </w:p>
        </w:tc>
        <w:tc>
          <w:tcPr>
            <w:tcW w:w="3014" w:type="dxa"/>
          </w:tcPr>
          <w:p w:rsidR="00CF5CC0" w:rsidRPr="0034105D" w:rsidRDefault="00486CD3" w:rsidP="00486CD3">
            <w:pPr>
              <w:spacing w:after="0"/>
              <w:rPr>
                <w:sz w:val="20"/>
                <w:szCs w:val="20"/>
                <w:lang w:val="sr-Cyrl-RS"/>
              </w:rPr>
            </w:pPr>
            <w:r w:rsidRPr="00486CD3">
              <w:rPr>
                <w:sz w:val="20"/>
                <w:szCs w:val="20"/>
                <w:lang w:val="sr-Cyrl-RS"/>
              </w:rPr>
              <w:t xml:space="preserve">Од </w:t>
            </w:r>
            <w:r>
              <w:rPr>
                <w:sz w:val="20"/>
                <w:szCs w:val="20"/>
                <w:lang w:val="sr-Cyrl-RS"/>
              </w:rPr>
              <w:t xml:space="preserve">445 </w:t>
            </w:r>
            <w:r w:rsidRPr="00486CD3">
              <w:rPr>
                <w:sz w:val="20"/>
                <w:szCs w:val="20"/>
                <w:lang w:val="sr-Cyrl-RS"/>
              </w:rPr>
              <w:t xml:space="preserve">пројеката који су задовољавали услове конкурса, финансирано је </w:t>
            </w:r>
            <w:r>
              <w:rPr>
                <w:sz w:val="20"/>
                <w:szCs w:val="20"/>
                <w:lang w:val="sr-Cyrl-RS"/>
              </w:rPr>
              <w:t>214</w:t>
            </w:r>
            <w:r w:rsidRPr="00486CD3">
              <w:rPr>
                <w:sz w:val="20"/>
                <w:szCs w:val="20"/>
                <w:lang w:val="sr-Cyrl-RS"/>
              </w:rPr>
              <w:t xml:space="preserve"> пројеката</w:t>
            </w:r>
          </w:p>
        </w:tc>
        <w:tc>
          <w:tcPr>
            <w:tcW w:w="3014" w:type="dxa"/>
          </w:tcPr>
          <w:p w:rsidR="00CF5CC0" w:rsidRPr="0034105D" w:rsidRDefault="00CF5CC0" w:rsidP="0034105D">
            <w:pPr>
              <w:spacing w:after="0"/>
              <w:rPr>
                <w:sz w:val="20"/>
                <w:szCs w:val="20"/>
                <w:lang w:val="sr-Cyrl-RS"/>
              </w:rPr>
            </w:pPr>
          </w:p>
        </w:tc>
      </w:tr>
      <w:tr w:rsidR="00486CD3" w:rsidRPr="0034105D" w:rsidTr="00486CD3">
        <w:trPr>
          <w:trHeight w:val="463"/>
        </w:trPr>
        <w:tc>
          <w:tcPr>
            <w:tcW w:w="6028" w:type="dxa"/>
            <w:gridSpan w:val="2"/>
          </w:tcPr>
          <w:p w:rsidR="00486CD3" w:rsidRPr="00486CD3" w:rsidRDefault="00486CD3" w:rsidP="00486CD3">
            <w:pPr>
              <w:spacing w:after="0"/>
              <w:rPr>
                <w:b/>
                <w:sz w:val="20"/>
                <w:szCs w:val="20"/>
                <w:lang w:val="sr-Cyrl-RS"/>
              </w:rPr>
            </w:pPr>
            <w:r w:rsidRPr="00486CD3">
              <w:rPr>
                <w:b/>
                <w:sz w:val="20"/>
                <w:szCs w:val="20"/>
                <w:lang w:val="sr-Cyrl-RS"/>
              </w:rPr>
              <w:t>Укупна средства</w:t>
            </w:r>
          </w:p>
        </w:tc>
        <w:tc>
          <w:tcPr>
            <w:tcW w:w="3014" w:type="dxa"/>
          </w:tcPr>
          <w:p w:rsidR="00486CD3" w:rsidRPr="00486CD3" w:rsidRDefault="00486CD3" w:rsidP="00486CD3">
            <w:pPr>
              <w:spacing w:after="0"/>
              <w:jc w:val="right"/>
              <w:rPr>
                <w:b/>
                <w:sz w:val="20"/>
                <w:szCs w:val="20"/>
                <w:lang w:val="sr-Cyrl-RS"/>
              </w:rPr>
            </w:pPr>
            <w:r w:rsidRPr="00486CD3">
              <w:rPr>
                <w:b/>
                <w:sz w:val="20"/>
                <w:szCs w:val="20"/>
                <w:lang w:val="sr-Cyrl-RS"/>
              </w:rPr>
              <w:t>15.130.000,00</w:t>
            </w:r>
          </w:p>
        </w:tc>
      </w:tr>
      <w:tr w:rsidR="00486CD3" w:rsidRPr="0034105D" w:rsidTr="00486CD3">
        <w:trPr>
          <w:trHeight w:val="271"/>
        </w:trPr>
        <w:tc>
          <w:tcPr>
            <w:tcW w:w="9042" w:type="dxa"/>
            <w:gridSpan w:val="3"/>
          </w:tcPr>
          <w:p w:rsidR="00486CD3" w:rsidRPr="0034105D" w:rsidRDefault="00486CD3" w:rsidP="00486CD3">
            <w:pPr>
              <w:spacing w:after="0"/>
              <w:jc w:val="center"/>
              <w:rPr>
                <w:sz w:val="20"/>
                <w:szCs w:val="20"/>
                <w:lang w:val="sr-Cyrl-RS"/>
              </w:rPr>
            </w:pPr>
            <w:r>
              <w:rPr>
                <w:sz w:val="20"/>
                <w:szCs w:val="20"/>
                <w:lang w:val="sr-Cyrl-RS"/>
              </w:rPr>
              <w:t>2021.</w:t>
            </w:r>
          </w:p>
        </w:tc>
      </w:tr>
      <w:tr w:rsidR="00486CD3" w:rsidRPr="0034105D" w:rsidTr="0034105D">
        <w:trPr>
          <w:trHeight w:val="690"/>
        </w:trPr>
        <w:tc>
          <w:tcPr>
            <w:tcW w:w="3014" w:type="dxa"/>
          </w:tcPr>
          <w:p w:rsidR="00486CD3" w:rsidRPr="00486CD3" w:rsidRDefault="00486CD3" w:rsidP="00486CD3">
            <w:pPr>
              <w:spacing w:after="0"/>
              <w:rPr>
                <w:sz w:val="20"/>
                <w:szCs w:val="20"/>
                <w:lang w:val="sr-Cyrl-RS"/>
              </w:rPr>
            </w:pPr>
            <w:r>
              <w:rPr>
                <w:sz w:val="20"/>
                <w:szCs w:val="20"/>
                <w:lang w:val="sr-Cyrl-RS"/>
              </w:rPr>
              <w:t>„</w:t>
            </w:r>
            <w:r w:rsidRPr="00486CD3">
              <w:rPr>
                <w:sz w:val="20"/>
                <w:szCs w:val="20"/>
                <w:lang w:val="sr-Cyrl-RS"/>
              </w:rPr>
              <w:t>Мултикултурализам на клик</w:t>
            </w:r>
            <w:r>
              <w:rPr>
                <w:sz w:val="20"/>
                <w:szCs w:val="20"/>
                <w:lang w:val="sr-Cyrl-RS"/>
              </w:rPr>
              <w:t xml:space="preserve">“ - </w:t>
            </w:r>
            <w:r w:rsidRPr="00486CD3">
              <w:rPr>
                <w:sz w:val="20"/>
                <w:szCs w:val="20"/>
                <w:lang w:val="sr-Cyrl-RS"/>
              </w:rPr>
              <w:t>6 награних конкурса (видео рад, фотографија, литерарна форма,</w:t>
            </w:r>
            <w:r>
              <w:rPr>
                <w:sz w:val="20"/>
                <w:szCs w:val="20"/>
                <w:lang w:val="sr-Cyrl-RS"/>
              </w:rPr>
              <w:t xml:space="preserve"> дизајн, </w:t>
            </w:r>
            <w:r w:rsidRPr="00486CD3">
              <w:rPr>
                <w:sz w:val="20"/>
                <w:szCs w:val="20"/>
                <w:lang w:val="sr-Cyrl-RS"/>
              </w:rPr>
              <w:t>ликовни рад и др</w:t>
            </w:r>
            <w:r>
              <w:rPr>
                <w:sz w:val="20"/>
                <w:szCs w:val="20"/>
                <w:lang w:val="sr-Cyrl-RS"/>
              </w:rPr>
              <w:t>.</w:t>
            </w:r>
            <w:r w:rsidRPr="00486CD3">
              <w:rPr>
                <w:sz w:val="20"/>
                <w:szCs w:val="20"/>
                <w:lang w:val="sr-Cyrl-RS"/>
              </w:rPr>
              <w:t>)</w:t>
            </w:r>
          </w:p>
        </w:tc>
        <w:tc>
          <w:tcPr>
            <w:tcW w:w="3014" w:type="dxa"/>
          </w:tcPr>
          <w:p w:rsidR="00486CD3" w:rsidRPr="00486CD3" w:rsidRDefault="00486CD3" w:rsidP="00486CD3">
            <w:pPr>
              <w:spacing w:after="0"/>
              <w:rPr>
                <w:sz w:val="20"/>
                <w:szCs w:val="20"/>
                <w:lang w:val="sr-Cyrl-RS"/>
              </w:rPr>
            </w:pPr>
            <w:r>
              <w:rPr>
                <w:sz w:val="20"/>
                <w:szCs w:val="20"/>
                <w:lang w:val="sr-Cyrl-RS"/>
              </w:rPr>
              <w:t>У</w:t>
            </w:r>
            <w:r w:rsidRPr="00486CD3">
              <w:rPr>
                <w:sz w:val="20"/>
                <w:szCs w:val="20"/>
                <w:lang w:val="sr-Cyrl-RS"/>
              </w:rPr>
              <w:t>чени</w:t>
            </w:r>
            <w:r>
              <w:rPr>
                <w:sz w:val="20"/>
                <w:szCs w:val="20"/>
                <w:lang w:val="sr-Cyrl-RS"/>
              </w:rPr>
              <w:t>ци</w:t>
            </w:r>
            <w:r w:rsidRPr="00486CD3">
              <w:rPr>
                <w:sz w:val="20"/>
                <w:szCs w:val="20"/>
                <w:lang w:val="sr-Cyrl-RS"/>
              </w:rPr>
              <w:t xml:space="preserve"> основних и средњих школа</w:t>
            </w:r>
          </w:p>
        </w:tc>
        <w:tc>
          <w:tcPr>
            <w:tcW w:w="3014" w:type="dxa"/>
          </w:tcPr>
          <w:p w:rsidR="00486CD3" w:rsidRPr="0034105D" w:rsidRDefault="00486CD3" w:rsidP="0034105D">
            <w:pPr>
              <w:spacing w:after="0"/>
              <w:rPr>
                <w:sz w:val="20"/>
                <w:szCs w:val="20"/>
                <w:lang w:val="sr-Cyrl-RS"/>
              </w:rPr>
            </w:pPr>
          </w:p>
        </w:tc>
      </w:tr>
      <w:tr w:rsidR="00486CD3" w:rsidRPr="0034105D" w:rsidTr="0034105D">
        <w:trPr>
          <w:trHeight w:val="690"/>
        </w:trPr>
        <w:tc>
          <w:tcPr>
            <w:tcW w:w="3014" w:type="dxa"/>
          </w:tcPr>
          <w:p w:rsidR="00486CD3" w:rsidRPr="00486CD3" w:rsidRDefault="00486CD3" w:rsidP="0034105D">
            <w:pPr>
              <w:spacing w:after="0"/>
              <w:rPr>
                <w:sz w:val="20"/>
                <w:szCs w:val="20"/>
                <w:lang w:val="sr-Cyrl-RS"/>
              </w:rPr>
            </w:pPr>
            <w:r w:rsidRPr="00486CD3">
              <w:rPr>
                <w:sz w:val="20"/>
                <w:szCs w:val="20"/>
                <w:lang w:val="sr-Cyrl-RS"/>
              </w:rPr>
              <w:t>Конкурс за суфинансирање пројеката очувања и неговања међунационалне толеранције у Војводини</w:t>
            </w:r>
          </w:p>
        </w:tc>
        <w:tc>
          <w:tcPr>
            <w:tcW w:w="3014" w:type="dxa"/>
          </w:tcPr>
          <w:p w:rsidR="00486CD3" w:rsidRPr="00486CD3" w:rsidRDefault="00486CD3" w:rsidP="00A475C5">
            <w:pPr>
              <w:spacing w:after="0"/>
              <w:rPr>
                <w:sz w:val="20"/>
                <w:szCs w:val="20"/>
                <w:lang w:val="sr-Cyrl-RS"/>
              </w:rPr>
            </w:pPr>
            <w:r w:rsidRPr="00486CD3">
              <w:rPr>
                <w:sz w:val="20"/>
                <w:szCs w:val="20"/>
                <w:lang w:val="sr-Cyrl-RS"/>
              </w:rPr>
              <w:t xml:space="preserve">Од </w:t>
            </w:r>
            <w:r>
              <w:rPr>
                <w:sz w:val="20"/>
                <w:szCs w:val="20"/>
                <w:lang w:val="sr-Cyrl-RS"/>
              </w:rPr>
              <w:t>344</w:t>
            </w:r>
            <w:r w:rsidRPr="00486CD3">
              <w:rPr>
                <w:sz w:val="20"/>
                <w:szCs w:val="20"/>
                <w:lang w:val="sr-Cyrl-RS"/>
              </w:rPr>
              <w:t xml:space="preserve"> пројеката који су задовољавали услове конкурса, финансирано је </w:t>
            </w:r>
            <w:r w:rsidR="00A475C5">
              <w:rPr>
                <w:sz w:val="20"/>
                <w:szCs w:val="20"/>
                <w:lang w:val="sr-Cyrl-RS"/>
              </w:rPr>
              <w:t>184</w:t>
            </w:r>
            <w:r w:rsidRPr="00486CD3">
              <w:rPr>
                <w:sz w:val="20"/>
                <w:szCs w:val="20"/>
                <w:lang w:val="sr-Cyrl-RS"/>
              </w:rPr>
              <w:t xml:space="preserve"> пројеката</w:t>
            </w:r>
          </w:p>
        </w:tc>
        <w:tc>
          <w:tcPr>
            <w:tcW w:w="3014" w:type="dxa"/>
          </w:tcPr>
          <w:p w:rsidR="00486CD3" w:rsidRPr="0034105D" w:rsidRDefault="00486CD3" w:rsidP="0034105D">
            <w:pPr>
              <w:spacing w:after="0"/>
              <w:rPr>
                <w:sz w:val="20"/>
                <w:szCs w:val="20"/>
                <w:lang w:val="sr-Cyrl-RS"/>
              </w:rPr>
            </w:pPr>
          </w:p>
        </w:tc>
      </w:tr>
      <w:tr w:rsidR="00A475C5" w:rsidRPr="0034105D" w:rsidTr="00A475C5">
        <w:trPr>
          <w:trHeight w:val="419"/>
        </w:trPr>
        <w:tc>
          <w:tcPr>
            <w:tcW w:w="6028" w:type="dxa"/>
            <w:gridSpan w:val="2"/>
          </w:tcPr>
          <w:p w:rsidR="00A475C5" w:rsidRPr="00486CD3" w:rsidRDefault="00A475C5" w:rsidP="00A475C5">
            <w:pPr>
              <w:spacing w:after="0"/>
              <w:rPr>
                <w:b/>
                <w:sz w:val="20"/>
                <w:szCs w:val="20"/>
                <w:lang w:val="sr-Cyrl-RS"/>
              </w:rPr>
            </w:pPr>
            <w:r w:rsidRPr="00486CD3">
              <w:rPr>
                <w:b/>
                <w:sz w:val="20"/>
                <w:szCs w:val="20"/>
                <w:lang w:val="sr-Cyrl-RS"/>
              </w:rPr>
              <w:t>Укупна средства</w:t>
            </w:r>
          </w:p>
        </w:tc>
        <w:tc>
          <w:tcPr>
            <w:tcW w:w="3014" w:type="dxa"/>
          </w:tcPr>
          <w:p w:rsidR="00A475C5" w:rsidRPr="00486CD3" w:rsidRDefault="00A475C5" w:rsidP="00A475C5">
            <w:pPr>
              <w:spacing w:after="0"/>
              <w:jc w:val="right"/>
              <w:rPr>
                <w:b/>
                <w:sz w:val="20"/>
                <w:szCs w:val="20"/>
                <w:lang w:val="sr-Cyrl-RS"/>
              </w:rPr>
            </w:pPr>
            <w:r w:rsidRPr="00A475C5">
              <w:rPr>
                <w:b/>
                <w:sz w:val="20"/>
                <w:szCs w:val="20"/>
                <w:lang w:val="sr-Cyrl-RS"/>
              </w:rPr>
              <w:t>14.619.645,00</w:t>
            </w:r>
          </w:p>
        </w:tc>
      </w:tr>
    </w:tbl>
    <w:p w:rsidR="00F81F4A" w:rsidRDefault="00F81F4A" w:rsidP="00F81F4A">
      <w:pPr>
        <w:spacing w:after="0"/>
        <w:jc w:val="both"/>
        <w:rPr>
          <w:sz w:val="24"/>
          <w:szCs w:val="24"/>
          <w:lang w:val="sr-Cyrl-RS"/>
        </w:rPr>
      </w:pPr>
    </w:p>
    <w:p w:rsidR="00A475C5" w:rsidRDefault="00A475C5" w:rsidP="00A475C5">
      <w:pPr>
        <w:spacing w:after="0"/>
        <w:ind w:firstLine="720"/>
        <w:jc w:val="both"/>
        <w:rPr>
          <w:sz w:val="24"/>
          <w:szCs w:val="24"/>
          <w:lang w:val="sr-Cyrl-RS"/>
        </w:rPr>
      </w:pPr>
      <w:r>
        <w:rPr>
          <w:sz w:val="24"/>
          <w:szCs w:val="24"/>
          <w:lang w:val="sr-Cyrl-RS"/>
        </w:rPr>
        <w:t>У доњој табели дат је, п</w:t>
      </w:r>
      <w:r w:rsidRPr="00541E21">
        <w:rPr>
          <w:sz w:val="24"/>
          <w:szCs w:val="24"/>
          <w:lang w:val="sr-Cyrl-RS"/>
        </w:rPr>
        <w:t>рема расположивим подацима,</w:t>
      </w:r>
      <w:r>
        <w:rPr>
          <w:sz w:val="24"/>
          <w:szCs w:val="24"/>
          <w:lang w:val="sr-Cyrl-RS"/>
        </w:rPr>
        <w:t xml:space="preserve"> преглед броја јединица локалне самоуправе, броја подржа</w:t>
      </w:r>
      <w:r w:rsidR="00BF1352">
        <w:rPr>
          <w:sz w:val="24"/>
          <w:szCs w:val="24"/>
          <w:lang w:val="sr-Cyrl-RS"/>
        </w:rPr>
        <w:t>н</w:t>
      </w:r>
      <w:r>
        <w:rPr>
          <w:sz w:val="24"/>
          <w:szCs w:val="24"/>
          <w:lang w:val="sr-Cyrl-RS"/>
        </w:rPr>
        <w:t>их мултикултурних пројеката и износ опредељених средстава у 2020. години.</w:t>
      </w:r>
    </w:p>
    <w:p w:rsidR="00A475C5" w:rsidRDefault="00A475C5" w:rsidP="00A475C5">
      <w:pPr>
        <w:spacing w:after="0"/>
        <w:jc w:val="both"/>
        <w:rPr>
          <w:sz w:val="24"/>
          <w:szCs w:val="24"/>
          <w:lang w:val="sr-Cyrl-RS"/>
        </w:rPr>
      </w:pPr>
    </w:p>
    <w:tbl>
      <w:tblPr>
        <w:tblStyle w:val="TableGrid"/>
        <w:tblW w:w="0" w:type="auto"/>
        <w:tblLook w:val="04A0" w:firstRow="1" w:lastRow="0" w:firstColumn="1" w:lastColumn="0" w:noHBand="0" w:noVBand="1"/>
      </w:tblPr>
      <w:tblGrid>
        <w:gridCol w:w="3005"/>
        <w:gridCol w:w="3005"/>
        <w:gridCol w:w="3006"/>
      </w:tblGrid>
      <w:tr w:rsidR="00A475C5" w:rsidRPr="008E4923" w:rsidTr="00A475C5">
        <w:tc>
          <w:tcPr>
            <w:tcW w:w="3005" w:type="dxa"/>
          </w:tcPr>
          <w:p w:rsidR="00A475C5" w:rsidRPr="008E4923" w:rsidRDefault="008E4923" w:rsidP="008E4923">
            <w:pPr>
              <w:spacing w:after="0"/>
              <w:jc w:val="center"/>
              <w:rPr>
                <w:sz w:val="20"/>
                <w:szCs w:val="20"/>
                <w:lang w:val="sr-Cyrl-RS"/>
              </w:rPr>
            </w:pPr>
            <w:r w:rsidRPr="008E4923">
              <w:rPr>
                <w:sz w:val="20"/>
                <w:szCs w:val="20"/>
                <w:lang w:val="sr-Cyrl-RS"/>
              </w:rPr>
              <w:t>Број ЈЛС</w:t>
            </w:r>
          </w:p>
        </w:tc>
        <w:tc>
          <w:tcPr>
            <w:tcW w:w="3005" w:type="dxa"/>
          </w:tcPr>
          <w:p w:rsidR="00A475C5" w:rsidRPr="008E4923" w:rsidRDefault="008E4923" w:rsidP="008E4923">
            <w:pPr>
              <w:spacing w:after="0"/>
              <w:jc w:val="center"/>
              <w:rPr>
                <w:sz w:val="20"/>
                <w:szCs w:val="20"/>
                <w:lang w:val="sr-Cyrl-RS"/>
              </w:rPr>
            </w:pPr>
            <w:r w:rsidRPr="008E4923">
              <w:rPr>
                <w:sz w:val="20"/>
                <w:szCs w:val="20"/>
                <w:lang w:val="sr-Cyrl-RS"/>
              </w:rPr>
              <w:t>Број подржаних пројеката</w:t>
            </w:r>
          </w:p>
        </w:tc>
        <w:tc>
          <w:tcPr>
            <w:tcW w:w="3006" w:type="dxa"/>
          </w:tcPr>
          <w:p w:rsidR="00A475C5" w:rsidRPr="008E4923" w:rsidRDefault="008E4923" w:rsidP="008E4923">
            <w:pPr>
              <w:spacing w:after="0"/>
              <w:jc w:val="center"/>
              <w:rPr>
                <w:sz w:val="20"/>
                <w:szCs w:val="20"/>
                <w:lang w:val="sr-Cyrl-RS"/>
              </w:rPr>
            </w:pPr>
            <w:r w:rsidRPr="008E4923">
              <w:rPr>
                <w:sz w:val="20"/>
                <w:szCs w:val="20"/>
                <w:lang w:val="sr-Cyrl-RS"/>
              </w:rPr>
              <w:t>Износ средстава</w:t>
            </w:r>
          </w:p>
        </w:tc>
      </w:tr>
      <w:tr w:rsidR="00A475C5" w:rsidRPr="008E4923" w:rsidTr="00A475C5">
        <w:tc>
          <w:tcPr>
            <w:tcW w:w="3005" w:type="dxa"/>
          </w:tcPr>
          <w:p w:rsidR="00A475C5" w:rsidRPr="008E4923" w:rsidRDefault="008E4923" w:rsidP="008E4923">
            <w:pPr>
              <w:spacing w:after="0"/>
              <w:jc w:val="center"/>
              <w:rPr>
                <w:sz w:val="20"/>
                <w:szCs w:val="20"/>
                <w:lang w:val="sr-Cyrl-RS"/>
              </w:rPr>
            </w:pPr>
            <w:r w:rsidRPr="008E4923">
              <w:rPr>
                <w:sz w:val="20"/>
                <w:szCs w:val="20"/>
                <w:lang w:val="sr-Cyrl-RS"/>
              </w:rPr>
              <w:t>14</w:t>
            </w:r>
          </w:p>
        </w:tc>
        <w:tc>
          <w:tcPr>
            <w:tcW w:w="3005" w:type="dxa"/>
          </w:tcPr>
          <w:p w:rsidR="00A475C5" w:rsidRPr="008E4923" w:rsidRDefault="008E4923" w:rsidP="008E4923">
            <w:pPr>
              <w:spacing w:after="0"/>
              <w:jc w:val="center"/>
              <w:rPr>
                <w:sz w:val="20"/>
                <w:szCs w:val="20"/>
                <w:lang w:val="sr-Cyrl-RS"/>
              </w:rPr>
            </w:pPr>
            <w:r w:rsidRPr="008E4923">
              <w:rPr>
                <w:sz w:val="20"/>
                <w:szCs w:val="20"/>
                <w:lang w:val="sr-Cyrl-RS"/>
              </w:rPr>
              <w:t>29</w:t>
            </w:r>
          </w:p>
        </w:tc>
        <w:tc>
          <w:tcPr>
            <w:tcW w:w="3006" w:type="dxa"/>
          </w:tcPr>
          <w:p w:rsidR="00A475C5" w:rsidRPr="008E4923" w:rsidRDefault="008E4923" w:rsidP="008E4923">
            <w:pPr>
              <w:spacing w:after="0"/>
              <w:jc w:val="center"/>
              <w:rPr>
                <w:sz w:val="20"/>
                <w:szCs w:val="20"/>
                <w:lang w:val="sr-Cyrl-RS"/>
              </w:rPr>
            </w:pPr>
            <w:r w:rsidRPr="008E4923">
              <w:rPr>
                <w:sz w:val="20"/>
                <w:szCs w:val="20"/>
                <w:lang w:val="sr-Cyrl-RS"/>
              </w:rPr>
              <w:t>6.475.800,00</w:t>
            </w:r>
          </w:p>
        </w:tc>
      </w:tr>
    </w:tbl>
    <w:p w:rsidR="00A475C5" w:rsidRDefault="00A475C5" w:rsidP="00A475C5">
      <w:pPr>
        <w:spacing w:after="0"/>
        <w:jc w:val="both"/>
        <w:rPr>
          <w:sz w:val="24"/>
          <w:szCs w:val="24"/>
          <w:lang w:val="sr-Cyrl-RS"/>
        </w:rPr>
      </w:pPr>
    </w:p>
    <w:p w:rsidR="00A475C5" w:rsidRDefault="00967EB6" w:rsidP="00967EB6">
      <w:pPr>
        <w:spacing w:after="0"/>
        <w:ind w:firstLine="720"/>
        <w:jc w:val="both"/>
        <w:rPr>
          <w:sz w:val="24"/>
          <w:szCs w:val="24"/>
          <w:lang w:val="sr-Cyrl-RS"/>
        </w:rPr>
      </w:pPr>
      <w:r w:rsidRPr="00967EB6">
        <w:rPr>
          <w:sz w:val="24"/>
          <w:szCs w:val="24"/>
          <w:lang w:val="sr-Cyrl-RS"/>
        </w:rPr>
        <w:t>У оквиру конкурса за суфинансирање пројеката из области јавног информисања на језицима националних мањина</w:t>
      </w:r>
      <w:r w:rsidR="00976A12">
        <w:rPr>
          <w:sz w:val="24"/>
          <w:szCs w:val="24"/>
          <w:lang w:val="sr-Cyrl-RS"/>
        </w:rPr>
        <w:t xml:space="preserve"> Министарства културе и информисања </w:t>
      </w:r>
      <w:r w:rsidRPr="00967EB6">
        <w:rPr>
          <w:sz w:val="24"/>
          <w:szCs w:val="24"/>
          <w:lang w:val="sr-Cyrl-RS"/>
        </w:rPr>
        <w:t>подршка се пружа и мултијезичким и мултикултуралним пројектима који доприносе развоју дијалога, бољем упознавању и разумевању у вишенационалним срединама. У табели која следи приказани су подаци о мултијезичким и мултикултуралним пројектима који су у овом извештајном периоду подржани средствима буџета Републике Србије.</w:t>
      </w:r>
    </w:p>
    <w:p w:rsidR="00967EB6" w:rsidRDefault="00967EB6" w:rsidP="00967EB6">
      <w:pPr>
        <w:spacing w:after="0"/>
        <w:jc w:val="both"/>
        <w:rPr>
          <w:sz w:val="24"/>
          <w:szCs w:val="24"/>
          <w:lang w:val="sr-Cyrl-RS"/>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967EB6" w:rsidRPr="00E470B3" w:rsidTr="00967EB6">
        <w:tc>
          <w:tcPr>
            <w:tcW w:w="1502" w:type="dxa"/>
          </w:tcPr>
          <w:p w:rsidR="00967EB6" w:rsidRPr="00E470B3" w:rsidRDefault="00967EB6" w:rsidP="00967EB6">
            <w:pPr>
              <w:spacing w:after="0"/>
              <w:jc w:val="center"/>
              <w:rPr>
                <w:sz w:val="20"/>
                <w:szCs w:val="20"/>
                <w:lang w:val="sr-Cyrl-RS"/>
              </w:rPr>
            </w:pPr>
          </w:p>
        </w:tc>
        <w:tc>
          <w:tcPr>
            <w:tcW w:w="1502" w:type="dxa"/>
          </w:tcPr>
          <w:p w:rsidR="00967EB6" w:rsidRPr="00E470B3" w:rsidRDefault="00967EB6" w:rsidP="00967EB6">
            <w:pPr>
              <w:spacing w:after="0"/>
              <w:jc w:val="center"/>
              <w:rPr>
                <w:sz w:val="20"/>
                <w:szCs w:val="20"/>
                <w:lang w:val="sr-Cyrl-RS"/>
              </w:rPr>
            </w:pPr>
            <w:r w:rsidRPr="00E470B3">
              <w:rPr>
                <w:sz w:val="20"/>
                <w:szCs w:val="20"/>
                <w:lang w:val="sr-Cyrl-RS"/>
              </w:rPr>
              <w:t>2017.</w:t>
            </w:r>
          </w:p>
        </w:tc>
        <w:tc>
          <w:tcPr>
            <w:tcW w:w="1503" w:type="dxa"/>
          </w:tcPr>
          <w:p w:rsidR="00967EB6" w:rsidRPr="00E470B3" w:rsidRDefault="00967EB6" w:rsidP="00967EB6">
            <w:pPr>
              <w:spacing w:after="0"/>
              <w:jc w:val="center"/>
              <w:rPr>
                <w:sz w:val="20"/>
                <w:szCs w:val="20"/>
                <w:lang w:val="sr-Cyrl-RS"/>
              </w:rPr>
            </w:pPr>
            <w:r w:rsidRPr="00E470B3">
              <w:rPr>
                <w:sz w:val="20"/>
                <w:szCs w:val="20"/>
                <w:lang w:val="sr-Cyrl-RS"/>
              </w:rPr>
              <w:t>2018.</w:t>
            </w:r>
          </w:p>
        </w:tc>
        <w:tc>
          <w:tcPr>
            <w:tcW w:w="1503" w:type="dxa"/>
          </w:tcPr>
          <w:p w:rsidR="00967EB6" w:rsidRPr="00E470B3" w:rsidRDefault="00967EB6" w:rsidP="00967EB6">
            <w:pPr>
              <w:spacing w:after="0"/>
              <w:jc w:val="center"/>
              <w:rPr>
                <w:sz w:val="20"/>
                <w:szCs w:val="20"/>
                <w:lang w:val="sr-Cyrl-RS"/>
              </w:rPr>
            </w:pPr>
            <w:r w:rsidRPr="00E470B3">
              <w:rPr>
                <w:sz w:val="20"/>
                <w:szCs w:val="20"/>
                <w:lang w:val="sr-Cyrl-RS"/>
              </w:rPr>
              <w:t>2019.</w:t>
            </w:r>
          </w:p>
        </w:tc>
        <w:tc>
          <w:tcPr>
            <w:tcW w:w="1503" w:type="dxa"/>
          </w:tcPr>
          <w:p w:rsidR="00967EB6" w:rsidRPr="00E470B3" w:rsidRDefault="00967EB6" w:rsidP="00967EB6">
            <w:pPr>
              <w:spacing w:after="0"/>
              <w:jc w:val="center"/>
              <w:rPr>
                <w:sz w:val="20"/>
                <w:szCs w:val="20"/>
                <w:lang w:val="sr-Cyrl-RS"/>
              </w:rPr>
            </w:pPr>
            <w:r w:rsidRPr="00E470B3">
              <w:rPr>
                <w:sz w:val="20"/>
                <w:szCs w:val="20"/>
                <w:lang w:val="sr-Cyrl-RS"/>
              </w:rPr>
              <w:t>2020.</w:t>
            </w:r>
          </w:p>
        </w:tc>
        <w:tc>
          <w:tcPr>
            <w:tcW w:w="1503" w:type="dxa"/>
          </w:tcPr>
          <w:p w:rsidR="00967EB6" w:rsidRPr="00E470B3" w:rsidRDefault="00967EB6" w:rsidP="00967EB6">
            <w:pPr>
              <w:spacing w:after="0"/>
              <w:jc w:val="center"/>
              <w:rPr>
                <w:sz w:val="20"/>
                <w:szCs w:val="20"/>
                <w:lang w:val="sr-Cyrl-RS"/>
              </w:rPr>
            </w:pPr>
            <w:r w:rsidRPr="00E470B3">
              <w:rPr>
                <w:sz w:val="20"/>
                <w:szCs w:val="20"/>
                <w:lang w:val="sr-Cyrl-RS"/>
              </w:rPr>
              <w:t>2021.</w:t>
            </w:r>
          </w:p>
        </w:tc>
      </w:tr>
      <w:tr w:rsidR="00967EB6" w:rsidRPr="00DD045B" w:rsidTr="00967EB6">
        <w:tc>
          <w:tcPr>
            <w:tcW w:w="1502" w:type="dxa"/>
            <w:vAlign w:val="bottom"/>
          </w:tcPr>
          <w:p w:rsidR="00967EB6" w:rsidRDefault="00967EB6" w:rsidP="00967EB6">
            <w:pPr>
              <w:spacing w:after="0"/>
              <w:rPr>
                <w:rFonts w:eastAsia="Times New Roman"/>
                <w:color w:val="000000"/>
                <w:sz w:val="20"/>
                <w:szCs w:val="20"/>
                <w:lang w:val="sr-Cyrl-RS"/>
              </w:rPr>
            </w:pPr>
            <w:r>
              <w:rPr>
                <w:rFonts w:eastAsia="Times New Roman"/>
                <w:color w:val="000000"/>
                <w:sz w:val="20"/>
                <w:szCs w:val="20"/>
                <w:lang w:val="sr-Cyrl-RS"/>
              </w:rPr>
              <w:t>Б</w:t>
            </w:r>
            <w:r w:rsidRPr="00E470B3">
              <w:rPr>
                <w:rFonts w:eastAsia="Times New Roman"/>
                <w:color w:val="000000"/>
                <w:sz w:val="20"/>
                <w:szCs w:val="20"/>
              </w:rPr>
              <w:t xml:space="preserve">рој </w:t>
            </w:r>
            <w:r>
              <w:rPr>
                <w:rFonts w:eastAsia="Times New Roman"/>
                <w:color w:val="000000"/>
                <w:sz w:val="20"/>
                <w:szCs w:val="20"/>
                <w:lang w:val="sr-Cyrl-RS"/>
              </w:rPr>
              <w:t xml:space="preserve">подржаних </w:t>
            </w:r>
            <w:r w:rsidRPr="00E470B3">
              <w:rPr>
                <w:rFonts w:eastAsia="Times New Roman"/>
                <w:color w:val="000000"/>
                <w:sz w:val="20"/>
                <w:szCs w:val="20"/>
              </w:rPr>
              <w:t>пројеката</w:t>
            </w:r>
          </w:p>
        </w:tc>
        <w:tc>
          <w:tcPr>
            <w:tcW w:w="1502" w:type="dxa"/>
            <w:vAlign w:val="center"/>
          </w:tcPr>
          <w:p w:rsidR="00967EB6" w:rsidRPr="00FC49CE" w:rsidRDefault="00967EB6" w:rsidP="00967EB6">
            <w:pPr>
              <w:spacing w:after="0"/>
              <w:jc w:val="center"/>
              <w:rPr>
                <w:rFonts w:eastAsia="Times New Roman"/>
                <w:color w:val="000000"/>
                <w:sz w:val="20"/>
                <w:szCs w:val="20"/>
                <w:lang w:val="sr-Cyrl-RS"/>
              </w:rPr>
            </w:pPr>
            <w:r>
              <w:rPr>
                <w:rFonts w:eastAsia="Times New Roman"/>
                <w:color w:val="000000"/>
                <w:sz w:val="20"/>
                <w:szCs w:val="20"/>
                <w:lang w:val="sr-Cyrl-RS"/>
              </w:rPr>
              <w:t>8</w:t>
            </w:r>
          </w:p>
        </w:tc>
        <w:tc>
          <w:tcPr>
            <w:tcW w:w="1503" w:type="dxa"/>
            <w:vAlign w:val="center"/>
          </w:tcPr>
          <w:p w:rsidR="00967EB6" w:rsidRDefault="00967EB6" w:rsidP="00967EB6">
            <w:pPr>
              <w:spacing w:after="0"/>
              <w:jc w:val="center"/>
              <w:rPr>
                <w:rFonts w:eastAsia="Times New Roman"/>
                <w:color w:val="000000"/>
                <w:sz w:val="20"/>
                <w:szCs w:val="20"/>
                <w:lang w:val="sr-Cyrl-RS"/>
              </w:rPr>
            </w:pPr>
            <w:r>
              <w:rPr>
                <w:rFonts w:eastAsia="Times New Roman"/>
                <w:color w:val="000000"/>
                <w:sz w:val="20"/>
                <w:szCs w:val="20"/>
                <w:lang w:val="sr-Cyrl-RS"/>
              </w:rPr>
              <w:t>12</w:t>
            </w:r>
          </w:p>
        </w:tc>
        <w:tc>
          <w:tcPr>
            <w:tcW w:w="1503" w:type="dxa"/>
            <w:vAlign w:val="center"/>
          </w:tcPr>
          <w:p w:rsidR="00967EB6" w:rsidRDefault="00967EB6" w:rsidP="00967EB6">
            <w:pPr>
              <w:spacing w:after="0"/>
              <w:jc w:val="center"/>
              <w:rPr>
                <w:rFonts w:eastAsia="Times New Roman"/>
                <w:color w:val="000000"/>
                <w:sz w:val="20"/>
                <w:szCs w:val="20"/>
                <w:lang w:val="sr-Cyrl-RS"/>
              </w:rPr>
            </w:pPr>
            <w:r>
              <w:rPr>
                <w:rFonts w:eastAsia="Times New Roman"/>
                <w:color w:val="000000"/>
                <w:sz w:val="20"/>
                <w:szCs w:val="20"/>
                <w:lang w:val="sr-Cyrl-RS"/>
              </w:rPr>
              <w:t>10</w:t>
            </w:r>
          </w:p>
        </w:tc>
        <w:tc>
          <w:tcPr>
            <w:tcW w:w="1503" w:type="dxa"/>
            <w:vAlign w:val="center"/>
          </w:tcPr>
          <w:p w:rsidR="00967EB6" w:rsidRDefault="00967EB6" w:rsidP="00967EB6">
            <w:pPr>
              <w:spacing w:after="0"/>
              <w:jc w:val="center"/>
              <w:rPr>
                <w:rFonts w:eastAsia="Times New Roman"/>
                <w:color w:val="000000"/>
                <w:sz w:val="20"/>
                <w:szCs w:val="20"/>
                <w:lang w:val="sr-Cyrl-RS"/>
              </w:rPr>
            </w:pPr>
            <w:r>
              <w:rPr>
                <w:rFonts w:eastAsia="Times New Roman"/>
                <w:color w:val="000000"/>
                <w:sz w:val="20"/>
                <w:szCs w:val="20"/>
                <w:lang w:val="sr-Cyrl-RS"/>
              </w:rPr>
              <w:t>9</w:t>
            </w:r>
          </w:p>
        </w:tc>
        <w:tc>
          <w:tcPr>
            <w:tcW w:w="1503" w:type="dxa"/>
            <w:vAlign w:val="center"/>
          </w:tcPr>
          <w:p w:rsidR="00967EB6" w:rsidRDefault="003B26B2" w:rsidP="00967EB6">
            <w:pPr>
              <w:spacing w:after="0"/>
              <w:jc w:val="center"/>
              <w:rPr>
                <w:rFonts w:eastAsia="Times New Roman"/>
                <w:color w:val="000000"/>
                <w:sz w:val="20"/>
                <w:szCs w:val="20"/>
                <w:lang w:val="sr-Cyrl-RS"/>
              </w:rPr>
            </w:pPr>
            <w:r>
              <w:rPr>
                <w:rFonts w:eastAsia="Times New Roman"/>
                <w:color w:val="000000"/>
                <w:sz w:val="20"/>
                <w:szCs w:val="20"/>
                <w:lang w:val="sr-Cyrl-RS"/>
              </w:rPr>
              <w:t>6</w:t>
            </w:r>
          </w:p>
        </w:tc>
      </w:tr>
      <w:tr w:rsidR="00967EB6" w:rsidRPr="00E470B3" w:rsidTr="00967EB6">
        <w:tc>
          <w:tcPr>
            <w:tcW w:w="1502" w:type="dxa"/>
          </w:tcPr>
          <w:p w:rsidR="00967EB6" w:rsidRPr="00E470B3" w:rsidRDefault="00967EB6" w:rsidP="00967EB6">
            <w:pPr>
              <w:spacing w:after="0"/>
              <w:jc w:val="both"/>
              <w:rPr>
                <w:sz w:val="20"/>
                <w:szCs w:val="20"/>
                <w:lang w:val="sr-Cyrl-RS"/>
              </w:rPr>
            </w:pPr>
            <w:r>
              <w:rPr>
                <w:sz w:val="20"/>
                <w:szCs w:val="20"/>
                <w:lang w:val="sr-Cyrl-RS"/>
              </w:rPr>
              <w:t>Износ средстава</w:t>
            </w:r>
          </w:p>
        </w:tc>
        <w:tc>
          <w:tcPr>
            <w:tcW w:w="1502" w:type="dxa"/>
            <w:vAlign w:val="center"/>
          </w:tcPr>
          <w:p w:rsidR="00967EB6" w:rsidRPr="00E470B3" w:rsidRDefault="00967EB6" w:rsidP="00967EB6">
            <w:pPr>
              <w:spacing w:after="0"/>
              <w:jc w:val="center"/>
              <w:rPr>
                <w:sz w:val="20"/>
                <w:szCs w:val="20"/>
                <w:lang w:val="sr-Cyrl-RS"/>
              </w:rPr>
            </w:pPr>
            <w:r>
              <w:rPr>
                <w:sz w:val="20"/>
                <w:szCs w:val="20"/>
                <w:lang w:val="sr-Cyrl-RS"/>
              </w:rPr>
              <w:t>3.20</w:t>
            </w:r>
            <w:r w:rsidRPr="00B820A7">
              <w:rPr>
                <w:sz w:val="20"/>
                <w:szCs w:val="20"/>
                <w:lang w:val="sr-Cyrl-RS"/>
              </w:rPr>
              <w:t>0</w:t>
            </w:r>
            <w:r>
              <w:rPr>
                <w:sz w:val="20"/>
                <w:szCs w:val="20"/>
                <w:lang w:val="sr-Cyrl-RS"/>
              </w:rPr>
              <w:t>.000,</w:t>
            </w:r>
            <w:r w:rsidRPr="00B820A7">
              <w:rPr>
                <w:sz w:val="20"/>
                <w:szCs w:val="20"/>
                <w:lang w:val="sr-Cyrl-RS"/>
              </w:rPr>
              <w:t>00</w:t>
            </w:r>
          </w:p>
        </w:tc>
        <w:tc>
          <w:tcPr>
            <w:tcW w:w="1503" w:type="dxa"/>
            <w:vAlign w:val="center"/>
          </w:tcPr>
          <w:p w:rsidR="00967EB6" w:rsidRPr="00E470B3" w:rsidRDefault="00967EB6" w:rsidP="00967EB6">
            <w:pPr>
              <w:spacing w:after="0"/>
              <w:jc w:val="center"/>
              <w:rPr>
                <w:sz w:val="20"/>
                <w:szCs w:val="20"/>
                <w:lang w:val="sr-Cyrl-RS"/>
              </w:rPr>
            </w:pPr>
            <w:r>
              <w:rPr>
                <w:sz w:val="20"/>
                <w:szCs w:val="20"/>
                <w:lang w:val="sr-Cyrl-RS"/>
              </w:rPr>
              <w:t>5.80</w:t>
            </w:r>
            <w:r w:rsidRPr="00B820A7">
              <w:rPr>
                <w:sz w:val="20"/>
                <w:szCs w:val="20"/>
                <w:lang w:val="sr-Cyrl-RS"/>
              </w:rPr>
              <w:t>0</w:t>
            </w:r>
            <w:r>
              <w:rPr>
                <w:sz w:val="20"/>
                <w:szCs w:val="20"/>
                <w:lang w:val="sr-Cyrl-RS"/>
              </w:rPr>
              <w:t>.</w:t>
            </w:r>
            <w:r w:rsidRPr="00B820A7">
              <w:rPr>
                <w:sz w:val="20"/>
                <w:szCs w:val="20"/>
                <w:lang w:val="sr-Cyrl-RS"/>
              </w:rPr>
              <w:t>000</w:t>
            </w:r>
            <w:r>
              <w:rPr>
                <w:sz w:val="20"/>
                <w:szCs w:val="20"/>
                <w:lang w:val="sr-Cyrl-RS"/>
              </w:rPr>
              <w:t>,</w:t>
            </w:r>
            <w:r w:rsidRPr="00B820A7">
              <w:rPr>
                <w:sz w:val="20"/>
                <w:szCs w:val="20"/>
                <w:lang w:val="sr-Cyrl-RS"/>
              </w:rPr>
              <w:t>00</w:t>
            </w:r>
          </w:p>
        </w:tc>
        <w:tc>
          <w:tcPr>
            <w:tcW w:w="1503" w:type="dxa"/>
            <w:vAlign w:val="center"/>
          </w:tcPr>
          <w:p w:rsidR="00967EB6" w:rsidRPr="00E470B3" w:rsidRDefault="00967EB6" w:rsidP="00967EB6">
            <w:pPr>
              <w:spacing w:after="0"/>
              <w:jc w:val="center"/>
              <w:rPr>
                <w:sz w:val="20"/>
                <w:szCs w:val="20"/>
                <w:lang w:val="sr-Cyrl-RS"/>
              </w:rPr>
            </w:pPr>
            <w:r>
              <w:rPr>
                <w:sz w:val="20"/>
                <w:szCs w:val="20"/>
                <w:lang w:val="sr-Cyrl-RS"/>
              </w:rPr>
              <w:t>4.569.4</w:t>
            </w:r>
            <w:r w:rsidRPr="00B820A7">
              <w:rPr>
                <w:sz w:val="20"/>
                <w:szCs w:val="20"/>
                <w:lang w:val="sr-Cyrl-RS"/>
              </w:rPr>
              <w:t>00</w:t>
            </w:r>
            <w:r>
              <w:rPr>
                <w:sz w:val="20"/>
                <w:szCs w:val="20"/>
                <w:lang w:val="sr-Cyrl-RS"/>
              </w:rPr>
              <w:t>,</w:t>
            </w:r>
            <w:r w:rsidRPr="00B820A7">
              <w:rPr>
                <w:sz w:val="20"/>
                <w:szCs w:val="20"/>
                <w:lang w:val="sr-Cyrl-RS"/>
              </w:rPr>
              <w:t>00</w:t>
            </w:r>
          </w:p>
        </w:tc>
        <w:tc>
          <w:tcPr>
            <w:tcW w:w="1503" w:type="dxa"/>
            <w:vAlign w:val="center"/>
          </w:tcPr>
          <w:p w:rsidR="00967EB6" w:rsidRPr="00E470B3" w:rsidRDefault="003B26B2" w:rsidP="003B26B2">
            <w:pPr>
              <w:spacing w:after="0"/>
              <w:jc w:val="center"/>
              <w:rPr>
                <w:sz w:val="20"/>
                <w:szCs w:val="20"/>
                <w:lang w:val="sr-Cyrl-RS"/>
              </w:rPr>
            </w:pPr>
            <w:r>
              <w:rPr>
                <w:sz w:val="20"/>
                <w:szCs w:val="20"/>
                <w:lang w:val="sr-Cyrl-RS"/>
              </w:rPr>
              <w:t>4</w:t>
            </w:r>
            <w:r w:rsidR="00967EB6">
              <w:rPr>
                <w:sz w:val="20"/>
                <w:szCs w:val="20"/>
                <w:lang w:val="sr-Cyrl-RS"/>
              </w:rPr>
              <w:t>.</w:t>
            </w:r>
            <w:r>
              <w:rPr>
                <w:sz w:val="20"/>
                <w:szCs w:val="20"/>
                <w:lang w:val="sr-Cyrl-RS"/>
              </w:rPr>
              <w:t>55</w:t>
            </w:r>
            <w:r w:rsidR="00967EB6" w:rsidRPr="00B820A7">
              <w:rPr>
                <w:sz w:val="20"/>
                <w:szCs w:val="20"/>
                <w:lang w:val="sr-Cyrl-RS"/>
              </w:rPr>
              <w:t>0</w:t>
            </w:r>
            <w:r w:rsidR="00967EB6">
              <w:rPr>
                <w:sz w:val="20"/>
                <w:szCs w:val="20"/>
                <w:lang w:val="sr-Cyrl-RS"/>
              </w:rPr>
              <w:t>.</w:t>
            </w:r>
            <w:r w:rsidR="00967EB6" w:rsidRPr="00B820A7">
              <w:rPr>
                <w:sz w:val="20"/>
                <w:szCs w:val="20"/>
                <w:lang w:val="sr-Cyrl-RS"/>
              </w:rPr>
              <w:t>000</w:t>
            </w:r>
            <w:r w:rsidR="00967EB6">
              <w:rPr>
                <w:sz w:val="20"/>
                <w:szCs w:val="20"/>
                <w:lang w:val="sr-Cyrl-RS"/>
              </w:rPr>
              <w:t>,</w:t>
            </w:r>
            <w:r w:rsidR="00967EB6" w:rsidRPr="00B820A7">
              <w:rPr>
                <w:sz w:val="20"/>
                <w:szCs w:val="20"/>
                <w:lang w:val="sr-Cyrl-RS"/>
              </w:rPr>
              <w:t>00</w:t>
            </w:r>
          </w:p>
        </w:tc>
        <w:tc>
          <w:tcPr>
            <w:tcW w:w="1503" w:type="dxa"/>
            <w:vAlign w:val="center"/>
          </w:tcPr>
          <w:p w:rsidR="00967EB6" w:rsidRPr="00E470B3" w:rsidRDefault="003B26B2" w:rsidP="003B26B2">
            <w:pPr>
              <w:spacing w:after="0"/>
              <w:jc w:val="center"/>
              <w:rPr>
                <w:sz w:val="20"/>
                <w:szCs w:val="20"/>
                <w:lang w:val="sr-Cyrl-RS"/>
              </w:rPr>
            </w:pPr>
            <w:r>
              <w:rPr>
                <w:sz w:val="20"/>
                <w:szCs w:val="20"/>
                <w:lang w:val="sr-Cyrl-RS"/>
              </w:rPr>
              <w:t>3</w:t>
            </w:r>
            <w:r w:rsidR="00967EB6">
              <w:rPr>
                <w:sz w:val="20"/>
                <w:szCs w:val="20"/>
                <w:lang w:val="sr-Cyrl-RS"/>
              </w:rPr>
              <w:t>.</w:t>
            </w:r>
            <w:r>
              <w:rPr>
                <w:sz w:val="20"/>
                <w:szCs w:val="20"/>
                <w:lang w:val="sr-Cyrl-RS"/>
              </w:rPr>
              <w:t>80</w:t>
            </w:r>
            <w:r w:rsidR="00967EB6">
              <w:rPr>
                <w:sz w:val="20"/>
                <w:szCs w:val="20"/>
                <w:lang w:val="sr-Cyrl-RS"/>
              </w:rPr>
              <w:t>0.</w:t>
            </w:r>
            <w:r w:rsidR="00967EB6" w:rsidRPr="00B820A7">
              <w:rPr>
                <w:sz w:val="20"/>
                <w:szCs w:val="20"/>
                <w:lang w:val="sr-Cyrl-RS"/>
              </w:rPr>
              <w:t>000</w:t>
            </w:r>
            <w:r w:rsidR="00967EB6">
              <w:rPr>
                <w:sz w:val="20"/>
                <w:szCs w:val="20"/>
                <w:lang w:val="sr-Cyrl-RS"/>
              </w:rPr>
              <w:t>,</w:t>
            </w:r>
            <w:r w:rsidR="00967EB6" w:rsidRPr="00B820A7">
              <w:rPr>
                <w:sz w:val="20"/>
                <w:szCs w:val="20"/>
                <w:lang w:val="sr-Cyrl-RS"/>
              </w:rPr>
              <w:t>00</w:t>
            </w:r>
          </w:p>
        </w:tc>
      </w:tr>
    </w:tbl>
    <w:p w:rsidR="00967EB6" w:rsidRDefault="00967EB6" w:rsidP="00967EB6">
      <w:pPr>
        <w:spacing w:after="0"/>
        <w:jc w:val="both"/>
        <w:rPr>
          <w:sz w:val="24"/>
          <w:szCs w:val="24"/>
          <w:lang w:val="sr-Cyrl-RS"/>
        </w:rPr>
      </w:pPr>
    </w:p>
    <w:p w:rsidR="00967EB6" w:rsidRDefault="0073407D" w:rsidP="0073407D">
      <w:pPr>
        <w:spacing w:after="0"/>
        <w:ind w:firstLine="720"/>
        <w:jc w:val="both"/>
        <w:rPr>
          <w:sz w:val="24"/>
          <w:szCs w:val="24"/>
          <w:lang w:val="sr-Cyrl-RS"/>
        </w:rPr>
      </w:pPr>
      <w:r>
        <w:rPr>
          <w:sz w:val="24"/>
          <w:szCs w:val="24"/>
          <w:lang w:val="sr-Cyrl-RS"/>
        </w:rPr>
        <w:t xml:space="preserve">Овакви пројекти подржавају се и на осталим конкурсима у области јавног информисања које расписује </w:t>
      </w:r>
      <w:r w:rsidR="00976A12">
        <w:rPr>
          <w:sz w:val="24"/>
          <w:szCs w:val="24"/>
          <w:lang w:val="sr-Cyrl-RS"/>
        </w:rPr>
        <w:t>М</w:t>
      </w:r>
      <w:r>
        <w:rPr>
          <w:sz w:val="24"/>
          <w:szCs w:val="24"/>
          <w:lang w:val="sr-Cyrl-RS"/>
        </w:rPr>
        <w:t xml:space="preserve">инистарство. Подаци о подржаним </w:t>
      </w:r>
      <w:r w:rsidRPr="0073407D">
        <w:rPr>
          <w:sz w:val="24"/>
          <w:szCs w:val="24"/>
          <w:lang w:val="sr-Cyrl-RS"/>
        </w:rPr>
        <w:t>мултијезичким и мултикултуралним пројектима</w:t>
      </w:r>
      <w:r>
        <w:rPr>
          <w:sz w:val="24"/>
          <w:szCs w:val="24"/>
          <w:lang w:val="sr-Cyrl-RS"/>
        </w:rPr>
        <w:t xml:space="preserve"> </w:t>
      </w:r>
      <w:r w:rsidR="00976A12">
        <w:rPr>
          <w:sz w:val="24"/>
          <w:szCs w:val="24"/>
          <w:lang w:val="sr-Cyrl-RS"/>
        </w:rPr>
        <w:t xml:space="preserve">на </w:t>
      </w:r>
      <w:r>
        <w:rPr>
          <w:sz w:val="24"/>
          <w:szCs w:val="24"/>
          <w:lang w:val="sr-Cyrl-RS"/>
        </w:rPr>
        <w:t>тим конкурсима доступни су за 2020. годину и представљени су у доњој табели.</w:t>
      </w:r>
    </w:p>
    <w:p w:rsidR="0073407D" w:rsidRDefault="0073407D" w:rsidP="0073407D">
      <w:pPr>
        <w:spacing w:after="0"/>
        <w:ind w:firstLine="720"/>
        <w:jc w:val="both"/>
        <w:rPr>
          <w:sz w:val="24"/>
          <w:szCs w:val="24"/>
          <w:lang w:val="sr-Cyrl-RS"/>
        </w:rPr>
      </w:pPr>
    </w:p>
    <w:tbl>
      <w:tblPr>
        <w:tblStyle w:val="TableGrid"/>
        <w:tblW w:w="0" w:type="auto"/>
        <w:tblLook w:val="04A0" w:firstRow="1" w:lastRow="0" w:firstColumn="1" w:lastColumn="0" w:noHBand="0" w:noVBand="1"/>
      </w:tblPr>
      <w:tblGrid>
        <w:gridCol w:w="3005"/>
        <w:gridCol w:w="3005"/>
        <w:gridCol w:w="3006"/>
      </w:tblGrid>
      <w:tr w:rsidR="0073407D" w:rsidRPr="008E4923" w:rsidTr="00A772E1">
        <w:tc>
          <w:tcPr>
            <w:tcW w:w="3005" w:type="dxa"/>
          </w:tcPr>
          <w:p w:rsidR="0073407D" w:rsidRPr="008E4923" w:rsidRDefault="0073407D" w:rsidP="00A772E1">
            <w:pPr>
              <w:spacing w:after="0"/>
              <w:jc w:val="center"/>
              <w:rPr>
                <w:sz w:val="20"/>
                <w:szCs w:val="20"/>
                <w:lang w:val="sr-Cyrl-RS"/>
              </w:rPr>
            </w:pPr>
            <w:r>
              <w:rPr>
                <w:sz w:val="20"/>
                <w:szCs w:val="20"/>
                <w:lang w:val="sr-Cyrl-RS"/>
              </w:rPr>
              <w:t>Конкурс</w:t>
            </w:r>
          </w:p>
        </w:tc>
        <w:tc>
          <w:tcPr>
            <w:tcW w:w="3005" w:type="dxa"/>
          </w:tcPr>
          <w:p w:rsidR="0073407D" w:rsidRPr="008E4923" w:rsidRDefault="0073407D" w:rsidP="00A772E1">
            <w:pPr>
              <w:spacing w:after="0"/>
              <w:jc w:val="center"/>
              <w:rPr>
                <w:sz w:val="20"/>
                <w:szCs w:val="20"/>
                <w:lang w:val="sr-Cyrl-RS"/>
              </w:rPr>
            </w:pPr>
            <w:r w:rsidRPr="008E4923">
              <w:rPr>
                <w:sz w:val="20"/>
                <w:szCs w:val="20"/>
                <w:lang w:val="sr-Cyrl-RS"/>
              </w:rPr>
              <w:t>Број подржаних пројеката</w:t>
            </w:r>
          </w:p>
        </w:tc>
        <w:tc>
          <w:tcPr>
            <w:tcW w:w="3006" w:type="dxa"/>
          </w:tcPr>
          <w:p w:rsidR="0073407D" w:rsidRPr="008E4923" w:rsidRDefault="0073407D" w:rsidP="00A772E1">
            <w:pPr>
              <w:spacing w:after="0"/>
              <w:jc w:val="center"/>
              <w:rPr>
                <w:sz w:val="20"/>
                <w:szCs w:val="20"/>
                <w:lang w:val="sr-Cyrl-RS"/>
              </w:rPr>
            </w:pPr>
            <w:r w:rsidRPr="008E4923">
              <w:rPr>
                <w:sz w:val="20"/>
                <w:szCs w:val="20"/>
                <w:lang w:val="sr-Cyrl-RS"/>
              </w:rPr>
              <w:t>Износ средстава</w:t>
            </w:r>
          </w:p>
        </w:tc>
      </w:tr>
      <w:tr w:rsidR="0073407D" w:rsidRPr="008E4923" w:rsidTr="00A772E1">
        <w:tc>
          <w:tcPr>
            <w:tcW w:w="3005" w:type="dxa"/>
          </w:tcPr>
          <w:p w:rsidR="0073407D" w:rsidRPr="008E4923" w:rsidRDefault="0073407D" w:rsidP="0073407D">
            <w:pPr>
              <w:spacing w:after="0"/>
              <w:rPr>
                <w:sz w:val="20"/>
                <w:szCs w:val="20"/>
                <w:lang w:val="sr-Cyrl-RS"/>
              </w:rPr>
            </w:pPr>
            <w:r>
              <w:rPr>
                <w:sz w:val="20"/>
                <w:szCs w:val="20"/>
                <w:lang w:val="sr-Cyrl-RS"/>
              </w:rPr>
              <w:t>П</w:t>
            </w:r>
            <w:r w:rsidRPr="0073407D">
              <w:rPr>
                <w:sz w:val="20"/>
                <w:szCs w:val="20"/>
                <w:lang w:val="sr-Cyrl-RS"/>
              </w:rPr>
              <w:t>роизводњ</w:t>
            </w:r>
            <w:r>
              <w:rPr>
                <w:sz w:val="20"/>
                <w:szCs w:val="20"/>
                <w:lang w:val="sr-Cyrl-RS"/>
              </w:rPr>
              <w:t xml:space="preserve">а </w:t>
            </w:r>
            <w:r w:rsidRPr="0073407D">
              <w:rPr>
                <w:sz w:val="20"/>
                <w:szCs w:val="20"/>
                <w:lang w:val="sr-Cyrl-RS"/>
              </w:rPr>
              <w:t>медијских садржаја за интернет медије</w:t>
            </w:r>
          </w:p>
        </w:tc>
        <w:tc>
          <w:tcPr>
            <w:tcW w:w="3005" w:type="dxa"/>
          </w:tcPr>
          <w:p w:rsidR="0073407D" w:rsidRPr="008E4923" w:rsidRDefault="0073407D" w:rsidP="00A772E1">
            <w:pPr>
              <w:spacing w:after="0"/>
              <w:jc w:val="center"/>
              <w:rPr>
                <w:sz w:val="20"/>
                <w:szCs w:val="20"/>
                <w:lang w:val="sr-Cyrl-RS"/>
              </w:rPr>
            </w:pPr>
            <w:r>
              <w:rPr>
                <w:sz w:val="20"/>
                <w:szCs w:val="20"/>
                <w:lang w:val="sr-Cyrl-RS"/>
              </w:rPr>
              <w:t>2</w:t>
            </w:r>
          </w:p>
        </w:tc>
        <w:tc>
          <w:tcPr>
            <w:tcW w:w="3006" w:type="dxa"/>
          </w:tcPr>
          <w:p w:rsidR="0073407D" w:rsidRPr="008E4923" w:rsidRDefault="0073407D" w:rsidP="00A772E1">
            <w:pPr>
              <w:spacing w:after="0"/>
              <w:jc w:val="center"/>
              <w:rPr>
                <w:sz w:val="20"/>
                <w:szCs w:val="20"/>
                <w:lang w:val="sr-Cyrl-RS"/>
              </w:rPr>
            </w:pPr>
            <w:r>
              <w:rPr>
                <w:sz w:val="20"/>
                <w:szCs w:val="20"/>
                <w:lang w:val="sr-Cyrl-RS"/>
              </w:rPr>
              <w:t>750.000,00</w:t>
            </w:r>
          </w:p>
        </w:tc>
      </w:tr>
      <w:tr w:rsidR="0073407D" w:rsidRPr="008E4923" w:rsidTr="00A772E1">
        <w:tc>
          <w:tcPr>
            <w:tcW w:w="3005" w:type="dxa"/>
          </w:tcPr>
          <w:p w:rsidR="0073407D" w:rsidRPr="008E4923" w:rsidRDefault="001D0BBB" w:rsidP="001D0BBB">
            <w:pPr>
              <w:spacing w:after="0"/>
              <w:rPr>
                <w:sz w:val="20"/>
                <w:szCs w:val="20"/>
                <w:lang w:val="sr-Cyrl-RS"/>
              </w:rPr>
            </w:pPr>
            <w:r w:rsidRPr="001D0BBB">
              <w:rPr>
                <w:sz w:val="20"/>
                <w:szCs w:val="20"/>
                <w:lang w:val="sr-Cyrl-RS"/>
              </w:rPr>
              <w:t xml:space="preserve">Производња медијских садржаја за </w:t>
            </w:r>
            <w:r>
              <w:rPr>
                <w:sz w:val="20"/>
                <w:szCs w:val="20"/>
                <w:lang w:val="sr-Cyrl-RS"/>
              </w:rPr>
              <w:t>телевизије</w:t>
            </w:r>
          </w:p>
        </w:tc>
        <w:tc>
          <w:tcPr>
            <w:tcW w:w="3005" w:type="dxa"/>
          </w:tcPr>
          <w:p w:rsidR="0073407D" w:rsidRPr="008E4923" w:rsidRDefault="001D0BBB" w:rsidP="00A772E1">
            <w:pPr>
              <w:spacing w:after="0"/>
              <w:jc w:val="center"/>
              <w:rPr>
                <w:sz w:val="20"/>
                <w:szCs w:val="20"/>
                <w:lang w:val="sr-Cyrl-RS"/>
              </w:rPr>
            </w:pPr>
            <w:r>
              <w:rPr>
                <w:sz w:val="20"/>
                <w:szCs w:val="20"/>
                <w:lang w:val="sr-Cyrl-RS"/>
              </w:rPr>
              <w:t>7</w:t>
            </w:r>
          </w:p>
        </w:tc>
        <w:tc>
          <w:tcPr>
            <w:tcW w:w="3006" w:type="dxa"/>
          </w:tcPr>
          <w:p w:rsidR="0073407D" w:rsidRPr="008E4923" w:rsidRDefault="001D0BBB" w:rsidP="00A772E1">
            <w:pPr>
              <w:spacing w:after="0"/>
              <w:jc w:val="center"/>
              <w:rPr>
                <w:sz w:val="20"/>
                <w:szCs w:val="20"/>
                <w:lang w:val="sr-Cyrl-RS"/>
              </w:rPr>
            </w:pPr>
            <w:r>
              <w:rPr>
                <w:sz w:val="20"/>
                <w:szCs w:val="20"/>
                <w:lang w:val="sr-Cyrl-RS"/>
              </w:rPr>
              <w:t>5.750.000,00</w:t>
            </w:r>
          </w:p>
        </w:tc>
      </w:tr>
      <w:tr w:rsidR="0073407D" w:rsidRPr="008E4923" w:rsidTr="00A772E1">
        <w:tc>
          <w:tcPr>
            <w:tcW w:w="3005" w:type="dxa"/>
          </w:tcPr>
          <w:p w:rsidR="0073407D" w:rsidRPr="008E4923" w:rsidRDefault="001D0BBB" w:rsidP="001D0BBB">
            <w:pPr>
              <w:spacing w:after="0"/>
              <w:rPr>
                <w:sz w:val="20"/>
                <w:szCs w:val="20"/>
                <w:lang w:val="sr-Cyrl-RS"/>
              </w:rPr>
            </w:pPr>
            <w:r w:rsidRPr="001D0BBB">
              <w:rPr>
                <w:sz w:val="20"/>
                <w:szCs w:val="20"/>
                <w:lang w:val="sr-Cyrl-RS"/>
              </w:rPr>
              <w:t>Производња медијских садржаја штампане медије и сервисе новинских агенција</w:t>
            </w:r>
          </w:p>
        </w:tc>
        <w:tc>
          <w:tcPr>
            <w:tcW w:w="3005" w:type="dxa"/>
          </w:tcPr>
          <w:p w:rsidR="0073407D" w:rsidRPr="008E4923" w:rsidRDefault="001D0BBB" w:rsidP="00A772E1">
            <w:pPr>
              <w:spacing w:after="0"/>
              <w:jc w:val="center"/>
              <w:rPr>
                <w:sz w:val="20"/>
                <w:szCs w:val="20"/>
                <w:lang w:val="sr-Cyrl-RS"/>
              </w:rPr>
            </w:pPr>
            <w:r>
              <w:rPr>
                <w:sz w:val="20"/>
                <w:szCs w:val="20"/>
                <w:lang w:val="sr-Cyrl-RS"/>
              </w:rPr>
              <w:t>2</w:t>
            </w:r>
          </w:p>
        </w:tc>
        <w:tc>
          <w:tcPr>
            <w:tcW w:w="3006" w:type="dxa"/>
          </w:tcPr>
          <w:p w:rsidR="0073407D" w:rsidRPr="008E4923" w:rsidRDefault="001D0BBB" w:rsidP="00A772E1">
            <w:pPr>
              <w:spacing w:after="0"/>
              <w:jc w:val="center"/>
              <w:rPr>
                <w:sz w:val="20"/>
                <w:szCs w:val="20"/>
                <w:lang w:val="sr-Cyrl-RS"/>
              </w:rPr>
            </w:pPr>
            <w:r>
              <w:rPr>
                <w:sz w:val="20"/>
                <w:szCs w:val="20"/>
                <w:lang w:val="sr-Cyrl-RS"/>
              </w:rPr>
              <w:t>1.300.000,00</w:t>
            </w:r>
          </w:p>
        </w:tc>
      </w:tr>
      <w:tr w:rsidR="001D0BBB" w:rsidRPr="008E4923" w:rsidTr="00A772E1">
        <w:tc>
          <w:tcPr>
            <w:tcW w:w="3005" w:type="dxa"/>
          </w:tcPr>
          <w:p w:rsidR="001D0BBB" w:rsidRPr="001D0BBB" w:rsidRDefault="001D0BBB" w:rsidP="001D0BBB">
            <w:pPr>
              <w:spacing w:after="0"/>
              <w:rPr>
                <w:sz w:val="20"/>
                <w:szCs w:val="20"/>
                <w:lang w:val="sr-Cyrl-RS"/>
              </w:rPr>
            </w:pPr>
            <w:r>
              <w:rPr>
                <w:sz w:val="20"/>
                <w:szCs w:val="20"/>
                <w:lang w:val="sr-Cyrl-RS"/>
              </w:rPr>
              <w:t>О</w:t>
            </w:r>
            <w:r w:rsidRPr="001D0BBB">
              <w:rPr>
                <w:sz w:val="20"/>
                <w:szCs w:val="20"/>
                <w:lang w:val="sr-Cyrl-RS"/>
              </w:rPr>
              <w:t>рганизовањ</w:t>
            </w:r>
            <w:r>
              <w:rPr>
                <w:sz w:val="20"/>
                <w:szCs w:val="20"/>
                <w:lang w:val="sr-Cyrl-RS"/>
              </w:rPr>
              <w:t>е</w:t>
            </w:r>
            <w:r w:rsidRPr="001D0BBB">
              <w:rPr>
                <w:sz w:val="20"/>
                <w:szCs w:val="20"/>
                <w:lang w:val="sr-Cyrl-RS"/>
              </w:rPr>
              <w:t xml:space="preserve"> и учешћ</w:t>
            </w:r>
            <w:r>
              <w:rPr>
                <w:sz w:val="20"/>
                <w:szCs w:val="20"/>
                <w:lang w:val="sr-Cyrl-RS"/>
              </w:rPr>
              <w:t>е</w:t>
            </w:r>
            <w:r w:rsidRPr="001D0BBB">
              <w:rPr>
                <w:sz w:val="20"/>
                <w:szCs w:val="20"/>
                <w:lang w:val="sr-Cyrl-RS"/>
              </w:rPr>
              <w:t xml:space="preserve"> на стручним, научним и пригодним скуповима, као и унапређивањ</w:t>
            </w:r>
            <w:r>
              <w:rPr>
                <w:sz w:val="20"/>
                <w:szCs w:val="20"/>
                <w:lang w:val="sr-Cyrl-RS"/>
              </w:rPr>
              <w:t>е</w:t>
            </w:r>
            <w:r w:rsidRPr="001D0BBB">
              <w:rPr>
                <w:sz w:val="20"/>
                <w:szCs w:val="20"/>
                <w:lang w:val="sr-Cyrl-RS"/>
              </w:rPr>
              <w:t xml:space="preserve"> професионалних и етичких стандарда</w:t>
            </w:r>
          </w:p>
        </w:tc>
        <w:tc>
          <w:tcPr>
            <w:tcW w:w="3005" w:type="dxa"/>
          </w:tcPr>
          <w:p w:rsidR="001D0BBB" w:rsidRDefault="001D0BBB" w:rsidP="00A772E1">
            <w:pPr>
              <w:spacing w:after="0"/>
              <w:jc w:val="center"/>
              <w:rPr>
                <w:sz w:val="20"/>
                <w:szCs w:val="20"/>
                <w:lang w:val="sr-Cyrl-RS"/>
              </w:rPr>
            </w:pPr>
            <w:r>
              <w:rPr>
                <w:sz w:val="20"/>
                <w:szCs w:val="20"/>
                <w:lang w:val="sr-Cyrl-RS"/>
              </w:rPr>
              <w:t>3</w:t>
            </w:r>
          </w:p>
        </w:tc>
        <w:tc>
          <w:tcPr>
            <w:tcW w:w="3006" w:type="dxa"/>
          </w:tcPr>
          <w:p w:rsidR="001D0BBB" w:rsidRDefault="001D0BBB" w:rsidP="00A772E1">
            <w:pPr>
              <w:spacing w:after="0"/>
              <w:jc w:val="center"/>
              <w:rPr>
                <w:sz w:val="20"/>
                <w:szCs w:val="20"/>
                <w:lang w:val="sr-Cyrl-RS"/>
              </w:rPr>
            </w:pPr>
            <w:r>
              <w:rPr>
                <w:sz w:val="20"/>
                <w:szCs w:val="20"/>
                <w:lang w:val="sr-Cyrl-RS"/>
              </w:rPr>
              <w:t>1.600.000,00</w:t>
            </w:r>
          </w:p>
        </w:tc>
      </w:tr>
      <w:tr w:rsidR="001D0BBB" w:rsidRPr="008E4923" w:rsidTr="00A772E1">
        <w:tc>
          <w:tcPr>
            <w:tcW w:w="3005" w:type="dxa"/>
          </w:tcPr>
          <w:p w:rsidR="001D0BBB" w:rsidRDefault="001D0BBB" w:rsidP="001D0BBB">
            <w:pPr>
              <w:spacing w:after="0"/>
              <w:rPr>
                <w:sz w:val="20"/>
                <w:szCs w:val="20"/>
                <w:lang w:val="sr-Cyrl-RS"/>
              </w:rPr>
            </w:pPr>
            <w:r w:rsidRPr="001D0BBB">
              <w:rPr>
                <w:sz w:val="20"/>
                <w:szCs w:val="20"/>
                <w:lang w:val="sr-Cyrl-RS"/>
              </w:rPr>
              <w:t xml:space="preserve">Производња медијских садржаја електронских медија чији издавачи имају седиште на територији АП Косово и Метохија  </w:t>
            </w:r>
          </w:p>
        </w:tc>
        <w:tc>
          <w:tcPr>
            <w:tcW w:w="3005" w:type="dxa"/>
          </w:tcPr>
          <w:p w:rsidR="001D0BBB" w:rsidRDefault="001D0BBB" w:rsidP="00A772E1">
            <w:pPr>
              <w:spacing w:after="0"/>
              <w:jc w:val="center"/>
              <w:rPr>
                <w:sz w:val="20"/>
                <w:szCs w:val="20"/>
                <w:lang w:val="sr-Cyrl-RS"/>
              </w:rPr>
            </w:pPr>
            <w:r>
              <w:rPr>
                <w:sz w:val="20"/>
                <w:szCs w:val="20"/>
                <w:lang w:val="sr-Cyrl-RS"/>
              </w:rPr>
              <w:t>1</w:t>
            </w:r>
          </w:p>
        </w:tc>
        <w:tc>
          <w:tcPr>
            <w:tcW w:w="3006" w:type="dxa"/>
          </w:tcPr>
          <w:p w:rsidR="001D0BBB" w:rsidRDefault="001D0BBB" w:rsidP="00A772E1">
            <w:pPr>
              <w:spacing w:after="0"/>
              <w:jc w:val="center"/>
              <w:rPr>
                <w:sz w:val="20"/>
                <w:szCs w:val="20"/>
                <w:lang w:val="sr-Cyrl-RS"/>
              </w:rPr>
            </w:pPr>
            <w:r w:rsidRPr="001D0BBB">
              <w:rPr>
                <w:sz w:val="20"/>
                <w:szCs w:val="20"/>
                <w:lang w:val="sr-Cyrl-RS"/>
              </w:rPr>
              <w:t>850.000,00</w:t>
            </w:r>
          </w:p>
        </w:tc>
      </w:tr>
    </w:tbl>
    <w:p w:rsidR="0073407D" w:rsidRDefault="0073407D" w:rsidP="00A475C5">
      <w:pPr>
        <w:spacing w:after="0"/>
        <w:jc w:val="both"/>
        <w:rPr>
          <w:sz w:val="24"/>
          <w:szCs w:val="24"/>
          <w:lang w:val="sr-Cyrl-RS"/>
        </w:rPr>
      </w:pPr>
    </w:p>
    <w:p w:rsidR="0066226F" w:rsidRDefault="0066226F" w:rsidP="0066226F">
      <w:pPr>
        <w:spacing w:after="0"/>
        <w:ind w:firstLine="720"/>
        <w:jc w:val="both"/>
        <w:rPr>
          <w:sz w:val="24"/>
          <w:szCs w:val="24"/>
          <w:lang w:val="sr-Cyrl-RS"/>
        </w:rPr>
      </w:pPr>
      <w:r>
        <w:rPr>
          <w:sz w:val="24"/>
          <w:szCs w:val="24"/>
          <w:lang w:val="sr-Cyrl-RS"/>
        </w:rPr>
        <w:t>У табели која следи дати су подаци о вишејезичним проје</w:t>
      </w:r>
      <w:r w:rsidR="003417CD">
        <w:rPr>
          <w:sz w:val="24"/>
          <w:szCs w:val="24"/>
          <w:lang w:val="sr-Cyrl-RS"/>
        </w:rPr>
        <w:t>к</w:t>
      </w:r>
      <w:r>
        <w:rPr>
          <w:sz w:val="24"/>
          <w:szCs w:val="24"/>
          <w:lang w:val="sr-Cyrl-RS"/>
        </w:rPr>
        <w:t xml:space="preserve">тима подржаним на конкурсима Покрајинског секретаријата за културу, јавно информисање и односе с верским заједницима у области јавног информисања у извештајном периоду. </w:t>
      </w:r>
    </w:p>
    <w:p w:rsidR="0066226F" w:rsidRDefault="0066226F" w:rsidP="0066226F">
      <w:pPr>
        <w:spacing w:after="0"/>
        <w:jc w:val="both"/>
        <w:rPr>
          <w:sz w:val="24"/>
          <w:szCs w:val="24"/>
          <w:lang w:val="sr-Cyrl-RS"/>
        </w:rPr>
      </w:pPr>
      <w:r>
        <w:rPr>
          <w:sz w:val="24"/>
          <w:szCs w:val="24"/>
          <w:lang w:val="sr-Cyrl-RS"/>
        </w:rPr>
        <w:t xml:space="preserve"> </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66226F" w:rsidRPr="00E470B3" w:rsidTr="00A772E1">
        <w:tc>
          <w:tcPr>
            <w:tcW w:w="1502" w:type="dxa"/>
          </w:tcPr>
          <w:p w:rsidR="0066226F" w:rsidRPr="00E470B3" w:rsidRDefault="0066226F" w:rsidP="00A772E1">
            <w:pPr>
              <w:spacing w:after="0"/>
              <w:jc w:val="center"/>
              <w:rPr>
                <w:sz w:val="20"/>
                <w:szCs w:val="20"/>
                <w:lang w:val="sr-Cyrl-RS"/>
              </w:rPr>
            </w:pPr>
          </w:p>
        </w:tc>
        <w:tc>
          <w:tcPr>
            <w:tcW w:w="1502" w:type="dxa"/>
          </w:tcPr>
          <w:p w:rsidR="0066226F" w:rsidRPr="00E470B3" w:rsidRDefault="0066226F" w:rsidP="00A772E1">
            <w:pPr>
              <w:spacing w:after="0"/>
              <w:jc w:val="center"/>
              <w:rPr>
                <w:sz w:val="20"/>
                <w:szCs w:val="20"/>
                <w:lang w:val="sr-Cyrl-RS"/>
              </w:rPr>
            </w:pPr>
            <w:r w:rsidRPr="00E470B3">
              <w:rPr>
                <w:sz w:val="20"/>
                <w:szCs w:val="20"/>
                <w:lang w:val="sr-Cyrl-RS"/>
              </w:rPr>
              <w:t>2017.</w:t>
            </w:r>
          </w:p>
        </w:tc>
        <w:tc>
          <w:tcPr>
            <w:tcW w:w="1503" w:type="dxa"/>
          </w:tcPr>
          <w:p w:rsidR="0066226F" w:rsidRPr="00E470B3" w:rsidRDefault="0066226F" w:rsidP="00A772E1">
            <w:pPr>
              <w:spacing w:after="0"/>
              <w:jc w:val="center"/>
              <w:rPr>
                <w:sz w:val="20"/>
                <w:szCs w:val="20"/>
                <w:lang w:val="sr-Cyrl-RS"/>
              </w:rPr>
            </w:pPr>
            <w:r w:rsidRPr="00E470B3">
              <w:rPr>
                <w:sz w:val="20"/>
                <w:szCs w:val="20"/>
                <w:lang w:val="sr-Cyrl-RS"/>
              </w:rPr>
              <w:t>2018.</w:t>
            </w:r>
          </w:p>
        </w:tc>
        <w:tc>
          <w:tcPr>
            <w:tcW w:w="1503" w:type="dxa"/>
          </w:tcPr>
          <w:p w:rsidR="0066226F" w:rsidRPr="00E470B3" w:rsidRDefault="0066226F" w:rsidP="00A772E1">
            <w:pPr>
              <w:spacing w:after="0"/>
              <w:jc w:val="center"/>
              <w:rPr>
                <w:sz w:val="20"/>
                <w:szCs w:val="20"/>
                <w:lang w:val="sr-Cyrl-RS"/>
              </w:rPr>
            </w:pPr>
            <w:r w:rsidRPr="00E470B3">
              <w:rPr>
                <w:sz w:val="20"/>
                <w:szCs w:val="20"/>
                <w:lang w:val="sr-Cyrl-RS"/>
              </w:rPr>
              <w:t>2019.</w:t>
            </w:r>
          </w:p>
        </w:tc>
        <w:tc>
          <w:tcPr>
            <w:tcW w:w="1503" w:type="dxa"/>
          </w:tcPr>
          <w:p w:rsidR="0066226F" w:rsidRPr="00E470B3" w:rsidRDefault="0066226F" w:rsidP="00A772E1">
            <w:pPr>
              <w:spacing w:after="0"/>
              <w:jc w:val="center"/>
              <w:rPr>
                <w:sz w:val="20"/>
                <w:szCs w:val="20"/>
                <w:lang w:val="sr-Cyrl-RS"/>
              </w:rPr>
            </w:pPr>
            <w:r w:rsidRPr="00E470B3">
              <w:rPr>
                <w:sz w:val="20"/>
                <w:szCs w:val="20"/>
                <w:lang w:val="sr-Cyrl-RS"/>
              </w:rPr>
              <w:t>2020.</w:t>
            </w:r>
          </w:p>
        </w:tc>
        <w:tc>
          <w:tcPr>
            <w:tcW w:w="1503" w:type="dxa"/>
          </w:tcPr>
          <w:p w:rsidR="0066226F" w:rsidRPr="00E470B3" w:rsidRDefault="0066226F" w:rsidP="00A772E1">
            <w:pPr>
              <w:spacing w:after="0"/>
              <w:jc w:val="center"/>
              <w:rPr>
                <w:sz w:val="20"/>
                <w:szCs w:val="20"/>
                <w:lang w:val="sr-Cyrl-RS"/>
              </w:rPr>
            </w:pPr>
            <w:r w:rsidRPr="00E470B3">
              <w:rPr>
                <w:sz w:val="20"/>
                <w:szCs w:val="20"/>
                <w:lang w:val="sr-Cyrl-RS"/>
              </w:rPr>
              <w:t>2021.</w:t>
            </w:r>
          </w:p>
        </w:tc>
      </w:tr>
      <w:tr w:rsidR="0066226F" w:rsidRPr="00DD045B" w:rsidTr="00A772E1">
        <w:tc>
          <w:tcPr>
            <w:tcW w:w="1502" w:type="dxa"/>
            <w:vAlign w:val="bottom"/>
          </w:tcPr>
          <w:p w:rsidR="0066226F" w:rsidRDefault="0066226F" w:rsidP="00A772E1">
            <w:pPr>
              <w:spacing w:after="0"/>
              <w:rPr>
                <w:rFonts w:eastAsia="Times New Roman"/>
                <w:color w:val="000000"/>
                <w:sz w:val="20"/>
                <w:szCs w:val="20"/>
                <w:lang w:val="sr-Cyrl-RS"/>
              </w:rPr>
            </w:pPr>
            <w:r>
              <w:rPr>
                <w:rFonts w:eastAsia="Times New Roman"/>
                <w:color w:val="000000"/>
                <w:sz w:val="20"/>
                <w:szCs w:val="20"/>
                <w:lang w:val="sr-Cyrl-RS"/>
              </w:rPr>
              <w:lastRenderedPageBreak/>
              <w:t>Б</w:t>
            </w:r>
            <w:r w:rsidRPr="00E470B3">
              <w:rPr>
                <w:rFonts w:eastAsia="Times New Roman"/>
                <w:color w:val="000000"/>
                <w:sz w:val="20"/>
                <w:szCs w:val="20"/>
              </w:rPr>
              <w:t xml:space="preserve">рој </w:t>
            </w:r>
            <w:r>
              <w:rPr>
                <w:rFonts w:eastAsia="Times New Roman"/>
                <w:color w:val="000000"/>
                <w:sz w:val="20"/>
                <w:szCs w:val="20"/>
                <w:lang w:val="sr-Cyrl-RS"/>
              </w:rPr>
              <w:t xml:space="preserve">подржаних </w:t>
            </w:r>
            <w:r w:rsidRPr="00E470B3">
              <w:rPr>
                <w:rFonts w:eastAsia="Times New Roman"/>
                <w:color w:val="000000"/>
                <w:sz w:val="20"/>
                <w:szCs w:val="20"/>
              </w:rPr>
              <w:t>пројеката</w:t>
            </w:r>
          </w:p>
        </w:tc>
        <w:tc>
          <w:tcPr>
            <w:tcW w:w="1502" w:type="dxa"/>
            <w:vAlign w:val="center"/>
          </w:tcPr>
          <w:p w:rsidR="0066226F" w:rsidRPr="00FC49CE" w:rsidRDefault="0066226F" w:rsidP="00A772E1">
            <w:pPr>
              <w:spacing w:after="0"/>
              <w:jc w:val="center"/>
              <w:rPr>
                <w:rFonts w:eastAsia="Times New Roman"/>
                <w:color w:val="000000"/>
                <w:sz w:val="20"/>
                <w:szCs w:val="20"/>
                <w:lang w:val="sr-Cyrl-RS"/>
              </w:rPr>
            </w:pPr>
            <w:r>
              <w:rPr>
                <w:rFonts w:eastAsia="Times New Roman"/>
                <w:color w:val="000000"/>
                <w:sz w:val="20"/>
                <w:szCs w:val="20"/>
                <w:lang w:val="sr-Cyrl-RS"/>
              </w:rPr>
              <w:t>5</w:t>
            </w:r>
          </w:p>
        </w:tc>
        <w:tc>
          <w:tcPr>
            <w:tcW w:w="1503" w:type="dxa"/>
            <w:vAlign w:val="center"/>
          </w:tcPr>
          <w:p w:rsidR="0066226F" w:rsidRDefault="0066226F" w:rsidP="00A772E1">
            <w:pPr>
              <w:spacing w:after="0"/>
              <w:jc w:val="center"/>
              <w:rPr>
                <w:rFonts w:eastAsia="Times New Roman"/>
                <w:color w:val="000000"/>
                <w:sz w:val="20"/>
                <w:szCs w:val="20"/>
                <w:lang w:val="sr-Cyrl-RS"/>
              </w:rPr>
            </w:pPr>
            <w:r>
              <w:rPr>
                <w:rFonts w:eastAsia="Times New Roman"/>
                <w:color w:val="000000"/>
                <w:sz w:val="20"/>
                <w:szCs w:val="20"/>
                <w:lang w:val="sr-Cyrl-RS"/>
              </w:rPr>
              <w:t>7</w:t>
            </w:r>
          </w:p>
        </w:tc>
        <w:tc>
          <w:tcPr>
            <w:tcW w:w="1503" w:type="dxa"/>
            <w:vAlign w:val="center"/>
          </w:tcPr>
          <w:p w:rsidR="0066226F" w:rsidRDefault="0066226F" w:rsidP="00A772E1">
            <w:pPr>
              <w:spacing w:after="0"/>
              <w:jc w:val="center"/>
              <w:rPr>
                <w:rFonts w:eastAsia="Times New Roman"/>
                <w:color w:val="000000"/>
                <w:sz w:val="20"/>
                <w:szCs w:val="20"/>
                <w:lang w:val="sr-Cyrl-RS"/>
              </w:rPr>
            </w:pPr>
            <w:r>
              <w:rPr>
                <w:rFonts w:eastAsia="Times New Roman"/>
                <w:color w:val="000000"/>
                <w:sz w:val="20"/>
                <w:szCs w:val="20"/>
                <w:lang w:val="sr-Cyrl-RS"/>
              </w:rPr>
              <w:t>4</w:t>
            </w:r>
          </w:p>
        </w:tc>
        <w:tc>
          <w:tcPr>
            <w:tcW w:w="1503" w:type="dxa"/>
            <w:vAlign w:val="center"/>
          </w:tcPr>
          <w:p w:rsidR="0066226F" w:rsidRDefault="0066226F" w:rsidP="00A772E1">
            <w:pPr>
              <w:spacing w:after="0"/>
              <w:jc w:val="center"/>
              <w:rPr>
                <w:rFonts w:eastAsia="Times New Roman"/>
                <w:color w:val="000000"/>
                <w:sz w:val="20"/>
                <w:szCs w:val="20"/>
                <w:lang w:val="sr-Cyrl-RS"/>
              </w:rPr>
            </w:pPr>
            <w:r>
              <w:rPr>
                <w:rFonts w:eastAsia="Times New Roman"/>
                <w:color w:val="000000"/>
                <w:sz w:val="20"/>
                <w:szCs w:val="20"/>
                <w:lang w:val="sr-Cyrl-RS"/>
              </w:rPr>
              <w:t>2</w:t>
            </w:r>
          </w:p>
        </w:tc>
        <w:tc>
          <w:tcPr>
            <w:tcW w:w="1503" w:type="dxa"/>
            <w:vAlign w:val="center"/>
          </w:tcPr>
          <w:p w:rsidR="0066226F" w:rsidRDefault="0066226F" w:rsidP="00A772E1">
            <w:pPr>
              <w:spacing w:after="0"/>
              <w:jc w:val="center"/>
              <w:rPr>
                <w:rFonts w:eastAsia="Times New Roman"/>
                <w:color w:val="000000"/>
                <w:sz w:val="20"/>
                <w:szCs w:val="20"/>
                <w:lang w:val="sr-Cyrl-RS"/>
              </w:rPr>
            </w:pPr>
            <w:r>
              <w:rPr>
                <w:rFonts w:eastAsia="Times New Roman"/>
                <w:color w:val="000000"/>
                <w:sz w:val="20"/>
                <w:szCs w:val="20"/>
                <w:lang w:val="sr-Cyrl-RS"/>
              </w:rPr>
              <w:t>4</w:t>
            </w:r>
          </w:p>
        </w:tc>
      </w:tr>
      <w:tr w:rsidR="0066226F" w:rsidRPr="00E470B3" w:rsidTr="00A772E1">
        <w:tc>
          <w:tcPr>
            <w:tcW w:w="1502" w:type="dxa"/>
          </w:tcPr>
          <w:p w:rsidR="0066226F" w:rsidRPr="00E470B3" w:rsidRDefault="0066226F" w:rsidP="00A772E1">
            <w:pPr>
              <w:spacing w:after="0"/>
              <w:jc w:val="both"/>
              <w:rPr>
                <w:sz w:val="20"/>
                <w:szCs w:val="20"/>
                <w:lang w:val="sr-Cyrl-RS"/>
              </w:rPr>
            </w:pPr>
            <w:r>
              <w:rPr>
                <w:sz w:val="20"/>
                <w:szCs w:val="20"/>
                <w:lang w:val="sr-Cyrl-RS"/>
              </w:rPr>
              <w:t>Износ средстава</w:t>
            </w:r>
          </w:p>
        </w:tc>
        <w:tc>
          <w:tcPr>
            <w:tcW w:w="1502" w:type="dxa"/>
            <w:vAlign w:val="center"/>
          </w:tcPr>
          <w:p w:rsidR="0066226F" w:rsidRPr="00E470B3" w:rsidRDefault="0066226F" w:rsidP="00A772E1">
            <w:pPr>
              <w:spacing w:after="0"/>
              <w:jc w:val="center"/>
              <w:rPr>
                <w:sz w:val="20"/>
                <w:szCs w:val="20"/>
                <w:lang w:val="sr-Cyrl-RS"/>
              </w:rPr>
            </w:pPr>
            <w:r w:rsidRPr="0066226F">
              <w:rPr>
                <w:sz w:val="20"/>
                <w:szCs w:val="20"/>
                <w:lang w:val="sr-Cyrl-RS"/>
              </w:rPr>
              <w:t>650.000,00</w:t>
            </w:r>
          </w:p>
        </w:tc>
        <w:tc>
          <w:tcPr>
            <w:tcW w:w="1503" w:type="dxa"/>
            <w:vAlign w:val="center"/>
          </w:tcPr>
          <w:p w:rsidR="0066226F" w:rsidRPr="00E470B3" w:rsidRDefault="0066226F" w:rsidP="00A772E1">
            <w:pPr>
              <w:spacing w:after="0"/>
              <w:jc w:val="center"/>
              <w:rPr>
                <w:sz w:val="20"/>
                <w:szCs w:val="20"/>
                <w:lang w:val="sr-Cyrl-RS"/>
              </w:rPr>
            </w:pPr>
            <w:r w:rsidRPr="0066226F">
              <w:rPr>
                <w:sz w:val="20"/>
                <w:szCs w:val="20"/>
                <w:lang w:val="sr-Cyrl-RS"/>
              </w:rPr>
              <w:t>1.050.000,00</w:t>
            </w:r>
          </w:p>
        </w:tc>
        <w:tc>
          <w:tcPr>
            <w:tcW w:w="1503" w:type="dxa"/>
            <w:vAlign w:val="center"/>
          </w:tcPr>
          <w:p w:rsidR="0066226F" w:rsidRPr="00E470B3" w:rsidRDefault="0066226F" w:rsidP="00A772E1">
            <w:pPr>
              <w:spacing w:after="0"/>
              <w:jc w:val="center"/>
              <w:rPr>
                <w:sz w:val="20"/>
                <w:szCs w:val="20"/>
                <w:lang w:val="sr-Cyrl-RS"/>
              </w:rPr>
            </w:pPr>
            <w:r w:rsidRPr="0066226F">
              <w:rPr>
                <w:sz w:val="20"/>
                <w:szCs w:val="20"/>
                <w:lang w:val="sr-Cyrl-RS"/>
              </w:rPr>
              <w:t>550.000,00</w:t>
            </w:r>
          </w:p>
        </w:tc>
        <w:tc>
          <w:tcPr>
            <w:tcW w:w="1503" w:type="dxa"/>
            <w:vAlign w:val="center"/>
          </w:tcPr>
          <w:p w:rsidR="0066226F" w:rsidRPr="00E470B3" w:rsidRDefault="0066226F" w:rsidP="00A772E1">
            <w:pPr>
              <w:spacing w:after="0"/>
              <w:jc w:val="center"/>
              <w:rPr>
                <w:sz w:val="20"/>
                <w:szCs w:val="20"/>
                <w:lang w:val="sr-Cyrl-RS"/>
              </w:rPr>
            </w:pPr>
            <w:r w:rsidRPr="0066226F">
              <w:rPr>
                <w:sz w:val="20"/>
                <w:szCs w:val="20"/>
                <w:lang w:val="sr-Cyrl-RS"/>
              </w:rPr>
              <w:t>350.000,00</w:t>
            </w:r>
          </w:p>
        </w:tc>
        <w:tc>
          <w:tcPr>
            <w:tcW w:w="1503" w:type="dxa"/>
            <w:vAlign w:val="center"/>
          </w:tcPr>
          <w:p w:rsidR="0066226F" w:rsidRPr="00E470B3" w:rsidRDefault="0066226F" w:rsidP="00A772E1">
            <w:pPr>
              <w:spacing w:after="0"/>
              <w:jc w:val="center"/>
              <w:rPr>
                <w:sz w:val="20"/>
                <w:szCs w:val="20"/>
                <w:lang w:val="sr-Cyrl-RS"/>
              </w:rPr>
            </w:pPr>
            <w:r w:rsidRPr="0066226F">
              <w:rPr>
                <w:sz w:val="20"/>
                <w:szCs w:val="20"/>
                <w:lang w:val="sr-Cyrl-RS"/>
              </w:rPr>
              <w:t>450.000,00</w:t>
            </w:r>
          </w:p>
        </w:tc>
      </w:tr>
    </w:tbl>
    <w:p w:rsidR="0066226F" w:rsidRDefault="0066226F" w:rsidP="0066226F">
      <w:pPr>
        <w:spacing w:after="0"/>
        <w:jc w:val="both"/>
        <w:rPr>
          <w:sz w:val="24"/>
          <w:szCs w:val="24"/>
          <w:lang w:val="sr-Cyrl-RS"/>
        </w:rPr>
      </w:pPr>
    </w:p>
    <w:p w:rsidR="00BF1352" w:rsidRDefault="00BF1352" w:rsidP="00BF1352">
      <w:pPr>
        <w:spacing w:after="0"/>
        <w:ind w:firstLine="720"/>
        <w:jc w:val="both"/>
        <w:rPr>
          <w:sz w:val="24"/>
          <w:szCs w:val="24"/>
          <w:lang w:val="sr-Cyrl-RS"/>
        </w:rPr>
      </w:pPr>
      <w:r>
        <w:rPr>
          <w:sz w:val="24"/>
          <w:szCs w:val="24"/>
          <w:lang w:val="sr-Cyrl-RS"/>
        </w:rPr>
        <w:t>У доњој табели дат је, п</w:t>
      </w:r>
      <w:r w:rsidRPr="00541E21">
        <w:rPr>
          <w:sz w:val="24"/>
          <w:szCs w:val="24"/>
          <w:lang w:val="sr-Cyrl-RS"/>
        </w:rPr>
        <w:t>рема расположивим подацима,</w:t>
      </w:r>
      <w:r>
        <w:rPr>
          <w:sz w:val="24"/>
          <w:szCs w:val="24"/>
          <w:lang w:val="sr-Cyrl-RS"/>
        </w:rPr>
        <w:t xml:space="preserve"> преглед броја подржаних вишејезичних пројеката на конкурсима за производњу медијских садржаја које су расписале јединице локалне самоуправе, броја јединица локалне самоуправе које су их расписале и износ опредељених средстава у 2020. години.</w:t>
      </w:r>
    </w:p>
    <w:p w:rsidR="00BF1352" w:rsidRDefault="00BF1352" w:rsidP="00BF1352">
      <w:pPr>
        <w:spacing w:after="0"/>
        <w:jc w:val="both"/>
        <w:rPr>
          <w:sz w:val="24"/>
          <w:szCs w:val="24"/>
          <w:lang w:val="sr-Cyrl-RS"/>
        </w:rPr>
      </w:pPr>
    </w:p>
    <w:tbl>
      <w:tblPr>
        <w:tblStyle w:val="TableGrid"/>
        <w:tblW w:w="0" w:type="auto"/>
        <w:tblLook w:val="04A0" w:firstRow="1" w:lastRow="0" w:firstColumn="1" w:lastColumn="0" w:noHBand="0" w:noVBand="1"/>
      </w:tblPr>
      <w:tblGrid>
        <w:gridCol w:w="3005"/>
        <w:gridCol w:w="3005"/>
        <w:gridCol w:w="3006"/>
      </w:tblGrid>
      <w:tr w:rsidR="00BF1352" w:rsidRPr="008E4923" w:rsidTr="00A772E1">
        <w:tc>
          <w:tcPr>
            <w:tcW w:w="3005" w:type="dxa"/>
          </w:tcPr>
          <w:p w:rsidR="00BF1352" w:rsidRPr="008E4923" w:rsidRDefault="00BF1352" w:rsidP="00A772E1">
            <w:pPr>
              <w:spacing w:after="0"/>
              <w:jc w:val="center"/>
              <w:rPr>
                <w:sz w:val="20"/>
                <w:szCs w:val="20"/>
                <w:lang w:val="sr-Cyrl-RS"/>
              </w:rPr>
            </w:pPr>
            <w:r w:rsidRPr="008E4923">
              <w:rPr>
                <w:sz w:val="20"/>
                <w:szCs w:val="20"/>
                <w:lang w:val="sr-Cyrl-RS"/>
              </w:rPr>
              <w:t>Број ЈЛС</w:t>
            </w:r>
          </w:p>
        </w:tc>
        <w:tc>
          <w:tcPr>
            <w:tcW w:w="3005" w:type="dxa"/>
          </w:tcPr>
          <w:p w:rsidR="00BF1352" w:rsidRPr="008E4923" w:rsidRDefault="00BF1352" w:rsidP="00A772E1">
            <w:pPr>
              <w:spacing w:after="0"/>
              <w:jc w:val="center"/>
              <w:rPr>
                <w:sz w:val="20"/>
                <w:szCs w:val="20"/>
                <w:lang w:val="sr-Cyrl-RS"/>
              </w:rPr>
            </w:pPr>
            <w:r w:rsidRPr="008E4923">
              <w:rPr>
                <w:sz w:val="20"/>
                <w:szCs w:val="20"/>
                <w:lang w:val="sr-Cyrl-RS"/>
              </w:rPr>
              <w:t>Број подржаних пројеката</w:t>
            </w:r>
          </w:p>
        </w:tc>
        <w:tc>
          <w:tcPr>
            <w:tcW w:w="3006" w:type="dxa"/>
          </w:tcPr>
          <w:p w:rsidR="00BF1352" w:rsidRPr="008E4923" w:rsidRDefault="00BF1352" w:rsidP="00A772E1">
            <w:pPr>
              <w:spacing w:after="0"/>
              <w:jc w:val="center"/>
              <w:rPr>
                <w:sz w:val="20"/>
                <w:szCs w:val="20"/>
                <w:lang w:val="sr-Cyrl-RS"/>
              </w:rPr>
            </w:pPr>
            <w:r w:rsidRPr="008E4923">
              <w:rPr>
                <w:sz w:val="20"/>
                <w:szCs w:val="20"/>
                <w:lang w:val="sr-Cyrl-RS"/>
              </w:rPr>
              <w:t>Износ средстава</w:t>
            </w:r>
          </w:p>
        </w:tc>
      </w:tr>
      <w:tr w:rsidR="00BF1352" w:rsidRPr="008E4923" w:rsidTr="00A772E1">
        <w:tc>
          <w:tcPr>
            <w:tcW w:w="3005" w:type="dxa"/>
          </w:tcPr>
          <w:p w:rsidR="00BF1352" w:rsidRPr="008E4923" w:rsidRDefault="00BF1352" w:rsidP="00A772E1">
            <w:pPr>
              <w:spacing w:after="0"/>
              <w:jc w:val="center"/>
              <w:rPr>
                <w:sz w:val="20"/>
                <w:szCs w:val="20"/>
                <w:lang w:val="sr-Cyrl-RS"/>
              </w:rPr>
            </w:pPr>
            <w:r>
              <w:rPr>
                <w:sz w:val="20"/>
                <w:szCs w:val="20"/>
                <w:lang w:val="sr-Cyrl-RS"/>
              </w:rPr>
              <w:t>18</w:t>
            </w:r>
          </w:p>
        </w:tc>
        <w:tc>
          <w:tcPr>
            <w:tcW w:w="3005" w:type="dxa"/>
          </w:tcPr>
          <w:p w:rsidR="00BF1352" w:rsidRPr="008E4923" w:rsidRDefault="00BF1352" w:rsidP="00A772E1">
            <w:pPr>
              <w:spacing w:after="0"/>
              <w:jc w:val="center"/>
              <w:rPr>
                <w:sz w:val="20"/>
                <w:szCs w:val="20"/>
                <w:lang w:val="sr-Cyrl-RS"/>
              </w:rPr>
            </w:pPr>
            <w:r>
              <w:rPr>
                <w:sz w:val="20"/>
                <w:szCs w:val="20"/>
                <w:lang w:val="sr-Cyrl-RS"/>
              </w:rPr>
              <w:t>34</w:t>
            </w:r>
          </w:p>
        </w:tc>
        <w:tc>
          <w:tcPr>
            <w:tcW w:w="3006" w:type="dxa"/>
          </w:tcPr>
          <w:p w:rsidR="00BF1352" w:rsidRPr="008E4923" w:rsidRDefault="00BF1352" w:rsidP="00A772E1">
            <w:pPr>
              <w:spacing w:after="0"/>
              <w:jc w:val="center"/>
              <w:rPr>
                <w:sz w:val="20"/>
                <w:szCs w:val="20"/>
                <w:lang w:val="sr-Cyrl-RS"/>
              </w:rPr>
            </w:pPr>
            <w:r w:rsidRPr="00BF1352">
              <w:rPr>
                <w:sz w:val="20"/>
                <w:szCs w:val="20"/>
                <w:lang w:val="sr-Cyrl-RS"/>
              </w:rPr>
              <w:t>23.760.000,00</w:t>
            </w:r>
          </w:p>
        </w:tc>
      </w:tr>
    </w:tbl>
    <w:p w:rsidR="0066226F" w:rsidRDefault="0066226F" w:rsidP="00A475C5">
      <w:pPr>
        <w:spacing w:after="0"/>
        <w:jc w:val="both"/>
        <w:rPr>
          <w:sz w:val="24"/>
          <w:szCs w:val="24"/>
          <w:lang w:val="sr-Cyrl-RS"/>
        </w:rPr>
      </w:pPr>
    </w:p>
    <w:p w:rsidR="00976A12" w:rsidRDefault="00976A12" w:rsidP="00A475C5">
      <w:pPr>
        <w:spacing w:after="0"/>
        <w:jc w:val="both"/>
        <w:rPr>
          <w:i/>
          <w:sz w:val="24"/>
          <w:szCs w:val="24"/>
          <w:lang w:val="sr-Cyrl-RS"/>
        </w:rPr>
      </w:pPr>
      <w:r w:rsidRPr="00371D4F">
        <w:rPr>
          <w:i/>
          <w:sz w:val="24"/>
          <w:szCs w:val="24"/>
          <w:lang w:val="sr-Cyrl-RS"/>
        </w:rPr>
        <w:t>Обезбеђивање редовног финансирања и одрживости пројеката од значаја за националне мањине</w:t>
      </w:r>
    </w:p>
    <w:p w:rsidR="00976A12" w:rsidRDefault="00976A12" w:rsidP="00A475C5">
      <w:pPr>
        <w:spacing w:after="0"/>
        <w:jc w:val="both"/>
        <w:rPr>
          <w:sz w:val="24"/>
          <w:szCs w:val="24"/>
          <w:lang w:val="sr-Cyrl-RS"/>
        </w:rPr>
      </w:pPr>
    </w:p>
    <w:p w:rsidR="00510FA0" w:rsidRDefault="00F31B10" w:rsidP="00510FA0">
      <w:pPr>
        <w:spacing w:after="0"/>
        <w:ind w:firstLine="720"/>
        <w:jc w:val="both"/>
        <w:rPr>
          <w:sz w:val="24"/>
          <w:szCs w:val="24"/>
          <w:lang w:val="sr-Cyrl-RS"/>
        </w:rPr>
      </w:pPr>
      <w:r w:rsidRPr="001C33A0">
        <w:rPr>
          <w:sz w:val="24"/>
          <w:szCs w:val="24"/>
          <w:lang w:val="sr-Cyrl-RS"/>
        </w:rPr>
        <w:t>Министарство културе и информисања је кроз програмск</w:t>
      </w:r>
      <w:r w:rsidR="000C3DF3">
        <w:rPr>
          <w:sz w:val="24"/>
          <w:szCs w:val="24"/>
          <w:lang w:val="sr-Cyrl-RS"/>
        </w:rPr>
        <w:t>и</w:t>
      </w:r>
      <w:r w:rsidRPr="001C33A0">
        <w:rPr>
          <w:sz w:val="24"/>
          <w:szCs w:val="24"/>
          <w:lang w:val="sr-Cyrl-RS"/>
        </w:rPr>
        <w:t xml:space="preserve"> буџет обезбедило континуирано и одрживо финансирање пројеката који су од значаја за националне мањине. </w:t>
      </w:r>
      <w:r>
        <w:rPr>
          <w:sz w:val="24"/>
          <w:szCs w:val="24"/>
          <w:lang w:val="sr-Cyrl-RS"/>
        </w:rPr>
        <w:t>У</w:t>
      </w:r>
      <w:r w:rsidRPr="00671635">
        <w:rPr>
          <w:sz w:val="24"/>
          <w:szCs w:val="24"/>
          <w:lang w:val="sr-Cyrl-RS"/>
        </w:rPr>
        <w:t xml:space="preserve"> оквиру </w:t>
      </w:r>
      <w:r>
        <w:rPr>
          <w:sz w:val="24"/>
          <w:szCs w:val="24"/>
          <w:lang w:val="sr-Cyrl-RS"/>
        </w:rPr>
        <w:t>с</w:t>
      </w:r>
      <w:r w:rsidRPr="00671635">
        <w:rPr>
          <w:sz w:val="24"/>
          <w:szCs w:val="24"/>
          <w:lang w:val="sr-Cyrl-RS"/>
        </w:rPr>
        <w:t xml:space="preserve">тратешких приоритета развоја културе за </w:t>
      </w:r>
      <w:r>
        <w:rPr>
          <w:sz w:val="24"/>
          <w:szCs w:val="24"/>
          <w:lang w:val="sr-Cyrl-RS"/>
        </w:rPr>
        <w:t>период од 2021. до 2025. године</w:t>
      </w:r>
      <w:r w:rsidRPr="00671635">
        <w:rPr>
          <w:sz w:val="24"/>
          <w:szCs w:val="24"/>
          <w:lang w:val="sr-Cyrl-RS"/>
        </w:rPr>
        <w:t xml:space="preserve"> </w:t>
      </w:r>
      <w:r>
        <w:rPr>
          <w:sz w:val="24"/>
          <w:szCs w:val="24"/>
          <w:lang w:val="sr-Cyrl-RS"/>
        </w:rPr>
        <w:t xml:space="preserve">Министарство је </w:t>
      </w:r>
      <w:r w:rsidRPr="00671635">
        <w:rPr>
          <w:sz w:val="24"/>
          <w:szCs w:val="24"/>
          <w:lang w:val="sr-Cyrl-RS"/>
        </w:rPr>
        <w:t xml:space="preserve">предвидело </w:t>
      </w:r>
      <w:r>
        <w:rPr>
          <w:sz w:val="24"/>
          <w:szCs w:val="24"/>
          <w:lang w:val="sr-Cyrl-RS"/>
        </w:rPr>
        <w:t xml:space="preserve">наставак </w:t>
      </w:r>
      <w:r w:rsidRPr="00671635">
        <w:rPr>
          <w:sz w:val="24"/>
          <w:szCs w:val="24"/>
          <w:lang w:val="sr-Cyrl-RS"/>
        </w:rPr>
        <w:t>постепено</w:t>
      </w:r>
      <w:r>
        <w:rPr>
          <w:sz w:val="24"/>
          <w:szCs w:val="24"/>
          <w:lang w:val="sr-Cyrl-RS"/>
        </w:rPr>
        <w:t>г</w:t>
      </w:r>
      <w:r w:rsidRPr="00671635">
        <w:rPr>
          <w:sz w:val="24"/>
          <w:szCs w:val="24"/>
          <w:lang w:val="sr-Cyrl-RS"/>
        </w:rPr>
        <w:t xml:space="preserve"> увећавањ</w:t>
      </w:r>
      <w:r>
        <w:rPr>
          <w:sz w:val="24"/>
          <w:szCs w:val="24"/>
          <w:lang w:val="sr-Cyrl-RS"/>
        </w:rPr>
        <w:t>а</w:t>
      </w:r>
      <w:r w:rsidRPr="00671635">
        <w:rPr>
          <w:sz w:val="24"/>
          <w:szCs w:val="24"/>
          <w:lang w:val="sr-Cyrl-RS"/>
        </w:rPr>
        <w:t xml:space="preserve"> укупно расположивог буџета за културу, што ће се одразити и на буџет намењен за културне делатности националних мањина. У последње </w:t>
      </w:r>
      <w:r>
        <w:rPr>
          <w:sz w:val="24"/>
          <w:szCs w:val="24"/>
          <w:lang w:val="sr-Cyrl-RS"/>
        </w:rPr>
        <w:t>две</w:t>
      </w:r>
      <w:r w:rsidRPr="00671635">
        <w:rPr>
          <w:sz w:val="24"/>
          <w:szCs w:val="24"/>
          <w:lang w:val="sr-Cyrl-RS"/>
        </w:rPr>
        <w:t xml:space="preserve"> године буџет опредељен за </w:t>
      </w:r>
      <w:r>
        <w:rPr>
          <w:sz w:val="24"/>
          <w:szCs w:val="24"/>
          <w:lang w:val="sr-Cyrl-RS"/>
        </w:rPr>
        <w:t>к</w:t>
      </w:r>
      <w:r w:rsidRPr="00671635">
        <w:rPr>
          <w:sz w:val="24"/>
          <w:szCs w:val="24"/>
          <w:lang w:val="sr-Cyrl-RS"/>
        </w:rPr>
        <w:t xml:space="preserve">онкурс за културне делатности националних мањина је растао у просеку за око 10% годишње и </w:t>
      </w:r>
      <w:r w:rsidR="000C3DF3">
        <w:rPr>
          <w:sz w:val="24"/>
          <w:szCs w:val="24"/>
          <w:lang w:val="sr-Cyrl-RS"/>
        </w:rPr>
        <w:t xml:space="preserve">у </w:t>
      </w:r>
      <w:r w:rsidRPr="00671635">
        <w:rPr>
          <w:sz w:val="24"/>
          <w:szCs w:val="24"/>
          <w:lang w:val="sr-Cyrl-RS"/>
        </w:rPr>
        <w:t>2</w:t>
      </w:r>
      <w:r w:rsidR="000C3DF3">
        <w:rPr>
          <w:sz w:val="24"/>
          <w:szCs w:val="24"/>
          <w:lang w:val="sr-Cyrl-RS"/>
        </w:rPr>
        <w:t>022. години</w:t>
      </w:r>
      <w:r w:rsidRPr="00671635">
        <w:rPr>
          <w:sz w:val="24"/>
          <w:szCs w:val="24"/>
          <w:lang w:val="sr-Cyrl-RS"/>
        </w:rPr>
        <w:t xml:space="preserve"> износи 18</w:t>
      </w:r>
      <w:r w:rsidR="00CB50B7">
        <w:rPr>
          <w:sz w:val="24"/>
          <w:szCs w:val="24"/>
          <w:lang w:val="sr-Cyrl-RS"/>
        </w:rPr>
        <w:t>.</w:t>
      </w:r>
      <w:r w:rsidRPr="00671635">
        <w:rPr>
          <w:sz w:val="24"/>
          <w:szCs w:val="24"/>
          <w:lang w:val="sr-Cyrl-RS"/>
        </w:rPr>
        <w:t>680</w:t>
      </w:r>
      <w:r w:rsidR="00CB50B7">
        <w:rPr>
          <w:sz w:val="24"/>
          <w:szCs w:val="24"/>
          <w:lang w:val="sr-Cyrl-RS"/>
        </w:rPr>
        <w:t>.</w:t>
      </w:r>
      <w:r w:rsidRPr="00671635">
        <w:rPr>
          <w:sz w:val="24"/>
          <w:szCs w:val="24"/>
          <w:lang w:val="sr-Cyrl-RS"/>
        </w:rPr>
        <w:t>000</w:t>
      </w:r>
      <w:r w:rsidR="00CB50B7">
        <w:rPr>
          <w:sz w:val="24"/>
          <w:szCs w:val="24"/>
          <w:lang w:val="sr-Cyrl-RS"/>
        </w:rPr>
        <w:t>,</w:t>
      </w:r>
      <w:r w:rsidRPr="00671635">
        <w:rPr>
          <w:sz w:val="24"/>
          <w:szCs w:val="24"/>
          <w:lang w:val="sr-Cyrl-RS"/>
        </w:rPr>
        <w:t>00 динара.</w:t>
      </w:r>
      <w:r>
        <w:rPr>
          <w:sz w:val="24"/>
          <w:szCs w:val="24"/>
          <w:lang w:val="sr-Cyrl-RS"/>
        </w:rPr>
        <w:t xml:space="preserve"> </w:t>
      </w:r>
      <w:r w:rsidR="00510FA0" w:rsidRPr="00FC49CE">
        <w:rPr>
          <w:sz w:val="24"/>
          <w:szCs w:val="24"/>
          <w:lang w:val="sr-Cyrl-RS"/>
        </w:rPr>
        <w:t xml:space="preserve">Табела у наставку </w:t>
      </w:r>
      <w:r w:rsidR="00510FA0">
        <w:rPr>
          <w:sz w:val="24"/>
          <w:szCs w:val="24"/>
          <w:lang w:val="sr-Cyrl-RS"/>
        </w:rPr>
        <w:t>садржи податке о пројектима на</w:t>
      </w:r>
      <w:r w:rsidR="00510FA0" w:rsidRPr="00FC49CE">
        <w:rPr>
          <w:sz w:val="24"/>
          <w:szCs w:val="24"/>
          <w:lang w:val="sr-Cyrl-RS"/>
        </w:rPr>
        <w:t xml:space="preserve"> </w:t>
      </w:r>
      <w:r w:rsidR="00510FA0">
        <w:rPr>
          <w:sz w:val="24"/>
          <w:szCs w:val="24"/>
          <w:lang w:val="sr-Cyrl-RS"/>
        </w:rPr>
        <w:t xml:space="preserve">специјализованим </w:t>
      </w:r>
      <w:r w:rsidR="00510FA0" w:rsidRPr="00FC49CE">
        <w:rPr>
          <w:sz w:val="24"/>
          <w:szCs w:val="24"/>
          <w:lang w:val="sr-Cyrl-RS"/>
        </w:rPr>
        <w:t>конкурс</w:t>
      </w:r>
      <w:r w:rsidR="00510FA0">
        <w:rPr>
          <w:sz w:val="24"/>
          <w:szCs w:val="24"/>
          <w:lang w:val="sr-Cyrl-RS"/>
        </w:rPr>
        <w:t>има</w:t>
      </w:r>
      <w:r w:rsidR="00510FA0" w:rsidRPr="00FC49CE">
        <w:rPr>
          <w:sz w:val="24"/>
          <w:szCs w:val="24"/>
          <w:lang w:val="sr-Cyrl-RS"/>
        </w:rPr>
        <w:t xml:space="preserve"> </w:t>
      </w:r>
      <w:r w:rsidR="00510FA0">
        <w:rPr>
          <w:sz w:val="24"/>
          <w:szCs w:val="24"/>
          <w:lang w:val="sr-Cyrl-RS"/>
        </w:rPr>
        <w:t xml:space="preserve">који су искључиво намењени </w:t>
      </w:r>
      <w:r w:rsidR="00510FA0" w:rsidRPr="00FC49CE">
        <w:rPr>
          <w:sz w:val="24"/>
          <w:szCs w:val="24"/>
          <w:lang w:val="sr-Cyrl-RS"/>
        </w:rPr>
        <w:t xml:space="preserve">за </w:t>
      </w:r>
      <w:r w:rsidR="00510FA0">
        <w:rPr>
          <w:sz w:val="24"/>
          <w:szCs w:val="24"/>
          <w:lang w:val="sr-Cyrl-RS"/>
        </w:rPr>
        <w:t xml:space="preserve">суфинансирање </w:t>
      </w:r>
      <w:r w:rsidR="00510FA0" w:rsidRPr="00FC49CE">
        <w:rPr>
          <w:sz w:val="24"/>
          <w:szCs w:val="24"/>
          <w:lang w:val="sr-Cyrl-RS"/>
        </w:rPr>
        <w:t>културне делатности националних мањина</w:t>
      </w:r>
      <w:r w:rsidR="00510FA0">
        <w:rPr>
          <w:sz w:val="24"/>
          <w:szCs w:val="24"/>
          <w:lang w:val="sr-Cyrl-RS"/>
        </w:rPr>
        <w:t xml:space="preserve">. </w:t>
      </w:r>
    </w:p>
    <w:p w:rsidR="00F31B10" w:rsidRDefault="00F31B10" w:rsidP="00F31B10">
      <w:pPr>
        <w:spacing w:after="0"/>
        <w:ind w:firstLine="720"/>
        <w:jc w:val="both"/>
        <w:rPr>
          <w:sz w:val="24"/>
          <w:szCs w:val="24"/>
          <w:lang w:val="sr-Cyrl-RS"/>
        </w:rPr>
      </w:pPr>
    </w:p>
    <w:tbl>
      <w:tblPr>
        <w:tblStyle w:val="TableGrid"/>
        <w:tblW w:w="9086" w:type="dxa"/>
        <w:tblLook w:val="04A0" w:firstRow="1" w:lastRow="0" w:firstColumn="1" w:lastColumn="0" w:noHBand="0" w:noVBand="1"/>
      </w:tblPr>
      <w:tblGrid>
        <w:gridCol w:w="1471"/>
        <w:gridCol w:w="1523"/>
        <w:gridCol w:w="1523"/>
        <w:gridCol w:w="1523"/>
        <w:gridCol w:w="1523"/>
        <w:gridCol w:w="1523"/>
      </w:tblGrid>
      <w:tr w:rsidR="00F31B10" w:rsidTr="0056662A">
        <w:trPr>
          <w:trHeight w:val="308"/>
        </w:trPr>
        <w:tc>
          <w:tcPr>
            <w:tcW w:w="1471" w:type="dxa"/>
            <w:vAlign w:val="bottom"/>
          </w:tcPr>
          <w:p w:rsidR="00F31B10" w:rsidRPr="00F05892" w:rsidRDefault="00F31B10" w:rsidP="0056662A">
            <w:pPr>
              <w:spacing w:after="0" w:line="240" w:lineRule="auto"/>
              <w:jc w:val="center"/>
              <w:rPr>
                <w:rFonts w:eastAsia="Times New Roman"/>
                <w:color w:val="000000"/>
                <w:sz w:val="20"/>
                <w:szCs w:val="20"/>
              </w:rPr>
            </w:pPr>
          </w:p>
        </w:tc>
        <w:tc>
          <w:tcPr>
            <w:tcW w:w="1523" w:type="dxa"/>
            <w:vAlign w:val="bottom"/>
          </w:tcPr>
          <w:p w:rsidR="00F31B10" w:rsidRPr="00F05892" w:rsidRDefault="00F31B10" w:rsidP="0056662A">
            <w:pPr>
              <w:spacing w:after="0" w:line="240" w:lineRule="auto"/>
              <w:jc w:val="center"/>
              <w:rPr>
                <w:rFonts w:eastAsia="Times New Roman"/>
                <w:color w:val="000000"/>
                <w:sz w:val="20"/>
                <w:szCs w:val="20"/>
              </w:rPr>
            </w:pPr>
            <w:r w:rsidRPr="00F05892">
              <w:rPr>
                <w:rFonts w:eastAsia="Times New Roman"/>
                <w:color w:val="000000"/>
                <w:sz w:val="20"/>
                <w:szCs w:val="20"/>
              </w:rPr>
              <w:t>2017.</w:t>
            </w:r>
          </w:p>
        </w:tc>
        <w:tc>
          <w:tcPr>
            <w:tcW w:w="1523" w:type="dxa"/>
            <w:vAlign w:val="bottom"/>
          </w:tcPr>
          <w:p w:rsidR="00F31B10" w:rsidRPr="00F05892" w:rsidRDefault="00F31B10" w:rsidP="0056662A">
            <w:pPr>
              <w:spacing w:after="0" w:line="240" w:lineRule="auto"/>
              <w:jc w:val="center"/>
              <w:rPr>
                <w:rFonts w:eastAsia="Times New Roman"/>
                <w:color w:val="000000"/>
                <w:sz w:val="20"/>
                <w:szCs w:val="20"/>
              </w:rPr>
            </w:pPr>
            <w:r w:rsidRPr="00F05892">
              <w:rPr>
                <w:rFonts w:eastAsia="Times New Roman"/>
                <w:color w:val="000000"/>
                <w:sz w:val="20"/>
                <w:szCs w:val="20"/>
              </w:rPr>
              <w:t>2018.</w:t>
            </w:r>
          </w:p>
        </w:tc>
        <w:tc>
          <w:tcPr>
            <w:tcW w:w="1523" w:type="dxa"/>
            <w:vAlign w:val="bottom"/>
          </w:tcPr>
          <w:p w:rsidR="00F31B10" w:rsidRPr="00F05892" w:rsidRDefault="00F31B10" w:rsidP="0056662A">
            <w:pPr>
              <w:spacing w:after="0" w:line="240" w:lineRule="auto"/>
              <w:jc w:val="center"/>
              <w:rPr>
                <w:rFonts w:eastAsia="Times New Roman"/>
                <w:color w:val="000000"/>
                <w:sz w:val="20"/>
                <w:szCs w:val="20"/>
              </w:rPr>
            </w:pPr>
            <w:r w:rsidRPr="00F05892">
              <w:rPr>
                <w:rFonts w:eastAsia="Times New Roman"/>
                <w:color w:val="000000"/>
                <w:sz w:val="20"/>
                <w:szCs w:val="20"/>
              </w:rPr>
              <w:t>2019.</w:t>
            </w:r>
          </w:p>
        </w:tc>
        <w:tc>
          <w:tcPr>
            <w:tcW w:w="1523" w:type="dxa"/>
            <w:vAlign w:val="bottom"/>
          </w:tcPr>
          <w:p w:rsidR="00F31B10" w:rsidRPr="00F05892" w:rsidRDefault="00F31B10" w:rsidP="0056662A">
            <w:pPr>
              <w:spacing w:after="0" w:line="240" w:lineRule="auto"/>
              <w:jc w:val="center"/>
              <w:rPr>
                <w:rFonts w:eastAsia="Times New Roman"/>
                <w:color w:val="000000"/>
                <w:sz w:val="20"/>
                <w:szCs w:val="20"/>
              </w:rPr>
            </w:pPr>
            <w:r w:rsidRPr="00F05892">
              <w:rPr>
                <w:rFonts w:eastAsia="Times New Roman"/>
                <w:color w:val="000000"/>
                <w:sz w:val="20"/>
                <w:szCs w:val="20"/>
              </w:rPr>
              <w:t>2020.</w:t>
            </w:r>
          </w:p>
        </w:tc>
        <w:tc>
          <w:tcPr>
            <w:tcW w:w="1523" w:type="dxa"/>
            <w:vAlign w:val="bottom"/>
          </w:tcPr>
          <w:p w:rsidR="00F31B10" w:rsidRPr="00F05892" w:rsidRDefault="00F31B10" w:rsidP="0056662A">
            <w:pPr>
              <w:spacing w:after="0" w:line="240" w:lineRule="auto"/>
              <w:jc w:val="center"/>
              <w:rPr>
                <w:rFonts w:eastAsia="Times New Roman"/>
                <w:color w:val="000000"/>
                <w:sz w:val="20"/>
                <w:szCs w:val="20"/>
              </w:rPr>
            </w:pPr>
            <w:r w:rsidRPr="00F05892">
              <w:rPr>
                <w:rFonts w:eastAsia="Times New Roman"/>
                <w:color w:val="000000"/>
                <w:sz w:val="20"/>
                <w:szCs w:val="20"/>
              </w:rPr>
              <w:t>2021.</w:t>
            </w:r>
          </w:p>
        </w:tc>
      </w:tr>
      <w:tr w:rsidR="00F31B10" w:rsidTr="0056662A">
        <w:trPr>
          <w:trHeight w:val="677"/>
        </w:trPr>
        <w:tc>
          <w:tcPr>
            <w:tcW w:w="1471" w:type="dxa"/>
            <w:vAlign w:val="bottom"/>
          </w:tcPr>
          <w:p w:rsidR="00F31B10" w:rsidRPr="00F05892" w:rsidRDefault="00F31B10" w:rsidP="0056662A">
            <w:pPr>
              <w:spacing w:after="0" w:line="240" w:lineRule="auto"/>
              <w:rPr>
                <w:rFonts w:eastAsia="Times New Roman"/>
                <w:color w:val="000000"/>
                <w:sz w:val="20"/>
                <w:szCs w:val="20"/>
              </w:rPr>
            </w:pPr>
            <w:r w:rsidRPr="00F05892">
              <w:rPr>
                <w:rFonts w:eastAsia="Times New Roman"/>
                <w:color w:val="000000"/>
                <w:sz w:val="20"/>
                <w:szCs w:val="20"/>
              </w:rPr>
              <w:t>Број пријављених пројеката</w:t>
            </w:r>
          </w:p>
        </w:tc>
        <w:tc>
          <w:tcPr>
            <w:tcW w:w="1523" w:type="dxa"/>
            <w:vAlign w:val="center"/>
          </w:tcPr>
          <w:p w:rsidR="00F31B10" w:rsidRPr="00F05892" w:rsidRDefault="00F31B10" w:rsidP="0056662A">
            <w:pPr>
              <w:spacing w:after="0" w:line="240" w:lineRule="auto"/>
              <w:jc w:val="center"/>
              <w:rPr>
                <w:rFonts w:eastAsia="Times New Roman"/>
                <w:color w:val="000000"/>
                <w:sz w:val="20"/>
                <w:szCs w:val="20"/>
              </w:rPr>
            </w:pPr>
            <w:r w:rsidRPr="00F05892">
              <w:rPr>
                <w:rFonts w:eastAsia="Times New Roman"/>
                <w:color w:val="000000"/>
                <w:sz w:val="20"/>
                <w:szCs w:val="20"/>
              </w:rPr>
              <w:t>241</w:t>
            </w:r>
          </w:p>
        </w:tc>
        <w:tc>
          <w:tcPr>
            <w:tcW w:w="1523" w:type="dxa"/>
            <w:vAlign w:val="center"/>
          </w:tcPr>
          <w:p w:rsidR="00F31B10" w:rsidRPr="00F05892" w:rsidRDefault="00F31B10" w:rsidP="0056662A">
            <w:pPr>
              <w:spacing w:after="0" w:line="240" w:lineRule="auto"/>
              <w:jc w:val="center"/>
              <w:rPr>
                <w:rFonts w:eastAsia="Times New Roman"/>
                <w:color w:val="000000"/>
                <w:sz w:val="20"/>
                <w:szCs w:val="20"/>
              </w:rPr>
            </w:pPr>
            <w:r w:rsidRPr="00F05892">
              <w:rPr>
                <w:rFonts w:eastAsia="Times New Roman"/>
                <w:color w:val="000000"/>
                <w:sz w:val="20"/>
                <w:szCs w:val="20"/>
              </w:rPr>
              <w:t>206</w:t>
            </w:r>
          </w:p>
        </w:tc>
        <w:tc>
          <w:tcPr>
            <w:tcW w:w="1523" w:type="dxa"/>
            <w:vAlign w:val="center"/>
          </w:tcPr>
          <w:p w:rsidR="00F31B10" w:rsidRPr="00F05892" w:rsidRDefault="00F31B10" w:rsidP="0056662A">
            <w:pPr>
              <w:spacing w:after="0" w:line="240" w:lineRule="auto"/>
              <w:jc w:val="center"/>
              <w:rPr>
                <w:rFonts w:eastAsia="Times New Roman"/>
                <w:color w:val="000000"/>
                <w:sz w:val="20"/>
                <w:szCs w:val="20"/>
              </w:rPr>
            </w:pPr>
            <w:r w:rsidRPr="00F05892">
              <w:rPr>
                <w:rFonts w:eastAsia="Times New Roman"/>
                <w:color w:val="000000"/>
                <w:sz w:val="20"/>
                <w:szCs w:val="20"/>
              </w:rPr>
              <w:t>259</w:t>
            </w:r>
          </w:p>
        </w:tc>
        <w:tc>
          <w:tcPr>
            <w:tcW w:w="1523" w:type="dxa"/>
            <w:vAlign w:val="center"/>
          </w:tcPr>
          <w:p w:rsidR="00F31B10" w:rsidRPr="00F05892" w:rsidRDefault="00F31B10" w:rsidP="0056662A">
            <w:pPr>
              <w:spacing w:after="0" w:line="240" w:lineRule="auto"/>
              <w:jc w:val="center"/>
              <w:rPr>
                <w:rFonts w:eastAsia="Times New Roman"/>
                <w:color w:val="000000"/>
                <w:sz w:val="20"/>
                <w:szCs w:val="20"/>
              </w:rPr>
            </w:pPr>
            <w:r w:rsidRPr="00F05892">
              <w:rPr>
                <w:rFonts w:eastAsia="Times New Roman"/>
                <w:color w:val="000000"/>
                <w:sz w:val="20"/>
                <w:szCs w:val="20"/>
              </w:rPr>
              <w:t>205</w:t>
            </w:r>
          </w:p>
        </w:tc>
        <w:tc>
          <w:tcPr>
            <w:tcW w:w="1523" w:type="dxa"/>
            <w:vAlign w:val="center"/>
          </w:tcPr>
          <w:p w:rsidR="00F31B10" w:rsidRPr="00F05892" w:rsidRDefault="00F31B10" w:rsidP="0056662A">
            <w:pPr>
              <w:spacing w:after="0" w:line="240" w:lineRule="auto"/>
              <w:jc w:val="center"/>
              <w:rPr>
                <w:rFonts w:eastAsia="Times New Roman"/>
                <w:color w:val="000000"/>
                <w:sz w:val="20"/>
                <w:szCs w:val="20"/>
              </w:rPr>
            </w:pPr>
            <w:r w:rsidRPr="00F05892">
              <w:rPr>
                <w:rFonts w:eastAsia="Times New Roman"/>
                <w:color w:val="000000"/>
                <w:sz w:val="20"/>
                <w:szCs w:val="20"/>
              </w:rPr>
              <w:t>303</w:t>
            </w:r>
          </w:p>
        </w:tc>
      </w:tr>
      <w:tr w:rsidR="00F31B10" w:rsidTr="0056662A">
        <w:trPr>
          <w:trHeight w:val="684"/>
        </w:trPr>
        <w:tc>
          <w:tcPr>
            <w:tcW w:w="1471" w:type="dxa"/>
            <w:vAlign w:val="bottom"/>
          </w:tcPr>
          <w:p w:rsidR="00F31B10" w:rsidRPr="00F05892" w:rsidRDefault="00F31B10" w:rsidP="0056662A">
            <w:pPr>
              <w:spacing w:after="0" w:line="240" w:lineRule="auto"/>
              <w:rPr>
                <w:rFonts w:eastAsia="Times New Roman"/>
                <w:color w:val="000000"/>
                <w:sz w:val="20"/>
                <w:szCs w:val="20"/>
              </w:rPr>
            </w:pPr>
            <w:r w:rsidRPr="00F05892">
              <w:rPr>
                <w:rFonts w:eastAsia="Times New Roman"/>
                <w:color w:val="000000"/>
                <w:sz w:val="20"/>
                <w:szCs w:val="20"/>
              </w:rPr>
              <w:t>Број подржаних пројеката</w:t>
            </w:r>
          </w:p>
        </w:tc>
        <w:tc>
          <w:tcPr>
            <w:tcW w:w="1523" w:type="dxa"/>
            <w:vAlign w:val="center"/>
          </w:tcPr>
          <w:p w:rsidR="00F31B10" w:rsidRPr="00F05892" w:rsidRDefault="00F31B10" w:rsidP="0056662A">
            <w:pPr>
              <w:spacing w:after="0" w:line="240" w:lineRule="auto"/>
              <w:jc w:val="center"/>
              <w:rPr>
                <w:rFonts w:eastAsia="Times New Roman"/>
                <w:color w:val="000000"/>
                <w:sz w:val="20"/>
                <w:szCs w:val="20"/>
              </w:rPr>
            </w:pPr>
            <w:r w:rsidRPr="00F05892">
              <w:rPr>
                <w:rFonts w:eastAsia="Times New Roman"/>
                <w:color w:val="000000"/>
                <w:sz w:val="20"/>
                <w:szCs w:val="20"/>
              </w:rPr>
              <w:t>102</w:t>
            </w:r>
          </w:p>
        </w:tc>
        <w:tc>
          <w:tcPr>
            <w:tcW w:w="1523" w:type="dxa"/>
            <w:vAlign w:val="center"/>
          </w:tcPr>
          <w:p w:rsidR="00F31B10" w:rsidRPr="00F05892" w:rsidRDefault="00F31B10" w:rsidP="0056662A">
            <w:pPr>
              <w:spacing w:after="0" w:line="240" w:lineRule="auto"/>
              <w:jc w:val="center"/>
              <w:rPr>
                <w:rFonts w:eastAsia="Times New Roman"/>
                <w:color w:val="000000"/>
                <w:sz w:val="20"/>
                <w:szCs w:val="20"/>
              </w:rPr>
            </w:pPr>
            <w:r w:rsidRPr="00F05892">
              <w:rPr>
                <w:rFonts w:eastAsia="Times New Roman"/>
                <w:color w:val="000000"/>
                <w:sz w:val="20"/>
                <w:szCs w:val="20"/>
              </w:rPr>
              <w:t>116</w:t>
            </w:r>
          </w:p>
        </w:tc>
        <w:tc>
          <w:tcPr>
            <w:tcW w:w="1523" w:type="dxa"/>
            <w:vAlign w:val="center"/>
          </w:tcPr>
          <w:p w:rsidR="00F31B10" w:rsidRPr="00F05892" w:rsidRDefault="00F31B10" w:rsidP="0056662A">
            <w:pPr>
              <w:spacing w:after="0" w:line="240" w:lineRule="auto"/>
              <w:jc w:val="center"/>
              <w:rPr>
                <w:rFonts w:eastAsia="Times New Roman"/>
                <w:color w:val="000000"/>
                <w:sz w:val="20"/>
                <w:szCs w:val="20"/>
              </w:rPr>
            </w:pPr>
            <w:r w:rsidRPr="00F05892">
              <w:rPr>
                <w:rFonts w:eastAsia="Times New Roman"/>
                <w:color w:val="000000"/>
                <w:sz w:val="20"/>
                <w:szCs w:val="20"/>
              </w:rPr>
              <w:t>127</w:t>
            </w:r>
          </w:p>
        </w:tc>
        <w:tc>
          <w:tcPr>
            <w:tcW w:w="1523" w:type="dxa"/>
            <w:vAlign w:val="center"/>
          </w:tcPr>
          <w:p w:rsidR="00F31B10" w:rsidRPr="00F05892" w:rsidRDefault="00F31B10" w:rsidP="0056662A">
            <w:pPr>
              <w:spacing w:after="0" w:line="240" w:lineRule="auto"/>
              <w:jc w:val="center"/>
              <w:rPr>
                <w:rFonts w:eastAsia="Times New Roman"/>
                <w:color w:val="000000"/>
                <w:sz w:val="20"/>
                <w:szCs w:val="20"/>
              </w:rPr>
            </w:pPr>
            <w:r w:rsidRPr="00F05892">
              <w:rPr>
                <w:rFonts w:eastAsia="Times New Roman"/>
                <w:color w:val="000000"/>
                <w:sz w:val="20"/>
                <w:szCs w:val="20"/>
              </w:rPr>
              <w:t>123</w:t>
            </w:r>
          </w:p>
        </w:tc>
        <w:tc>
          <w:tcPr>
            <w:tcW w:w="1523" w:type="dxa"/>
            <w:vAlign w:val="center"/>
          </w:tcPr>
          <w:p w:rsidR="00F31B10" w:rsidRPr="00F05892" w:rsidRDefault="00F31B10" w:rsidP="0056662A">
            <w:pPr>
              <w:spacing w:after="0" w:line="240" w:lineRule="auto"/>
              <w:jc w:val="center"/>
              <w:rPr>
                <w:rFonts w:eastAsia="Times New Roman"/>
                <w:color w:val="000000"/>
                <w:sz w:val="20"/>
                <w:szCs w:val="20"/>
              </w:rPr>
            </w:pPr>
            <w:r w:rsidRPr="00F05892">
              <w:rPr>
                <w:rFonts w:eastAsia="Times New Roman"/>
                <w:color w:val="000000"/>
                <w:sz w:val="20"/>
                <w:szCs w:val="20"/>
              </w:rPr>
              <w:t>139</w:t>
            </w:r>
          </w:p>
        </w:tc>
      </w:tr>
      <w:tr w:rsidR="00F31B10" w:rsidTr="0056662A">
        <w:trPr>
          <w:trHeight w:val="448"/>
        </w:trPr>
        <w:tc>
          <w:tcPr>
            <w:tcW w:w="1471" w:type="dxa"/>
            <w:vAlign w:val="bottom"/>
          </w:tcPr>
          <w:p w:rsidR="00F31B10" w:rsidRPr="00F05892" w:rsidRDefault="00F31B10" w:rsidP="0056662A">
            <w:pPr>
              <w:spacing w:after="0" w:line="240" w:lineRule="auto"/>
              <w:rPr>
                <w:rFonts w:eastAsia="Times New Roman"/>
                <w:color w:val="000000"/>
                <w:sz w:val="20"/>
                <w:szCs w:val="20"/>
              </w:rPr>
            </w:pPr>
            <w:r w:rsidRPr="00F05892">
              <w:rPr>
                <w:rFonts w:eastAsia="Times New Roman"/>
                <w:color w:val="000000"/>
                <w:sz w:val="20"/>
                <w:szCs w:val="20"/>
              </w:rPr>
              <w:t>Проценат одобрених</w:t>
            </w:r>
          </w:p>
        </w:tc>
        <w:tc>
          <w:tcPr>
            <w:tcW w:w="1523" w:type="dxa"/>
            <w:vAlign w:val="center"/>
          </w:tcPr>
          <w:p w:rsidR="00F31B10" w:rsidRPr="00F05892" w:rsidRDefault="00F31B10" w:rsidP="0056662A">
            <w:pPr>
              <w:spacing w:after="0" w:line="240" w:lineRule="auto"/>
              <w:jc w:val="center"/>
              <w:rPr>
                <w:rFonts w:eastAsia="Times New Roman"/>
                <w:color w:val="000000"/>
                <w:sz w:val="20"/>
                <w:szCs w:val="20"/>
              </w:rPr>
            </w:pPr>
            <w:r w:rsidRPr="00F05892">
              <w:rPr>
                <w:rFonts w:eastAsia="Times New Roman"/>
                <w:color w:val="000000"/>
                <w:sz w:val="20"/>
                <w:szCs w:val="20"/>
              </w:rPr>
              <w:t>42,3%</w:t>
            </w:r>
          </w:p>
        </w:tc>
        <w:tc>
          <w:tcPr>
            <w:tcW w:w="1523" w:type="dxa"/>
            <w:vAlign w:val="center"/>
          </w:tcPr>
          <w:p w:rsidR="00F31B10" w:rsidRPr="00F05892" w:rsidRDefault="00F31B10" w:rsidP="0056662A">
            <w:pPr>
              <w:spacing w:after="0" w:line="240" w:lineRule="auto"/>
              <w:jc w:val="center"/>
              <w:rPr>
                <w:rFonts w:eastAsia="Times New Roman"/>
                <w:color w:val="000000"/>
                <w:sz w:val="20"/>
                <w:szCs w:val="20"/>
              </w:rPr>
            </w:pPr>
            <w:r w:rsidRPr="00F05892">
              <w:rPr>
                <w:rFonts w:eastAsia="Times New Roman"/>
                <w:color w:val="000000"/>
                <w:sz w:val="20"/>
                <w:szCs w:val="20"/>
              </w:rPr>
              <w:t>56,3%</w:t>
            </w:r>
          </w:p>
        </w:tc>
        <w:tc>
          <w:tcPr>
            <w:tcW w:w="1523" w:type="dxa"/>
            <w:vAlign w:val="center"/>
          </w:tcPr>
          <w:p w:rsidR="00F31B10" w:rsidRPr="00F05892" w:rsidRDefault="00F31B10" w:rsidP="0056662A">
            <w:pPr>
              <w:spacing w:after="0" w:line="240" w:lineRule="auto"/>
              <w:jc w:val="center"/>
              <w:rPr>
                <w:rFonts w:eastAsia="Times New Roman"/>
                <w:color w:val="000000"/>
                <w:sz w:val="20"/>
                <w:szCs w:val="20"/>
              </w:rPr>
            </w:pPr>
            <w:r w:rsidRPr="00F05892">
              <w:rPr>
                <w:rFonts w:eastAsia="Times New Roman"/>
                <w:color w:val="000000"/>
                <w:sz w:val="20"/>
                <w:szCs w:val="20"/>
              </w:rPr>
              <w:t>49%</w:t>
            </w:r>
          </w:p>
        </w:tc>
        <w:tc>
          <w:tcPr>
            <w:tcW w:w="1523" w:type="dxa"/>
            <w:vAlign w:val="center"/>
          </w:tcPr>
          <w:p w:rsidR="00F31B10" w:rsidRPr="00F05892" w:rsidRDefault="00F31B10" w:rsidP="0056662A">
            <w:pPr>
              <w:spacing w:after="0" w:line="240" w:lineRule="auto"/>
              <w:jc w:val="center"/>
              <w:rPr>
                <w:rFonts w:eastAsia="Times New Roman"/>
                <w:color w:val="000000"/>
                <w:sz w:val="20"/>
                <w:szCs w:val="20"/>
              </w:rPr>
            </w:pPr>
            <w:r w:rsidRPr="00F05892">
              <w:rPr>
                <w:rFonts w:eastAsia="Times New Roman"/>
                <w:color w:val="000000"/>
                <w:sz w:val="20"/>
                <w:szCs w:val="20"/>
              </w:rPr>
              <w:t>60%</w:t>
            </w:r>
          </w:p>
        </w:tc>
        <w:tc>
          <w:tcPr>
            <w:tcW w:w="1523" w:type="dxa"/>
            <w:vAlign w:val="center"/>
          </w:tcPr>
          <w:p w:rsidR="00F31B10" w:rsidRPr="00F05892" w:rsidRDefault="00F31B10" w:rsidP="0056662A">
            <w:pPr>
              <w:spacing w:after="0" w:line="240" w:lineRule="auto"/>
              <w:jc w:val="center"/>
              <w:rPr>
                <w:rFonts w:eastAsia="Times New Roman"/>
                <w:color w:val="000000"/>
                <w:sz w:val="20"/>
                <w:szCs w:val="20"/>
              </w:rPr>
            </w:pPr>
            <w:r w:rsidRPr="00F05892">
              <w:rPr>
                <w:rFonts w:eastAsia="Times New Roman"/>
                <w:color w:val="000000"/>
                <w:sz w:val="20"/>
                <w:szCs w:val="20"/>
              </w:rPr>
              <w:t>45.9%</w:t>
            </w:r>
          </w:p>
        </w:tc>
      </w:tr>
      <w:tr w:rsidR="00F31B10" w:rsidTr="0056662A">
        <w:trPr>
          <w:trHeight w:val="677"/>
        </w:trPr>
        <w:tc>
          <w:tcPr>
            <w:tcW w:w="1471" w:type="dxa"/>
            <w:vAlign w:val="bottom"/>
          </w:tcPr>
          <w:p w:rsidR="00F31B10" w:rsidRPr="00F05892" w:rsidRDefault="00F31B10" w:rsidP="0056662A">
            <w:pPr>
              <w:spacing w:after="0" w:line="240" w:lineRule="auto"/>
              <w:rPr>
                <w:rFonts w:eastAsia="Times New Roman"/>
                <w:color w:val="000000"/>
                <w:sz w:val="20"/>
                <w:szCs w:val="20"/>
              </w:rPr>
            </w:pPr>
            <w:r w:rsidRPr="00F05892">
              <w:rPr>
                <w:rFonts w:eastAsia="Times New Roman"/>
                <w:color w:val="000000"/>
                <w:sz w:val="20"/>
                <w:szCs w:val="20"/>
              </w:rPr>
              <w:t>Укупно додељен износ</w:t>
            </w:r>
          </w:p>
        </w:tc>
        <w:tc>
          <w:tcPr>
            <w:tcW w:w="1523" w:type="dxa"/>
            <w:vAlign w:val="center"/>
          </w:tcPr>
          <w:p w:rsidR="00F31B10" w:rsidRPr="00F05892" w:rsidRDefault="00F31B10" w:rsidP="0056662A">
            <w:pPr>
              <w:spacing w:after="0" w:line="240" w:lineRule="auto"/>
              <w:rPr>
                <w:rFonts w:eastAsia="Times New Roman"/>
                <w:sz w:val="20"/>
                <w:szCs w:val="20"/>
              </w:rPr>
            </w:pPr>
            <w:r w:rsidRPr="00F05892">
              <w:rPr>
                <w:rFonts w:eastAsia="Times New Roman"/>
                <w:sz w:val="20"/>
                <w:szCs w:val="20"/>
              </w:rPr>
              <w:t xml:space="preserve"> 15</w:t>
            </w:r>
            <w:r>
              <w:rPr>
                <w:rFonts w:eastAsia="Times New Roman"/>
                <w:sz w:val="20"/>
                <w:szCs w:val="20"/>
                <w:lang w:val="sr-Cyrl-RS"/>
              </w:rPr>
              <w:t>.</w:t>
            </w:r>
            <w:r w:rsidRPr="00F05892">
              <w:rPr>
                <w:rFonts w:eastAsia="Times New Roman"/>
                <w:sz w:val="20"/>
                <w:szCs w:val="20"/>
              </w:rPr>
              <w:t>640</w:t>
            </w:r>
            <w:r>
              <w:rPr>
                <w:rFonts w:eastAsia="Times New Roman"/>
                <w:sz w:val="20"/>
                <w:szCs w:val="20"/>
                <w:lang w:val="sr-Cyrl-RS"/>
              </w:rPr>
              <w:t>.</w:t>
            </w:r>
            <w:r w:rsidRPr="00F05892">
              <w:rPr>
                <w:rFonts w:eastAsia="Times New Roman"/>
                <w:sz w:val="20"/>
                <w:szCs w:val="20"/>
              </w:rPr>
              <w:t>000</w:t>
            </w:r>
            <w:r>
              <w:rPr>
                <w:rFonts w:eastAsia="Times New Roman"/>
                <w:sz w:val="20"/>
                <w:szCs w:val="20"/>
                <w:lang w:val="sr-Cyrl-RS"/>
              </w:rPr>
              <w:t>,</w:t>
            </w:r>
            <w:r w:rsidRPr="00F05892">
              <w:rPr>
                <w:rFonts w:eastAsia="Times New Roman"/>
                <w:sz w:val="20"/>
                <w:szCs w:val="20"/>
              </w:rPr>
              <w:t xml:space="preserve">00 </w:t>
            </w:r>
          </w:p>
        </w:tc>
        <w:tc>
          <w:tcPr>
            <w:tcW w:w="1523" w:type="dxa"/>
            <w:vAlign w:val="center"/>
          </w:tcPr>
          <w:p w:rsidR="00F31B10" w:rsidRPr="00F05892" w:rsidRDefault="00F31B10" w:rsidP="0056662A">
            <w:pPr>
              <w:spacing w:after="0" w:line="240" w:lineRule="auto"/>
              <w:rPr>
                <w:rFonts w:eastAsia="Times New Roman"/>
                <w:sz w:val="20"/>
                <w:szCs w:val="20"/>
              </w:rPr>
            </w:pPr>
            <w:r w:rsidRPr="00F05892">
              <w:rPr>
                <w:rFonts w:eastAsia="Times New Roman"/>
                <w:sz w:val="20"/>
                <w:szCs w:val="20"/>
              </w:rPr>
              <w:t xml:space="preserve"> 15</w:t>
            </w:r>
            <w:r>
              <w:rPr>
                <w:rFonts w:eastAsia="Times New Roman"/>
                <w:sz w:val="20"/>
                <w:szCs w:val="20"/>
                <w:lang w:val="sr-Cyrl-RS"/>
              </w:rPr>
              <w:t>.</w:t>
            </w:r>
            <w:r w:rsidRPr="00F05892">
              <w:rPr>
                <w:rFonts w:eastAsia="Times New Roman"/>
                <w:sz w:val="20"/>
                <w:szCs w:val="20"/>
              </w:rPr>
              <w:t>380</w:t>
            </w:r>
            <w:r>
              <w:rPr>
                <w:rFonts w:eastAsia="Times New Roman"/>
                <w:sz w:val="20"/>
                <w:szCs w:val="20"/>
                <w:lang w:val="sr-Cyrl-RS"/>
              </w:rPr>
              <w:t>.</w:t>
            </w:r>
            <w:r w:rsidRPr="00F05892">
              <w:rPr>
                <w:rFonts w:eastAsia="Times New Roman"/>
                <w:sz w:val="20"/>
                <w:szCs w:val="20"/>
              </w:rPr>
              <w:t>000</w:t>
            </w:r>
            <w:r>
              <w:rPr>
                <w:rFonts w:eastAsia="Times New Roman"/>
                <w:sz w:val="20"/>
                <w:szCs w:val="20"/>
                <w:lang w:val="sr-Cyrl-RS"/>
              </w:rPr>
              <w:t>,</w:t>
            </w:r>
            <w:r w:rsidRPr="00F05892">
              <w:rPr>
                <w:rFonts w:eastAsia="Times New Roman"/>
                <w:sz w:val="20"/>
                <w:szCs w:val="20"/>
              </w:rPr>
              <w:t xml:space="preserve">00 </w:t>
            </w:r>
          </w:p>
        </w:tc>
        <w:tc>
          <w:tcPr>
            <w:tcW w:w="1523" w:type="dxa"/>
            <w:vAlign w:val="center"/>
          </w:tcPr>
          <w:p w:rsidR="00F31B10" w:rsidRPr="00F05892" w:rsidRDefault="00F31B10" w:rsidP="0056662A">
            <w:pPr>
              <w:spacing w:after="0" w:line="240" w:lineRule="auto"/>
              <w:jc w:val="center"/>
              <w:rPr>
                <w:rFonts w:eastAsia="Times New Roman"/>
                <w:sz w:val="20"/>
                <w:szCs w:val="20"/>
              </w:rPr>
            </w:pPr>
            <w:r w:rsidRPr="00F05892">
              <w:rPr>
                <w:rFonts w:eastAsia="Times New Roman"/>
                <w:sz w:val="20"/>
                <w:szCs w:val="20"/>
              </w:rPr>
              <w:t xml:space="preserve"> 16</w:t>
            </w:r>
            <w:r>
              <w:rPr>
                <w:rFonts w:eastAsia="Times New Roman"/>
                <w:sz w:val="20"/>
                <w:szCs w:val="20"/>
                <w:lang w:val="sr-Cyrl-RS"/>
              </w:rPr>
              <w:t>.</w:t>
            </w:r>
            <w:r w:rsidRPr="00F05892">
              <w:rPr>
                <w:rFonts w:eastAsia="Times New Roman"/>
                <w:sz w:val="20"/>
                <w:szCs w:val="20"/>
              </w:rPr>
              <w:t>558</w:t>
            </w:r>
            <w:r>
              <w:rPr>
                <w:rFonts w:eastAsia="Times New Roman"/>
                <w:sz w:val="20"/>
                <w:szCs w:val="20"/>
                <w:lang w:val="sr-Cyrl-RS"/>
              </w:rPr>
              <w:t>.</w:t>
            </w:r>
            <w:r w:rsidRPr="00F05892">
              <w:rPr>
                <w:rFonts w:eastAsia="Times New Roman"/>
                <w:sz w:val="20"/>
                <w:szCs w:val="20"/>
              </w:rPr>
              <w:t>000</w:t>
            </w:r>
            <w:r>
              <w:rPr>
                <w:rFonts w:eastAsia="Times New Roman"/>
                <w:sz w:val="20"/>
                <w:szCs w:val="20"/>
                <w:lang w:val="sr-Cyrl-RS"/>
              </w:rPr>
              <w:t>,</w:t>
            </w:r>
            <w:r w:rsidRPr="00F05892">
              <w:rPr>
                <w:rFonts w:eastAsia="Times New Roman"/>
                <w:sz w:val="20"/>
                <w:szCs w:val="20"/>
              </w:rPr>
              <w:t xml:space="preserve">00 </w:t>
            </w:r>
          </w:p>
        </w:tc>
        <w:tc>
          <w:tcPr>
            <w:tcW w:w="1523" w:type="dxa"/>
            <w:vAlign w:val="center"/>
          </w:tcPr>
          <w:p w:rsidR="00F31B10" w:rsidRPr="00F05892" w:rsidRDefault="00F31B10" w:rsidP="0056662A">
            <w:pPr>
              <w:spacing w:after="0" w:line="240" w:lineRule="auto"/>
              <w:rPr>
                <w:rFonts w:eastAsia="Times New Roman"/>
                <w:color w:val="000000"/>
                <w:sz w:val="20"/>
                <w:szCs w:val="20"/>
              </w:rPr>
            </w:pPr>
            <w:r w:rsidRPr="00F05892">
              <w:rPr>
                <w:rFonts w:eastAsia="Times New Roman"/>
                <w:color w:val="000000"/>
                <w:sz w:val="20"/>
                <w:szCs w:val="20"/>
              </w:rPr>
              <w:t xml:space="preserve">   15</w:t>
            </w:r>
            <w:r>
              <w:rPr>
                <w:rFonts w:eastAsia="Times New Roman"/>
                <w:color w:val="000000"/>
                <w:sz w:val="20"/>
                <w:szCs w:val="20"/>
                <w:lang w:val="sr-Cyrl-RS"/>
              </w:rPr>
              <w:t>.</w:t>
            </w:r>
            <w:r w:rsidRPr="00F05892">
              <w:rPr>
                <w:rFonts w:eastAsia="Times New Roman"/>
                <w:color w:val="000000"/>
                <w:sz w:val="20"/>
                <w:szCs w:val="20"/>
              </w:rPr>
              <w:t>550</w:t>
            </w:r>
            <w:r>
              <w:rPr>
                <w:rFonts w:eastAsia="Times New Roman"/>
                <w:color w:val="000000"/>
                <w:sz w:val="20"/>
                <w:szCs w:val="20"/>
                <w:lang w:val="sr-Cyrl-RS"/>
              </w:rPr>
              <w:t>.</w:t>
            </w:r>
            <w:r w:rsidRPr="00F05892">
              <w:rPr>
                <w:rFonts w:eastAsia="Times New Roman"/>
                <w:color w:val="000000"/>
                <w:sz w:val="20"/>
                <w:szCs w:val="20"/>
              </w:rPr>
              <w:t>000</w:t>
            </w:r>
            <w:r>
              <w:rPr>
                <w:rFonts w:eastAsia="Times New Roman"/>
                <w:color w:val="000000"/>
                <w:sz w:val="20"/>
                <w:szCs w:val="20"/>
                <w:lang w:val="sr-Cyrl-RS"/>
              </w:rPr>
              <w:t>,</w:t>
            </w:r>
            <w:r w:rsidRPr="00F05892">
              <w:rPr>
                <w:rFonts w:eastAsia="Times New Roman"/>
                <w:color w:val="000000"/>
                <w:sz w:val="20"/>
                <w:szCs w:val="20"/>
              </w:rPr>
              <w:t xml:space="preserve">00 </w:t>
            </w:r>
          </w:p>
        </w:tc>
        <w:tc>
          <w:tcPr>
            <w:tcW w:w="1523" w:type="dxa"/>
            <w:vAlign w:val="center"/>
          </w:tcPr>
          <w:p w:rsidR="00F31B10" w:rsidRPr="00F05892" w:rsidRDefault="00F31B10" w:rsidP="0056662A">
            <w:pPr>
              <w:spacing w:after="0" w:line="240" w:lineRule="auto"/>
              <w:jc w:val="center"/>
              <w:rPr>
                <w:rFonts w:eastAsia="Times New Roman"/>
                <w:color w:val="000000"/>
                <w:sz w:val="20"/>
                <w:szCs w:val="20"/>
              </w:rPr>
            </w:pPr>
            <w:r w:rsidRPr="00F05892">
              <w:rPr>
                <w:rFonts w:eastAsia="Times New Roman"/>
                <w:color w:val="000000"/>
                <w:sz w:val="20"/>
                <w:szCs w:val="20"/>
              </w:rPr>
              <w:t xml:space="preserve">  17</w:t>
            </w:r>
            <w:r>
              <w:rPr>
                <w:rFonts w:eastAsia="Times New Roman"/>
                <w:color w:val="000000"/>
                <w:sz w:val="20"/>
                <w:szCs w:val="20"/>
                <w:lang w:val="sr-Cyrl-RS"/>
              </w:rPr>
              <w:t>.</w:t>
            </w:r>
            <w:r>
              <w:rPr>
                <w:rFonts w:eastAsia="Times New Roman"/>
                <w:color w:val="000000"/>
                <w:sz w:val="20"/>
                <w:szCs w:val="20"/>
              </w:rPr>
              <w:t>000.</w:t>
            </w:r>
            <w:r w:rsidRPr="00F05892">
              <w:rPr>
                <w:rFonts w:eastAsia="Times New Roman"/>
                <w:color w:val="000000"/>
                <w:sz w:val="20"/>
                <w:szCs w:val="20"/>
              </w:rPr>
              <w:t>000</w:t>
            </w:r>
            <w:r>
              <w:rPr>
                <w:rFonts w:eastAsia="Times New Roman"/>
                <w:color w:val="000000"/>
                <w:sz w:val="20"/>
                <w:szCs w:val="20"/>
                <w:lang w:val="sr-Cyrl-RS"/>
              </w:rPr>
              <w:t>,</w:t>
            </w:r>
            <w:r w:rsidRPr="00F05892">
              <w:rPr>
                <w:rFonts w:eastAsia="Times New Roman"/>
                <w:color w:val="000000"/>
                <w:sz w:val="20"/>
                <w:szCs w:val="20"/>
              </w:rPr>
              <w:t xml:space="preserve">00 </w:t>
            </w:r>
          </w:p>
        </w:tc>
      </w:tr>
    </w:tbl>
    <w:p w:rsidR="00F31B10" w:rsidRDefault="00F31B10" w:rsidP="00F31B10">
      <w:pPr>
        <w:spacing w:after="0"/>
        <w:jc w:val="both"/>
        <w:rPr>
          <w:sz w:val="24"/>
          <w:szCs w:val="24"/>
          <w:lang w:val="sr-Cyrl-RS"/>
        </w:rPr>
      </w:pPr>
    </w:p>
    <w:p w:rsidR="00F31B10" w:rsidRDefault="00F31B10" w:rsidP="00F31B10">
      <w:pPr>
        <w:spacing w:after="0"/>
        <w:ind w:firstLine="720"/>
        <w:jc w:val="both"/>
        <w:rPr>
          <w:sz w:val="24"/>
          <w:szCs w:val="24"/>
          <w:lang w:val="sr-Cyrl-RS"/>
        </w:rPr>
      </w:pPr>
      <w:r w:rsidRPr="008F0309">
        <w:rPr>
          <w:sz w:val="24"/>
          <w:szCs w:val="24"/>
          <w:lang w:val="sr-Cyrl-RS"/>
        </w:rPr>
        <w:t>Статистика приказана у табели која следи показује износе додељених сре</w:t>
      </w:r>
      <w:r>
        <w:rPr>
          <w:sz w:val="24"/>
          <w:szCs w:val="24"/>
          <w:lang w:val="sr-Cyrl-RS"/>
        </w:rPr>
        <w:t>дстава по појединачним мањинама</w:t>
      </w:r>
      <w:r w:rsidR="00510FA0">
        <w:rPr>
          <w:sz w:val="24"/>
          <w:szCs w:val="24"/>
          <w:lang w:val="sr-Cyrl-RS"/>
        </w:rPr>
        <w:t xml:space="preserve"> на </w:t>
      </w:r>
      <w:r w:rsidR="00510FA0" w:rsidRPr="00510FA0">
        <w:rPr>
          <w:sz w:val="24"/>
          <w:szCs w:val="24"/>
          <w:lang w:val="sr-Cyrl-RS"/>
        </w:rPr>
        <w:t>специјализованим конкурсима за суфинансирање културне делатности националних мањина</w:t>
      </w:r>
      <w:r>
        <w:rPr>
          <w:sz w:val="24"/>
          <w:szCs w:val="24"/>
          <w:lang w:val="sr-Cyrl-RS"/>
        </w:rPr>
        <w:t>.</w:t>
      </w:r>
    </w:p>
    <w:p w:rsidR="00F31B10" w:rsidRDefault="00F31B10" w:rsidP="00F31B10">
      <w:pPr>
        <w:spacing w:after="0"/>
        <w:ind w:firstLine="720"/>
        <w:jc w:val="both"/>
        <w:rPr>
          <w:sz w:val="24"/>
          <w:szCs w:val="24"/>
          <w:lang w:val="sr-Cyrl-RS"/>
        </w:rPr>
      </w:pPr>
    </w:p>
    <w:tbl>
      <w:tblPr>
        <w:tblStyle w:val="TableGrid"/>
        <w:tblW w:w="0" w:type="auto"/>
        <w:tblLook w:val="04A0" w:firstRow="1" w:lastRow="0" w:firstColumn="1" w:lastColumn="0" w:noHBand="0" w:noVBand="1"/>
      </w:tblPr>
      <w:tblGrid>
        <w:gridCol w:w="2193"/>
        <w:gridCol w:w="1266"/>
        <w:gridCol w:w="1385"/>
        <w:gridCol w:w="1385"/>
        <w:gridCol w:w="1385"/>
        <w:gridCol w:w="1266"/>
      </w:tblGrid>
      <w:tr w:rsidR="00F31B10" w:rsidRPr="00B5055B" w:rsidTr="0056662A">
        <w:tc>
          <w:tcPr>
            <w:tcW w:w="2193" w:type="dxa"/>
          </w:tcPr>
          <w:p w:rsidR="00F31B10" w:rsidRPr="00B5055B" w:rsidRDefault="00F31B10" w:rsidP="0056662A">
            <w:pPr>
              <w:spacing w:after="0"/>
              <w:jc w:val="both"/>
              <w:rPr>
                <w:sz w:val="20"/>
                <w:szCs w:val="20"/>
                <w:lang w:val="sr-Cyrl-RS"/>
              </w:rPr>
            </w:pPr>
            <w:r>
              <w:rPr>
                <w:sz w:val="20"/>
                <w:szCs w:val="20"/>
                <w:lang w:val="sr-Cyrl-RS"/>
              </w:rPr>
              <w:t>Национална м</w:t>
            </w:r>
            <w:r w:rsidRPr="00B5055B">
              <w:rPr>
                <w:sz w:val="20"/>
                <w:szCs w:val="20"/>
                <w:lang w:val="sr-Cyrl-RS"/>
              </w:rPr>
              <w:t>ањина</w:t>
            </w:r>
          </w:p>
        </w:tc>
        <w:tc>
          <w:tcPr>
            <w:tcW w:w="1266" w:type="dxa"/>
            <w:vAlign w:val="bottom"/>
          </w:tcPr>
          <w:p w:rsidR="00F31B10" w:rsidRPr="00B5055B" w:rsidRDefault="00F31B10" w:rsidP="0056662A">
            <w:pPr>
              <w:spacing w:after="0"/>
              <w:jc w:val="center"/>
              <w:rPr>
                <w:rFonts w:eastAsia="Times New Roman"/>
                <w:color w:val="000000"/>
                <w:sz w:val="20"/>
                <w:szCs w:val="20"/>
              </w:rPr>
            </w:pPr>
            <w:r w:rsidRPr="00B5055B">
              <w:rPr>
                <w:rFonts w:eastAsia="Times New Roman"/>
                <w:color w:val="000000"/>
                <w:sz w:val="20"/>
                <w:szCs w:val="20"/>
              </w:rPr>
              <w:t>2017.</w:t>
            </w:r>
          </w:p>
        </w:tc>
        <w:tc>
          <w:tcPr>
            <w:tcW w:w="1385" w:type="dxa"/>
            <w:vAlign w:val="bottom"/>
          </w:tcPr>
          <w:p w:rsidR="00F31B10" w:rsidRPr="00B5055B" w:rsidRDefault="00F31B10" w:rsidP="0056662A">
            <w:pPr>
              <w:spacing w:after="0"/>
              <w:jc w:val="center"/>
              <w:rPr>
                <w:rFonts w:eastAsia="Times New Roman"/>
                <w:color w:val="000000"/>
                <w:sz w:val="20"/>
                <w:szCs w:val="20"/>
              </w:rPr>
            </w:pPr>
            <w:r w:rsidRPr="00B5055B">
              <w:rPr>
                <w:rFonts w:eastAsia="Times New Roman"/>
                <w:color w:val="000000"/>
                <w:sz w:val="20"/>
                <w:szCs w:val="20"/>
              </w:rPr>
              <w:t>2018.</w:t>
            </w:r>
          </w:p>
        </w:tc>
        <w:tc>
          <w:tcPr>
            <w:tcW w:w="1385" w:type="dxa"/>
            <w:vAlign w:val="bottom"/>
          </w:tcPr>
          <w:p w:rsidR="00F31B10" w:rsidRPr="00B5055B" w:rsidRDefault="00F31B10" w:rsidP="0056662A">
            <w:pPr>
              <w:spacing w:after="0"/>
              <w:jc w:val="center"/>
              <w:rPr>
                <w:rFonts w:eastAsia="Times New Roman"/>
                <w:color w:val="000000"/>
                <w:sz w:val="20"/>
                <w:szCs w:val="20"/>
              </w:rPr>
            </w:pPr>
            <w:r w:rsidRPr="00B5055B">
              <w:rPr>
                <w:rFonts w:eastAsia="Times New Roman"/>
                <w:color w:val="000000"/>
                <w:sz w:val="20"/>
                <w:szCs w:val="20"/>
              </w:rPr>
              <w:t>2019.</w:t>
            </w:r>
          </w:p>
        </w:tc>
        <w:tc>
          <w:tcPr>
            <w:tcW w:w="1385" w:type="dxa"/>
            <w:vAlign w:val="bottom"/>
          </w:tcPr>
          <w:p w:rsidR="00F31B10" w:rsidRPr="00B5055B" w:rsidRDefault="00F31B10" w:rsidP="0056662A">
            <w:pPr>
              <w:spacing w:after="0"/>
              <w:jc w:val="center"/>
              <w:rPr>
                <w:rFonts w:eastAsia="Times New Roman"/>
                <w:color w:val="000000"/>
                <w:sz w:val="20"/>
                <w:szCs w:val="20"/>
              </w:rPr>
            </w:pPr>
            <w:r w:rsidRPr="00B5055B">
              <w:rPr>
                <w:rFonts w:eastAsia="Times New Roman"/>
                <w:color w:val="000000"/>
                <w:sz w:val="20"/>
                <w:szCs w:val="20"/>
              </w:rPr>
              <w:t>2020.</w:t>
            </w:r>
          </w:p>
        </w:tc>
        <w:tc>
          <w:tcPr>
            <w:tcW w:w="1266" w:type="dxa"/>
            <w:vAlign w:val="bottom"/>
          </w:tcPr>
          <w:p w:rsidR="00F31B10" w:rsidRPr="00B5055B" w:rsidRDefault="00F31B10" w:rsidP="0056662A">
            <w:pPr>
              <w:spacing w:after="0"/>
              <w:jc w:val="center"/>
              <w:rPr>
                <w:rFonts w:eastAsia="Times New Roman"/>
                <w:color w:val="000000"/>
                <w:sz w:val="20"/>
                <w:szCs w:val="20"/>
              </w:rPr>
            </w:pPr>
            <w:r w:rsidRPr="00B5055B">
              <w:rPr>
                <w:rFonts w:eastAsia="Times New Roman"/>
                <w:color w:val="000000"/>
                <w:sz w:val="20"/>
                <w:szCs w:val="20"/>
              </w:rPr>
              <w:t>2021.</w:t>
            </w:r>
          </w:p>
        </w:tc>
      </w:tr>
      <w:tr w:rsidR="00F31B10" w:rsidRPr="00B5055B" w:rsidTr="0056662A">
        <w:tc>
          <w:tcPr>
            <w:tcW w:w="2193" w:type="dxa"/>
          </w:tcPr>
          <w:p w:rsidR="00F31B10" w:rsidRPr="00B5055B" w:rsidRDefault="00F31B10" w:rsidP="0056662A">
            <w:pPr>
              <w:spacing w:after="0"/>
              <w:rPr>
                <w:sz w:val="20"/>
                <w:szCs w:val="20"/>
              </w:rPr>
            </w:pPr>
            <w:r w:rsidRPr="00B5055B">
              <w:rPr>
                <w:sz w:val="20"/>
                <w:szCs w:val="20"/>
              </w:rPr>
              <w:t>Албанци</w:t>
            </w:r>
          </w:p>
        </w:tc>
        <w:tc>
          <w:tcPr>
            <w:tcW w:w="1266" w:type="dxa"/>
            <w:vAlign w:val="bottom"/>
          </w:tcPr>
          <w:p w:rsidR="00F31B10" w:rsidRPr="00B5055B" w:rsidRDefault="00F31B10" w:rsidP="0056662A">
            <w:pPr>
              <w:spacing w:after="0"/>
              <w:jc w:val="center"/>
              <w:rPr>
                <w:rFonts w:eastAsia="Times New Roman"/>
                <w:color w:val="000000"/>
                <w:sz w:val="20"/>
                <w:szCs w:val="20"/>
              </w:rPr>
            </w:pPr>
            <w:r w:rsidRPr="00B5055B">
              <w:rPr>
                <w:rFonts w:eastAsia="Times New Roman"/>
                <w:color w:val="000000"/>
                <w:sz w:val="20"/>
                <w:szCs w:val="20"/>
              </w:rPr>
              <w:t>440</w:t>
            </w:r>
            <w:r w:rsidRPr="00B5055B">
              <w:rPr>
                <w:rFonts w:eastAsia="Times New Roman"/>
                <w:color w:val="000000"/>
                <w:sz w:val="20"/>
                <w:szCs w:val="20"/>
                <w:lang w:val="sr-Cyrl-RS"/>
              </w:rPr>
              <w:t>.</w:t>
            </w:r>
            <w:r w:rsidRPr="00B5055B">
              <w:rPr>
                <w:rFonts w:eastAsia="Times New Roman"/>
                <w:color w:val="000000"/>
                <w:sz w:val="20"/>
                <w:szCs w:val="20"/>
              </w:rPr>
              <w:t>000</w:t>
            </w:r>
            <w:r w:rsidRPr="00B5055B">
              <w:rPr>
                <w:rFonts w:eastAsia="Times New Roman"/>
                <w:color w:val="000000"/>
                <w:sz w:val="20"/>
                <w:szCs w:val="20"/>
                <w:lang w:val="sr-Cyrl-RS"/>
              </w:rPr>
              <w:t>,</w:t>
            </w:r>
            <w:r w:rsidRPr="00B5055B">
              <w:rPr>
                <w:rFonts w:eastAsia="Times New Roman"/>
                <w:color w:val="000000"/>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sidRPr="00B5055B">
              <w:rPr>
                <w:rFonts w:eastAsia="Times New Roman"/>
                <w:sz w:val="20"/>
                <w:szCs w:val="20"/>
              </w:rPr>
              <w:t>480</w:t>
            </w:r>
            <w:r>
              <w:rPr>
                <w:rFonts w:eastAsia="Times New Roman"/>
                <w:sz w:val="20"/>
                <w:szCs w:val="20"/>
                <w:lang w:val="sr-Cyrl-RS"/>
              </w:rPr>
              <w:t>.</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sidRPr="00B5055B">
              <w:rPr>
                <w:rFonts w:eastAsia="Times New Roman"/>
                <w:sz w:val="20"/>
                <w:szCs w:val="20"/>
              </w:rPr>
              <w:t>480</w:t>
            </w:r>
            <w:r>
              <w:rPr>
                <w:rFonts w:eastAsia="Times New Roman"/>
                <w:sz w:val="20"/>
                <w:szCs w:val="20"/>
                <w:lang w:val="sr-Cyrl-RS"/>
              </w:rPr>
              <w:t>.</w:t>
            </w:r>
            <w:r>
              <w:rPr>
                <w:rFonts w:eastAsia="Times New Roman"/>
                <w:sz w:val="20"/>
                <w:szCs w:val="20"/>
              </w:rPr>
              <w:t>000,</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sidRPr="00B5055B">
              <w:rPr>
                <w:rFonts w:eastAsia="Times New Roman"/>
                <w:sz w:val="20"/>
                <w:szCs w:val="20"/>
              </w:rPr>
              <w:t>600</w:t>
            </w:r>
            <w:r>
              <w:rPr>
                <w:rFonts w:eastAsia="Times New Roman"/>
                <w:sz w:val="20"/>
                <w:szCs w:val="20"/>
                <w:lang w:val="sr-Cyrl-RS"/>
              </w:rPr>
              <w:t>.</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c>
          <w:tcPr>
            <w:tcW w:w="1266" w:type="dxa"/>
            <w:vAlign w:val="bottom"/>
          </w:tcPr>
          <w:p w:rsidR="00F31B10" w:rsidRPr="00B5055B" w:rsidRDefault="00F31B10" w:rsidP="0056662A">
            <w:pPr>
              <w:spacing w:after="0"/>
              <w:jc w:val="center"/>
              <w:rPr>
                <w:rFonts w:eastAsia="Times New Roman"/>
                <w:sz w:val="20"/>
                <w:szCs w:val="20"/>
              </w:rPr>
            </w:pPr>
            <w:r w:rsidRPr="00B5055B">
              <w:rPr>
                <w:rFonts w:eastAsia="Times New Roman"/>
                <w:sz w:val="20"/>
                <w:szCs w:val="20"/>
              </w:rPr>
              <w:t>720</w:t>
            </w:r>
            <w:r>
              <w:rPr>
                <w:rFonts w:eastAsia="Times New Roman"/>
                <w:sz w:val="20"/>
                <w:szCs w:val="20"/>
                <w:lang w:val="sr-Cyrl-RS"/>
              </w:rPr>
              <w:t>.</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r>
      <w:tr w:rsidR="00F31B10" w:rsidRPr="00B5055B" w:rsidTr="0056662A">
        <w:tc>
          <w:tcPr>
            <w:tcW w:w="2193" w:type="dxa"/>
          </w:tcPr>
          <w:p w:rsidR="00F31B10" w:rsidRPr="00B5055B" w:rsidRDefault="00F31B10" w:rsidP="0056662A">
            <w:pPr>
              <w:spacing w:after="0"/>
              <w:rPr>
                <w:sz w:val="20"/>
                <w:szCs w:val="20"/>
              </w:rPr>
            </w:pPr>
            <w:r w:rsidRPr="00B5055B">
              <w:rPr>
                <w:sz w:val="20"/>
                <w:szCs w:val="20"/>
              </w:rPr>
              <w:t>Бошњаци</w:t>
            </w:r>
          </w:p>
        </w:tc>
        <w:tc>
          <w:tcPr>
            <w:tcW w:w="1266" w:type="dxa"/>
            <w:vAlign w:val="bottom"/>
          </w:tcPr>
          <w:p w:rsidR="00F31B10" w:rsidRPr="00B5055B" w:rsidRDefault="00F31B10" w:rsidP="0056662A">
            <w:pPr>
              <w:spacing w:after="0"/>
              <w:jc w:val="center"/>
              <w:rPr>
                <w:rFonts w:eastAsia="Times New Roman"/>
                <w:color w:val="000000"/>
                <w:sz w:val="20"/>
                <w:szCs w:val="20"/>
              </w:rPr>
            </w:pPr>
            <w:r w:rsidRPr="00B5055B">
              <w:rPr>
                <w:rFonts w:eastAsia="Times New Roman"/>
                <w:color w:val="000000"/>
                <w:sz w:val="20"/>
                <w:szCs w:val="20"/>
              </w:rPr>
              <w:t>2.040</w:t>
            </w:r>
            <w:r w:rsidRPr="00B5055B">
              <w:rPr>
                <w:rFonts w:eastAsia="Times New Roman"/>
                <w:color w:val="000000"/>
                <w:sz w:val="20"/>
                <w:szCs w:val="20"/>
                <w:lang w:val="sr-Cyrl-RS"/>
              </w:rPr>
              <w:t>.</w:t>
            </w:r>
            <w:r w:rsidRPr="00B5055B">
              <w:rPr>
                <w:rFonts w:eastAsia="Times New Roman"/>
                <w:color w:val="000000"/>
                <w:sz w:val="20"/>
                <w:szCs w:val="20"/>
              </w:rPr>
              <w:t>000</w:t>
            </w:r>
            <w:r w:rsidRPr="00B5055B">
              <w:rPr>
                <w:rFonts w:eastAsia="Times New Roman"/>
                <w:color w:val="000000"/>
                <w:sz w:val="20"/>
                <w:szCs w:val="20"/>
                <w:lang w:val="sr-Cyrl-RS"/>
              </w:rPr>
              <w:t>,</w:t>
            </w:r>
            <w:r w:rsidRPr="00B5055B">
              <w:rPr>
                <w:rFonts w:eastAsia="Times New Roman"/>
                <w:color w:val="000000"/>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2.391.</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2.312.000,</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2.370.000,</w:t>
            </w:r>
            <w:r w:rsidRPr="00B5055B">
              <w:rPr>
                <w:rFonts w:eastAsia="Times New Roman"/>
                <w:sz w:val="20"/>
                <w:szCs w:val="20"/>
              </w:rPr>
              <w:t>00</w:t>
            </w:r>
          </w:p>
        </w:tc>
        <w:tc>
          <w:tcPr>
            <w:tcW w:w="1266"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2.600.</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r>
      <w:tr w:rsidR="00F31B10" w:rsidRPr="00B5055B" w:rsidTr="0056662A">
        <w:tc>
          <w:tcPr>
            <w:tcW w:w="2193" w:type="dxa"/>
          </w:tcPr>
          <w:p w:rsidR="00F31B10" w:rsidRPr="00B5055B" w:rsidRDefault="00F31B10" w:rsidP="0056662A">
            <w:pPr>
              <w:spacing w:after="0"/>
              <w:rPr>
                <w:sz w:val="20"/>
                <w:szCs w:val="20"/>
              </w:rPr>
            </w:pPr>
            <w:r w:rsidRPr="00B5055B">
              <w:rPr>
                <w:sz w:val="20"/>
                <w:szCs w:val="20"/>
              </w:rPr>
              <w:lastRenderedPageBreak/>
              <w:t>Бугари</w:t>
            </w:r>
          </w:p>
        </w:tc>
        <w:tc>
          <w:tcPr>
            <w:tcW w:w="1266" w:type="dxa"/>
            <w:vAlign w:val="bottom"/>
          </w:tcPr>
          <w:p w:rsidR="00F31B10" w:rsidRPr="00B5055B" w:rsidRDefault="00F31B10" w:rsidP="0056662A">
            <w:pPr>
              <w:spacing w:after="0"/>
              <w:jc w:val="center"/>
              <w:rPr>
                <w:rFonts w:eastAsia="Times New Roman"/>
                <w:color w:val="000000"/>
                <w:sz w:val="20"/>
                <w:szCs w:val="20"/>
              </w:rPr>
            </w:pPr>
            <w:r w:rsidRPr="00B5055B">
              <w:rPr>
                <w:rFonts w:eastAsia="Times New Roman"/>
                <w:color w:val="000000"/>
                <w:sz w:val="20"/>
                <w:szCs w:val="20"/>
              </w:rPr>
              <w:t>550</w:t>
            </w:r>
            <w:r w:rsidRPr="00B5055B">
              <w:rPr>
                <w:rFonts w:eastAsia="Times New Roman"/>
                <w:color w:val="000000"/>
                <w:sz w:val="20"/>
                <w:szCs w:val="20"/>
                <w:lang w:val="sr-Cyrl-RS"/>
              </w:rPr>
              <w:t>.</w:t>
            </w:r>
            <w:r w:rsidRPr="00B5055B">
              <w:rPr>
                <w:rFonts w:eastAsia="Times New Roman"/>
                <w:color w:val="000000"/>
                <w:sz w:val="20"/>
                <w:szCs w:val="20"/>
              </w:rPr>
              <w:t>000</w:t>
            </w:r>
            <w:r w:rsidRPr="00B5055B">
              <w:rPr>
                <w:rFonts w:eastAsia="Times New Roman"/>
                <w:color w:val="000000"/>
                <w:sz w:val="20"/>
                <w:szCs w:val="20"/>
                <w:lang w:val="sr-Cyrl-RS"/>
              </w:rPr>
              <w:t>,</w:t>
            </w:r>
            <w:r w:rsidRPr="00B5055B">
              <w:rPr>
                <w:rFonts w:eastAsia="Times New Roman"/>
                <w:color w:val="000000"/>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610.</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634.000,</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sidRPr="00B5055B">
              <w:rPr>
                <w:rFonts w:eastAsia="Times New Roman"/>
                <w:sz w:val="20"/>
                <w:szCs w:val="20"/>
              </w:rPr>
              <w:t>620</w:t>
            </w:r>
            <w:r>
              <w:rPr>
                <w:rFonts w:eastAsia="Times New Roman"/>
                <w:sz w:val="20"/>
                <w:szCs w:val="20"/>
                <w:lang w:val="sr-Cyrl-RS"/>
              </w:rPr>
              <w:t>.</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c>
          <w:tcPr>
            <w:tcW w:w="1266" w:type="dxa"/>
            <w:vAlign w:val="bottom"/>
          </w:tcPr>
          <w:p w:rsidR="00F31B10" w:rsidRPr="00B5055B" w:rsidRDefault="00F31B10" w:rsidP="0056662A">
            <w:pPr>
              <w:spacing w:after="0"/>
              <w:jc w:val="center"/>
              <w:rPr>
                <w:rFonts w:eastAsia="Times New Roman"/>
                <w:sz w:val="20"/>
                <w:szCs w:val="20"/>
              </w:rPr>
            </w:pPr>
            <w:r w:rsidRPr="00B5055B">
              <w:rPr>
                <w:rFonts w:eastAsia="Times New Roman"/>
                <w:sz w:val="20"/>
                <w:szCs w:val="20"/>
              </w:rPr>
              <w:t>600</w:t>
            </w:r>
            <w:r>
              <w:rPr>
                <w:rFonts w:eastAsia="Times New Roman"/>
                <w:sz w:val="20"/>
                <w:szCs w:val="20"/>
                <w:lang w:val="sr-Cyrl-RS"/>
              </w:rPr>
              <w:t>.</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r>
      <w:tr w:rsidR="00F31B10" w:rsidRPr="00B5055B" w:rsidTr="0056662A">
        <w:tc>
          <w:tcPr>
            <w:tcW w:w="2193" w:type="dxa"/>
          </w:tcPr>
          <w:p w:rsidR="00F31B10" w:rsidRPr="00B5055B" w:rsidRDefault="00F31B10" w:rsidP="0056662A">
            <w:pPr>
              <w:spacing w:after="0"/>
              <w:rPr>
                <w:sz w:val="20"/>
                <w:szCs w:val="20"/>
              </w:rPr>
            </w:pPr>
            <w:r w:rsidRPr="00B5055B">
              <w:rPr>
                <w:sz w:val="20"/>
                <w:szCs w:val="20"/>
              </w:rPr>
              <w:t>Буњевци</w:t>
            </w:r>
          </w:p>
        </w:tc>
        <w:tc>
          <w:tcPr>
            <w:tcW w:w="1266" w:type="dxa"/>
            <w:vAlign w:val="bottom"/>
          </w:tcPr>
          <w:p w:rsidR="00F31B10" w:rsidRPr="00B5055B" w:rsidRDefault="00F31B10" w:rsidP="0056662A">
            <w:pPr>
              <w:spacing w:after="0"/>
              <w:ind w:right="-209"/>
              <w:jc w:val="center"/>
              <w:rPr>
                <w:rFonts w:eastAsia="Times New Roman"/>
                <w:color w:val="000000"/>
                <w:sz w:val="20"/>
                <w:szCs w:val="20"/>
              </w:rPr>
            </w:pPr>
            <w:r w:rsidRPr="00B5055B">
              <w:rPr>
                <w:rFonts w:eastAsia="Times New Roman"/>
                <w:color w:val="000000"/>
                <w:sz w:val="20"/>
                <w:szCs w:val="20"/>
              </w:rPr>
              <w:t>560.000,00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520.000,</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650.000,</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510.000,</w:t>
            </w:r>
            <w:r w:rsidRPr="00B5055B">
              <w:rPr>
                <w:rFonts w:eastAsia="Times New Roman"/>
                <w:sz w:val="20"/>
                <w:szCs w:val="20"/>
              </w:rPr>
              <w:t>00</w:t>
            </w:r>
          </w:p>
        </w:tc>
        <w:tc>
          <w:tcPr>
            <w:tcW w:w="1266"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480.000,</w:t>
            </w:r>
            <w:r w:rsidRPr="00B5055B">
              <w:rPr>
                <w:rFonts w:eastAsia="Times New Roman"/>
                <w:sz w:val="20"/>
                <w:szCs w:val="20"/>
              </w:rPr>
              <w:t>00</w:t>
            </w:r>
          </w:p>
        </w:tc>
      </w:tr>
      <w:tr w:rsidR="00F31B10" w:rsidRPr="00B5055B" w:rsidTr="0056662A">
        <w:tc>
          <w:tcPr>
            <w:tcW w:w="2193" w:type="dxa"/>
          </w:tcPr>
          <w:p w:rsidR="00F31B10" w:rsidRPr="00B5055B" w:rsidRDefault="00F31B10" w:rsidP="0056662A">
            <w:pPr>
              <w:spacing w:after="0"/>
              <w:rPr>
                <w:sz w:val="20"/>
                <w:szCs w:val="20"/>
              </w:rPr>
            </w:pPr>
            <w:r w:rsidRPr="00B5055B">
              <w:rPr>
                <w:sz w:val="20"/>
                <w:szCs w:val="20"/>
              </w:rPr>
              <w:t>Власи</w:t>
            </w:r>
          </w:p>
        </w:tc>
        <w:tc>
          <w:tcPr>
            <w:tcW w:w="1266" w:type="dxa"/>
            <w:vAlign w:val="bottom"/>
          </w:tcPr>
          <w:p w:rsidR="00F31B10" w:rsidRPr="00B5055B" w:rsidRDefault="00F31B10" w:rsidP="0056662A">
            <w:pPr>
              <w:spacing w:after="0"/>
              <w:jc w:val="center"/>
              <w:rPr>
                <w:rFonts w:eastAsia="Times New Roman"/>
                <w:color w:val="000000"/>
                <w:sz w:val="20"/>
                <w:szCs w:val="20"/>
              </w:rPr>
            </w:pPr>
            <w:r w:rsidRPr="00B5055B">
              <w:rPr>
                <w:rFonts w:eastAsia="Times New Roman"/>
                <w:color w:val="000000"/>
                <w:sz w:val="20"/>
                <w:szCs w:val="20"/>
              </w:rPr>
              <w:t>520.000</w:t>
            </w:r>
            <w:r w:rsidRPr="00B5055B">
              <w:rPr>
                <w:rFonts w:eastAsia="Times New Roman"/>
                <w:color w:val="000000"/>
                <w:sz w:val="20"/>
                <w:szCs w:val="20"/>
                <w:lang w:val="sr-Cyrl-RS"/>
              </w:rPr>
              <w:t>,</w:t>
            </w:r>
            <w:r w:rsidRPr="00B5055B">
              <w:rPr>
                <w:rFonts w:eastAsia="Times New Roman"/>
                <w:color w:val="000000"/>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720.</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754.</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sidRPr="00B5055B">
              <w:rPr>
                <w:rFonts w:eastAsia="Times New Roman"/>
                <w:sz w:val="20"/>
                <w:szCs w:val="20"/>
              </w:rPr>
              <w:t>810</w:t>
            </w:r>
            <w:r>
              <w:rPr>
                <w:rFonts w:eastAsia="Times New Roman"/>
                <w:sz w:val="20"/>
                <w:szCs w:val="20"/>
                <w:lang w:val="sr-Cyrl-RS"/>
              </w:rPr>
              <w:t>.</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c>
          <w:tcPr>
            <w:tcW w:w="1266" w:type="dxa"/>
            <w:vAlign w:val="bottom"/>
          </w:tcPr>
          <w:p w:rsidR="00F31B10" w:rsidRPr="00B5055B" w:rsidRDefault="00F31B10" w:rsidP="0056662A">
            <w:pPr>
              <w:spacing w:after="0"/>
              <w:jc w:val="center"/>
              <w:rPr>
                <w:rFonts w:eastAsia="Times New Roman"/>
                <w:sz w:val="20"/>
                <w:szCs w:val="20"/>
              </w:rPr>
            </w:pPr>
            <w:r w:rsidRPr="00B5055B">
              <w:rPr>
                <w:rFonts w:eastAsia="Times New Roman"/>
                <w:sz w:val="20"/>
                <w:szCs w:val="20"/>
              </w:rPr>
              <w:t>360</w:t>
            </w:r>
            <w:r>
              <w:rPr>
                <w:rFonts w:eastAsia="Times New Roman"/>
                <w:sz w:val="20"/>
                <w:szCs w:val="20"/>
                <w:lang w:val="sr-Cyrl-RS"/>
              </w:rPr>
              <w:t>.</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r>
      <w:tr w:rsidR="00F31B10" w:rsidRPr="00B5055B" w:rsidTr="0056662A">
        <w:tc>
          <w:tcPr>
            <w:tcW w:w="2193" w:type="dxa"/>
            <w:vAlign w:val="bottom"/>
          </w:tcPr>
          <w:p w:rsidR="00F31B10" w:rsidRPr="00B5055B" w:rsidRDefault="00F31B10" w:rsidP="0056662A">
            <w:pPr>
              <w:spacing w:after="0"/>
              <w:rPr>
                <w:rFonts w:eastAsia="Times New Roman"/>
                <w:bCs/>
                <w:sz w:val="20"/>
                <w:szCs w:val="20"/>
              </w:rPr>
            </w:pPr>
            <w:r w:rsidRPr="00B5055B">
              <w:rPr>
                <w:rFonts w:eastAsia="Times New Roman"/>
                <w:bCs/>
                <w:sz w:val="20"/>
                <w:szCs w:val="20"/>
                <w:lang w:val="sr-Cyrl-RS"/>
              </w:rPr>
              <w:t>Горанци</w:t>
            </w:r>
            <w:r w:rsidRPr="00B5055B">
              <w:rPr>
                <w:rFonts w:eastAsia="Times New Roman"/>
                <w:bCs/>
                <w:sz w:val="20"/>
                <w:szCs w:val="20"/>
              </w:rPr>
              <w:t xml:space="preserve"> </w:t>
            </w:r>
          </w:p>
        </w:tc>
        <w:tc>
          <w:tcPr>
            <w:tcW w:w="1266" w:type="dxa"/>
            <w:vAlign w:val="bottom"/>
          </w:tcPr>
          <w:p w:rsidR="00F31B10" w:rsidRPr="00B5055B" w:rsidRDefault="00F31B10" w:rsidP="0056662A">
            <w:pPr>
              <w:spacing w:after="0"/>
              <w:jc w:val="center"/>
              <w:rPr>
                <w:rFonts w:eastAsia="Times New Roman"/>
                <w:color w:val="000000"/>
                <w:sz w:val="20"/>
                <w:szCs w:val="20"/>
              </w:rPr>
            </w:pPr>
          </w:p>
        </w:tc>
        <w:tc>
          <w:tcPr>
            <w:tcW w:w="1385" w:type="dxa"/>
            <w:vAlign w:val="bottom"/>
          </w:tcPr>
          <w:p w:rsidR="00F31B10" w:rsidRPr="00B5055B" w:rsidRDefault="00F31B10" w:rsidP="0056662A">
            <w:pPr>
              <w:spacing w:after="0"/>
              <w:jc w:val="center"/>
              <w:rPr>
                <w:rFonts w:eastAsia="Times New Roman"/>
                <w:sz w:val="20"/>
                <w:szCs w:val="20"/>
              </w:rPr>
            </w:pPr>
          </w:p>
        </w:tc>
        <w:tc>
          <w:tcPr>
            <w:tcW w:w="1385" w:type="dxa"/>
            <w:vAlign w:val="bottom"/>
          </w:tcPr>
          <w:p w:rsidR="00F31B10" w:rsidRPr="00B5055B" w:rsidRDefault="00F31B10" w:rsidP="0056662A">
            <w:pPr>
              <w:spacing w:after="0"/>
              <w:jc w:val="center"/>
              <w:rPr>
                <w:rFonts w:eastAsia="Times New Roman"/>
                <w:sz w:val="20"/>
                <w:szCs w:val="20"/>
              </w:rPr>
            </w:pPr>
          </w:p>
        </w:tc>
        <w:tc>
          <w:tcPr>
            <w:tcW w:w="1385" w:type="dxa"/>
            <w:vAlign w:val="bottom"/>
          </w:tcPr>
          <w:p w:rsidR="00F31B10" w:rsidRPr="00B5055B" w:rsidRDefault="00F31B10" w:rsidP="0056662A">
            <w:pPr>
              <w:spacing w:after="0"/>
              <w:jc w:val="center"/>
              <w:rPr>
                <w:rFonts w:eastAsia="Times New Roman"/>
                <w:sz w:val="20"/>
                <w:szCs w:val="20"/>
              </w:rPr>
            </w:pPr>
          </w:p>
        </w:tc>
        <w:tc>
          <w:tcPr>
            <w:tcW w:w="1266"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270.000,</w:t>
            </w:r>
            <w:r w:rsidRPr="00B5055B">
              <w:rPr>
                <w:rFonts w:eastAsia="Times New Roman"/>
                <w:sz w:val="20"/>
                <w:szCs w:val="20"/>
              </w:rPr>
              <w:t>00</w:t>
            </w:r>
          </w:p>
        </w:tc>
      </w:tr>
      <w:tr w:rsidR="00F31B10" w:rsidRPr="00B5055B" w:rsidTr="0056662A">
        <w:tc>
          <w:tcPr>
            <w:tcW w:w="2193" w:type="dxa"/>
          </w:tcPr>
          <w:p w:rsidR="00F31B10" w:rsidRPr="00B5055B" w:rsidRDefault="00F31B10" w:rsidP="0056662A">
            <w:pPr>
              <w:spacing w:after="0"/>
              <w:rPr>
                <w:sz w:val="20"/>
                <w:szCs w:val="20"/>
              </w:rPr>
            </w:pPr>
            <w:r w:rsidRPr="00B5055B">
              <w:rPr>
                <w:sz w:val="20"/>
                <w:szCs w:val="20"/>
              </w:rPr>
              <w:t>Грци</w:t>
            </w:r>
          </w:p>
        </w:tc>
        <w:tc>
          <w:tcPr>
            <w:tcW w:w="1266" w:type="dxa"/>
            <w:vAlign w:val="bottom"/>
          </w:tcPr>
          <w:p w:rsidR="00F31B10" w:rsidRPr="00B5055B" w:rsidRDefault="00F31B10" w:rsidP="0056662A">
            <w:pPr>
              <w:spacing w:after="0"/>
              <w:jc w:val="center"/>
              <w:rPr>
                <w:rFonts w:eastAsia="Times New Roman"/>
                <w:color w:val="000000"/>
                <w:sz w:val="20"/>
                <w:szCs w:val="20"/>
              </w:rPr>
            </w:pPr>
            <w:r w:rsidRPr="00B5055B">
              <w:rPr>
                <w:rFonts w:eastAsia="Times New Roman"/>
                <w:color w:val="000000"/>
                <w:sz w:val="20"/>
                <w:szCs w:val="20"/>
              </w:rPr>
              <w:t>150</w:t>
            </w:r>
            <w:r w:rsidRPr="00B5055B">
              <w:rPr>
                <w:rFonts w:eastAsia="Times New Roman"/>
                <w:color w:val="000000"/>
                <w:sz w:val="20"/>
                <w:szCs w:val="20"/>
                <w:lang w:val="sr-Cyrl-RS"/>
              </w:rPr>
              <w:t>.</w:t>
            </w:r>
            <w:r w:rsidRPr="00B5055B">
              <w:rPr>
                <w:rFonts w:eastAsia="Times New Roman"/>
                <w:color w:val="000000"/>
                <w:sz w:val="20"/>
                <w:szCs w:val="20"/>
              </w:rPr>
              <w:t>000,00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130.000,</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120.000,</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p>
        </w:tc>
        <w:tc>
          <w:tcPr>
            <w:tcW w:w="1266"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120.000,</w:t>
            </w:r>
            <w:r w:rsidRPr="00B5055B">
              <w:rPr>
                <w:rFonts w:eastAsia="Times New Roman"/>
                <w:sz w:val="20"/>
                <w:szCs w:val="20"/>
              </w:rPr>
              <w:t>00</w:t>
            </w:r>
          </w:p>
        </w:tc>
      </w:tr>
      <w:tr w:rsidR="00F31B10" w:rsidRPr="00B5055B" w:rsidTr="0056662A">
        <w:tc>
          <w:tcPr>
            <w:tcW w:w="2193" w:type="dxa"/>
          </w:tcPr>
          <w:p w:rsidR="00F31B10" w:rsidRPr="00B5055B" w:rsidRDefault="00F31B10" w:rsidP="0056662A">
            <w:pPr>
              <w:spacing w:after="0"/>
              <w:rPr>
                <w:sz w:val="20"/>
                <w:szCs w:val="20"/>
              </w:rPr>
            </w:pPr>
            <w:r w:rsidRPr="00B5055B">
              <w:rPr>
                <w:sz w:val="20"/>
                <w:szCs w:val="20"/>
              </w:rPr>
              <w:t>Јевреји</w:t>
            </w:r>
          </w:p>
        </w:tc>
        <w:tc>
          <w:tcPr>
            <w:tcW w:w="1266" w:type="dxa"/>
            <w:vAlign w:val="bottom"/>
          </w:tcPr>
          <w:p w:rsidR="00F31B10" w:rsidRPr="00B5055B" w:rsidRDefault="00F31B10" w:rsidP="0056662A">
            <w:pPr>
              <w:spacing w:after="0"/>
              <w:jc w:val="center"/>
              <w:rPr>
                <w:rFonts w:eastAsia="Times New Roman"/>
                <w:color w:val="000000"/>
                <w:sz w:val="20"/>
                <w:szCs w:val="20"/>
              </w:rPr>
            </w:pPr>
            <w:r w:rsidRPr="00B5055B">
              <w:rPr>
                <w:rFonts w:eastAsia="Times New Roman"/>
                <w:color w:val="000000"/>
                <w:sz w:val="20"/>
                <w:szCs w:val="20"/>
              </w:rPr>
              <w:t>480.000</w:t>
            </w:r>
            <w:r w:rsidRPr="00B5055B">
              <w:rPr>
                <w:rFonts w:eastAsia="Times New Roman"/>
                <w:color w:val="000000"/>
                <w:sz w:val="20"/>
                <w:szCs w:val="20"/>
                <w:lang w:val="sr-Cyrl-RS"/>
              </w:rPr>
              <w:t>,</w:t>
            </w:r>
            <w:r w:rsidRPr="00B5055B">
              <w:rPr>
                <w:rFonts w:eastAsia="Times New Roman"/>
                <w:color w:val="000000"/>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240.</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240.</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sidRPr="00B5055B">
              <w:rPr>
                <w:rFonts w:eastAsia="Times New Roman"/>
                <w:sz w:val="20"/>
                <w:szCs w:val="20"/>
              </w:rPr>
              <w:t>120</w:t>
            </w:r>
            <w:r>
              <w:rPr>
                <w:rFonts w:eastAsia="Times New Roman"/>
                <w:sz w:val="20"/>
                <w:szCs w:val="20"/>
                <w:lang w:val="sr-Cyrl-RS"/>
              </w:rPr>
              <w:t>.</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c>
          <w:tcPr>
            <w:tcW w:w="1266" w:type="dxa"/>
            <w:vAlign w:val="bottom"/>
          </w:tcPr>
          <w:p w:rsidR="00F31B10" w:rsidRPr="00B5055B" w:rsidRDefault="00F31B10" w:rsidP="0056662A">
            <w:pPr>
              <w:spacing w:after="0"/>
              <w:jc w:val="center"/>
              <w:rPr>
                <w:rFonts w:eastAsia="Times New Roman"/>
                <w:sz w:val="20"/>
                <w:szCs w:val="20"/>
              </w:rPr>
            </w:pPr>
            <w:r w:rsidRPr="00B5055B">
              <w:rPr>
                <w:rFonts w:eastAsia="Times New Roman"/>
                <w:sz w:val="20"/>
                <w:szCs w:val="20"/>
              </w:rPr>
              <w:t>240</w:t>
            </w:r>
            <w:r>
              <w:rPr>
                <w:rFonts w:eastAsia="Times New Roman"/>
                <w:sz w:val="20"/>
                <w:szCs w:val="20"/>
                <w:lang w:val="sr-Cyrl-RS"/>
              </w:rPr>
              <w:t>.</w:t>
            </w:r>
            <w:r>
              <w:rPr>
                <w:rFonts w:eastAsia="Times New Roman"/>
                <w:sz w:val="20"/>
                <w:szCs w:val="20"/>
              </w:rPr>
              <w:t>000,</w:t>
            </w:r>
            <w:r w:rsidRPr="00B5055B">
              <w:rPr>
                <w:rFonts w:eastAsia="Times New Roman"/>
                <w:sz w:val="20"/>
                <w:szCs w:val="20"/>
              </w:rPr>
              <w:t>00</w:t>
            </w:r>
          </w:p>
        </w:tc>
      </w:tr>
      <w:tr w:rsidR="00F31B10" w:rsidRPr="00B5055B" w:rsidTr="0056662A">
        <w:tc>
          <w:tcPr>
            <w:tcW w:w="2193" w:type="dxa"/>
          </w:tcPr>
          <w:p w:rsidR="00F31B10" w:rsidRPr="00B5055B" w:rsidRDefault="00F31B10" w:rsidP="0056662A">
            <w:pPr>
              <w:spacing w:after="0"/>
              <w:rPr>
                <w:sz w:val="20"/>
                <w:szCs w:val="20"/>
              </w:rPr>
            </w:pPr>
            <w:r w:rsidRPr="00B5055B">
              <w:rPr>
                <w:sz w:val="20"/>
                <w:szCs w:val="20"/>
              </w:rPr>
              <w:t>Мађари</w:t>
            </w:r>
          </w:p>
        </w:tc>
        <w:tc>
          <w:tcPr>
            <w:tcW w:w="1266" w:type="dxa"/>
            <w:vAlign w:val="bottom"/>
          </w:tcPr>
          <w:p w:rsidR="00F31B10" w:rsidRPr="00B5055B" w:rsidRDefault="00F31B10" w:rsidP="0056662A">
            <w:pPr>
              <w:spacing w:after="0"/>
              <w:jc w:val="center"/>
              <w:rPr>
                <w:rFonts w:eastAsia="Times New Roman"/>
                <w:color w:val="000000"/>
                <w:sz w:val="20"/>
                <w:szCs w:val="20"/>
              </w:rPr>
            </w:pPr>
            <w:r w:rsidRPr="00B5055B">
              <w:rPr>
                <w:rFonts w:eastAsia="Times New Roman"/>
                <w:color w:val="000000"/>
                <w:sz w:val="20"/>
                <w:szCs w:val="20"/>
              </w:rPr>
              <w:t>2.360.000</w:t>
            </w:r>
            <w:r w:rsidRPr="00B5055B">
              <w:rPr>
                <w:rFonts w:eastAsia="Times New Roman"/>
                <w:color w:val="000000"/>
                <w:sz w:val="20"/>
                <w:szCs w:val="20"/>
                <w:lang w:val="sr-Cyrl-RS"/>
              </w:rPr>
              <w:t>,</w:t>
            </w:r>
            <w:r w:rsidRPr="00B5055B">
              <w:rPr>
                <w:rFonts w:eastAsia="Times New Roman"/>
                <w:color w:val="000000"/>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2.</w:t>
            </w:r>
            <w:r w:rsidRPr="00B5055B">
              <w:rPr>
                <w:rFonts w:eastAsia="Times New Roman"/>
                <w:sz w:val="20"/>
                <w:szCs w:val="20"/>
              </w:rPr>
              <w:t>93</w:t>
            </w:r>
            <w:r>
              <w:rPr>
                <w:rFonts w:eastAsia="Times New Roman"/>
                <w:sz w:val="20"/>
                <w:szCs w:val="20"/>
              </w:rPr>
              <w:t>8.</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2.465.000,</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1.820.000,</w:t>
            </w:r>
            <w:r w:rsidRPr="00B5055B">
              <w:rPr>
                <w:rFonts w:eastAsia="Times New Roman"/>
                <w:sz w:val="20"/>
                <w:szCs w:val="20"/>
              </w:rPr>
              <w:t>00</w:t>
            </w:r>
          </w:p>
        </w:tc>
        <w:tc>
          <w:tcPr>
            <w:tcW w:w="1266"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2.500.</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r>
      <w:tr w:rsidR="00F31B10" w:rsidRPr="00B5055B" w:rsidTr="0056662A">
        <w:tc>
          <w:tcPr>
            <w:tcW w:w="2193" w:type="dxa"/>
          </w:tcPr>
          <w:p w:rsidR="00F31B10" w:rsidRPr="00B5055B" w:rsidRDefault="00F31B10" w:rsidP="0056662A">
            <w:pPr>
              <w:spacing w:after="0"/>
              <w:rPr>
                <w:sz w:val="20"/>
                <w:szCs w:val="20"/>
              </w:rPr>
            </w:pPr>
            <w:r w:rsidRPr="00B5055B">
              <w:rPr>
                <w:sz w:val="20"/>
                <w:szCs w:val="20"/>
              </w:rPr>
              <w:t>Македонци</w:t>
            </w:r>
          </w:p>
        </w:tc>
        <w:tc>
          <w:tcPr>
            <w:tcW w:w="1266" w:type="dxa"/>
            <w:vAlign w:val="bottom"/>
          </w:tcPr>
          <w:p w:rsidR="00F31B10" w:rsidRPr="00B5055B" w:rsidRDefault="00F31B10" w:rsidP="0056662A">
            <w:pPr>
              <w:spacing w:after="0"/>
              <w:jc w:val="center"/>
              <w:rPr>
                <w:rFonts w:eastAsia="Times New Roman"/>
                <w:color w:val="000000"/>
                <w:sz w:val="20"/>
                <w:szCs w:val="20"/>
              </w:rPr>
            </w:pPr>
            <w:r w:rsidRPr="00B5055B">
              <w:rPr>
                <w:rFonts w:eastAsia="Times New Roman"/>
                <w:color w:val="000000"/>
                <w:sz w:val="20"/>
                <w:szCs w:val="20"/>
              </w:rPr>
              <w:t>640</w:t>
            </w:r>
            <w:r w:rsidRPr="00B5055B">
              <w:rPr>
                <w:rFonts w:eastAsia="Times New Roman"/>
                <w:color w:val="000000"/>
                <w:sz w:val="20"/>
                <w:szCs w:val="20"/>
                <w:lang w:val="sr-Cyrl-RS"/>
              </w:rPr>
              <w:t>.</w:t>
            </w:r>
            <w:r w:rsidRPr="00B5055B">
              <w:rPr>
                <w:rFonts w:eastAsia="Times New Roman"/>
                <w:color w:val="000000"/>
                <w:sz w:val="20"/>
                <w:szCs w:val="20"/>
              </w:rPr>
              <w:t>000</w:t>
            </w:r>
            <w:r w:rsidRPr="00B5055B">
              <w:rPr>
                <w:rFonts w:eastAsia="Times New Roman"/>
                <w:color w:val="000000"/>
                <w:sz w:val="20"/>
                <w:szCs w:val="20"/>
                <w:lang w:val="sr-Cyrl-RS"/>
              </w:rPr>
              <w:t>,</w:t>
            </w:r>
            <w:r w:rsidRPr="00B5055B">
              <w:rPr>
                <w:rFonts w:eastAsia="Times New Roman"/>
                <w:color w:val="000000"/>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sidRPr="00B5055B">
              <w:rPr>
                <w:rFonts w:eastAsia="Times New Roman"/>
                <w:sz w:val="20"/>
                <w:szCs w:val="20"/>
              </w:rPr>
              <w:t>480</w:t>
            </w:r>
            <w:r>
              <w:rPr>
                <w:rFonts w:eastAsia="Times New Roman"/>
                <w:sz w:val="20"/>
                <w:szCs w:val="20"/>
                <w:lang w:val="sr-Cyrl-RS"/>
              </w:rPr>
              <w:t>.</w:t>
            </w:r>
            <w:r w:rsidRPr="00B5055B">
              <w:rPr>
                <w:rFonts w:eastAsia="Times New Roman"/>
                <w:sz w:val="20"/>
                <w:szCs w:val="20"/>
              </w:rPr>
              <w:t>000.00</w:t>
            </w:r>
          </w:p>
        </w:tc>
        <w:tc>
          <w:tcPr>
            <w:tcW w:w="1385" w:type="dxa"/>
            <w:vAlign w:val="bottom"/>
          </w:tcPr>
          <w:p w:rsidR="00F31B10" w:rsidRPr="00B5055B" w:rsidRDefault="00F31B10" w:rsidP="0056662A">
            <w:pPr>
              <w:spacing w:after="0"/>
              <w:jc w:val="center"/>
              <w:rPr>
                <w:rFonts w:eastAsia="Times New Roman"/>
                <w:sz w:val="20"/>
                <w:szCs w:val="20"/>
              </w:rPr>
            </w:pPr>
            <w:r w:rsidRPr="00B5055B">
              <w:rPr>
                <w:rFonts w:eastAsia="Times New Roman"/>
                <w:sz w:val="20"/>
                <w:szCs w:val="20"/>
              </w:rPr>
              <w:t>650</w:t>
            </w:r>
            <w:r>
              <w:rPr>
                <w:rFonts w:eastAsia="Times New Roman"/>
                <w:sz w:val="20"/>
                <w:szCs w:val="20"/>
                <w:lang w:val="sr-Cyrl-RS"/>
              </w:rPr>
              <w:t>.</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sidRPr="00B5055B">
              <w:rPr>
                <w:rFonts w:eastAsia="Times New Roman"/>
                <w:sz w:val="20"/>
                <w:szCs w:val="20"/>
              </w:rPr>
              <w:t>840</w:t>
            </w:r>
            <w:r>
              <w:rPr>
                <w:rFonts w:eastAsia="Times New Roman"/>
                <w:sz w:val="20"/>
                <w:szCs w:val="20"/>
                <w:lang w:val="sr-Cyrl-RS"/>
              </w:rPr>
              <w:t>.</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c>
          <w:tcPr>
            <w:tcW w:w="1266" w:type="dxa"/>
            <w:vAlign w:val="bottom"/>
          </w:tcPr>
          <w:p w:rsidR="00F31B10" w:rsidRPr="00B5055B" w:rsidRDefault="00F31B10" w:rsidP="0056662A">
            <w:pPr>
              <w:spacing w:after="0"/>
              <w:jc w:val="center"/>
              <w:rPr>
                <w:rFonts w:eastAsia="Times New Roman"/>
                <w:sz w:val="20"/>
                <w:szCs w:val="20"/>
              </w:rPr>
            </w:pPr>
            <w:r w:rsidRPr="00B5055B">
              <w:rPr>
                <w:rFonts w:eastAsia="Times New Roman"/>
                <w:sz w:val="20"/>
                <w:szCs w:val="20"/>
              </w:rPr>
              <w:t>840</w:t>
            </w:r>
            <w:r>
              <w:rPr>
                <w:rFonts w:eastAsia="Times New Roman"/>
                <w:sz w:val="20"/>
                <w:szCs w:val="20"/>
                <w:lang w:val="sr-Cyrl-RS"/>
              </w:rPr>
              <w:t>.</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r>
      <w:tr w:rsidR="00F31B10" w:rsidRPr="00B5055B" w:rsidTr="0056662A">
        <w:tc>
          <w:tcPr>
            <w:tcW w:w="2193" w:type="dxa"/>
            <w:vAlign w:val="bottom"/>
          </w:tcPr>
          <w:p w:rsidR="00F31B10" w:rsidRPr="00B5055B" w:rsidRDefault="00F31B10" w:rsidP="0056662A">
            <w:pPr>
              <w:spacing w:after="0"/>
              <w:rPr>
                <w:rFonts w:eastAsia="Times New Roman"/>
                <w:bCs/>
                <w:sz w:val="20"/>
                <w:szCs w:val="20"/>
              </w:rPr>
            </w:pPr>
            <w:r w:rsidRPr="00B5055B">
              <w:rPr>
                <w:rFonts w:eastAsia="Times New Roman"/>
                <w:bCs/>
                <w:sz w:val="20"/>
                <w:szCs w:val="20"/>
              </w:rPr>
              <w:t>Муслимани</w:t>
            </w:r>
          </w:p>
        </w:tc>
        <w:tc>
          <w:tcPr>
            <w:tcW w:w="1266" w:type="dxa"/>
            <w:vAlign w:val="bottom"/>
          </w:tcPr>
          <w:p w:rsidR="00F31B10" w:rsidRPr="00B5055B" w:rsidRDefault="00F31B10" w:rsidP="0056662A">
            <w:pPr>
              <w:spacing w:after="0"/>
              <w:jc w:val="center"/>
              <w:rPr>
                <w:rFonts w:eastAsia="Times New Roman"/>
                <w:color w:val="000000"/>
                <w:sz w:val="20"/>
                <w:szCs w:val="20"/>
              </w:rPr>
            </w:pP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150.</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sidRPr="00B5055B">
              <w:rPr>
                <w:rFonts w:eastAsia="Times New Roman"/>
                <w:sz w:val="20"/>
                <w:szCs w:val="20"/>
              </w:rPr>
              <w:t>120</w:t>
            </w:r>
            <w:r>
              <w:rPr>
                <w:rFonts w:eastAsia="Times New Roman"/>
                <w:sz w:val="20"/>
                <w:szCs w:val="20"/>
                <w:lang w:val="sr-Cyrl-RS"/>
              </w:rPr>
              <w:t>.</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sidRPr="00B5055B">
              <w:rPr>
                <w:rFonts w:eastAsia="Times New Roman"/>
                <w:sz w:val="20"/>
                <w:szCs w:val="20"/>
              </w:rPr>
              <w:t>120</w:t>
            </w:r>
            <w:r>
              <w:rPr>
                <w:rFonts w:eastAsia="Times New Roman"/>
                <w:sz w:val="20"/>
                <w:szCs w:val="20"/>
                <w:lang w:val="sr-Cyrl-RS"/>
              </w:rPr>
              <w:t>.</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c>
          <w:tcPr>
            <w:tcW w:w="1266" w:type="dxa"/>
            <w:vAlign w:val="bottom"/>
          </w:tcPr>
          <w:p w:rsidR="00F31B10" w:rsidRPr="00B5055B" w:rsidRDefault="00F31B10" w:rsidP="0056662A">
            <w:pPr>
              <w:spacing w:after="0"/>
              <w:jc w:val="center"/>
              <w:rPr>
                <w:rFonts w:eastAsia="Times New Roman"/>
                <w:sz w:val="20"/>
                <w:szCs w:val="20"/>
              </w:rPr>
            </w:pPr>
          </w:p>
        </w:tc>
      </w:tr>
      <w:tr w:rsidR="00F31B10" w:rsidRPr="00B5055B" w:rsidTr="0056662A">
        <w:tc>
          <w:tcPr>
            <w:tcW w:w="2193" w:type="dxa"/>
            <w:vAlign w:val="bottom"/>
          </w:tcPr>
          <w:p w:rsidR="00F31B10" w:rsidRPr="00B5055B" w:rsidRDefault="00F31B10" w:rsidP="0056662A">
            <w:pPr>
              <w:spacing w:after="0"/>
              <w:rPr>
                <w:rFonts w:eastAsia="Times New Roman"/>
                <w:bCs/>
                <w:sz w:val="20"/>
                <w:szCs w:val="20"/>
              </w:rPr>
            </w:pPr>
            <w:r w:rsidRPr="00B5055B">
              <w:rPr>
                <w:rFonts w:eastAsia="Times New Roman"/>
                <w:bCs/>
                <w:sz w:val="20"/>
                <w:szCs w:val="20"/>
              </w:rPr>
              <w:t>Немци</w:t>
            </w:r>
          </w:p>
        </w:tc>
        <w:tc>
          <w:tcPr>
            <w:tcW w:w="1266" w:type="dxa"/>
            <w:vAlign w:val="bottom"/>
          </w:tcPr>
          <w:p w:rsidR="00F31B10" w:rsidRPr="00B5055B" w:rsidRDefault="00F31B10" w:rsidP="0056662A">
            <w:pPr>
              <w:spacing w:after="0"/>
              <w:jc w:val="center"/>
              <w:rPr>
                <w:rFonts w:eastAsia="Times New Roman"/>
                <w:color w:val="000000"/>
                <w:sz w:val="20"/>
                <w:szCs w:val="20"/>
              </w:rPr>
            </w:pPr>
            <w:r w:rsidRPr="00B5055B">
              <w:rPr>
                <w:rFonts w:eastAsia="Times New Roman"/>
                <w:color w:val="000000"/>
                <w:sz w:val="20"/>
                <w:szCs w:val="20"/>
              </w:rPr>
              <w:t>360.000,00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150.000,</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240.000,</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120.000,</w:t>
            </w:r>
            <w:r w:rsidRPr="00B5055B">
              <w:rPr>
                <w:rFonts w:eastAsia="Times New Roman"/>
                <w:sz w:val="20"/>
                <w:szCs w:val="20"/>
              </w:rPr>
              <w:t>00</w:t>
            </w:r>
          </w:p>
        </w:tc>
        <w:tc>
          <w:tcPr>
            <w:tcW w:w="1266"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360.000,</w:t>
            </w:r>
            <w:r w:rsidRPr="00B5055B">
              <w:rPr>
                <w:rFonts w:eastAsia="Times New Roman"/>
                <w:sz w:val="20"/>
                <w:szCs w:val="20"/>
              </w:rPr>
              <w:t>00</w:t>
            </w:r>
          </w:p>
        </w:tc>
      </w:tr>
      <w:tr w:rsidR="00F31B10" w:rsidRPr="00B5055B" w:rsidTr="0056662A">
        <w:tc>
          <w:tcPr>
            <w:tcW w:w="2193" w:type="dxa"/>
          </w:tcPr>
          <w:p w:rsidR="00F31B10" w:rsidRPr="00B5055B" w:rsidRDefault="00F31B10" w:rsidP="0056662A">
            <w:pPr>
              <w:spacing w:after="0"/>
              <w:rPr>
                <w:sz w:val="20"/>
                <w:szCs w:val="20"/>
              </w:rPr>
            </w:pPr>
            <w:r w:rsidRPr="00B5055B">
              <w:rPr>
                <w:sz w:val="20"/>
                <w:szCs w:val="20"/>
              </w:rPr>
              <w:t>Роми</w:t>
            </w:r>
          </w:p>
        </w:tc>
        <w:tc>
          <w:tcPr>
            <w:tcW w:w="1266" w:type="dxa"/>
            <w:vAlign w:val="bottom"/>
          </w:tcPr>
          <w:p w:rsidR="00F31B10" w:rsidRPr="00B5055B" w:rsidRDefault="00F31B10" w:rsidP="0056662A">
            <w:pPr>
              <w:spacing w:after="0"/>
              <w:jc w:val="center"/>
              <w:rPr>
                <w:rFonts w:eastAsia="Times New Roman"/>
                <w:color w:val="000000"/>
                <w:sz w:val="20"/>
                <w:szCs w:val="20"/>
              </w:rPr>
            </w:pPr>
            <w:r w:rsidRPr="00B5055B">
              <w:rPr>
                <w:rFonts w:eastAsia="Times New Roman"/>
                <w:color w:val="000000"/>
                <w:sz w:val="20"/>
                <w:szCs w:val="20"/>
              </w:rPr>
              <w:t>1.860</w:t>
            </w:r>
            <w:r w:rsidRPr="00B5055B">
              <w:rPr>
                <w:rFonts w:eastAsia="Times New Roman"/>
                <w:color w:val="000000"/>
                <w:sz w:val="20"/>
                <w:szCs w:val="20"/>
                <w:lang w:val="sr-Cyrl-RS"/>
              </w:rPr>
              <w:t>.</w:t>
            </w:r>
            <w:r w:rsidRPr="00B5055B">
              <w:rPr>
                <w:rFonts w:eastAsia="Times New Roman"/>
                <w:color w:val="000000"/>
                <w:sz w:val="20"/>
                <w:szCs w:val="20"/>
              </w:rPr>
              <w:t>000</w:t>
            </w:r>
            <w:r w:rsidRPr="00B5055B">
              <w:rPr>
                <w:rFonts w:eastAsia="Times New Roman"/>
                <w:color w:val="000000"/>
                <w:sz w:val="20"/>
                <w:szCs w:val="20"/>
                <w:lang w:val="sr-Cyrl-RS"/>
              </w:rPr>
              <w:t>,</w:t>
            </w:r>
            <w:r w:rsidRPr="00B5055B">
              <w:rPr>
                <w:rFonts w:eastAsia="Times New Roman"/>
                <w:color w:val="000000"/>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1.346.000,</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1.747.000,</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1.</w:t>
            </w:r>
            <w:r w:rsidRPr="00B5055B">
              <w:rPr>
                <w:rFonts w:eastAsia="Times New Roman"/>
                <w:sz w:val="20"/>
                <w:szCs w:val="20"/>
              </w:rPr>
              <w:t>715</w:t>
            </w:r>
            <w:r>
              <w:rPr>
                <w:rFonts w:eastAsia="Times New Roman"/>
                <w:sz w:val="20"/>
                <w:szCs w:val="20"/>
                <w:lang w:val="sr-Cyrl-RS"/>
              </w:rPr>
              <w:t>.</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c>
          <w:tcPr>
            <w:tcW w:w="1266"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1.700.</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r>
      <w:tr w:rsidR="00F31B10" w:rsidRPr="00B5055B" w:rsidTr="0056662A">
        <w:tc>
          <w:tcPr>
            <w:tcW w:w="2193" w:type="dxa"/>
          </w:tcPr>
          <w:p w:rsidR="00F31B10" w:rsidRPr="00B5055B" w:rsidRDefault="00F31B10" w:rsidP="0056662A">
            <w:pPr>
              <w:spacing w:after="0"/>
              <w:rPr>
                <w:sz w:val="20"/>
                <w:szCs w:val="20"/>
              </w:rPr>
            </w:pPr>
            <w:r w:rsidRPr="00B5055B">
              <w:rPr>
                <w:sz w:val="20"/>
                <w:szCs w:val="20"/>
              </w:rPr>
              <w:t>Румуни</w:t>
            </w:r>
          </w:p>
        </w:tc>
        <w:tc>
          <w:tcPr>
            <w:tcW w:w="1266" w:type="dxa"/>
            <w:vAlign w:val="bottom"/>
          </w:tcPr>
          <w:p w:rsidR="00F31B10" w:rsidRPr="00B5055B" w:rsidRDefault="00F31B10" w:rsidP="0056662A">
            <w:pPr>
              <w:spacing w:after="0"/>
              <w:jc w:val="center"/>
              <w:rPr>
                <w:rFonts w:eastAsia="Times New Roman"/>
                <w:color w:val="000000"/>
                <w:sz w:val="20"/>
                <w:szCs w:val="20"/>
              </w:rPr>
            </w:pPr>
            <w:r w:rsidRPr="00B5055B">
              <w:rPr>
                <w:rFonts w:eastAsia="Times New Roman"/>
                <w:color w:val="000000"/>
                <w:sz w:val="20"/>
                <w:szCs w:val="20"/>
              </w:rPr>
              <w:t>860.000,00</w:t>
            </w:r>
          </w:p>
        </w:tc>
        <w:tc>
          <w:tcPr>
            <w:tcW w:w="1385" w:type="dxa"/>
            <w:vAlign w:val="bottom"/>
          </w:tcPr>
          <w:p w:rsidR="00F31B10" w:rsidRPr="00B5055B" w:rsidRDefault="00F31B10" w:rsidP="0056662A">
            <w:pPr>
              <w:spacing w:after="0"/>
              <w:jc w:val="center"/>
              <w:rPr>
                <w:rFonts w:eastAsia="Times New Roman"/>
                <w:sz w:val="20"/>
                <w:szCs w:val="20"/>
              </w:rPr>
            </w:pPr>
            <w:r w:rsidRPr="00B5055B">
              <w:rPr>
                <w:rFonts w:eastAsia="Times New Roman"/>
                <w:sz w:val="20"/>
                <w:szCs w:val="20"/>
              </w:rPr>
              <w:t>600</w:t>
            </w:r>
            <w:r>
              <w:rPr>
                <w:rFonts w:eastAsia="Times New Roman"/>
                <w:sz w:val="20"/>
                <w:szCs w:val="20"/>
                <w:lang w:val="sr-Cyrl-RS"/>
              </w:rPr>
              <w:t>.</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sidRPr="00B5055B">
              <w:rPr>
                <w:rFonts w:eastAsia="Times New Roman"/>
                <w:sz w:val="20"/>
                <w:szCs w:val="20"/>
              </w:rPr>
              <w:t>800</w:t>
            </w:r>
            <w:r>
              <w:rPr>
                <w:rFonts w:eastAsia="Times New Roman"/>
                <w:sz w:val="20"/>
                <w:szCs w:val="20"/>
                <w:lang w:val="sr-Cyrl-RS"/>
              </w:rPr>
              <w:t>.</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sidRPr="00B5055B">
              <w:rPr>
                <w:rFonts w:eastAsia="Times New Roman"/>
                <w:sz w:val="20"/>
                <w:szCs w:val="20"/>
              </w:rPr>
              <w:t>960</w:t>
            </w:r>
            <w:r>
              <w:rPr>
                <w:rFonts w:eastAsia="Times New Roman"/>
                <w:sz w:val="20"/>
                <w:szCs w:val="20"/>
                <w:lang w:val="sr-Cyrl-RS"/>
              </w:rPr>
              <w:t>.</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c>
          <w:tcPr>
            <w:tcW w:w="1266" w:type="dxa"/>
            <w:vAlign w:val="bottom"/>
          </w:tcPr>
          <w:p w:rsidR="00F31B10" w:rsidRPr="00B5055B" w:rsidRDefault="00F31B10" w:rsidP="0056662A">
            <w:pPr>
              <w:spacing w:after="0"/>
              <w:jc w:val="center"/>
              <w:rPr>
                <w:rFonts w:eastAsia="Times New Roman"/>
                <w:sz w:val="20"/>
                <w:szCs w:val="20"/>
              </w:rPr>
            </w:pPr>
            <w:r w:rsidRPr="00B5055B">
              <w:rPr>
                <w:rFonts w:eastAsia="Times New Roman"/>
                <w:sz w:val="20"/>
                <w:szCs w:val="20"/>
              </w:rPr>
              <w:t>750</w:t>
            </w:r>
            <w:r>
              <w:rPr>
                <w:rFonts w:eastAsia="Times New Roman"/>
                <w:sz w:val="20"/>
                <w:szCs w:val="20"/>
                <w:lang w:val="sr-Cyrl-RS"/>
              </w:rPr>
              <w:t>.</w:t>
            </w:r>
            <w:r>
              <w:rPr>
                <w:rFonts w:eastAsia="Times New Roman"/>
                <w:sz w:val="20"/>
                <w:szCs w:val="20"/>
              </w:rPr>
              <w:t>000,</w:t>
            </w:r>
            <w:r w:rsidRPr="00B5055B">
              <w:rPr>
                <w:rFonts w:eastAsia="Times New Roman"/>
                <w:sz w:val="20"/>
                <w:szCs w:val="20"/>
              </w:rPr>
              <w:t>00</w:t>
            </w:r>
          </w:p>
        </w:tc>
      </w:tr>
      <w:tr w:rsidR="00F31B10" w:rsidRPr="00B5055B" w:rsidTr="0056662A">
        <w:tc>
          <w:tcPr>
            <w:tcW w:w="2193" w:type="dxa"/>
            <w:vAlign w:val="bottom"/>
          </w:tcPr>
          <w:p w:rsidR="00F31B10" w:rsidRPr="00B5055B" w:rsidRDefault="00F31B10" w:rsidP="0056662A">
            <w:pPr>
              <w:spacing w:after="0"/>
              <w:rPr>
                <w:rFonts w:eastAsia="Times New Roman"/>
                <w:bCs/>
                <w:sz w:val="20"/>
                <w:szCs w:val="20"/>
                <w:lang w:val="sr-Cyrl-RS"/>
              </w:rPr>
            </w:pPr>
            <w:r w:rsidRPr="00B5055B">
              <w:rPr>
                <w:rFonts w:eastAsia="Times New Roman"/>
                <w:bCs/>
                <w:sz w:val="20"/>
                <w:szCs w:val="20"/>
                <w:lang w:val="sr-Cyrl-RS"/>
              </w:rPr>
              <w:t>Руси</w:t>
            </w:r>
          </w:p>
        </w:tc>
        <w:tc>
          <w:tcPr>
            <w:tcW w:w="1266" w:type="dxa"/>
            <w:vAlign w:val="bottom"/>
          </w:tcPr>
          <w:p w:rsidR="00F31B10" w:rsidRPr="00B5055B" w:rsidRDefault="00F31B10" w:rsidP="0056662A">
            <w:pPr>
              <w:spacing w:after="0"/>
              <w:jc w:val="center"/>
              <w:rPr>
                <w:rFonts w:eastAsia="Times New Roman"/>
                <w:color w:val="000000"/>
                <w:sz w:val="20"/>
                <w:szCs w:val="20"/>
              </w:rPr>
            </w:pPr>
          </w:p>
        </w:tc>
        <w:tc>
          <w:tcPr>
            <w:tcW w:w="1385" w:type="dxa"/>
            <w:vAlign w:val="bottom"/>
          </w:tcPr>
          <w:p w:rsidR="00F31B10" w:rsidRPr="00B5055B" w:rsidRDefault="00F31B10" w:rsidP="0056662A">
            <w:pPr>
              <w:spacing w:after="0"/>
              <w:jc w:val="center"/>
              <w:rPr>
                <w:rFonts w:eastAsia="Times New Roman"/>
                <w:sz w:val="20"/>
                <w:szCs w:val="20"/>
              </w:rPr>
            </w:pPr>
          </w:p>
        </w:tc>
        <w:tc>
          <w:tcPr>
            <w:tcW w:w="1385" w:type="dxa"/>
            <w:vAlign w:val="bottom"/>
          </w:tcPr>
          <w:p w:rsidR="00F31B10" w:rsidRPr="00B5055B" w:rsidRDefault="00F31B10" w:rsidP="0056662A">
            <w:pPr>
              <w:spacing w:after="0"/>
              <w:jc w:val="center"/>
              <w:rPr>
                <w:rFonts w:eastAsia="Times New Roman"/>
                <w:sz w:val="20"/>
                <w:szCs w:val="20"/>
              </w:rPr>
            </w:pPr>
          </w:p>
        </w:tc>
        <w:tc>
          <w:tcPr>
            <w:tcW w:w="1385" w:type="dxa"/>
            <w:vAlign w:val="bottom"/>
          </w:tcPr>
          <w:p w:rsidR="00F31B10" w:rsidRPr="00B5055B" w:rsidRDefault="00F31B10" w:rsidP="0056662A">
            <w:pPr>
              <w:spacing w:after="0"/>
              <w:jc w:val="center"/>
              <w:rPr>
                <w:rFonts w:eastAsia="Times New Roman"/>
                <w:sz w:val="20"/>
                <w:szCs w:val="20"/>
              </w:rPr>
            </w:pPr>
          </w:p>
        </w:tc>
        <w:tc>
          <w:tcPr>
            <w:tcW w:w="1266" w:type="dxa"/>
            <w:vAlign w:val="bottom"/>
          </w:tcPr>
          <w:p w:rsidR="00F31B10" w:rsidRPr="00B5055B" w:rsidRDefault="00F31B10" w:rsidP="0056662A">
            <w:pPr>
              <w:spacing w:after="0"/>
              <w:jc w:val="center"/>
              <w:rPr>
                <w:rFonts w:eastAsia="Times New Roman"/>
                <w:sz w:val="20"/>
                <w:szCs w:val="20"/>
              </w:rPr>
            </w:pPr>
            <w:r w:rsidRPr="00B5055B">
              <w:rPr>
                <w:rFonts w:eastAsia="Times New Roman"/>
                <w:sz w:val="20"/>
                <w:szCs w:val="20"/>
              </w:rPr>
              <w:t>120</w:t>
            </w:r>
            <w:r>
              <w:rPr>
                <w:rFonts w:eastAsia="Times New Roman"/>
                <w:sz w:val="20"/>
                <w:szCs w:val="20"/>
                <w:lang w:val="sr-Cyrl-RS"/>
              </w:rPr>
              <w:t>.</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r>
      <w:tr w:rsidR="00F31B10" w:rsidRPr="00B5055B" w:rsidTr="0056662A">
        <w:tc>
          <w:tcPr>
            <w:tcW w:w="2193" w:type="dxa"/>
          </w:tcPr>
          <w:p w:rsidR="00F31B10" w:rsidRPr="00B5055B" w:rsidRDefault="00F31B10" w:rsidP="0056662A">
            <w:pPr>
              <w:spacing w:after="0"/>
              <w:rPr>
                <w:sz w:val="20"/>
                <w:szCs w:val="20"/>
              </w:rPr>
            </w:pPr>
            <w:r w:rsidRPr="00B5055B">
              <w:rPr>
                <w:sz w:val="20"/>
                <w:szCs w:val="20"/>
              </w:rPr>
              <w:t>Русини</w:t>
            </w:r>
          </w:p>
        </w:tc>
        <w:tc>
          <w:tcPr>
            <w:tcW w:w="1266" w:type="dxa"/>
            <w:vAlign w:val="bottom"/>
          </w:tcPr>
          <w:p w:rsidR="00F31B10" w:rsidRPr="00B5055B" w:rsidRDefault="00F31B10" w:rsidP="0056662A">
            <w:pPr>
              <w:spacing w:after="0"/>
              <w:jc w:val="center"/>
              <w:rPr>
                <w:rFonts w:eastAsia="Times New Roman"/>
                <w:color w:val="000000"/>
                <w:sz w:val="20"/>
                <w:szCs w:val="20"/>
              </w:rPr>
            </w:pPr>
            <w:r w:rsidRPr="00B5055B">
              <w:rPr>
                <w:rFonts w:eastAsia="Times New Roman"/>
                <w:color w:val="000000"/>
                <w:sz w:val="20"/>
                <w:szCs w:val="20"/>
              </w:rPr>
              <w:t>510.000</w:t>
            </w:r>
            <w:r w:rsidRPr="00B5055B">
              <w:rPr>
                <w:rFonts w:eastAsia="Times New Roman"/>
                <w:color w:val="000000"/>
                <w:sz w:val="20"/>
                <w:szCs w:val="20"/>
                <w:lang w:val="sr-Cyrl-RS"/>
              </w:rPr>
              <w:t>,</w:t>
            </w:r>
            <w:r w:rsidRPr="00B5055B">
              <w:rPr>
                <w:rFonts w:eastAsia="Times New Roman"/>
                <w:color w:val="000000"/>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740.000,</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941.000,</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680</w:t>
            </w:r>
            <w:r>
              <w:rPr>
                <w:rFonts w:eastAsia="Times New Roman"/>
                <w:sz w:val="20"/>
                <w:szCs w:val="20"/>
                <w:lang w:val="sr-Cyrl-RS"/>
              </w:rPr>
              <w:t>.</w:t>
            </w:r>
            <w:r>
              <w:rPr>
                <w:rFonts w:eastAsia="Times New Roman"/>
                <w:sz w:val="20"/>
                <w:szCs w:val="20"/>
              </w:rPr>
              <w:t>000,</w:t>
            </w:r>
            <w:r w:rsidRPr="00B5055B">
              <w:rPr>
                <w:rFonts w:eastAsia="Times New Roman"/>
                <w:sz w:val="20"/>
                <w:szCs w:val="20"/>
              </w:rPr>
              <w:t>00</w:t>
            </w:r>
          </w:p>
        </w:tc>
        <w:tc>
          <w:tcPr>
            <w:tcW w:w="1266"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840.000,</w:t>
            </w:r>
            <w:r w:rsidRPr="00B5055B">
              <w:rPr>
                <w:rFonts w:eastAsia="Times New Roman"/>
                <w:sz w:val="20"/>
                <w:szCs w:val="20"/>
              </w:rPr>
              <w:t>00</w:t>
            </w:r>
          </w:p>
        </w:tc>
      </w:tr>
      <w:tr w:rsidR="00F31B10" w:rsidRPr="00B5055B" w:rsidTr="0056662A">
        <w:tc>
          <w:tcPr>
            <w:tcW w:w="2193" w:type="dxa"/>
          </w:tcPr>
          <w:p w:rsidR="00F31B10" w:rsidRPr="00B5055B" w:rsidRDefault="00F31B10" w:rsidP="0056662A">
            <w:pPr>
              <w:spacing w:after="0"/>
              <w:rPr>
                <w:sz w:val="20"/>
                <w:szCs w:val="20"/>
              </w:rPr>
            </w:pPr>
            <w:r w:rsidRPr="00B5055B">
              <w:rPr>
                <w:sz w:val="20"/>
                <w:szCs w:val="20"/>
              </w:rPr>
              <w:t>Словаци</w:t>
            </w:r>
          </w:p>
        </w:tc>
        <w:tc>
          <w:tcPr>
            <w:tcW w:w="1266" w:type="dxa"/>
            <w:vAlign w:val="bottom"/>
          </w:tcPr>
          <w:p w:rsidR="00F31B10" w:rsidRPr="00B5055B" w:rsidRDefault="00F31B10" w:rsidP="0056662A">
            <w:pPr>
              <w:spacing w:after="0"/>
              <w:jc w:val="center"/>
              <w:rPr>
                <w:rFonts w:eastAsia="Times New Roman"/>
                <w:color w:val="000000"/>
                <w:sz w:val="20"/>
                <w:szCs w:val="20"/>
              </w:rPr>
            </w:pPr>
            <w:r w:rsidRPr="00B5055B">
              <w:rPr>
                <w:rFonts w:eastAsia="Times New Roman"/>
                <w:color w:val="000000"/>
                <w:sz w:val="20"/>
                <w:szCs w:val="20"/>
              </w:rPr>
              <w:t>1.060.000</w:t>
            </w:r>
            <w:r w:rsidRPr="00B5055B">
              <w:rPr>
                <w:rFonts w:eastAsia="Times New Roman"/>
                <w:color w:val="000000"/>
                <w:sz w:val="20"/>
                <w:szCs w:val="20"/>
                <w:lang w:val="sr-Cyrl-RS"/>
              </w:rPr>
              <w:t>,</w:t>
            </w:r>
            <w:r w:rsidRPr="00B5055B">
              <w:rPr>
                <w:rFonts w:eastAsia="Times New Roman"/>
                <w:color w:val="000000"/>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850.</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sidRPr="00B5055B">
              <w:rPr>
                <w:rFonts w:eastAsia="Times New Roman"/>
                <w:sz w:val="20"/>
                <w:szCs w:val="20"/>
              </w:rPr>
              <w:t>1</w:t>
            </w:r>
            <w:r>
              <w:rPr>
                <w:rFonts w:eastAsia="Times New Roman"/>
                <w:sz w:val="20"/>
                <w:szCs w:val="20"/>
                <w:lang w:val="sr-Cyrl-RS"/>
              </w:rPr>
              <w:t>.</w:t>
            </w:r>
            <w:r w:rsidRPr="00B5055B">
              <w:rPr>
                <w:rFonts w:eastAsia="Times New Roman"/>
                <w:sz w:val="20"/>
                <w:szCs w:val="20"/>
              </w:rPr>
              <w:t>044</w:t>
            </w:r>
            <w:r>
              <w:rPr>
                <w:rFonts w:eastAsia="Times New Roman"/>
                <w:sz w:val="20"/>
                <w:szCs w:val="20"/>
                <w:lang w:val="sr-Cyrl-RS"/>
              </w:rPr>
              <w:t>.</w:t>
            </w:r>
            <w:r>
              <w:rPr>
                <w:rFonts w:eastAsia="Times New Roman"/>
                <w:sz w:val="20"/>
                <w:szCs w:val="20"/>
              </w:rPr>
              <w:t>000,</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sidRPr="00B5055B">
              <w:rPr>
                <w:rFonts w:eastAsia="Times New Roman"/>
                <w:sz w:val="20"/>
                <w:szCs w:val="20"/>
              </w:rPr>
              <w:t>1</w:t>
            </w:r>
            <w:r>
              <w:rPr>
                <w:rFonts w:eastAsia="Times New Roman"/>
                <w:sz w:val="20"/>
                <w:szCs w:val="20"/>
                <w:lang w:val="sr-Cyrl-RS"/>
              </w:rPr>
              <w:t>.</w:t>
            </w:r>
            <w:r w:rsidRPr="00B5055B">
              <w:rPr>
                <w:rFonts w:eastAsia="Times New Roman"/>
                <w:sz w:val="20"/>
                <w:szCs w:val="20"/>
              </w:rPr>
              <w:t>020</w:t>
            </w:r>
            <w:r>
              <w:rPr>
                <w:rFonts w:eastAsia="Times New Roman"/>
                <w:sz w:val="20"/>
                <w:szCs w:val="20"/>
                <w:lang w:val="sr-Cyrl-RS"/>
              </w:rPr>
              <w:t>.</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c>
          <w:tcPr>
            <w:tcW w:w="1266" w:type="dxa"/>
            <w:vAlign w:val="bottom"/>
          </w:tcPr>
          <w:p w:rsidR="00F31B10" w:rsidRPr="00B5055B" w:rsidRDefault="00F31B10" w:rsidP="0056662A">
            <w:pPr>
              <w:spacing w:after="0"/>
              <w:jc w:val="center"/>
              <w:rPr>
                <w:rFonts w:eastAsia="Times New Roman"/>
                <w:sz w:val="20"/>
                <w:szCs w:val="20"/>
              </w:rPr>
            </w:pPr>
            <w:r w:rsidRPr="00B5055B">
              <w:rPr>
                <w:rFonts w:eastAsia="Times New Roman"/>
                <w:sz w:val="20"/>
                <w:szCs w:val="20"/>
              </w:rPr>
              <w:t>1</w:t>
            </w:r>
            <w:r>
              <w:rPr>
                <w:rFonts w:eastAsia="Times New Roman"/>
                <w:sz w:val="20"/>
                <w:szCs w:val="20"/>
                <w:lang w:val="sr-Cyrl-RS"/>
              </w:rPr>
              <w:t>.</w:t>
            </w:r>
            <w:r w:rsidRPr="00B5055B">
              <w:rPr>
                <w:rFonts w:eastAsia="Times New Roman"/>
                <w:sz w:val="20"/>
                <w:szCs w:val="20"/>
              </w:rPr>
              <w:t>080</w:t>
            </w:r>
            <w:r>
              <w:rPr>
                <w:rFonts w:eastAsia="Times New Roman"/>
                <w:sz w:val="20"/>
                <w:szCs w:val="20"/>
                <w:lang w:val="sr-Cyrl-RS"/>
              </w:rPr>
              <w:t>.</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r>
      <w:tr w:rsidR="00F31B10" w:rsidRPr="00B5055B" w:rsidTr="0056662A">
        <w:tc>
          <w:tcPr>
            <w:tcW w:w="2193" w:type="dxa"/>
          </w:tcPr>
          <w:p w:rsidR="00F31B10" w:rsidRPr="00B5055B" w:rsidRDefault="00F31B10" w:rsidP="0056662A">
            <w:pPr>
              <w:spacing w:after="0"/>
              <w:rPr>
                <w:sz w:val="20"/>
                <w:szCs w:val="20"/>
              </w:rPr>
            </w:pPr>
            <w:r w:rsidRPr="00B5055B">
              <w:rPr>
                <w:sz w:val="20"/>
                <w:szCs w:val="20"/>
              </w:rPr>
              <w:t>Словенци</w:t>
            </w:r>
          </w:p>
        </w:tc>
        <w:tc>
          <w:tcPr>
            <w:tcW w:w="1266" w:type="dxa"/>
            <w:vAlign w:val="bottom"/>
          </w:tcPr>
          <w:p w:rsidR="00F31B10" w:rsidRPr="00B5055B" w:rsidRDefault="00F31B10" w:rsidP="0056662A">
            <w:pPr>
              <w:spacing w:after="0"/>
              <w:jc w:val="center"/>
              <w:rPr>
                <w:rFonts w:eastAsia="Times New Roman"/>
                <w:color w:val="000000"/>
                <w:sz w:val="20"/>
                <w:szCs w:val="20"/>
              </w:rPr>
            </w:pPr>
            <w:r w:rsidRPr="00B5055B">
              <w:rPr>
                <w:rFonts w:eastAsia="Times New Roman"/>
                <w:color w:val="000000"/>
                <w:sz w:val="20"/>
                <w:szCs w:val="20"/>
              </w:rPr>
              <w:t>360</w:t>
            </w:r>
            <w:r w:rsidRPr="00B5055B">
              <w:rPr>
                <w:rFonts w:eastAsia="Times New Roman"/>
                <w:color w:val="000000"/>
                <w:sz w:val="20"/>
                <w:szCs w:val="20"/>
                <w:lang w:val="sr-Cyrl-RS"/>
              </w:rPr>
              <w:t>.</w:t>
            </w:r>
            <w:r w:rsidRPr="00B5055B">
              <w:rPr>
                <w:rFonts w:eastAsia="Times New Roman"/>
                <w:color w:val="000000"/>
                <w:sz w:val="20"/>
                <w:szCs w:val="20"/>
              </w:rPr>
              <w:t>000</w:t>
            </w:r>
            <w:r w:rsidRPr="00B5055B">
              <w:rPr>
                <w:rFonts w:eastAsia="Times New Roman"/>
                <w:color w:val="000000"/>
                <w:sz w:val="20"/>
                <w:szCs w:val="20"/>
                <w:lang w:val="sr-Cyrl-RS"/>
              </w:rPr>
              <w:t>,</w:t>
            </w:r>
            <w:r w:rsidRPr="00B5055B">
              <w:rPr>
                <w:rFonts w:eastAsia="Times New Roman"/>
                <w:color w:val="000000"/>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360.000,</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480.000,</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360.000,</w:t>
            </w:r>
            <w:r w:rsidRPr="00B5055B">
              <w:rPr>
                <w:rFonts w:eastAsia="Times New Roman"/>
                <w:sz w:val="20"/>
                <w:szCs w:val="20"/>
              </w:rPr>
              <w:t>00</w:t>
            </w:r>
          </w:p>
        </w:tc>
        <w:tc>
          <w:tcPr>
            <w:tcW w:w="1266"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390</w:t>
            </w:r>
            <w:r>
              <w:rPr>
                <w:rFonts w:eastAsia="Times New Roman"/>
                <w:sz w:val="20"/>
                <w:szCs w:val="20"/>
                <w:lang w:val="sr-Cyrl-RS"/>
              </w:rPr>
              <w:t>.</w:t>
            </w:r>
            <w:r>
              <w:rPr>
                <w:rFonts w:eastAsia="Times New Roman"/>
                <w:sz w:val="20"/>
                <w:szCs w:val="20"/>
              </w:rPr>
              <w:t>000,</w:t>
            </w:r>
            <w:r w:rsidRPr="00B5055B">
              <w:rPr>
                <w:rFonts w:eastAsia="Times New Roman"/>
                <w:sz w:val="20"/>
                <w:szCs w:val="20"/>
              </w:rPr>
              <w:t>00</w:t>
            </w:r>
          </w:p>
        </w:tc>
      </w:tr>
      <w:tr w:rsidR="00F31B10" w:rsidRPr="00B5055B" w:rsidTr="0056662A">
        <w:tc>
          <w:tcPr>
            <w:tcW w:w="2193" w:type="dxa"/>
          </w:tcPr>
          <w:p w:rsidR="00F31B10" w:rsidRPr="00B5055B" w:rsidRDefault="00F31B10" w:rsidP="0056662A">
            <w:pPr>
              <w:spacing w:after="0"/>
              <w:rPr>
                <w:sz w:val="20"/>
                <w:szCs w:val="20"/>
              </w:rPr>
            </w:pPr>
            <w:r w:rsidRPr="00B5055B">
              <w:rPr>
                <w:sz w:val="20"/>
                <w:szCs w:val="20"/>
              </w:rPr>
              <w:t>Украјинци</w:t>
            </w:r>
          </w:p>
        </w:tc>
        <w:tc>
          <w:tcPr>
            <w:tcW w:w="1266" w:type="dxa"/>
            <w:vAlign w:val="bottom"/>
          </w:tcPr>
          <w:p w:rsidR="00F31B10" w:rsidRPr="00B5055B" w:rsidRDefault="00F31B10" w:rsidP="0056662A">
            <w:pPr>
              <w:spacing w:after="0"/>
              <w:jc w:val="center"/>
              <w:rPr>
                <w:rFonts w:eastAsia="Times New Roman"/>
                <w:b/>
                <w:bCs/>
                <w:sz w:val="20"/>
                <w:szCs w:val="20"/>
              </w:rPr>
            </w:pP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150.000,</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color w:val="000000"/>
                <w:sz w:val="20"/>
                <w:szCs w:val="20"/>
              </w:rPr>
            </w:pPr>
          </w:p>
        </w:tc>
        <w:tc>
          <w:tcPr>
            <w:tcW w:w="1385" w:type="dxa"/>
            <w:vAlign w:val="bottom"/>
          </w:tcPr>
          <w:p w:rsidR="00F31B10" w:rsidRPr="00B5055B" w:rsidRDefault="00F31B10" w:rsidP="0056662A">
            <w:pPr>
              <w:spacing w:after="0"/>
              <w:jc w:val="center"/>
              <w:rPr>
                <w:rFonts w:eastAsia="Times New Roman"/>
                <w:sz w:val="20"/>
                <w:szCs w:val="20"/>
              </w:rPr>
            </w:pPr>
          </w:p>
        </w:tc>
        <w:tc>
          <w:tcPr>
            <w:tcW w:w="1266" w:type="dxa"/>
            <w:vAlign w:val="bottom"/>
          </w:tcPr>
          <w:p w:rsidR="00F31B10" w:rsidRPr="00B5055B" w:rsidRDefault="00F31B10" w:rsidP="0056662A">
            <w:pPr>
              <w:spacing w:after="0"/>
              <w:jc w:val="center"/>
              <w:rPr>
                <w:rFonts w:eastAsia="Times New Roman"/>
                <w:sz w:val="20"/>
                <w:szCs w:val="20"/>
              </w:rPr>
            </w:pPr>
            <w:r w:rsidRPr="00B5055B">
              <w:rPr>
                <w:rFonts w:eastAsia="Times New Roman"/>
                <w:sz w:val="20"/>
                <w:szCs w:val="20"/>
              </w:rPr>
              <w:t>120</w:t>
            </w:r>
            <w:r>
              <w:rPr>
                <w:rFonts w:eastAsia="Times New Roman"/>
                <w:sz w:val="20"/>
                <w:szCs w:val="20"/>
                <w:lang w:val="sr-Cyrl-RS"/>
              </w:rPr>
              <w:t>.</w:t>
            </w:r>
            <w:r>
              <w:rPr>
                <w:rFonts w:eastAsia="Times New Roman"/>
                <w:sz w:val="20"/>
                <w:szCs w:val="20"/>
              </w:rPr>
              <w:t>000,</w:t>
            </w:r>
            <w:r w:rsidRPr="00B5055B">
              <w:rPr>
                <w:rFonts w:eastAsia="Times New Roman"/>
                <w:sz w:val="20"/>
                <w:szCs w:val="20"/>
              </w:rPr>
              <w:t>00</w:t>
            </w:r>
          </w:p>
        </w:tc>
      </w:tr>
      <w:tr w:rsidR="00F31B10" w:rsidRPr="00B5055B" w:rsidTr="0056662A">
        <w:tc>
          <w:tcPr>
            <w:tcW w:w="2193" w:type="dxa"/>
          </w:tcPr>
          <w:p w:rsidR="00F31B10" w:rsidRPr="00B5055B" w:rsidRDefault="00F31B10" w:rsidP="0056662A">
            <w:pPr>
              <w:spacing w:after="0"/>
              <w:rPr>
                <w:sz w:val="20"/>
                <w:szCs w:val="20"/>
              </w:rPr>
            </w:pPr>
            <w:r w:rsidRPr="00B5055B">
              <w:rPr>
                <w:sz w:val="20"/>
                <w:szCs w:val="20"/>
              </w:rPr>
              <w:t>Хрвати</w:t>
            </w:r>
          </w:p>
        </w:tc>
        <w:tc>
          <w:tcPr>
            <w:tcW w:w="1266" w:type="dxa"/>
            <w:vAlign w:val="bottom"/>
          </w:tcPr>
          <w:p w:rsidR="00F31B10" w:rsidRPr="00B5055B" w:rsidRDefault="00F31B10" w:rsidP="0056662A">
            <w:pPr>
              <w:spacing w:after="0"/>
              <w:jc w:val="center"/>
              <w:rPr>
                <w:rFonts w:eastAsia="Times New Roman"/>
                <w:color w:val="000000"/>
                <w:sz w:val="20"/>
                <w:szCs w:val="20"/>
              </w:rPr>
            </w:pPr>
            <w:r w:rsidRPr="00B5055B">
              <w:rPr>
                <w:rFonts w:eastAsia="Times New Roman"/>
                <w:color w:val="000000"/>
                <w:sz w:val="20"/>
                <w:szCs w:val="20"/>
              </w:rPr>
              <w:t>1.320</w:t>
            </w:r>
            <w:r w:rsidRPr="00B5055B">
              <w:rPr>
                <w:rFonts w:eastAsia="Times New Roman"/>
                <w:color w:val="000000"/>
                <w:sz w:val="20"/>
                <w:szCs w:val="20"/>
                <w:lang w:val="sr-Cyrl-RS"/>
              </w:rPr>
              <w:t>.</w:t>
            </w:r>
            <w:r w:rsidRPr="00B5055B">
              <w:rPr>
                <w:rFonts w:eastAsia="Times New Roman"/>
                <w:color w:val="000000"/>
                <w:sz w:val="20"/>
                <w:szCs w:val="20"/>
              </w:rPr>
              <w:t>000</w:t>
            </w:r>
            <w:r w:rsidRPr="00B5055B">
              <w:rPr>
                <w:rFonts w:eastAsia="Times New Roman"/>
                <w:color w:val="000000"/>
                <w:sz w:val="20"/>
                <w:szCs w:val="20"/>
                <w:lang w:val="sr-Cyrl-RS"/>
              </w:rPr>
              <w:t>,</w:t>
            </w:r>
            <w:r w:rsidRPr="00B5055B">
              <w:rPr>
                <w:rFonts w:eastAsia="Times New Roman"/>
                <w:color w:val="000000"/>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1.320.000,</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1.614</w:t>
            </w:r>
            <w:r>
              <w:rPr>
                <w:rFonts w:eastAsia="Times New Roman"/>
                <w:sz w:val="20"/>
                <w:szCs w:val="20"/>
                <w:lang w:val="sr-Cyrl-RS"/>
              </w:rPr>
              <w:t>.</w:t>
            </w:r>
            <w:r>
              <w:rPr>
                <w:rFonts w:eastAsia="Times New Roman"/>
                <w:sz w:val="20"/>
                <w:szCs w:val="20"/>
              </w:rPr>
              <w:t>000,</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1.560.000,</w:t>
            </w:r>
            <w:r w:rsidRPr="00B5055B">
              <w:rPr>
                <w:rFonts w:eastAsia="Times New Roman"/>
                <w:sz w:val="20"/>
                <w:szCs w:val="20"/>
              </w:rPr>
              <w:t>00</w:t>
            </w:r>
          </w:p>
        </w:tc>
        <w:tc>
          <w:tcPr>
            <w:tcW w:w="1266"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1.350.</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r>
      <w:tr w:rsidR="00F31B10" w:rsidRPr="00B5055B" w:rsidTr="0056662A">
        <w:tc>
          <w:tcPr>
            <w:tcW w:w="2193" w:type="dxa"/>
          </w:tcPr>
          <w:p w:rsidR="00F31B10" w:rsidRPr="00B5055B" w:rsidRDefault="00F31B10" w:rsidP="0056662A">
            <w:pPr>
              <w:spacing w:after="0"/>
              <w:rPr>
                <w:sz w:val="20"/>
                <w:szCs w:val="20"/>
              </w:rPr>
            </w:pPr>
            <w:r w:rsidRPr="00B5055B">
              <w:rPr>
                <w:sz w:val="20"/>
                <w:szCs w:val="20"/>
              </w:rPr>
              <w:t>Цинцари</w:t>
            </w:r>
          </w:p>
        </w:tc>
        <w:tc>
          <w:tcPr>
            <w:tcW w:w="1266" w:type="dxa"/>
            <w:vAlign w:val="bottom"/>
          </w:tcPr>
          <w:p w:rsidR="00F31B10" w:rsidRPr="00B5055B" w:rsidRDefault="00F31B10" w:rsidP="0056662A">
            <w:pPr>
              <w:spacing w:after="0"/>
              <w:jc w:val="center"/>
              <w:rPr>
                <w:rFonts w:eastAsia="Times New Roman"/>
                <w:b/>
                <w:bCs/>
                <w:sz w:val="20"/>
                <w:szCs w:val="20"/>
              </w:rPr>
            </w:pPr>
          </w:p>
        </w:tc>
        <w:tc>
          <w:tcPr>
            <w:tcW w:w="1385" w:type="dxa"/>
            <w:vAlign w:val="bottom"/>
          </w:tcPr>
          <w:p w:rsidR="00F31B10" w:rsidRPr="00B5055B" w:rsidRDefault="00F31B10" w:rsidP="0056662A">
            <w:pPr>
              <w:spacing w:after="0"/>
              <w:jc w:val="center"/>
              <w:rPr>
                <w:rFonts w:eastAsia="Times New Roman"/>
                <w:sz w:val="20"/>
                <w:szCs w:val="20"/>
              </w:rPr>
            </w:pP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120</w:t>
            </w:r>
            <w:r>
              <w:rPr>
                <w:rFonts w:eastAsia="Times New Roman"/>
                <w:sz w:val="20"/>
                <w:szCs w:val="20"/>
                <w:lang w:val="sr-Cyrl-RS"/>
              </w:rPr>
              <w:t>.</w:t>
            </w:r>
            <w:r>
              <w:rPr>
                <w:rFonts w:eastAsia="Times New Roman"/>
                <w:sz w:val="20"/>
                <w:szCs w:val="20"/>
              </w:rPr>
              <w:t>000,</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120.</w:t>
            </w:r>
            <w:r w:rsidRPr="00B5055B">
              <w:rPr>
                <w:rFonts w:eastAsia="Times New Roman"/>
                <w:sz w:val="20"/>
                <w:szCs w:val="20"/>
              </w:rPr>
              <w:t>00</w:t>
            </w:r>
            <w:r>
              <w:rPr>
                <w:rFonts w:eastAsia="Times New Roman"/>
                <w:sz w:val="20"/>
                <w:szCs w:val="20"/>
              </w:rPr>
              <w:t>0,</w:t>
            </w:r>
            <w:r w:rsidRPr="00B5055B">
              <w:rPr>
                <w:rFonts w:eastAsia="Times New Roman"/>
                <w:sz w:val="20"/>
                <w:szCs w:val="20"/>
              </w:rPr>
              <w:t>00</w:t>
            </w:r>
          </w:p>
        </w:tc>
        <w:tc>
          <w:tcPr>
            <w:tcW w:w="1266" w:type="dxa"/>
            <w:vAlign w:val="bottom"/>
          </w:tcPr>
          <w:p w:rsidR="00F31B10" w:rsidRPr="00B5055B" w:rsidRDefault="00F31B10" w:rsidP="0056662A">
            <w:pPr>
              <w:spacing w:after="0"/>
              <w:jc w:val="center"/>
              <w:rPr>
                <w:rFonts w:eastAsia="Times New Roman"/>
                <w:sz w:val="20"/>
                <w:szCs w:val="20"/>
              </w:rPr>
            </w:pPr>
            <w:r>
              <w:rPr>
                <w:rFonts w:eastAsia="Times New Roman"/>
                <w:sz w:val="20"/>
                <w:szCs w:val="20"/>
              </w:rPr>
              <w:t>240.000,</w:t>
            </w:r>
            <w:r w:rsidRPr="00B5055B">
              <w:rPr>
                <w:rFonts w:eastAsia="Times New Roman"/>
                <w:sz w:val="20"/>
                <w:szCs w:val="20"/>
              </w:rPr>
              <w:t>00</w:t>
            </w:r>
          </w:p>
        </w:tc>
      </w:tr>
      <w:tr w:rsidR="00F31B10" w:rsidRPr="00B5055B" w:rsidTr="0056662A">
        <w:tc>
          <w:tcPr>
            <w:tcW w:w="2193" w:type="dxa"/>
          </w:tcPr>
          <w:p w:rsidR="00F31B10" w:rsidRPr="00B5055B" w:rsidRDefault="00F31B10" w:rsidP="0056662A">
            <w:pPr>
              <w:spacing w:after="0"/>
              <w:rPr>
                <w:sz w:val="20"/>
                <w:szCs w:val="20"/>
              </w:rPr>
            </w:pPr>
            <w:r w:rsidRPr="00B5055B">
              <w:rPr>
                <w:sz w:val="20"/>
                <w:szCs w:val="20"/>
              </w:rPr>
              <w:t>Црногорци</w:t>
            </w:r>
          </w:p>
        </w:tc>
        <w:tc>
          <w:tcPr>
            <w:tcW w:w="1266" w:type="dxa"/>
            <w:vAlign w:val="bottom"/>
          </w:tcPr>
          <w:p w:rsidR="00F31B10" w:rsidRPr="00B5055B" w:rsidRDefault="00F31B10" w:rsidP="0056662A">
            <w:pPr>
              <w:spacing w:after="0"/>
              <w:jc w:val="center"/>
              <w:rPr>
                <w:rFonts w:eastAsia="Times New Roman"/>
                <w:b/>
                <w:bCs/>
                <w:sz w:val="20"/>
                <w:szCs w:val="20"/>
              </w:rPr>
            </w:pPr>
          </w:p>
        </w:tc>
        <w:tc>
          <w:tcPr>
            <w:tcW w:w="1385" w:type="dxa"/>
            <w:vAlign w:val="bottom"/>
          </w:tcPr>
          <w:p w:rsidR="00F31B10" w:rsidRPr="00B5055B" w:rsidRDefault="00F31B10" w:rsidP="0056662A">
            <w:pPr>
              <w:spacing w:after="0"/>
              <w:jc w:val="center"/>
              <w:rPr>
                <w:rFonts w:eastAsia="Times New Roman"/>
                <w:sz w:val="20"/>
                <w:szCs w:val="20"/>
              </w:rPr>
            </w:pPr>
            <w:r w:rsidRPr="00B5055B">
              <w:rPr>
                <w:rFonts w:eastAsia="Times New Roman"/>
                <w:sz w:val="20"/>
                <w:szCs w:val="20"/>
              </w:rPr>
              <w:t>240</w:t>
            </w:r>
            <w:r>
              <w:rPr>
                <w:rFonts w:eastAsia="Times New Roman"/>
                <w:sz w:val="20"/>
                <w:szCs w:val="20"/>
                <w:lang w:val="sr-Cyrl-RS"/>
              </w:rPr>
              <w:t>.</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sidRPr="00B5055B">
              <w:rPr>
                <w:rFonts w:eastAsia="Times New Roman"/>
                <w:sz w:val="20"/>
                <w:szCs w:val="20"/>
              </w:rPr>
              <w:t>120</w:t>
            </w:r>
            <w:r>
              <w:rPr>
                <w:rFonts w:eastAsia="Times New Roman"/>
                <w:sz w:val="20"/>
                <w:szCs w:val="20"/>
                <w:lang w:val="sr-Cyrl-RS"/>
              </w:rPr>
              <w:t>.</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sidRPr="00B5055B">
              <w:rPr>
                <w:rFonts w:eastAsia="Times New Roman"/>
                <w:sz w:val="20"/>
                <w:szCs w:val="20"/>
              </w:rPr>
              <w:t>120</w:t>
            </w:r>
            <w:r>
              <w:rPr>
                <w:rFonts w:eastAsia="Times New Roman"/>
                <w:sz w:val="20"/>
                <w:szCs w:val="20"/>
                <w:lang w:val="sr-Cyrl-RS"/>
              </w:rPr>
              <w:t>.</w:t>
            </w:r>
            <w:r>
              <w:rPr>
                <w:rFonts w:eastAsia="Times New Roman"/>
                <w:sz w:val="20"/>
                <w:szCs w:val="20"/>
              </w:rPr>
              <w:t>000,</w:t>
            </w:r>
            <w:r w:rsidRPr="00B5055B">
              <w:rPr>
                <w:rFonts w:eastAsia="Times New Roman"/>
                <w:sz w:val="20"/>
                <w:szCs w:val="20"/>
              </w:rPr>
              <w:t>00</w:t>
            </w:r>
          </w:p>
        </w:tc>
        <w:tc>
          <w:tcPr>
            <w:tcW w:w="1266" w:type="dxa"/>
            <w:vAlign w:val="bottom"/>
          </w:tcPr>
          <w:p w:rsidR="00F31B10" w:rsidRPr="00B5055B" w:rsidRDefault="00F31B10" w:rsidP="0056662A">
            <w:pPr>
              <w:spacing w:after="0"/>
              <w:jc w:val="center"/>
              <w:rPr>
                <w:rFonts w:eastAsia="Times New Roman"/>
                <w:sz w:val="20"/>
                <w:szCs w:val="20"/>
              </w:rPr>
            </w:pPr>
            <w:r w:rsidRPr="00B5055B">
              <w:rPr>
                <w:rFonts w:eastAsia="Times New Roman"/>
                <w:sz w:val="20"/>
                <w:szCs w:val="20"/>
              </w:rPr>
              <w:t>240</w:t>
            </w:r>
            <w:r>
              <w:rPr>
                <w:rFonts w:eastAsia="Times New Roman"/>
                <w:sz w:val="20"/>
                <w:szCs w:val="20"/>
                <w:lang w:val="sr-Cyrl-RS"/>
              </w:rPr>
              <w:t>.</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r>
      <w:tr w:rsidR="00F31B10" w:rsidRPr="00B5055B" w:rsidTr="0056662A">
        <w:tc>
          <w:tcPr>
            <w:tcW w:w="2193" w:type="dxa"/>
            <w:vAlign w:val="bottom"/>
          </w:tcPr>
          <w:p w:rsidR="00F31B10" w:rsidRPr="00B5055B" w:rsidRDefault="00F31B10" w:rsidP="0056662A">
            <w:pPr>
              <w:spacing w:after="0"/>
              <w:rPr>
                <w:rFonts w:eastAsia="Times New Roman"/>
                <w:bCs/>
                <w:sz w:val="20"/>
                <w:szCs w:val="20"/>
              </w:rPr>
            </w:pPr>
            <w:r w:rsidRPr="00B5055B">
              <w:rPr>
                <w:rFonts w:eastAsia="Times New Roman"/>
                <w:bCs/>
                <w:sz w:val="20"/>
                <w:szCs w:val="20"/>
              </w:rPr>
              <w:t>Чеси</w:t>
            </w:r>
          </w:p>
        </w:tc>
        <w:tc>
          <w:tcPr>
            <w:tcW w:w="1266" w:type="dxa"/>
            <w:vAlign w:val="bottom"/>
          </w:tcPr>
          <w:p w:rsidR="00F31B10" w:rsidRPr="00B5055B" w:rsidRDefault="00F31B10" w:rsidP="0056662A">
            <w:pPr>
              <w:spacing w:after="0"/>
              <w:jc w:val="center"/>
              <w:rPr>
                <w:rFonts w:eastAsia="Times New Roman"/>
                <w:color w:val="000000"/>
                <w:sz w:val="20"/>
                <w:szCs w:val="20"/>
              </w:rPr>
            </w:pPr>
            <w:r w:rsidRPr="00B5055B">
              <w:rPr>
                <w:rFonts w:eastAsia="Times New Roman"/>
                <w:color w:val="000000"/>
                <w:sz w:val="20"/>
                <w:szCs w:val="20"/>
              </w:rPr>
              <w:t>470</w:t>
            </w:r>
            <w:r w:rsidRPr="00B5055B">
              <w:rPr>
                <w:rFonts w:eastAsia="Times New Roman"/>
                <w:color w:val="000000"/>
                <w:sz w:val="20"/>
                <w:szCs w:val="20"/>
                <w:lang w:val="sr-Cyrl-RS"/>
              </w:rPr>
              <w:t>.</w:t>
            </w:r>
            <w:r w:rsidRPr="00B5055B">
              <w:rPr>
                <w:rFonts w:eastAsia="Times New Roman"/>
                <w:color w:val="000000"/>
                <w:sz w:val="20"/>
                <w:szCs w:val="20"/>
              </w:rPr>
              <w:t>000</w:t>
            </w:r>
            <w:r w:rsidRPr="00B5055B">
              <w:rPr>
                <w:rFonts w:eastAsia="Times New Roman"/>
                <w:color w:val="000000"/>
                <w:sz w:val="20"/>
                <w:szCs w:val="20"/>
                <w:lang w:val="sr-Cyrl-RS"/>
              </w:rPr>
              <w:t>,</w:t>
            </w:r>
            <w:r w:rsidRPr="00B5055B">
              <w:rPr>
                <w:rFonts w:eastAsia="Times New Roman"/>
                <w:color w:val="000000"/>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sidRPr="00B5055B">
              <w:rPr>
                <w:rFonts w:eastAsia="Times New Roman"/>
                <w:sz w:val="20"/>
                <w:szCs w:val="20"/>
              </w:rPr>
              <w:t>245</w:t>
            </w:r>
            <w:r>
              <w:rPr>
                <w:rFonts w:eastAsia="Times New Roman"/>
                <w:sz w:val="20"/>
                <w:szCs w:val="20"/>
                <w:lang w:val="sr-Cyrl-RS"/>
              </w:rPr>
              <w:t>.</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sidRPr="00B5055B">
              <w:rPr>
                <w:rFonts w:eastAsia="Times New Roman"/>
                <w:sz w:val="20"/>
                <w:szCs w:val="20"/>
              </w:rPr>
              <w:t>360</w:t>
            </w:r>
            <w:r>
              <w:rPr>
                <w:rFonts w:eastAsia="Times New Roman"/>
                <w:sz w:val="20"/>
                <w:szCs w:val="20"/>
                <w:lang w:val="sr-Cyrl-RS"/>
              </w:rPr>
              <w:t>.</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c>
          <w:tcPr>
            <w:tcW w:w="1385" w:type="dxa"/>
            <w:vAlign w:val="bottom"/>
          </w:tcPr>
          <w:p w:rsidR="00F31B10" w:rsidRPr="00B5055B" w:rsidRDefault="00F31B10" w:rsidP="0056662A">
            <w:pPr>
              <w:spacing w:after="0"/>
              <w:jc w:val="center"/>
              <w:rPr>
                <w:rFonts w:eastAsia="Times New Roman"/>
                <w:sz w:val="20"/>
                <w:szCs w:val="20"/>
              </w:rPr>
            </w:pPr>
            <w:r w:rsidRPr="00B5055B">
              <w:rPr>
                <w:rFonts w:eastAsia="Times New Roman"/>
                <w:sz w:val="20"/>
                <w:szCs w:val="20"/>
              </w:rPr>
              <w:t>240</w:t>
            </w:r>
            <w:r>
              <w:rPr>
                <w:rFonts w:eastAsia="Times New Roman"/>
                <w:sz w:val="20"/>
                <w:szCs w:val="20"/>
                <w:lang w:val="sr-Cyrl-RS"/>
              </w:rPr>
              <w:t>.</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c>
          <w:tcPr>
            <w:tcW w:w="1266" w:type="dxa"/>
            <w:vAlign w:val="bottom"/>
          </w:tcPr>
          <w:p w:rsidR="00F31B10" w:rsidRPr="00B5055B" w:rsidRDefault="00F31B10" w:rsidP="0056662A">
            <w:pPr>
              <w:spacing w:after="0"/>
              <w:jc w:val="center"/>
              <w:rPr>
                <w:rFonts w:eastAsia="Times New Roman"/>
                <w:sz w:val="20"/>
                <w:szCs w:val="20"/>
              </w:rPr>
            </w:pPr>
            <w:r w:rsidRPr="00B5055B">
              <w:rPr>
                <w:rFonts w:eastAsia="Times New Roman"/>
                <w:sz w:val="20"/>
                <w:szCs w:val="20"/>
              </w:rPr>
              <w:t>240</w:t>
            </w:r>
            <w:r>
              <w:rPr>
                <w:rFonts w:eastAsia="Times New Roman"/>
                <w:sz w:val="20"/>
                <w:szCs w:val="20"/>
                <w:lang w:val="sr-Cyrl-RS"/>
              </w:rPr>
              <w:t>.</w:t>
            </w:r>
            <w:r w:rsidRPr="00B5055B">
              <w:rPr>
                <w:rFonts w:eastAsia="Times New Roman"/>
                <w:sz w:val="20"/>
                <w:szCs w:val="20"/>
              </w:rPr>
              <w:t>000</w:t>
            </w:r>
            <w:r>
              <w:rPr>
                <w:rFonts w:eastAsia="Times New Roman"/>
                <w:sz w:val="20"/>
                <w:szCs w:val="20"/>
                <w:lang w:val="sr-Cyrl-RS"/>
              </w:rPr>
              <w:t>,</w:t>
            </w:r>
            <w:r w:rsidRPr="00B5055B">
              <w:rPr>
                <w:rFonts w:eastAsia="Times New Roman"/>
                <w:sz w:val="20"/>
                <w:szCs w:val="20"/>
              </w:rPr>
              <w:t>00</w:t>
            </w:r>
          </w:p>
        </w:tc>
      </w:tr>
    </w:tbl>
    <w:p w:rsidR="00F31B10" w:rsidRDefault="00F31B10" w:rsidP="00F31B10">
      <w:pPr>
        <w:spacing w:after="0"/>
        <w:ind w:firstLine="720"/>
        <w:jc w:val="both"/>
        <w:rPr>
          <w:sz w:val="24"/>
          <w:szCs w:val="24"/>
          <w:lang w:val="sr-Cyrl-RS"/>
        </w:rPr>
      </w:pPr>
    </w:p>
    <w:p w:rsidR="00F31B10" w:rsidRDefault="00F31B10" w:rsidP="00F31B10">
      <w:pPr>
        <w:spacing w:after="0"/>
        <w:ind w:firstLine="720"/>
        <w:jc w:val="both"/>
        <w:rPr>
          <w:sz w:val="24"/>
          <w:szCs w:val="24"/>
          <w:lang w:val="sr-Cyrl-RS"/>
        </w:rPr>
      </w:pPr>
      <w:r w:rsidRPr="001A2D57">
        <w:rPr>
          <w:sz w:val="24"/>
          <w:szCs w:val="24"/>
          <w:lang w:val="sr-Cyrl-RS"/>
        </w:rPr>
        <w:t xml:space="preserve">Пројекти националних мањина, односно пројекти који су од значаја за националне мањине подржавају се у значајном обиму и путем других конкурса које расписује </w:t>
      </w:r>
      <w:r w:rsidR="00510FA0">
        <w:rPr>
          <w:sz w:val="24"/>
          <w:szCs w:val="24"/>
          <w:lang w:val="sr-Cyrl-RS"/>
        </w:rPr>
        <w:t>М</w:t>
      </w:r>
      <w:r w:rsidRPr="001A2D57">
        <w:rPr>
          <w:sz w:val="24"/>
          <w:szCs w:val="24"/>
          <w:lang w:val="sr-Cyrl-RS"/>
        </w:rPr>
        <w:t>инистарство</w:t>
      </w:r>
      <w:r w:rsidR="00510FA0">
        <w:rPr>
          <w:sz w:val="24"/>
          <w:szCs w:val="24"/>
          <w:lang w:val="sr-Cyrl-RS"/>
        </w:rPr>
        <w:t>.</w:t>
      </w:r>
      <w:r w:rsidRPr="001A2D57">
        <w:rPr>
          <w:sz w:val="24"/>
          <w:szCs w:val="24"/>
          <w:lang w:val="sr-Cyrl-RS"/>
        </w:rPr>
        <w:t xml:space="preserve"> </w:t>
      </w:r>
      <w:r w:rsidR="00510FA0" w:rsidRPr="00510FA0">
        <w:rPr>
          <w:sz w:val="24"/>
          <w:szCs w:val="24"/>
          <w:lang w:val="sr-Cyrl-RS"/>
        </w:rPr>
        <w:t xml:space="preserve">Табела у наставку садржи податке о пројектима </w:t>
      </w:r>
      <w:r w:rsidR="00510FA0">
        <w:rPr>
          <w:sz w:val="24"/>
          <w:szCs w:val="24"/>
          <w:lang w:val="sr-Cyrl-RS"/>
        </w:rPr>
        <w:t>који су финансирани на другим конкурсма</w:t>
      </w:r>
      <w:r w:rsidR="00510FA0" w:rsidRPr="004051F5">
        <w:rPr>
          <w:sz w:val="24"/>
          <w:szCs w:val="24"/>
          <w:lang w:val="sr-Cyrl-RS"/>
        </w:rPr>
        <w:t xml:space="preserve">. Важно је, међутим, </w:t>
      </w:r>
      <w:r w:rsidRPr="004051F5">
        <w:rPr>
          <w:sz w:val="24"/>
          <w:szCs w:val="24"/>
          <w:lang w:val="sr-Cyrl-RS"/>
        </w:rPr>
        <w:t>истаћи да</w:t>
      </w:r>
      <w:r w:rsidR="00510FA0" w:rsidRPr="004051F5">
        <w:rPr>
          <w:sz w:val="24"/>
          <w:szCs w:val="24"/>
          <w:lang w:val="sr-Cyrl-RS"/>
        </w:rPr>
        <w:t xml:space="preserve"> је реч само о пројектима за које се </w:t>
      </w:r>
      <w:r w:rsidR="004051F5" w:rsidRPr="004051F5">
        <w:rPr>
          <w:sz w:val="24"/>
          <w:szCs w:val="24"/>
          <w:lang w:val="sr-Cyrl-RS"/>
        </w:rPr>
        <w:t xml:space="preserve">са сигурношћу може утврдити да представљају пројекте који се односе на националне мањине, а да је стваран број пројеката и додељених средстава свакако већи, </w:t>
      </w:r>
      <w:r w:rsidRPr="004051F5">
        <w:rPr>
          <w:sz w:val="24"/>
          <w:szCs w:val="24"/>
          <w:lang w:val="sr-Cyrl-RS"/>
        </w:rPr>
        <w:t>јер се</w:t>
      </w:r>
      <w:r w:rsidR="004051F5" w:rsidRPr="004051F5">
        <w:rPr>
          <w:sz w:val="24"/>
          <w:szCs w:val="24"/>
          <w:lang w:val="sr-Cyrl-RS"/>
        </w:rPr>
        <w:t>, у сваком конкретном случају</w:t>
      </w:r>
      <w:r w:rsidRPr="004051F5">
        <w:rPr>
          <w:sz w:val="24"/>
          <w:szCs w:val="24"/>
          <w:lang w:val="sr-Cyrl-RS"/>
        </w:rPr>
        <w:t xml:space="preserve"> не може добити поуздан податак о националној припадности</w:t>
      </w:r>
      <w:r w:rsidR="004051F5" w:rsidRPr="004051F5">
        <w:rPr>
          <w:sz w:val="24"/>
          <w:szCs w:val="24"/>
          <w:lang w:val="sr-Cyrl-RS"/>
        </w:rPr>
        <w:t xml:space="preserve"> чланова удружења - подносилаца пројеката и/или бенефицијара пројектних активности.</w:t>
      </w:r>
    </w:p>
    <w:p w:rsidR="00F31B10" w:rsidRDefault="00F31B10" w:rsidP="00F31B10">
      <w:pPr>
        <w:spacing w:after="0"/>
        <w:jc w:val="both"/>
        <w:rPr>
          <w:sz w:val="24"/>
          <w:szCs w:val="24"/>
          <w:lang w:val="sr-Cyrl-RS"/>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F31B10" w:rsidRPr="00E470B3" w:rsidTr="0056662A">
        <w:tc>
          <w:tcPr>
            <w:tcW w:w="1502" w:type="dxa"/>
          </w:tcPr>
          <w:p w:rsidR="00F31B10" w:rsidRPr="00E470B3" w:rsidRDefault="00F31B10" w:rsidP="0056662A">
            <w:pPr>
              <w:spacing w:after="0"/>
              <w:jc w:val="center"/>
              <w:rPr>
                <w:sz w:val="20"/>
                <w:szCs w:val="20"/>
                <w:lang w:val="sr-Cyrl-RS"/>
              </w:rPr>
            </w:pPr>
          </w:p>
        </w:tc>
        <w:tc>
          <w:tcPr>
            <w:tcW w:w="1502" w:type="dxa"/>
          </w:tcPr>
          <w:p w:rsidR="00F31B10" w:rsidRPr="00E470B3" w:rsidRDefault="00F31B10" w:rsidP="0056662A">
            <w:pPr>
              <w:spacing w:after="0"/>
              <w:jc w:val="center"/>
              <w:rPr>
                <w:sz w:val="20"/>
                <w:szCs w:val="20"/>
                <w:lang w:val="sr-Cyrl-RS"/>
              </w:rPr>
            </w:pPr>
            <w:r w:rsidRPr="00E470B3">
              <w:rPr>
                <w:sz w:val="20"/>
                <w:szCs w:val="20"/>
                <w:lang w:val="sr-Cyrl-RS"/>
              </w:rPr>
              <w:t>2017.</w:t>
            </w:r>
          </w:p>
        </w:tc>
        <w:tc>
          <w:tcPr>
            <w:tcW w:w="1503" w:type="dxa"/>
          </w:tcPr>
          <w:p w:rsidR="00F31B10" w:rsidRPr="00E470B3" w:rsidRDefault="00F31B10" w:rsidP="0056662A">
            <w:pPr>
              <w:spacing w:after="0"/>
              <w:jc w:val="center"/>
              <w:rPr>
                <w:sz w:val="20"/>
                <w:szCs w:val="20"/>
                <w:lang w:val="sr-Cyrl-RS"/>
              </w:rPr>
            </w:pPr>
            <w:r w:rsidRPr="00E470B3">
              <w:rPr>
                <w:sz w:val="20"/>
                <w:szCs w:val="20"/>
                <w:lang w:val="sr-Cyrl-RS"/>
              </w:rPr>
              <w:t>2018.</w:t>
            </w:r>
          </w:p>
        </w:tc>
        <w:tc>
          <w:tcPr>
            <w:tcW w:w="1503" w:type="dxa"/>
          </w:tcPr>
          <w:p w:rsidR="00F31B10" w:rsidRPr="00E470B3" w:rsidRDefault="00F31B10" w:rsidP="0056662A">
            <w:pPr>
              <w:spacing w:after="0"/>
              <w:jc w:val="center"/>
              <w:rPr>
                <w:sz w:val="20"/>
                <w:szCs w:val="20"/>
                <w:lang w:val="sr-Cyrl-RS"/>
              </w:rPr>
            </w:pPr>
            <w:r w:rsidRPr="00E470B3">
              <w:rPr>
                <w:sz w:val="20"/>
                <w:szCs w:val="20"/>
                <w:lang w:val="sr-Cyrl-RS"/>
              </w:rPr>
              <w:t>2019.</w:t>
            </w:r>
          </w:p>
        </w:tc>
        <w:tc>
          <w:tcPr>
            <w:tcW w:w="1503" w:type="dxa"/>
          </w:tcPr>
          <w:p w:rsidR="00F31B10" w:rsidRPr="00E470B3" w:rsidRDefault="00F31B10" w:rsidP="0056662A">
            <w:pPr>
              <w:spacing w:after="0"/>
              <w:jc w:val="center"/>
              <w:rPr>
                <w:sz w:val="20"/>
                <w:szCs w:val="20"/>
                <w:lang w:val="sr-Cyrl-RS"/>
              </w:rPr>
            </w:pPr>
            <w:r w:rsidRPr="00E470B3">
              <w:rPr>
                <w:sz w:val="20"/>
                <w:szCs w:val="20"/>
                <w:lang w:val="sr-Cyrl-RS"/>
              </w:rPr>
              <w:t>2020.</w:t>
            </w:r>
          </w:p>
        </w:tc>
        <w:tc>
          <w:tcPr>
            <w:tcW w:w="1503" w:type="dxa"/>
          </w:tcPr>
          <w:p w:rsidR="00F31B10" w:rsidRPr="00E470B3" w:rsidRDefault="00F31B10" w:rsidP="0056662A">
            <w:pPr>
              <w:spacing w:after="0"/>
              <w:jc w:val="center"/>
              <w:rPr>
                <w:sz w:val="20"/>
                <w:szCs w:val="20"/>
                <w:lang w:val="sr-Cyrl-RS"/>
              </w:rPr>
            </w:pPr>
            <w:r w:rsidRPr="00E470B3">
              <w:rPr>
                <w:sz w:val="20"/>
                <w:szCs w:val="20"/>
                <w:lang w:val="sr-Cyrl-RS"/>
              </w:rPr>
              <w:t>2021.</w:t>
            </w:r>
          </w:p>
        </w:tc>
      </w:tr>
      <w:tr w:rsidR="00F31B10" w:rsidRPr="00E470B3" w:rsidTr="0056662A">
        <w:tc>
          <w:tcPr>
            <w:tcW w:w="1502" w:type="dxa"/>
            <w:vAlign w:val="bottom"/>
          </w:tcPr>
          <w:p w:rsidR="00F31B10" w:rsidRPr="00E470B3" w:rsidRDefault="00F31B10" w:rsidP="0056662A">
            <w:pPr>
              <w:spacing w:after="0"/>
              <w:rPr>
                <w:rFonts w:eastAsia="Times New Roman"/>
                <w:color w:val="000000"/>
                <w:sz w:val="20"/>
                <w:szCs w:val="20"/>
              </w:rPr>
            </w:pPr>
            <w:r>
              <w:rPr>
                <w:rFonts w:eastAsia="Times New Roman"/>
                <w:color w:val="000000"/>
                <w:sz w:val="20"/>
                <w:szCs w:val="20"/>
                <w:lang w:val="sr-Cyrl-RS"/>
              </w:rPr>
              <w:t>Б</w:t>
            </w:r>
            <w:r w:rsidRPr="00E470B3">
              <w:rPr>
                <w:rFonts w:eastAsia="Times New Roman"/>
                <w:color w:val="000000"/>
                <w:sz w:val="20"/>
                <w:szCs w:val="20"/>
              </w:rPr>
              <w:t>рој пројеката</w:t>
            </w:r>
          </w:p>
        </w:tc>
        <w:tc>
          <w:tcPr>
            <w:tcW w:w="1502" w:type="dxa"/>
            <w:vAlign w:val="center"/>
          </w:tcPr>
          <w:p w:rsidR="00F31B10" w:rsidRPr="00E470B3" w:rsidRDefault="00F31B10" w:rsidP="0056662A">
            <w:pPr>
              <w:spacing w:after="0"/>
              <w:jc w:val="center"/>
              <w:rPr>
                <w:rFonts w:eastAsia="Times New Roman"/>
                <w:color w:val="000000"/>
                <w:sz w:val="20"/>
                <w:szCs w:val="20"/>
              </w:rPr>
            </w:pPr>
            <w:r w:rsidRPr="00E470B3">
              <w:rPr>
                <w:rFonts w:eastAsia="Times New Roman"/>
                <w:color w:val="000000"/>
                <w:sz w:val="20"/>
                <w:szCs w:val="20"/>
              </w:rPr>
              <w:t>11</w:t>
            </w:r>
          </w:p>
        </w:tc>
        <w:tc>
          <w:tcPr>
            <w:tcW w:w="1503" w:type="dxa"/>
            <w:vAlign w:val="center"/>
          </w:tcPr>
          <w:p w:rsidR="00F31B10" w:rsidRPr="00DD045B" w:rsidRDefault="00F31B10" w:rsidP="0056662A">
            <w:pPr>
              <w:spacing w:after="0"/>
              <w:jc w:val="center"/>
              <w:rPr>
                <w:rFonts w:eastAsia="Times New Roman"/>
                <w:color w:val="000000"/>
                <w:sz w:val="20"/>
                <w:szCs w:val="20"/>
                <w:lang w:val="sr-Cyrl-RS"/>
              </w:rPr>
            </w:pPr>
            <w:r>
              <w:rPr>
                <w:rFonts w:eastAsia="Times New Roman"/>
                <w:color w:val="000000"/>
                <w:sz w:val="20"/>
                <w:szCs w:val="20"/>
                <w:lang w:val="sr-Cyrl-RS"/>
              </w:rPr>
              <w:t>14</w:t>
            </w:r>
          </w:p>
        </w:tc>
        <w:tc>
          <w:tcPr>
            <w:tcW w:w="1503" w:type="dxa"/>
            <w:vAlign w:val="center"/>
          </w:tcPr>
          <w:p w:rsidR="00F31B10" w:rsidRPr="00DD045B" w:rsidRDefault="00F31B10" w:rsidP="0056662A">
            <w:pPr>
              <w:spacing w:after="0"/>
              <w:jc w:val="center"/>
              <w:rPr>
                <w:rFonts w:eastAsia="Times New Roman"/>
                <w:color w:val="000000"/>
                <w:sz w:val="20"/>
                <w:szCs w:val="20"/>
                <w:lang w:val="sr-Cyrl-RS"/>
              </w:rPr>
            </w:pPr>
            <w:r>
              <w:rPr>
                <w:rFonts w:eastAsia="Times New Roman"/>
                <w:color w:val="000000"/>
                <w:sz w:val="20"/>
                <w:szCs w:val="20"/>
                <w:lang w:val="sr-Cyrl-RS"/>
              </w:rPr>
              <w:t>24</w:t>
            </w:r>
          </w:p>
        </w:tc>
        <w:tc>
          <w:tcPr>
            <w:tcW w:w="1503" w:type="dxa"/>
            <w:vAlign w:val="center"/>
          </w:tcPr>
          <w:p w:rsidR="00F31B10" w:rsidRPr="00DD045B" w:rsidRDefault="00F31B10" w:rsidP="0056662A">
            <w:pPr>
              <w:spacing w:after="0"/>
              <w:jc w:val="center"/>
              <w:rPr>
                <w:rFonts w:eastAsia="Times New Roman"/>
                <w:color w:val="000000"/>
                <w:sz w:val="20"/>
                <w:szCs w:val="20"/>
                <w:lang w:val="sr-Cyrl-RS"/>
              </w:rPr>
            </w:pPr>
            <w:r>
              <w:rPr>
                <w:rFonts w:eastAsia="Times New Roman"/>
                <w:color w:val="000000"/>
                <w:sz w:val="20"/>
                <w:szCs w:val="20"/>
                <w:lang w:val="sr-Cyrl-RS"/>
              </w:rPr>
              <w:t>10</w:t>
            </w:r>
          </w:p>
        </w:tc>
        <w:tc>
          <w:tcPr>
            <w:tcW w:w="1503" w:type="dxa"/>
            <w:vAlign w:val="center"/>
          </w:tcPr>
          <w:p w:rsidR="00F31B10" w:rsidRPr="00DD045B" w:rsidRDefault="00F31B10" w:rsidP="0056662A">
            <w:pPr>
              <w:spacing w:after="0"/>
              <w:jc w:val="center"/>
              <w:rPr>
                <w:rFonts w:eastAsia="Times New Roman"/>
                <w:color w:val="000000"/>
                <w:sz w:val="20"/>
                <w:szCs w:val="20"/>
                <w:lang w:val="sr-Cyrl-RS"/>
              </w:rPr>
            </w:pPr>
            <w:r>
              <w:rPr>
                <w:rFonts w:eastAsia="Times New Roman"/>
                <w:color w:val="000000"/>
                <w:sz w:val="20"/>
                <w:szCs w:val="20"/>
                <w:lang w:val="sr-Cyrl-RS"/>
              </w:rPr>
              <w:t>16</w:t>
            </w:r>
          </w:p>
        </w:tc>
      </w:tr>
      <w:tr w:rsidR="00F31B10" w:rsidRPr="00E470B3" w:rsidTr="0056662A">
        <w:tc>
          <w:tcPr>
            <w:tcW w:w="1502" w:type="dxa"/>
          </w:tcPr>
          <w:p w:rsidR="00F31B10" w:rsidRPr="00E470B3" w:rsidRDefault="00F31B10" w:rsidP="0056662A">
            <w:pPr>
              <w:spacing w:after="0"/>
              <w:jc w:val="both"/>
              <w:rPr>
                <w:sz w:val="20"/>
                <w:szCs w:val="20"/>
                <w:lang w:val="sr-Cyrl-RS"/>
              </w:rPr>
            </w:pPr>
            <w:r>
              <w:rPr>
                <w:sz w:val="20"/>
                <w:szCs w:val="20"/>
                <w:lang w:val="sr-Cyrl-RS"/>
              </w:rPr>
              <w:t>Износ средстава</w:t>
            </w:r>
          </w:p>
        </w:tc>
        <w:tc>
          <w:tcPr>
            <w:tcW w:w="1502" w:type="dxa"/>
            <w:vAlign w:val="center"/>
          </w:tcPr>
          <w:p w:rsidR="00F31B10" w:rsidRPr="00E470B3" w:rsidRDefault="00F31B10" w:rsidP="0056662A">
            <w:pPr>
              <w:spacing w:after="0"/>
              <w:jc w:val="center"/>
              <w:rPr>
                <w:sz w:val="20"/>
                <w:szCs w:val="20"/>
                <w:lang w:val="sr-Cyrl-RS"/>
              </w:rPr>
            </w:pPr>
            <w:r>
              <w:rPr>
                <w:sz w:val="20"/>
                <w:szCs w:val="20"/>
                <w:lang w:val="sr-Cyrl-RS"/>
              </w:rPr>
              <w:t>5.</w:t>
            </w:r>
            <w:r w:rsidRPr="00E470B3">
              <w:rPr>
                <w:sz w:val="20"/>
                <w:szCs w:val="20"/>
                <w:lang w:val="sr-Cyrl-RS"/>
              </w:rPr>
              <w:t>040</w:t>
            </w:r>
            <w:r>
              <w:rPr>
                <w:sz w:val="20"/>
                <w:szCs w:val="20"/>
                <w:lang w:val="sr-Cyrl-RS"/>
              </w:rPr>
              <w:t>.</w:t>
            </w:r>
            <w:r w:rsidRPr="00E470B3">
              <w:rPr>
                <w:sz w:val="20"/>
                <w:szCs w:val="20"/>
                <w:lang w:val="sr-Cyrl-RS"/>
              </w:rPr>
              <w:t>000</w:t>
            </w:r>
            <w:r>
              <w:rPr>
                <w:sz w:val="20"/>
                <w:szCs w:val="20"/>
                <w:lang w:val="sr-Cyrl-RS"/>
              </w:rPr>
              <w:t>,</w:t>
            </w:r>
            <w:r w:rsidRPr="00E470B3">
              <w:rPr>
                <w:sz w:val="20"/>
                <w:szCs w:val="20"/>
                <w:lang w:val="sr-Cyrl-RS"/>
              </w:rPr>
              <w:t>00</w:t>
            </w:r>
          </w:p>
        </w:tc>
        <w:tc>
          <w:tcPr>
            <w:tcW w:w="1503" w:type="dxa"/>
            <w:vAlign w:val="center"/>
          </w:tcPr>
          <w:p w:rsidR="00F31B10" w:rsidRPr="00E470B3" w:rsidRDefault="00F31B10" w:rsidP="0056662A">
            <w:pPr>
              <w:spacing w:after="0"/>
              <w:jc w:val="center"/>
              <w:rPr>
                <w:sz w:val="20"/>
                <w:szCs w:val="20"/>
                <w:lang w:val="sr-Cyrl-RS"/>
              </w:rPr>
            </w:pPr>
            <w:r w:rsidRPr="00E470B3">
              <w:rPr>
                <w:rFonts w:eastAsia="Times New Roman"/>
                <w:color w:val="000000"/>
                <w:sz w:val="20"/>
                <w:szCs w:val="20"/>
              </w:rPr>
              <w:t>12</w:t>
            </w:r>
            <w:r>
              <w:rPr>
                <w:rFonts w:eastAsia="Times New Roman"/>
                <w:color w:val="000000"/>
                <w:sz w:val="20"/>
                <w:szCs w:val="20"/>
                <w:lang w:val="sr-Cyrl-RS"/>
              </w:rPr>
              <w:t>.</w:t>
            </w:r>
            <w:r w:rsidRPr="00E470B3">
              <w:rPr>
                <w:rFonts w:eastAsia="Times New Roman"/>
                <w:color w:val="000000"/>
                <w:sz w:val="20"/>
                <w:szCs w:val="20"/>
              </w:rPr>
              <w:t>414</w:t>
            </w:r>
            <w:r>
              <w:rPr>
                <w:rFonts w:eastAsia="Times New Roman"/>
                <w:color w:val="000000"/>
                <w:sz w:val="20"/>
                <w:szCs w:val="20"/>
                <w:lang w:val="sr-Cyrl-RS"/>
              </w:rPr>
              <w:t>.</w:t>
            </w:r>
            <w:r w:rsidRPr="00E470B3">
              <w:rPr>
                <w:rFonts w:eastAsia="Times New Roman"/>
                <w:color w:val="000000"/>
                <w:sz w:val="20"/>
                <w:szCs w:val="20"/>
              </w:rPr>
              <w:t>400</w:t>
            </w:r>
            <w:r>
              <w:rPr>
                <w:rFonts w:eastAsia="Times New Roman"/>
                <w:color w:val="000000"/>
                <w:sz w:val="20"/>
                <w:szCs w:val="20"/>
                <w:lang w:val="sr-Cyrl-RS"/>
              </w:rPr>
              <w:t>,</w:t>
            </w:r>
            <w:r w:rsidRPr="00E470B3">
              <w:rPr>
                <w:rFonts w:eastAsia="Times New Roman"/>
                <w:color w:val="000000"/>
                <w:sz w:val="20"/>
                <w:szCs w:val="20"/>
              </w:rPr>
              <w:t>00</w:t>
            </w:r>
          </w:p>
        </w:tc>
        <w:tc>
          <w:tcPr>
            <w:tcW w:w="1503" w:type="dxa"/>
            <w:vAlign w:val="center"/>
          </w:tcPr>
          <w:p w:rsidR="00F31B10" w:rsidRPr="00E470B3" w:rsidRDefault="00F31B10" w:rsidP="0056662A">
            <w:pPr>
              <w:spacing w:after="0"/>
              <w:jc w:val="center"/>
              <w:rPr>
                <w:sz w:val="20"/>
                <w:szCs w:val="20"/>
                <w:lang w:val="sr-Cyrl-RS"/>
              </w:rPr>
            </w:pPr>
            <w:r w:rsidRPr="00E470B3">
              <w:rPr>
                <w:rFonts w:eastAsia="Times New Roman"/>
                <w:color w:val="000000"/>
                <w:sz w:val="20"/>
                <w:szCs w:val="20"/>
              </w:rPr>
              <w:t>13</w:t>
            </w:r>
            <w:r>
              <w:rPr>
                <w:rFonts w:eastAsia="Times New Roman"/>
                <w:color w:val="000000"/>
                <w:sz w:val="20"/>
                <w:szCs w:val="20"/>
                <w:lang w:val="sr-Cyrl-RS"/>
              </w:rPr>
              <w:t>.</w:t>
            </w:r>
            <w:r w:rsidRPr="00E470B3">
              <w:rPr>
                <w:rFonts w:eastAsia="Times New Roman"/>
                <w:color w:val="000000"/>
                <w:sz w:val="20"/>
                <w:szCs w:val="20"/>
              </w:rPr>
              <w:t>223</w:t>
            </w:r>
            <w:r>
              <w:rPr>
                <w:rFonts w:eastAsia="Times New Roman"/>
                <w:color w:val="000000"/>
                <w:sz w:val="20"/>
                <w:szCs w:val="20"/>
                <w:lang w:val="sr-Cyrl-RS"/>
              </w:rPr>
              <w:t>.</w:t>
            </w:r>
            <w:r w:rsidRPr="00E470B3">
              <w:rPr>
                <w:rFonts w:eastAsia="Times New Roman"/>
                <w:color w:val="000000"/>
                <w:sz w:val="20"/>
                <w:szCs w:val="20"/>
              </w:rPr>
              <w:t>430</w:t>
            </w:r>
            <w:r>
              <w:rPr>
                <w:rFonts w:eastAsia="Times New Roman"/>
                <w:color w:val="000000"/>
                <w:sz w:val="20"/>
                <w:szCs w:val="20"/>
                <w:lang w:val="sr-Cyrl-RS"/>
              </w:rPr>
              <w:t>,</w:t>
            </w:r>
            <w:r w:rsidRPr="00E470B3">
              <w:rPr>
                <w:rFonts w:eastAsia="Times New Roman"/>
                <w:color w:val="000000"/>
                <w:sz w:val="20"/>
                <w:szCs w:val="20"/>
              </w:rPr>
              <w:t>00</w:t>
            </w:r>
          </w:p>
        </w:tc>
        <w:tc>
          <w:tcPr>
            <w:tcW w:w="1503" w:type="dxa"/>
            <w:vAlign w:val="center"/>
          </w:tcPr>
          <w:p w:rsidR="00F31B10" w:rsidRPr="00E470B3" w:rsidRDefault="00F31B10" w:rsidP="0056662A">
            <w:pPr>
              <w:spacing w:after="0"/>
              <w:jc w:val="center"/>
              <w:rPr>
                <w:sz w:val="20"/>
                <w:szCs w:val="20"/>
                <w:lang w:val="sr-Cyrl-RS"/>
              </w:rPr>
            </w:pPr>
            <w:r w:rsidRPr="00E470B3">
              <w:rPr>
                <w:rFonts w:eastAsia="Times New Roman"/>
                <w:color w:val="000000"/>
                <w:sz w:val="20"/>
                <w:szCs w:val="20"/>
              </w:rPr>
              <w:t>3</w:t>
            </w:r>
            <w:r>
              <w:rPr>
                <w:rFonts w:eastAsia="Times New Roman"/>
                <w:color w:val="000000"/>
                <w:sz w:val="20"/>
                <w:szCs w:val="20"/>
                <w:lang w:val="sr-Cyrl-RS"/>
              </w:rPr>
              <w:t>.</w:t>
            </w:r>
            <w:r w:rsidRPr="00E470B3">
              <w:rPr>
                <w:rFonts w:eastAsia="Times New Roman"/>
                <w:color w:val="000000"/>
                <w:sz w:val="20"/>
                <w:szCs w:val="20"/>
              </w:rPr>
              <w:t>860</w:t>
            </w:r>
            <w:r>
              <w:rPr>
                <w:rFonts w:eastAsia="Times New Roman"/>
                <w:color w:val="000000"/>
                <w:sz w:val="20"/>
                <w:szCs w:val="20"/>
                <w:lang w:val="sr-Cyrl-RS"/>
              </w:rPr>
              <w:t>.</w:t>
            </w:r>
            <w:r w:rsidRPr="00E470B3">
              <w:rPr>
                <w:rFonts w:eastAsia="Times New Roman"/>
                <w:color w:val="000000"/>
                <w:sz w:val="20"/>
                <w:szCs w:val="20"/>
              </w:rPr>
              <w:t>000</w:t>
            </w:r>
            <w:r>
              <w:rPr>
                <w:rFonts w:eastAsia="Times New Roman"/>
                <w:color w:val="000000"/>
                <w:sz w:val="20"/>
                <w:szCs w:val="20"/>
                <w:lang w:val="sr-Cyrl-RS"/>
              </w:rPr>
              <w:t>,</w:t>
            </w:r>
            <w:r w:rsidRPr="00E470B3">
              <w:rPr>
                <w:rFonts w:eastAsia="Times New Roman"/>
                <w:color w:val="000000"/>
                <w:sz w:val="20"/>
                <w:szCs w:val="20"/>
              </w:rPr>
              <w:t>00</w:t>
            </w:r>
          </w:p>
        </w:tc>
        <w:tc>
          <w:tcPr>
            <w:tcW w:w="1503" w:type="dxa"/>
            <w:vAlign w:val="center"/>
          </w:tcPr>
          <w:p w:rsidR="00F31B10" w:rsidRPr="00E470B3" w:rsidRDefault="00F31B10" w:rsidP="0056662A">
            <w:pPr>
              <w:spacing w:after="0"/>
              <w:jc w:val="center"/>
              <w:rPr>
                <w:sz w:val="20"/>
                <w:szCs w:val="20"/>
                <w:lang w:val="sr-Cyrl-RS"/>
              </w:rPr>
            </w:pPr>
            <w:r w:rsidRPr="00E470B3">
              <w:rPr>
                <w:rFonts w:eastAsia="Times New Roman"/>
                <w:color w:val="000000"/>
                <w:sz w:val="20"/>
                <w:szCs w:val="20"/>
              </w:rPr>
              <w:t>11</w:t>
            </w:r>
            <w:r>
              <w:rPr>
                <w:rFonts w:eastAsia="Times New Roman"/>
                <w:color w:val="000000"/>
                <w:sz w:val="20"/>
                <w:szCs w:val="20"/>
                <w:lang w:val="sr-Cyrl-RS"/>
              </w:rPr>
              <w:t>.</w:t>
            </w:r>
            <w:r w:rsidRPr="00E470B3">
              <w:rPr>
                <w:rFonts w:eastAsia="Times New Roman"/>
                <w:color w:val="000000"/>
                <w:sz w:val="20"/>
                <w:szCs w:val="20"/>
              </w:rPr>
              <w:t>980</w:t>
            </w:r>
            <w:r>
              <w:rPr>
                <w:rFonts w:eastAsia="Times New Roman"/>
                <w:color w:val="000000"/>
                <w:sz w:val="20"/>
                <w:szCs w:val="20"/>
                <w:lang w:val="sr-Cyrl-RS"/>
              </w:rPr>
              <w:t>.</w:t>
            </w:r>
            <w:r w:rsidRPr="00E470B3">
              <w:rPr>
                <w:rFonts w:eastAsia="Times New Roman"/>
                <w:color w:val="000000"/>
                <w:sz w:val="20"/>
                <w:szCs w:val="20"/>
              </w:rPr>
              <w:t>000</w:t>
            </w:r>
            <w:r>
              <w:rPr>
                <w:rFonts w:eastAsia="Times New Roman"/>
                <w:color w:val="000000"/>
                <w:sz w:val="20"/>
                <w:szCs w:val="20"/>
                <w:lang w:val="sr-Cyrl-RS"/>
              </w:rPr>
              <w:t>,</w:t>
            </w:r>
            <w:r w:rsidRPr="00E470B3">
              <w:rPr>
                <w:rFonts w:eastAsia="Times New Roman"/>
                <w:color w:val="000000"/>
                <w:sz w:val="20"/>
                <w:szCs w:val="20"/>
              </w:rPr>
              <w:t>00</w:t>
            </w:r>
          </w:p>
        </w:tc>
      </w:tr>
    </w:tbl>
    <w:p w:rsidR="00F31B10" w:rsidRDefault="00F31B10" w:rsidP="00F31B10">
      <w:pPr>
        <w:spacing w:after="0"/>
        <w:jc w:val="both"/>
        <w:rPr>
          <w:sz w:val="24"/>
          <w:szCs w:val="24"/>
          <w:lang w:val="sr-Cyrl-RS"/>
        </w:rPr>
      </w:pPr>
    </w:p>
    <w:p w:rsidR="00F31B10" w:rsidRDefault="00F31B10" w:rsidP="00F31B10">
      <w:pPr>
        <w:spacing w:after="0"/>
        <w:ind w:firstLine="720"/>
        <w:jc w:val="both"/>
        <w:rPr>
          <w:sz w:val="24"/>
          <w:szCs w:val="24"/>
          <w:lang w:val="sr-Cyrl-RS"/>
        </w:rPr>
      </w:pPr>
      <w:r>
        <w:rPr>
          <w:sz w:val="24"/>
          <w:szCs w:val="24"/>
          <w:lang w:val="sr-Cyrl-RS"/>
        </w:rPr>
        <w:t xml:space="preserve">Будући да ће нови </w:t>
      </w:r>
      <w:r w:rsidRPr="00671635">
        <w:rPr>
          <w:sz w:val="24"/>
          <w:szCs w:val="24"/>
          <w:lang w:val="sr-Cyrl-RS"/>
        </w:rPr>
        <w:t xml:space="preserve">Акциони план за остваривање права националних мањина </w:t>
      </w:r>
      <w:r>
        <w:rPr>
          <w:sz w:val="24"/>
          <w:szCs w:val="24"/>
          <w:lang w:val="sr-Cyrl-RS"/>
        </w:rPr>
        <w:t xml:space="preserve">који је у припреми, бити базиран на </w:t>
      </w:r>
      <w:r w:rsidRPr="00671635">
        <w:rPr>
          <w:sz w:val="24"/>
          <w:szCs w:val="24"/>
          <w:lang w:val="sr-Cyrl-RS"/>
        </w:rPr>
        <w:t>препорукама Саветодавног комитета, Министарство културе и информисања планира активности којима би се унапредило тренутно стање у културним делатностима националних мањина. Наиме, планирано је да се у сарадњи са националним саветима националних мањина утврди степен задовољства досадашњим финансирањем у култури. Поред тога, планира</w:t>
      </w:r>
      <w:r>
        <w:rPr>
          <w:sz w:val="24"/>
          <w:szCs w:val="24"/>
          <w:lang w:val="sr-Cyrl-RS"/>
        </w:rPr>
        <w:t>ју</w:t>
      </w:r>
      <w:r w:rsidRPr="00671635">
        <w:rPr>
          <w:sz w:val="24"/>
          <w:szCs w:val="24"/>
          <w:lang w:val="sr-Cyrl-RS"/>
        </w:rPr>
        <w:t xml:space="preserve"> </w:t>
      </w:r>
      <w:r>
        <w:rPr>
          <w:sz w:val="24"/>
          <w:szCs w:val="24"/>
          <w:lang w:val="sr-Cyrl-RS"/>
        </w:rPr>
        <w:t>се</w:t>
      </w:r>
      <w:r w:rsidRPr="00671635">
        <w:rPr>
          <w:sz w:val="24"/>
          <w:szCs w:val="24"/>
          <w:lang w:val="sr-Cyrl-RS"/>
        </w:rPr>
        <w:t xml:space="preserve"> едукације за организације са слабијим капацитетима, посебно код бројчано мањих националних мањина и националних мањина из централне и јужне Србије и увођење афирмативних мера у поступку суфинансирања пројеката у култури националних мањина.</w:t>
      </w:r>
    </w:p>
    <w:p w:rsidR="00F31B10" w:rsidRDefault="00F31B10" w:rsidP="00F31B10">
      <w:pPr>
        <w:spacing w:after="0"/>
        <w:ind w:firstLine="720"/>
        <w:jc w:val="both"/>
        <w:rPr>
          <w:sz w:val="24"/>
          <w:szCs w:val="24"/>
          <w:lang w:val="sr-Cyrl-RS"/>
        </w:rPr>
      </w:pPr>
      <w:r>
        <w:rPr>
          <w:sz w:val="24"/>
          <w:szCs w:val="24"/>
          <w:lang w:val="sr-Cyrl-RS"/>
        </w:rPr>
        <w:lastRenderedPageBreak/>
        <w:t xml:space="preserve">Покрајински секретаријат надлежан за област културе такође на годишњем нивоу расписује конкурс за финансирање </w:t>
      </w:r>
      <w:r w:rsidRPr="002D5122">
        <w:rPr>
          <w:sz w:val="24"/>
          <w:szCs w:val="24"/>
          <w:lang w:val="sr-Cyrl-RS"/>
        </w:rPr>
        <w:t>пројеката</w:t>
      </w:r>
      <w:r>
        <w:rPr>
          <w:sz w:val="24"/>
          <w:szCs w:val="24"/>
          <w:lang w:val="sr-Cyrl-RS"/>
        </w:rPr>
        <w:t xml:space="preserve"> </w:t>
      </w:r>
      <w:r w:rsidRPr="002D5122">
        <w:rPr>
          <w:sz w:val="24"/>
          <w:szCs w:val="24"/>
          <w:lang w:val="sr-Cyrl-RS"/>
        </w:rPr>
        <w:t>од значаја за културу и уметност националних мањина</w:t>
      </w:r>
      <w:r>
        <w:rPr>
          <w:sz w:val="24"/>
          <w:szCs w:val="24"/>
          <w:lang w:val="sr-Cyrl-RS"/>
        </w:rPr>
        <w:t xml:space="preserve">. У табелама које следе дат је преглед </w:t>
      </w:r>
      <w:r w:rsidRPr="00267565">
        <w:rPr>
          <w:sz w:val="24"/>
          <w:szCs w:val="24"/>
          <w:lang w:val="sr-Cyrl-RS"/>
        </w:rPr>
        <w:t xml:space="preserve">по годинама </w:t>
      </w:r>
      <w:r>
        <w:rPr>
          <w:sz w:val="24"/>
          <w:szCs w:val="24"/>
          <w:lang w:val="sr-Cyrl-RS"/>
        </w:rPr>
        <w:t>укупно додељених средстава</w:t>
      </w:r>
      <w:r w:rsidRPr="00267565">
        <w:t xml:space="preserve"> </w:t>
      </w:r>
      <w:r w:rsidRPr="00267565">
        <w:rPr>
          <w:sz w:val="24"/>
          <w:szCs w:val="24"/>
          <w:lang w:val="sr-Cyrl-RS"/>
        </w:rPr>
        <w:t>на овим конкурсима</w:t>
      </w:r>
      <w:r>
        <w:rPr>
          <w:sz w:val="24"/>
          <w:szCs w:val="24"/>
          <w:lang w:val="sr-Cyrl-RS"/>
        </w:rPr>
        <w:t xml:space="preserve">, као и средстава </w:t>
      </w:r>
      <w:r w:rsidRPr="001A2D57">
        <w:rPr>
          <w:sz w:val="24"/>
          <w:szCs w:val="24"/>
          <w:lang w:val="sr-Cyrl-RS"/>
        </w:rPr>
        <w:t xml:space="preserve">додељених </w:t>
      </w:r>
      <w:r>
        <w:rPr>
          <w:sz w:val="24"/>
          <w:szCs w:val="24"/>
          <w:lang w:val="sr-Cyrl-RS"/>
        </w:rPr>
        <w:t>по мањинама.</w:t>
      </w:r>
    </w:p>
    <w:p w:rsidR="00F31B10" w:rsidRDefault="00F31B10" w:rsidP="00F31B10">
      <w:pPr>
        <w:spacing w:after="0"/>
        <w:jc w:val="both"/>
        <w:rPr>
          <w:sz w:val="24"/>
          <w:szCs w:val="24"/>
          <w:lang w:val="sr-Cyrl-RS"/>
        </w:rPr>
      </w:pPr>
    </w:p>
    <w:tbl>
      <w:tblPr>
        <w:tblStyle w:val="TableGrid"/>
        <w:tblW w:w="9320" w:type="dxa"/>
        <w:jc w:val="center"/>
        <w:tblLayout w:type="fixed"/>
        <w:tblLook w:val="04A0" w:firstRow="1" w:lastRow="0" w:firstColumn="1" w:lastColumn="0" w:noHBand="0" w:noVBand="1"/>
      </w:tblPr>
      <w:tblGrid>
        <w:gridCol w:w="2459"/>
        <w:gridCol w:w="1372"/>
        <w:gridCol w:w="1373"/>
        <w:gridCol w:w="1372"/>
        <w:gridCol w:w="1470"/>
        <w:gridCol w:w="1274"/>
      </w:tblGrid>
      <w:tr w:rsidR="00F31B10" w:rsidRPr="004C59E4" w:rsidTr="0056662A">
        <w:trPr>
          <w:trHeight w:val="282"/>
          <w:jc w:val="center"/>
        </w:trPr>
        <w:tc>
          <w:tcPr>
            <w:tcW w:w="2459" w:type="dxa"/>
          </w:tcPr>
          <w:p w:rsidR="00F31B10" w:rsidRPr="004C59E4" w:rsidRDefault="00F31B10" w:rsidP="0056662A">
            <w:pPr>
              <w:spacing w:after="0"/>
              <w:jc w:val="both"/>
              <w:rPr>
                <w:sz w:val="20"/>
                <w:szCs w:val="20"/>
              </w:rPr>
            </w:pPr>
          </w:p>
        </w:tc>
        <w:tc>
          <w:tcPr>
            <w:tcW w:w="6861" w:type="dxa"/>
            <w:gridSpan w:val="5"/>
          </w:tcPr>
          <w:p w:rsidR="00F31B10" w:rsidRDefault="00F31B10" w:rsidP="0056662A">
            <w:pPr>
              <w:spacing w:after="0"/>
              <w:jc w:val="center"/>
              <w:rPr>
                <w:sz w:val="20"/>
                <w:szCs w:val="20"/>
              </w:rPr>
            </w:pPr>
            <w:r>
              <w:rPr>
                <w:sz w:val="20"/>
                <w:szCs w:val="20"/>
              </w:rPr>
              <w:t>И</w:t>
            </w:r>
            <w:r w:rsidRPr="004C59E4">
              <w:rPr>
                <w:sz w:val="20"/>
                <w:szCs w:val="20"/>
              </w:rPr>
              <w:t>знос средстава</w:t>
            </w:r>
          </w:p>
        </w:tc>
      </w:tr>
      <w:tr w:rsidR="00F31B10" w:rsidRPr="004C59E4" w:rsidTr="0056662A">
        <w:trPr>
          <w:trHeight w:val="286"/>
          <w:jc w:val="center"/>
        </w:trPr>
        <w:tc>
          <w:tcPr>
            <w:tcW w:w="2459" w:type="dxa"/>
          </w:tcPr>
          <w:p w:rsidR="00F31B10" w:rsidRPr="004C59E4" w:rsidRDefault="00F31B10" w:rsidP="0056662A">
            <w:pPr>
              <w:spacing w:after="0"/>
              <w:jc w:val="both"/>
              <w:rPr>
                <w:sz w:val="20"/>
                <w:szCs w:val="20"/>
              </w:rPr>
            </w:pPr>
          </w:p>
        </w:tc>
        <w:tc>
          <w:tcPr>
            <w:tcW w:w="1372" w:type="dxa"/>
          </w:tcPr>
          <w:p w:rsidR="00F31B10" w:rsidRPr="004C59E4" w:rsidRDefault="00F31B10" w:rsidP="0056662A">
            <w:pPr>
              <w:spacing w:after="0"/>
              <w:jc w:val="center"/>
              <w:rPr>
                <w:sz w:val="20"/>
                <w:szCs w:val="20"/>
              </w:rPr>
            </w:pPr>
            <w:r>
              <w:rPr>
                <w:sz w:val="20"/>
                <w:szCs w:val="20"/>
              </w:rPr>
              <w:t>2017.</w:t>
            </w:r>
          </w:p>
        </w:tc>
        <w:tc>
          <w:tcPr>
            <w:tcW w:w="1373" w:type="dxa"/>
          </w:tcPr>
          <w:p w:rsidR="00F31B10" w:rsidRPr="004C59E4" w:rsidRDefault="00F31B10" w:rsidP="0056662A">
            <w:pPr>
              <w:spacing w:after="0"/>
              <w:jc w:val="center"/>
              <w:rPr>
                <w:sz w:val="20"/>
                <w:szCs w:val="20"/>
              </w:rPr>
            </w:pPr>
            <w:r>
              <w:rPr>
                <w:sz w:val="20"/>
                <w:szCs w:val="20"/>
              </w:rPr>
              <w:t>2018.</w:t>
            </w:r>
          </w:p>
        </w:tc>
        <w:tc>
          <w:tcPr>
            <w:tcW w:w="1372" w:type="dxa"/>
          </w:tcPr>
          <w:p w:rsidR="00F31B10" w:rsidRPr="004C59E4" w:rsidRDefault="00F31B10" w:rsidP="0056662A">
            <w:pPr>
              <w:spacing w:after="0"/>
              <w:jc w:val="center"/>
              <w:rPr>
                <w:sz w:val="20"/>
                <w:szCs w:val="20"/>
              </w:rPr>
            </w:pPr>
            <w:r>
              <w:rPr>
                <w:sz w:val="20"/>
                <w:szCs w:val="20"/>
              </w:rPr>
              <w:t>2019.</w:t>
            </w:r>
          </w:p>
        </w:tc>
        <w:tc>
          <w:tcPr>
            <w:tcW w:w="1470" w:type="dxa"/>
          </w:tcPr>
          <w:p w:rsidR="00F31B10" w:rsidRPr="004C59E4" w:rsidRDefault="00F31B10" w:rsidP="0056662A">
            <w:pPr>
              <w:spacing w:after="0"/>
              <w:jc w:val="center"/>
              <w:rPr>
                <w:sz w:val="20"/>
                <w:szCs w:val="20"/>
              </w:rPr>
            </w:pPr>
            <w:r>
              <w:rPr>
                <w:sz w:val="20"/>
                <w:szCs w:val="20"/>
              </w:rPr>
              <w:t>2020.</w:t>
            </w:r>
          </w:p>
        </w:tc>
        <w:tc>
          <w:tcPr>
            <w:tcW w:w="1273" w:type="dxa"/>
          </w:tcPr>
          <w:p w:rsidR="00F31B10" w:rsidRPr="004C59E4" w:rsidRDefault="00F31B10" w:rsidP="0056662A">
            <w:pPr>
              <w:spacing w:after="0"/>
              <w:jc w:val="center"/>
              <w:rPr>
                <w:sz w:val="20"/>
                <w:szCs w:val="20"/>
              </w:rPr>
            </w:pPr>
            <w:r>
              <w:rPr>
                <w:sz w:val="20"/>
                <w:szCs w:val="20"/>
              </w:rPr>
              <w:t>2021.</w:t>
            </w:r>
          </w:p>
        </w:tc>
      </w:tr>
      <w:tr w:rsidR="00F31B10" w:rsidRPr="004C59E4" w:rsidTr="0056662A">
        <w:trPr>
          <w:trHeight w:val="1007"/>
          <w:jc w:val="center"/>
        </w:trPr>
        <w:tc>
          <w:tcPr>
            <w:tcW w:w="2459" w:type="dxa"/>
          </w:tcPr>
          <w:p w:rsidR="00F31B10" w:rsidRPr="004C59E4" w:rsidRDefault="00F31B10" w:rsidP="0056662A">
            <w:pPr>
              <w:spacing w:after="0"/>
              <w:rPr>
                <w:sz w:val="20"/>
                <w:szCs w:val="20"/>
              </w:rPr>
            </w:pPr>
            <w:r w:rsidRPr="004C59E4">
              <w:rPr>
                <w:sz w:val="20"/>
                <w:szCs w:val="20"/>
              </w:rPr>
              <w:t>Област заштите нематеријалног културног наслеђа и савременог уметничког стваралаштва</w:t>
            </w:r>
          </w:p>
        </w:tc>
        <w:tc>
          <w:tcPr>
            <w:tcW w:w="1372" w:type="dxa"/>
          </w:tcPr>
          <w:p w:rsidR="00F31B10" w:rsidRPr="004C59E4" w:rsidRDefault="00F31B10" w:rsidP="0056662A">
            <w:pPr>
              <w:spacing w:after="0"/>
              <w:jc w:val="center"/>
              <w:rPr>
                <w:sz w:val="20"/>
                <w:szCs w:val="20"/>
              </w:rPr>
            </w:pPr>
            <w:r w:rsidRPr="004C59E4">
              <w:rPr>
                <w:sz w:val="20"/>
                <w:szCs w:val="20"/>
                <w:lang w:val="en-US"/>
              </w:rPr>
              <w:t>6.500.000,00</w:t>
            </w:r>
          </w:p>
        </w:tc>
        <w:tc>
          <w:tcPr>
            <w:tcW w:w="1373" w:type="dxa"/>
          </w:tcPr>
          <w:p w:rsidR="00F31B10" w:rsidRPr="004C59E4" w:rsidRDefault="00F31B10" w:rsidP="0056662A">
            <w:pPr>
              <w:spacing w:after="0"/>
              <w:jc w:val="center"/>
              <w:rPr>
                <w:sz w:val="20"/>
                <w:szCs w:val="20"/>
              </w:rPr>
            </w:pPr>
            <w:r w:rsidRPr="004C59E4">
              <w:rPr>
                <w:sz w:val="20"/>
                <w:szCs w:val="20"/>
                <w:lang w:val="en-US"/>
              </w:rPr>
              <w:t>13.000.000,00</w:t>
            </w:r>
          </w:p>
        </w:tc>
        <w:tc>
          <w:tcPr>
            <w:tcW w:w="1372" w:type="dxa"/>
          </w:tcPr>
          <w:p w:rsidR="00F31B10" w:rsidRPr="004C59E4" w:rsidRDefault="00F31B10" w:rsidP="0056662A">
            <w:pPr>
              <w:spacing w:after="0"/>
              <w:jc w:val="center"/>
              <w:rPr>
                <w:sz w:val="20"/>
                <w:szCs w:val="20"/>
                <w:lang w:val="en-US"/>
              </w:rPr>
            </w:pPr>
            <w:r w:rsidRPr="004C59E4">
              <w:rPr>
                <w:sz w:val="20"/>
                <w:szCs w:val="20"/>
                <w:lang w:val="en-US"/>
              </w:rPr>
              <w:t>6.500.000,00</w:t>
            </w:r>
          </w:p>
        </w:tc>
        <w:tc>
          <w:tcPr>
            <w:tcW w:w="1470" w:type="dxa"/>
          </w:tcPr>
          <w:p w:rsidR="00F31B10" w:rsidRPr="004C59E4" w:rsidRDefault="00F31B10" w:rsidP="0056662A">
            <w:pPr>
              <w:spacing w:after="0"/>
              <w:jc w:val="center"/>
              <w:rPr>
                <w:sz w:val="20"/>
                <w:szCs w:val="20"/>
                <w:lang w:val="en-US"/>
              </w:rPr>
            </w:pPr>
            <w:r w:rsidRPr="004C59E4">
              <w:rPr>
                <w:sz w:val="20"/>
                <w:szCs w:val="20"/>
                <w:lang w:val="en-US"/>
              </w:rPr>
              <w:t>6.500.000,00</w:t>
            </w:r>
          </w:p>
        </w:tc>
        <w:tc>
          <w:tcPr>
            <w:tcW w:w="1273" w:type="dxa"/>
          </w:tcPr>
          <w:p w:rsidR="00F31B10" w:rsidRPr="004C59E4" w:rsidRDefault="00F31B10" w:rsidP="0056662A">
            <w:pPr>
              <w:spacing w:after="0"/>
              <w:jc w:val="center"/>
              <w:rPr>
                <w:sz w:val="20"/>
                <w:szCs w:val="20"/>
                <w:lang w:val="en-US"/>
              </w:rPr>
            </w:pPr>
            <w:r w:rsidRPr="004C59E4">
              <w:rPr>
                <w:sz w:val="20"/>
                <w:szCs w:val="20"/>
                <w:lang w:val="en-US"/>
              </w:rPr>
              <w:t>6.500.000,00</w:t>
            </w:r>
          </w:p>
        </w:tc>
      </w:tr>
      <w:tr w:rsidR="00F31B10" w:rsidRPr="004C59E4" w:rsidTr="0056662A">
        <w:trPr>
          <w:trHeight w:val="686"/>
          <w:jc w:val="center"/>
        </w:trPr>
        <w:tc>
          <w:tcPr>
            <w:tcW w:w="2459" w:type="dxa"/>
          </w:tcPr>
          <w:p w:rsidR="00F31B10" w:rsidRPr="004C59E4" w:rsidRDefault="00F31B10" w:rsidP="0056662A">
            <w:pPr>
              <w:spacing w:after="0"/>
              <w:rPr>
                <w:sz w:val="20"/>
                <w:szCs w:val="20"/>
              </w:rPr>
            </w:pPr>
            <w:r w:rsidRPr="004C59E4">
              <w:rPr>
                <w:sz w:val="20"/>
                <w:szCs w:val="20"/>
              </w:rPr>
              <w:t>Област издавачке делатности на језицима националних заједница</w:t>
            </w:r>
          </w:p>
        </w:tc>
        <w:tc>
          <w:tcPr>
            <w:tcW w:w="1372" w:type="dxa"/>
          </w:tcPr>
          <w:p w:rsidR="00F31B10" w:rsidRPr="004C59E4" w:rsidRDefault="00F31B10" w:rsidP="0056662A">
            <w:pPr>
              <w:spacing w:after="0"/>
              <w:jc w:val="center"/>
              <w:rPr>
                <w:sz w:val="20"/>
                <w:szCs w:val="20"/>
              </w:rPr>
            </w:pPr>
            <w:r w:rsidRPr="004C59E4">
              <w:rPr>
                <w:sz w:val="20"/>
                <w:szCs w:val="20"/>
              </w:rPr>
              <w:t>2.100.000,00</w:t>
            </w:r>
          </w:p>
        </w:tc>
        <w:tc>
          <w:tcPr>
            <w:tcW w:w="1373" w:type="dxa"/>
          </w:tcPr>
          <w:p w:rsidR="00F31B10" w:rsidRPr="004C59E4" w:rsidRDefault="00F31B10" w:rsidP="0056662A">
            <w:pPr>
              <w:spacing w:after="0"/>
              <w:jc w:val="center"/>
              <w:rPr>
                <w:sz w:val="20"/>
                <w:szCs w:val="20"/>
              </w:rPr>
            </w:pPr>
            <w:r w:rsidRPr="004C59E4">
              <w:rPr>
                <w:sz w:val="20"/>
                <w:szCs w:val="20"/>
              </w:rPr>
              <w:t>4.100.000,00</w:t>
            </w:r>
          </w:p>
        </w:tc>
        <w:tc>
          <w:tcPr>
            <w:tcW w:w="1372" w:type="dxa"/>
          </w:tcPr>
          <w:p w:rsidR="00F31B10" w:rsidRPr="004C59E4" w:rsidRDefault="00F31B10" w:rsidP="0056662A">
            <w:pPr>
              <w:spacing w:after="0"/>
              <w:jc w:val="center"/>
              <w:rPr>
                <w:sz w:val="20"/>
                <w:szCs w:val="20"/>
              </w:rPr>
            </w:pPr>
            <w:r w:rsidRPr="004C59E4">
              <w:rPr>
                <w:sz w:val="20"/>
                <w:szCs w:val="20"/>
              </w:rPr>
              <w:t>2.100.000,00</w:t>
            </w:r>
          </w:p>
        </w:tc>
        <w:tc>
          <w:tcPr>
            <w:tcW w:w="1470" w:type="dxa"/>
          </w:tcPr>
          <w:p w:rsidR="00F31B10" w:rsidRPr="004C59E4" w:rsidRDefault="00F31B10" w:rsidP="0056662A">
            <w:pPr>
              <w:spacing w:after="0"/>
              <w:jc w:val="center"/>
              <w:rPr>
                <w:sz w:val="20"/>
                <w:szCs w:val="20"/>
              </w:rPr>
            </w:pPr>
            <w:r w:rsidRPr="004C59E4">
              <w:rPr>
                <w:sz w:val="20"/>
                <w:szCs w:val="20"/>
              </w:rPr>
              <w:t>2.100.000,00</w:t>
            </w:r>
          </w:p>
        </w:tc>
        <w:tc>
          <w:tcPr>
            <w:tcW w:w="1273" w:type="dxa"/>
          </w:tcPr>
          <w:p w:rsidR="00F31B10" w:rsidRPr="004C59E4" w:rsidRDefault="00F31B10" w:rsidP="0056662A">
            <w:pPr>
              <w:spacing w:after="0"/>
              <w:jc w:val="center"/>
              <w:rPr>
                <w:sz w:val="20"/>
                <w:szCs w:val="20"/>
              </w:rPr>
            </w:pPr>
            <w:r w:rsidRPr="004C59E4">
              <w:rPr>
                <w:sz w:val="20"/>
                <w:szCs w:val="20"/>
              </w:rPr>
              <w:t>2.100.000,00</w:t>
            </w:r>
          </w:p>
        </w:tc>
      </w:tr>
    </w:tbl>
    <w:p w:rsidR="00F31B10" w:rsidRDefault="00F31B10" w:rsidP="00F31B10">
      <w:pPr>
        <w:spacing w:after="0"/>
        <w:jc w:val="both"/>
        <w:rPr>
          <w:sz w:val="24"/>
          <w:szCs w:val="24"/>
          <w:lang w:val="sr-Cyrl-RS"/>
        </w:rPr>
      </w:pPr>
    </w:p>
    <w:p w:rsidR="00945A5A" w:rsidRDefault="00945A5A" w:rsidP="00F31B10">
      <w:pPr>
        <w:spacing w:after="0"/>
        <w:jc w:val="both"/>
        <w:rPr>
          <w:sz w:val="24"/>
          <w:szCs w:val="24"/>
          <w:lang w:val="sr-Cyrl-RS"/>
        </w:rPr>
      </w:pPr>
    </w:p>
    <w:tbl>
      <w:tblPr>
        <w:tblStyle w:val="TableGrid"/>
        <w:tblW w:w="9338" w:type="dxa"/>
        <w:tblInd w:w="-147" w:type="dxa"/>
        <w:tblLook w:val="04A0" w:firstRow="1" w:lastRow="0" w:firstColumn="1" w:lastColumn="0" w:noHBand="0" w:noVBand="1"/>
      </w:tblPr>
      <w:tblGrid>
        <w:gridCol w:w="2417"/>
        <w:gridCol w:w="1393"/>
        <w:gridCol w:w="1468"/>
        <w:gridCol w:w="1317"/>
        <w:gridCol w:w="1433"/>
        <w:gridCol w:w="1310"/>
      </w:tblGrid>
      <w:tr w:rsidR="00F31B10" w:rsidRPr="00935E8D" w:rsidTr="0056662A">
        <w:trPr>
          <w:trHeight w:val="327"/>
        </w:trPr>
        <w:tc>
          <w:tcPr>
            <w:tcW w:w="2417" w:type="dxa"/>
          </w:tcPr>
          <w:p w:rsidR="00F31B10" w:rsidRPr="00935E8D" w:rsidRDefault="00F31B10" w:rsidP="0056662A">
            <w:pPr>
              <w:spacing w:after="0"/>
              <w:jc w:val="center"/>
              <w:rPr>
                <w:sz w:val="20"/>
                <w:szCs w:val="20"/>
                <w:lang w:val="sr-Cyrl-RS"/>
              </w:rPr>
            </w:pPr>
            <w:r w:rsidRPr="00935E8D">
              <w:rPr>
                <w:sz w:val="20"/>
                <w:szCs w:val="20"/>
                <w:lang w:val="sr-Cyrl-RS"/>
              </w:rPr>
              <w:t>Национална мањина</w:t>
            </w:r>
          </w:p>
        </w:tc>
        <w:tc>
          <w:tcPr>
            <w:tcW w:w="1393" w:type="dxa"/>
            <w:vAlign w:val="bottom"/>
          </w:tcPr>
          <w:p w:rsidR="00F31B10" w:rsidRPr="00935E8D" w:rsidRDefault="00F31B10" w:rsidP="0056662A">
            <w:pPr>
              <w:spacing w:after="0"/>
              <w:jc w:val="center"/>
              <w:rPr>
                <w:rFonts w:eastAsia="Times New Roman"/>
                <w:color w:val="000000"/>
                <w:sz w:val="20"/>
                <w:szCs w:val="20"/>
              </w:rPr>
            </w:pPr>
            <w:r w:rsidRPr="00935E8D">
              <w:rPr>
                <w:rFonts w:eastAsia="Times New Roman"/>
                <w:color w:val="000000"/>
                <w:sz w:val="20"/>
                <w:szCs w:val="20"/>
              </w:rPr>
              <w:t>2017.</w:t>
            </w:r>
          </w:p>
        </w:tc>
        <w:tc>
          <w:tcPr>
            <w:tcW w:w="1468" w:type="dxa"/>
            <w:vAlign w:val="bottom"/>
          </w:tcPr>
          <w:p w:rsidR="00F31B10" w:rsidRPr="00935E8D" w:rsidRDefault="00F31B10" w:rsidP="0056662A">
            <w:pPr>
              <w:spacing w:after="0"/>
              <w:jc w:val="center"/>
              <w:rPr>
                <w:rFonts w:eastAsia="Times New Roman"/>
                <w:color w:val="000000"/>
                <w:sz w:val="20"/>
                <w:szCs w:val="20"/>
              </w:rPr>
            </w:pPr>
            <w:r w:rsidRPr="00935E8D">
              <w:rPr>
                <w:rFonts w:eastAsia="Times New Roman"/>
                <w:color w:val="000000"/>
                <w:sz w:val="20"/>
                <w:szCs w:val="20"/>
              </w:rPr>
              <w:t>2018.</w:t>
            </w:r>
          </w:p>
        </w:tc>
        <w:tc>
          <w:tcPr>
            <w:tcW w:w="1317" w:type="dxa"/>
            <w:vAlign w:val="bottom"/>
          </w:tcPr>
          <w:p w:rsidR="00F31B10" w:rsidRPr="00935E8D" w:rsidRDefault="00F31B10" w:rsidP="0056662A">
            <w:pPr>
              <w:spacing w:after="0"/>
              <w:jc w:val="center"/>
              <w:rPr>
                <w:rFonts w:eastAsia="Times New Roman"/>
                <w:color w:val="000000"/>
                <w:sz w:val="20"/>
                <w:szCs w:val="20"/>
              </w:rPr>
            </w:pPr>
            <w:r w:rsidRPr="00935E8D">
              <w:rPr>
                <w:rFonts w:eastAsia="Times New Roman"/>
                <w:color w:val="000000"/>
                <w:sz w:val="20"/>
                <w:szCs w:val="20"/>
              </w:rPr>
              <w:t>2019.</w:t>
            </w:r>
          </w:p>
        </w:tc>
        <w:tc>
          <w:tcPr>
            <w:tcW w:w="1433" w:type="dxa"/>
            <w:vAlign w:val="bottom"/>
          </w:tcPr>
          <w:p w:rsidR="00F31B10" w:rsidRPr="00935E8D" w:rsidRDefault="00F31B10" w:rsidP="0056662A">
            <w:pPr>
              <w:spacing w:after="0"/>
              <w:jc w:val="center"/>
              <w:rPr>
                <w:rFonts w:eastAsia="Times New Roman"/>
                <w:color w:val="000000"/>
                <w:sz w:val="20"/>
                <w:szCs w:val="20"/>
              </w:rPr>
            </w:pPr>
            <w:r w:rsidRPr="00935E8D">
              <w:rPr>
                <w:rFonts w:eastAsia="Times New Roman"/>
                <w:color w:val="000000"/>
                <w:sz w:val="20"/>
                <w:szCs w:val="20"/>
              </w:rPr>
              <w:t>2020.</w:t>
            </w:r>
          </w:p>
        </w:tc>
        <w:tc>
          <w:tcPr>
            <w:tcW w:w="1310" w:type="dxa"/>
            <w:vAlign w:val="bottom"/>
          </w:tcPr>
          <w:p w:rsidR="00F31B10" w:rsidRPr="00935E8D" w:rsidRDefault="00F31B10" w:rsidP="0056662A">
            <w:pPr>
              <w:spacing w:after="0"/>
              <w:jc w:val="center"/>
              <w:rPr>
                <w:rFonts w:eastAsia="Times New Roman"/>
                <w:color w:val="000000"/>
                <w:sz w:val="20"/>
                <w:szCs w:val="20"/>
              </w:rPr>
            </w:pPr>
            <w:r w:rsidRPr="00935E8D">
              <w:rPr>
                <w:rFonts w:eastAsia="Times New Roman"/>
                <w:color w:val="000000"/>
                <w:sz w:val="20"/>
                <w:szCs w:val="20"/>
              </w:rPr>
              <w:t>2021.</w:t>
            </w:r>
          </w:p>
        </w:tc>
      </w:tr>
      <w:tr w:rsidR="00F31B10" w:rsidRPr="00935E8D" w:rsidTr="0056662A">
        <w:trPr>
          <w:trHeight w:val="286"/>
        </w:trPr>
        <w:tc>
          <w:tcPr>
            <w:tcW w:w="2417" w:type="dxa"/>
            <w:vAlign w:val="center"/>
          </w:tcPr>
          <w:p w:rsidR="00F31B10" w:rsidRPr="00935E8D" w:rsidRDefault="00F31B10" w:rsidP="0056662A">
            <w:pPr>
              <w:spacing w:after="0" w:line="240" w:lineRule="auto"/>
              <w:rPr>
                <w:rFonts w:eastAsia="Times New Roman"/>
                <w:bCs/>
                <w:iCs/>
                <w:sz w:val="20"/>
                <w:szCs w:val="20"/>
                <w:lang w:val="sr-Cyrl-RS"/>
              </w:rPr>
            </w:pPr>
            <w:r w:rsidRPr="00935E8D">
              <w:rPr>
                <w:rFonts w:eastAsia="Times New Roman"/>
                <w:bCs/>
                <w:iCs/>
                <w:sz w:val="20"/>
                <w:szCs w:val="20"/>
                <w:lang w:val="sr-Cyrl-RS"/>
              </w:rPr>
              <w:t>Ашкалије</w:t>
            </w:r>
          </w:p>
        </w:tc>
        <w:tc>
          <w:tcPr>
            <w:tcW w:w="139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20.000,00</w:t>
            </w:r>
          </w:p>
        </w:tc>
        <w:tc>
          <w:tcPr>
            <w:tcW w:w="1468"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20.000,00</w:t>
            </w:r>
          </w:p>
        </w:tc>
        <w:tc>
          <w:tcPr>
            <w:tcW w:w="1317" w:type="dxa"/>
            <w:vAlign w:val="center"/>
          </w:tcPr>
          <w:p w:rsidR="00F31B10" w:rsidRPr="00935E8D" w:rsidRDefault="00F31B10" w:rsidP="0056662A">
            <w:pPr>
              <w:spacing w:after="0" w:line="240" w:lineRule="auto"/>
              <w:jc w:val="center"/>
              <w:rPr>
                <w:rFonts w:eastAsia="Times New Roman"/>
                <w:bCs/>
                <w:sz w:val="20"/>
                <w:szCs w:val="20"/>
                <w:lang w:val="sr-Cyrl-RS"/>
              </w:rPr>
            </w:pPr>
          </w:p>
        </w:tc>
        <w:tc>
          <w:tcPr>
            <w:tcW w:w="1433" w:type="dxa"/>
            <w:vAlign w:val="center"/>
          </w:tcPr>
          <w:p w:rsidR="00F31B10" w:rsidRPr="00935E8D" w:rsidRDefault="00F31B10" w:rsidP="0056662A">
            <w:pPr>
              <w:spacing w:after="0" w:line="240" w:lineRule="auto"/>
              <w:jc w:val="center"/>
              <w:rPr>
                <w:rFonts w:eastAsia="Times New Roman"/>
                <w:sz w:val="20"/>
                <w:szCs w:val="20"/>
                <w:lang w:val="sr-Cyrl-RS"/>
              </w:rPr>
            </w:pPr>
          </w:p>
        </w:tc>
        <w:tc>
          <w:tcPr>
            <w:tcW w:w="1310" w:type="dxa"/>
            <w:vAlign w:val="center"/>
          </w:tcPr>
          <w:p w:rsidR="00F31B10" w:rsidRPr="00935E8D" w:rsidRDefault="00F31B10" w:rsidP="0056662A">
            <w:pPr>
              <w:spacing w:after="0" w:line="240" w:lineRule="auto"/>
              <w:jc w:val="center"/>
              <w:rPr>
                <w:rFonts w:eastAsia="Times New Roman"/>
                <w:sz w:val="20"/>
                <w:szCs w:val="20"/>
                <w:lang w:val="sr-Cyrl-RS"/>
              </w:rPr>
            </w:pPr>
          </w:p>
        </w:tc>
      </w:tr>
      <w:tr w:rsidR="00F31B10" w:rsidRPr="00935E8D" w:rsidTr="0056662A">
        <w:trPr>
          <w:trHeight w:val="286"/>
        </w:trPr>
        <w:tc>
          <w:tcPr>
            <w:tcW w:w="2417" w:type="dxa"/>
            <w:vAlign w:val="center"/>
          </w:tcPr>
          <w:p w:rsidR="00F31B10" w:rsidRPr="00935E8D" w:rsidRDefault="00F31B10" w:rsidP="0056662A">
            <w:pPr>
              <w:spacing w:after="0" w:line="240" w:lineRule="auto"/>
              <w:rPr>
                <w:rFonts w:eastAsia="Times New Roman"/>
                <w:bCs/>
                <w:iCs/>
                <w:sz w:val="20"/>
                <w:szCs w:val="20"/>
                <w:lang w:val="sr-Cyrl-RS"/>
              </w:rPr>
            </w:pPr>
            <w:r w:rsidRPr="00935E8D">
              <w:rPr>
                <w:rFonts w:eastAsia="Times New Roman"/>
                <w:bCs/>
                <w:iCs/>
                <w:sz w:val="20"/>
                <w:szCs w:val="20"/>
                <w:lang w:val="sr-Cyrl-RS"/>
              </w:rPr>
              <w:t>Бугари</w:t>
            </w:r>
          </w:p>
        </w:tc>
        <w:tc>
          <w:tcPr>
            <w:tcW w:w="139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20.000,00</w:t>
            </w:r>
          </w:p>
        </w:tc>
        <w:tc>
          <w:tcPr>
            <w:tcW w:w="1468"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70.000,00</w:t>
            </w:r>
          </w:p>
        </w:tc>
        <w:tc>
          <w:tcPr>
            <w:tcW w:w="1317"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50.000,00</w:t>
            </w:r>
          </w:p>
        </w:tc>
        <w:tc>
          <w:tcPr>
            <w:tcW w:w="143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50.000,00</w:t>
            </w:r>
          </w:p>
        </w:tc>
        <w:tc>
          <w:tcPr>
            <w:tcW w:w="1310"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50.000,00</w:t>
            </w:r>
          </w:p>
        </w:tc>
      </w:tr>
      <w:tr w:rsidR="00F31B10" w:rsidRPr="00935E8D" w:rsidTr="0056662A">
        <w:trPr>
          <w:trHeight w:val="276"/>
        </w:trPr>
        <w:tc>
          <w:tcPr>
            <w:tcW w:w="2417" w:type="dxa"/>
            <w:vAlign w:val="center"/>
          </w:tcPr>
          <w:p w:rsidR="00F31B10" w:rsidRPr="00935E8D" w:rsidRDefault="00F31B10" w:rsidP="0056662A">
            <w:pPr>
              <w:spacing w:after="0" w:line="240" w:lineRule="auto"/>
              <w:rPr>
                <w:rFonts w:eastAsia="Times New Roman"/>
                <w:bCs/>
                <w:iCs/>
                <w:sz w:val="20"/>
                <w:szCs w:val="20"/>
                <w:lang w:val="sr-Cyrl-RS"/>
              </w:rPr>
            </w:pPr>
            <w:r w:rsidRPr="00935E8D">
              <w:rPr>
                <w:rFonts w:eastAsia="Times New Roman"/>
                <w:bCs/>
                <w:iCs/>
                <w:sz w:val="20"/>
                <w:szCs w:val="20"/>
                <w:lang w:val="sr-Cyrl-RS"/>
              </w:rPr>
              <w:t>Буњевци</w:t>
            </w:r>
          </w:p>
        </w:tc>
        <w:tc>
          <w:tcPr>
            <w:tcW w:w="139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337.000,00</w:t>
            </w:r>
          </w:p>
        </w:tc>
        <w:tc>
          <w:tcPr>
            <w:tcW w:w="1468"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897.000,00</w:t>
            </w:r>
          </w:p>
        </w:tc>
        <w:tc>
          <w:tcPr>
            <w:tcW w:w="1317"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470.000,00</w:t>
            </w:r>
          </w:p>
        </w:tc>
        <w:tc>
          <w:tcPr>
            <w:tcW w:w="143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560.000,00</w:t>
            </w:r>
          </w:p>
        </w:tc>
        <w:tc>
          <w:tcPr>
            <w:tcW w:w="1310" w:type="dxa"/>
            <w:vAlign w:val="center"/>
          </w:tcPr>
          <w:p w:rsidR="00F31B10" w:rsidRPr="00935E8D" w:rsidRDefault="00F31B10" w:rsidP="0056662A">
            <w:pPr>
              <w:spacing w:after="0" w:line="240" w:lineRule="auto"/>
              <w:jc w:val="center"/>
              <w:rPr>
                <w:rFonts w:eastAsia="Times New Roman"/>
                <w:bCs/>
                <w:sz w:val="20"/>
                <w:szCs w:val="20"/>
              </w:rPr>
            </w:pPr>
            <w:r w:rsidRPr="00935E8D">
              <w:rPr>
                <w:rFonts w:eastAsia="Times New Roman"/>
                <w:bCs/>
                <w:sz w:val="20"/>
                <w:szCs w:val="20"/>
                <w:lang w:val="sr-Cyrl-RS"/>
              </w:rPr>
              <w:t>530.000,00</w:t>
            </w:r>
          </w:p>
        </w:tc>
      </w:tr>
      <w:tr w:rsidR="00F31B10" w:rsidRPr="00935E8D" w:rsidTr="0056662A">
        <w:trPr>
          <w:trHeight w:val="286"/>
        </w:trPr>
        <w:tc>
          <w:tcPr>
            <w:tcW w:w="2417" w:type="dxa"/>
            <w:vAlign w:val="center"/>
          </w:tcPr>
          <w:p w:rsidR="00F31B10" w:rsidRPr="00935E8D" w:rsidRDefault="00F31B10" w:rsidP="0056662A">
            <w:pPr>
              <w:spacing w:after="0" w:line="240" w:lineRule="auto"/>
              <w:rPr>
                <w:rFonts w:eastAsia="Times New Roman"/>
                <w:bCs/>
                <w:iCs/>
                <w:sz w:val="20"/>
                <w:szCs w:val="20"/>
                <w:lang w:val="sr-Cyrl-RS"/>
              </w:rPr>
            </w:pPr>
            <w:r w:rsidRPr="00935E8D">
              <w:rPr>
                <w:rFonts w:eastAsia="Times New Roman"/>
                <w:bCs/>
                <w:iCs/>
                <w:sz w:val="20"/>
                <w:szCs w:val="20"/>
                <w:lang w:val="sr-Cyrl-RS"/>
              </w:rPr>
              <w:t>Грци</w:t>
            </w:r>
          </w:p>
        </w:tc>
        <w:tc>
          <w:tcPr>
            <w:tcW w:w="139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rPr>
              <w:t>7</w:t>
            </w:r>
            <w:r w:rsidRPr="00935E8D">
              <w:rPr>
                <w:rFonts w:eastAsia="Times New Roman"/>
                <w:bCs/>
                <w:sz w:val="20"/>
                <w:szCs w:val="20"/>
                <w:lang w:val="sr-Cyrl-RS"/>
              </w:rPr>
              <w:t>0.000,00</w:t>
            </w:r>
          </w:p>
        </w:tc>
        <w:tc>
          <w:tcPr>
            <w:tcW w:w="1468"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70.000,00</w:t>
            </w:r>
          </w:p>
        </w:tc>
        <w:tc>
          <w:tcPr>
            <w:tcW w:w="1317"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50.000,00</w:t>
            </w:r>
          </w:p>
        </w:tc>
        <w:tc>
          <w:tcPr>
            <w:tcW w:w="143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50.000,00</w:t>
            </w:r>
          </w:p>
        </w:tc>
        <w:tc>
          <w:tcPr>
            <w:tcW w:w="1310"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50.000,00</w:t>
            </w:r>
          </w:p>
        </w:tc>
      </w:tr>
      <w:tr w:rsidR="00F31B10" w:rsidRPr="00935E8D" w:rsidTr="0056662A">
        <w:trPr>
          <w:trHeight w:val="286"/>
        </w:trPr>
        <w:tc>
          <w:tcPr>
            <w:tcW w:w="2417" w:type="dxa"/>
            <w:vAlign w:val="center"/>
          </w:tcPr>
          <w:p w:rsidR="00F31B10" w:rsidRPr="00935E8D" w:rsidRDefault="00F31B10" w:rsidP="0056662A">
            <w:pPr>
              <w:spacing w:after="0" w:line="240" w:lineRule="auto"/>
              <w:rPr>
                <w:rFonts w:eastAsia="Times New Roman"/>
                <w:bCs/>
                <w:iCs/>
                <w:sz w:val="20"/>
                <w:szCs w:val="20"/>
                <w:lang w:val="sr-Cyrl-RS"/>
              </w:rPr>
            </w:pPr>
            <w:r w:rsidRPr="00935E8D">
              <w:rPr>
                <w:rFonts w:eastAsia="Times New Roman"/>
                <w:bCs/>
                <w:iCs/>
                <w:sz w:val="20"/>
                <w:szCs w:val="20"/>
                <w:lang w:val="sr-Cyrl-RS"/>
              </w:rPr>
              <w:t>Јевреји</w:t>
            </w:r>
          </w:p>
        </w:tc>
        <w:tc>
          <w:tcPr>
            <w:tcW w:w="139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20.000,00</w:t>
            </w:r>
          </w:p>
        </w:tc>
        <w:tc>
          <w:tcPr>
            <w:tcW w:w="1468"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100.000,00</w:t>
            </w:r>
          </w:p>
        </w:tc>
        <w:tc>
          <w:tcPr>
            <w:tcW w:w="1317"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50.000,00</w:t>
            </w:r>
          </w:p>
        </w:tc>
        <w:tc>
          <w:tcPr>
            <w:tcW w:w="143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50.000,00</w:t>
            </w:r>
          </w:p>
        </w:tc>
        <w:tc>
          <w:tcPr>
            <w:tcW w:w="1310" w:type="dxa"/>
            <w:vAlign w:val="center"/>
          </w:tcPr>
          <w:p w:rsidR="00F31B10" w:rsidRPr="00935E8D" w:rsidRDefault="00F31B10" w:rsidP="0056662A">
            <w:pPr>
              <w:spacing w:after="0" w:line="240" w:lineRule="auto"/>
              <w:jc w:val="center"/>
              <w:rPr>
                <w:rFonts w:eastAsia="Times New Roman"/>
                <w:bCs/>
                <w:sz w:val="20"/>
                <w:szCs w:val="20"/>
                <w:lang w:val="sr-Cyrl-RS"/>
              </w:rPr>
            </w:pPr>
          </w:p>
        </w:tc>
      </w:tr>
      <w:tr w:rsidR="00F31B10" w:rsidRPr="00935E8D" w:rsidTr="0056662A">
        <w:trPr>
          <w:trHeight w:val="286"/>
        </w:trPr>
        <w:tc>
          <w:tcPr>
            <w:tcW w:w="2417" w:type="dxa"/>
            <w:vAlign w:val="center"/>
          </w:tcPr>
          <w:p w:rsidR="00F31B10" w:rsidRPr="00935E8D" w:rsidRDefault="00F31B10" w:rsidP="0056662A">
            <w:pPr>
              <w:spacing w:after="0" w:line="240" w:lineRule="auto"/>
              <w:rPr>
                <w:rFonts w:eastAsia="Times New Roman"/>
                <w:bCs/>
                <w:iCs/>
                <w:sz w:val="20"/>
                <w:szCs w:val="20"/>
                <w:lang w:val="sr-Cyrl-RS"/>
              </w:rPr>
            </w:pPr>
            <w:r w:rsidRPr="00935E8D">
              <w:rPr>
                <w:rFonts w:eastAsia="Times New Roman"/>
                <w:bCs/>
                <w:iCs/>
                <w:sz w:val="20"/>
                <w:szCs w:val="20"/>
                <w:lang w:val="sr-Cyrl-RS"/>
              </w:rPr>
              <w:t>Мађари</w:t>
            </w:r>
          </w:p>
        </w:tc>
        <w:tc>
          <w:tcPr>
            <w:tcW w:w="139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3.570.000,00</w:t>
            </w:r>
          </w:p>
        </w:tc>
        <w:tc>
          <w:tcPr>
            <w:tcW w:w="1468"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6.280.000,00</w:t>
            </w:r>
          </w:p>
        </w:tc>
        <w:tc>
          <w:tcPr>
            <w:tcW w:w="1317"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3.375.000,00</w:t>
            </w:r>
          </w:p>
        </w:tc>
        <w:tc>
          <w:tcPr>
            <w:tcW w:w="143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3.325.000,00</w:t>
            </w:r>
          </w:p>
        </w:tc>
        <w:tc>
          <w:tcPr>
            <w:tcW w:w="1310"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3.350.000,00</w:t>
            </w:r>
          </w:p>
        </w:tc>
      </w:tr>
      <w:tr w:rsidR="00F31B10" w:rsidRPr="00935E8D" w:rsidTr="0056662A">
        <w:trPr>
          <w:trHeight w:val="286"/>
        </w:trPr>
        <w:tc>
          <w:tcPr>
            <w:tcW w:w="2417" w:type="dxa"/>
            <w:vAlign w:val="center"/>
          </w:tcPr>
          <w:p w:rsidR="00F31B10" w:rsidRPr="00935E8D" w:rsidRDefault="00F31B10" w:rsidP="0056662A">
            <w:pPr>
              <w:spacing w:after="0" w:line="240" w:lineRule="auto"/>
              <w:rPr>
                <w:rFonts w:eastAsia="Times New Roman"/>
                <w:bCs/>
                <w:iCs/>
                <w:sz w:val="20"/>
                <w:szCs w:val="20"/>
                <w:lang w:val="sr-Cyrl-RS"/>
              </w:rPr>
            </w:pPr>
            <w:r w:rsidRPr="00935E8D">
              <w:rPr>
                <w:rFonts w:eastAsia="Times New Roman"/>
                <w:bCs/>
                <w:iCs/>
                <w:sz w:val="20"/>
                <w:szCs w:val="20"/>
                <w:lang w:val="sr-Cyrl-RS"/>
              </w:rPr>
              <w:t>Македонци</w:t>
            </w:r>
          </w:p>
        </w:tc>
        <w:tc>
          <w:tcPr>
            <w:tcW w:w="139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117.000,00</w:t>
            </w:r>
          </w:p>
        </w:tc>
        <w:tc>
          <w:tcPr>
            <w:tcW w:w="1468"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rPr>
              <w:t>39</w:t>
            </w:r>
            <w:r w:rsidRPr="00935E8D">
              <w:rPr>
                <w:rFonts w:eastAsia="Times New Roman"/>
                <w:bCs/>
                <w:sz w:val="20"/>
                <w:szCs w:val="20"/>
                <w:lang w:val="sr-Cyrl-RS"/>
              </w:rPr>
              <w:t>7.000,00</w:t>
            </w:r>
          </w:p>
        </w:tc>
        <w:tc>
          <w:tcPr>
            <w:tcW w:w="1317"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1</w:t>
            </w:r>
            <w:r w:rsidRPr="00935E8D">
              <w:rPr>
                <w:rFonts w:eastAsia="Times New Roman"/>
                <w:bCs/>
                <w:sz w:val="20"/>
                <w:szCs w:val="20"/>
              </w:rPr>
              <w:t>7</w:t>
            </w:r>
            <w:r w:rsidRPr="00935E8D">
              <w:rPr>
                <w:rFonts w:eastAsia="Times New Roman"/>
                <w:bCs/>
                <w:sz w:val="20"/>
                <w:szCs w:val="20"/>
                <w:lang w:val="sr-Cyrl-RS"/>
              </w:rPr>
              <w:t>0.000,00</w:t>
            </w:r>
          </w:p>
        </w:tc>
        <w:tc>
          <w:tcPr>
            <w:tcW w:w="143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1</w:t>
            </w:r>
            <w:r w:rsidRPr="00935E8D">
              <w:rPr>
                <w:rFonts w:eastAsia="Times New Roman"/>
                <w:bCs/>
                <w:sz w:val="20"/>
                <w:szCs w:val="20"/>
              </w:rPr>
              <w:t>7</w:t>
            </w:r>
            <w:r w:rsidRPr="00935E8D">
              <w:rPr>
                <w:rFonts w:eastAsia="Times New Roman"/>
                <w:bCs/>
                <w:sz w:val="20"/>
                <w:szCs w:val="20"/>
                <w:lang w:val="sr-Cyrl-RS"/>
              </w:rPr>
              <w:t>0.000,00</w:t>
            </w:r>
          </w:p>
        </w:tc>
        <w:tc>
          <w:tcPr>
            <w:tcW w:w="1310"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rPr>
              <w:t>20</w:t>
            </w:r>
            <w:r w:rsidRPr="00935E8D">
              <w:rPr>
                <w:rFonts w:eastAsia="Times New Roman"/>
                <w:bCs/>
                <w:sz w:val="20"/>
                <w:szCs w:val="20"/>
                <w:lang w:val="sr-Cyrl-RS"/>
              </w:rPr>
              <w:t>0.000,00</w:t>
            </w:r>
          </w:p>
        </w:tc>
      </w:tr>
      <w:tr w:rsidR="00F31B10" w:rsidRPr="00935E8D" w:rsidTr="0056662A">
        <w:trPr>
          <w:trHeight w:val="286"/>
        </w:trPr>
        <w:tc>
          <w:tcPr>
            <w:tcW w:w="2417" w:type="dxa"/>
            <w:vAlign w:val="center"/>
          </w:tcPr>
          <w:p w:rsidR="00F31B10" w:rsidRPr="00935E8D" w:rsidRDefault="00F31B10" w:rsidP="0056662A">
            <w:pPr>
              <w:spacing w:after="0" w:line="240" w:lineRule="auto"/>
              <w:rPr>
                <w:rFonts w:eastAsia="Times New Roman"/>
                <w:bCs/>
                <w:iCs/>
                <w:sz w:val="20"/>
                <w:szCs w:val="20"/>
                <w:lang w:val="sr-Cyrl-RS"/>
              </w:rPr>
            </w:pPr>
            <w:r w:rsidRPr="00935E8D">
              <w:rPr>
                <w:rFonts w:eastAsia="Times New Roman"/>
                <w:bCs/>
                <w:iCs/>
                <w:sz w:val="20"/>
                <w:szCs w:val="20"/>
                <w:lang w:val="sr-Cyrl-RS"/>
              </w:rPr>
              <w:t>Немци</w:t>
            </w:r>
          </w:p>
        </w:tc>
        <w:tc>
          <w:tcPr>
            <w:tcW w:w="139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rPr>
              <w:t>15</w:t>
            </w:r>
            <w:r w:rsidRPr="00935E8D">
              <w:rPr>
                <w:rFonts w:eastAsia="Times New Roman"/>
                <w:bCs/>
                <w:sz w:val="20"/>
                <w:szCs w:val="20"/>
                <w:lang w:val="sr-Cyrl-RS"/>
              </w:rPr>
              <w:t>5.000,00</w:t>
            </w:r>
          </w:p>
        </w:tc>
        <w:tc>
          <w:tcPr>
            <w:tcW w:w="1468"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rPr>
              <w:t>3</w:t>
            </w:r>
            <w:r w:rsidRPr="00935E8D">
              <w:rPr>
                <w:rFonts w:eastAsia="Times New Roman"/>
                <w:bCs/>
                <w:sz w:val="20"/>
                <w:szCs w:val="20"/>
                <w:lang w:val="sr-Cyrl-RS"/>
              </w:rPr>
              <w:t>5</w:t>
            </w:r>
            <w:r w:rsidRPr="00935E8D">
              <w:rPr>
                <w:rFonts w:eastAsia="Times New Roman"/>
                <w:bCs/>
                <w:sz w:val="20"/>
                <w:szCs w:val="20"/>
              </w:rPr>
              <w:t>0</w:t>
            </w:r>
            <w:r w:rsidRPr="00935E8D">
              <w:rPr>
                <w:rFonts w:eastAsia="Times New Roman"/>
                <w:bCs/>
                <w:sz w:val="20"/>
                <w:szCs w:val="20"/>
                <w:lang w:val="sr-Cyrl-RS"/>
              </w:rPr>
              <w:t>.000,00</w:t>
            </w:r>
          </w:p>
        </w:tc>
        <w:tc>
          <w:tcPr>
            <w:tcW w:w="1317"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rPr>
              <w:t>2</w:t>
            </w:r>
            <w:r w:rsidRPr="00935E8D">
              <w:rPr>
                <w:rFonts w:eastAsia="Times New Roman"/>
                <w:bCs/>
                <w:sz w:val="20"/>
                <w:szCs w:val="20"/>
                <w:lang w:val="sr-Cyrl-RS"/>
              </w:rPr>
              <w:t>00.000,00</w:t>
            </w:r>
          </w:p>
        </w:tc>
        <w:tc>
          <w:tcPr>
            <w:tcW w:w="143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rPr>
              <w:t>2</w:t>
            </w:r>
            <w:r w:rsidRPr="00935E8D">
              <w:rPr>
                <w:rFonts w:eastAsia="Times New Roman"/>
                <w:bCs/>
                <w:sz w:val="20"/>
                <w:szCs w:val="20"/>
                <w:lang w:val="sr-Cyrl-RS"/>
              </w:rPr>
              <w:t>00.000,00</w:t>
            </w:r>
          </w:p>
        </w:tc>
        <w:tc>
          <w:tcPr>
            <w:tcW w:w="1310"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rPr>
              <w:t>2</w:t>
            </w:r>
            <w:r w:rsidRPr="00935E8D">
              <w:rPr>
                <w:rFonts w:eastAsia="Times New Roman"/>
                <w:bCs/>
                <w:sz w:val="20"/>
                <w:szCs w:val="20"/>
                <w:lang w:val="sr-Cyrl-RS"/>
              </w:rPr>
              <w:t>00.000,00</w:t>
            </w:r>
          </w:p>
        </w:tc>
      </w:tr>
      <w:tr w:rsidR="00F31B10" w:rsidRPr="00935E8D" w:rsidTr="0056662A">
        <w:trPr>
          <w:trHeight w:val="276"/>
        </w:trPr>
        <w:tc>
          <w:tcPr>
            <w:tcW w:w="2417" w:type="dxa"/>
            <w:vAlign w:val="center"/>
          </w:tcPr>
          <w:p w:rsidR="00F31B10" w:rsidRPr="00935E8D" w:rsidRDefault="00F31B10" w:rsidP="0056662A">
            <w:pPr>
              <w:spacing w:after="0" w:line="240" w:lineRule="auto"/>
              <w:rPr>
                <w:rFonts w:eastAsia="Times New Roman"/>
                <w:bCs/>
                <w:iCs/>
                <w:sz w:val="20"/>
                <w:szCs w:val="20"/>
                <w:lang w:val="sr-Cyrl-RS"/>
              </w:rPr>
            </w:pPr>
            <w:r w:rsidRPr="00935E8D">
              <w:rPr>
                <w:rFonts w:eastAsia="Times New Roman"/>
                <w:bCs/>
                <w:iCs/>
                <w:sz w:val="20"/>
                <w:szCs w:val="20"/>
                <w:lang w:val="sr-Cyrl-RS"/>
              </w:rPr>
              <w:t>Пољаци</w:t>
            </w:r>
          </w:p>
        </w:tc>
        <w:tc>
          <w:tcPr>
            <w:tcW w:w="1393" w:type="dxa"/>
            <w:vAlign w:val="center"/>
          </w:tcPr>
          <w:p w:rsidR="00F31B10" w:rsidRPr="00935E8D" w:rsidRDefault="00F31B10" w:rsidP="0056662A">
            <w:pPr>
              <w:spacing w:after="0" w:line="240" w:lineRule="auto"/>
              <w:jc w:val="center"/>
              <w:rPr>
                <w:rFonts w:eastAsia="Times New Roman"/>
                <w:bCs/>
                <w:iCs/>
                <w:sz w:val="20"/>
                <w:szCs w:val="20"/>
                <w:lang w:val="sr-Cyrl-RS"/>
              </w:rPr>
            </w:pPr>
          </w:p>
        </w:tc>
        <w:tc>
          <w:tcPr>
            <w:tcW w:w="1468" w:type="dxa"/>
            <w:vAlign w:val="center"/>
          </w:tcPr>
          <w:p w:rsidR="00F31B10" w:rsidRPr="00935E8D" w:rsidRDefault="00F31B10" w:rsidP="0056662A">
            <w:pPr>
              <w:spacing w:after="0" w:line="240" w:lineRule="auto"/>
              <w:jc w:val="center"/>
              <w:rPr>
                <w:rFonts w:eastAsia="Times New Roman"/>
                <w:bCs/>
                <w:sz w:val="20"/>
                <w:szCs w:val="20"/>
                <w:lang w:val="sr-Cyrl-RS"/>
              </w:rPr>
            </w:pPr>
          </w:p>
        </w:tc>
        <w:tc>
          <w:tcPr>
            <w:tcW w:w="1317" w:type="dxa"/>
            <w:vAlign w:val="center"/>
          </w:tcPr>
          <w:p w:rsidR="00F31B10" w:rsidRPr="00935E8D" w:rsidRDefault="00F31B10" w:rsidP="0056662A">
            <w:pPr>
              <w:spacing w:after="0" w:line="240" w:lineRule="auto"/>
              <w:jc w:val="center"/>
              <w:rPr>
                <w:rFonts w:eastAsia="Times New Roman"/>
                <w:bCs/>
                <w:sz w:val="20"/>
                <w:szCs w:val="20"/>
                <w:lang w:val="sr-Cyrl-RS"/>
              </w:rPr>
            </w:pPr>
          </w:p>
        </w:tc>
        <w:tc>
          <w:tcPr>
            <w:tcW w:w="143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50.000,00</w:t>
            </w:r>
          </w:p>
        </w:tc>
        <w:tc>
          <w:tcPr>
            <w:tcW w:w="1310" w:type="dxa"/>
            <w:vAlign w:val="center"/>
          </w:tcPr>
          <w:p w:rsidR="00F31B10" w:rsidRPr="00935E8D" w:rsidRDefault="00F31B10" w:rsidP="0056662A">
            <w:pPr>
              <w:spacing w:after="0" w:line="240" w:lineRule="auto"/>
              <w:jc w:val="center"/>
              <w:rPr>
                <w:rFonts w:eastAsia="Times New Roman"/>
                <w:bCs/>
                <w:sz w:val="20"/>
                <w:szCs w:val="20"/>
                <w:lang w:val="sr-Cyrl-RS"/>
              </w:rPr>
            </w:pPr>
          </w:p>
        </w:tc>
      </w:tr>
      <w:tr w:rsidR="00F31B10" w:rsidRPr="00935E8D" w:rsidTr="0056662A">
        <w:trPr>
          <w:trHeight w:val="286"/>
        </w:trPr>
        <w:tc>
          <w:tcPr>
            <w:tcW w:w="2417" w:type="dxa"/>
            <w:vAlign w:val="center"/>
          </w:tcPr>
          <w:p w:rsidR="00F31B10" w:rsidRPr="00935E8D" w:rsidRDefault="00F31B10" w:rsidP="0056662A">
            <w:pPr>
              <w:spacing w:after="0" w:line="240" w:lineRule="auto"/>
              <w:rPr>
                <w:rFonts w:eastAsia="Times New Roman"/>
                <w:bCs/>
                <w:iCs/>
                <w:sz w:val="20"/>
                <w:szCs w:val="20"/>
                <w:lang w:val="sr-Cyrl-RS"/>
              </w:rPr>
            </w:pPr>
            <w:r w:rsidRPr="00935E8D">
              <w:rPr>
                <w:rFonts w:eastAsia="Times New Roman"/>
                <w:bCs/>
                <w:iCs/>
                <w:sz w:val="20"/>
                <w:szCs w:val="20"/>
                <w:lang w:val="sr-Cyrl-RS"/>
              </w:rPr>
              <w:t>Роми</w:t>
            </w:r>
          </w:p>
        </w:tc>
        <w:tc>
          <w:tcPr>
            <w:tcW w:w="139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320.000,00</w:t>
            </w:r>
          </w:p>
        </w:tc>
        <w:tc>
          <w:tcPr>
            <w:tcW w:w="1468"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770.000,00</w:t>
            </w:r>
          </w:p>
        </w:tc>
        <w:tc>
          <w:tcPr>
            <w:tcW w:w="1317"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300.000,00</w:t>
            </w:r>
          </w:p>
        </w:tc>
        <w:tc>
          <w:tcPr>
            <w:tcW w:w="143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250.000,00</w:t>
            </w:r>
          </w:p>
        </w:tc>
        <w:tc>
          <w:tcPr>
            <w:tcW w:w="1310"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250.000,00</w:t>
            </w:r>
          </w:p>
        </w:tc>
      </w:tr>
      <w:tr w:rsidR="00F31B10" w:rsidRPr="00935E8D" w:rsidTr="0056662A">
        <w:trPr>
          <w:trHeight w:val="286"/>
        </w:trPr>
        <w:tc>
          <w:tcPr>
            <w:tcW w:w="2417" w:type="dxa"/>
            <w:vAlign w:val="center"/>
          </w:tcPr>
          <w:p w:rsidR="00F31B10" w:rsidRPr="00935E8D" w:rsidRDefault="00F31B10" w:rsidP="0056662A">
            <w:pPr>
              <w:spacing w:after="0" w:line="240" w:lineRule="auto"/>
              <w:rPr>
                <w:rFonts w:eastAsia="Times New Roman"/>
                <w:bCs/>
                <w:iCs/>
                <w:sz w:val="20"/>
                <w:szCs w:val="20"/>
                <w:lang w:val="sr-Cyrl-RS"/>
              </w:rPr>
            </w:pPr>
            <w:r w:rsidRPr="00935E8D">
              <w:rPr>
                <w:rFonts w:eastAsia="Times New Roman"/>
                <w:bCs/>
                <w:iCs/>
                <w:sz w:val="20"/>
                <w:szCs w:val="20"/>
                <w:lang w:val="sr-Cyrl-RS"/>
              </w:rPr>
              <w:t>Румуни</w:t>
            </w:r>
          </w:p>
        </w:tc>
        <w:tc>
          <w:tcPr>
            <w:tcW w:w="139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784.000,00</w:t>
            </w:r>
          </w:p>
        </w:tc>
        <w:tc>
          <w:tcPr>
            <w:tcW w:w="1468"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1.734.000,00</w:t>
            </w:r>
          </w:p>
        </w:tc>
        <w:tc>
          <w:tcPr>
            <w:tcW w:w="1317"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710.000,00</w:t>
            </w:r>
          </w:p>
        </w:tc>
        <w:tc>
          <w:tcPr>
            <w:tcW w:w="143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700.000,00</w:t>
            </w:r>
          </w:p>
        </w:tc>
        <w:tc>
          <w:tcPr>
            <w:tcW w:w="1310"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700.000,00</w:t>
            </w:r>
          </w:p>
        </w:tc>
      </w:tr>
      <w:tr w:rsidR="00F31B10" w:rsidRPr="00935E8D" w:rsidTr="0056662A">
        <w:trPr>
          <w:trHeight w:val="286"/>
        </w:trPr>
        <w:tc>
          <w:tcPr>
            <w:tcW w:w="2417" w:type="dxa"/>
            <w:vAlign w:val="center"/>
          </w:tcPr>
          <w:p w:rsidR="00F31B10" w:rsidRPr="00935E8D" w:rsidRDefault="00F31B10" w:rsidP="0056662A">
            <w:pPr>
              <w:spacing w:after="0" w:line="240" w:lineRule="auto"/>
              <w:rPr>
                <w:rFonts w:eastAsia="Times New Roman"/>
                <w:bCs/>
                <w:iCs/>
                <w:sz w:val="20"/>
                <w:szCs w:val="20"/>
                <w:lang w:val="sr-Cyrl-RS"/>
              </w:rPr>
            </w:pPr>
            <w:r w:rsidRPr="00935E8D">
              <w:rPr>
                <w:rFonts w:eastAsia="Times New Roman"/>
                <w:bCs/>
                <w:iCs/>
                <w:sz w:val="20"/>
                <w:szCs w:val="20"/>
                <w:lang w:val="sr-Cyrl-RS"/>
              </w:rPr>
              <w:t>Руси</w:t>
            </w:r>
          </w:p>
        </w:tc>
        <w:tc>
          <w:tcPr>
            <w:tcW w:w="139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20.000,00</w:t>
            </w:r>
          </w:p>
        </w:tc>
        <w:tc>
          <w:tcPr>
            <w:tcW w:w="1468"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70.000,00</w:t>
            </w:r>
          </w:p>
        </w:tc>
        <w:tc>
          <w:tcPr>
            <w:tcW w:w="1317"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50.000,00</w:t>
            </w:r>
          </w:p>
        </w:tc>
        <w:tc>
          <w:tcPr>
            <w:tcW w:w="143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50.000,00</w:t>
            </w:r>
          </w:p>
        </w:tc>
        <w:tc>
          <w:tcPr>
            <w:tcW w:w="1310"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rPr>
              <w:t>10</w:t>
            </w:r>
            <w:r w:rsidRPr="00935E8D">
              <w:rPr>
                <w:rFonts w:eastAsia="Times New Roman"/>
                <w:bCs/>
                <w:sz w:val="20"/>
                <w:szCs w:val="20"/>
                <w:lang w:val="sr-Cyrl-RS"/>
              </w:rPr>
              <w:t>0.000,00</w:t>
            </w:r>
          </w:p>
        </w:tc>
      </w:tr>
      <w:tr w:rsidR="00F31B10" w:rsidRPr="00935E8D" w:rsidTr="0056662A">
        <w:trPr>
          <w:trHeight w:val="286"/>
        </w:trPr>
        <w:tc>
          <w:tcPr>
            <w:tcW w:w="2417" w:type="dxa"/>
            <w:vAlign w:val="center"/>
          </w:tcPr>
          <w:p w:rsidR="00F31B10" w:rsidRPr="00935E8D" w:rsidRDefault="00F31B10" w:rsidP="0056662A">
            <w:pPr>
              <w:spacing w:after="0" w:line="240" w:lineRule="auto"/>
              <w:rPr>
                <w:rFonts w:eastAsia="Times New Roman"/>
                <w:bCs/>
                <w:iCs/>
                <w:sz w:val="20"/>
                <w:szCs w:val="20"/>
                <w:lang w:val="sr-Cyrl-RS"/>
              </w:rPr>
            </w:pPr>
            <w:r w:rsidRPr="00935E8D">
              <w:rPr>
                <w:rFonts w:eastAsia="Times New Roman"/>
                <w:bCs/>
                <w:iCs/>
                <w:sz w:val="20"/>
                <w:szCs w:val="20"/>
                <w:lang w:val="sr-Cyrl-RS"/>
              </w:rPr>
              <w:t>Русини</w:t>
            </w:r>
          </w:p>
        </w:tc>
        <w:tc>
          <w:tcPr>
            <w:tcW w:w="139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735.000,00</w:t>
            </w:r>
          </w:p>
        </w:tc>
        <w:tc>
          <w:tcPr>
            <w:tcW w:w="1468"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1.385.000,00</w:t>
            </w:r>
          </w:p>
        </w:tc>
        <w:tc>
          <w:tcPr>
            <w:tcW w:w="1317"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695.000,00</w:t>
            </w:r>
          </w:p>
        </w:tc>
        <w:tc>
          <w:tcPr>
            <w:tcW w:w="143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575.000,00</w:t>
            </w:r>
          </w:p>
        </w:tc>
        <w:tc>
          <w:tcPr>
            <w:tcW w:w="1310"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600.000,00</w:t>
            </w:r>
          </w:p>
        </w:tc>
      </w:tr>
      <w:tr w:rsidR="00F31B10" w:rsidRPr="00935E8D" w:rsidTr="0056662A">
        <w:trPr>
          <w:trHeight w:val="286"/>
        </w:trPr>
        <w:tc>
          <w:tcPr>
            <w:tcW w:w="2417" w:type="dxa"/>
            <w:vAlign w:val="center"/>
          </w:tcPr>
          <w:p w:rsidR="00F31B10" w:rsidRPr="00935E8D" w:rsidRDefault="00F31B10" w:rsidP="0056662A">
            <w:pPr>
              <w:spacing w:after="0" w:line="240" w:lineRule="auto"/>
              <w:rPr>
                <w:rFonts w:eastAsia="Times New Roman"/>
                <w:bCs/>
                <w:iCs/>
                <w:sz w:val="20"/>
                <w:szCs w:val="20"/>
                <w:lang w:val="sr-Cyrl-RS"/>
              </w:rPr>
            </w:pPr>
            <w:r w:rsidRPr="00935E8D">
              <w:rPr>
                <w:rFonts w:eastAsia="Times New Roman"/>
                <w:bCs/>
                <w:iCs/>
                <w:sz w:val="20"/>
                <w:szCs w:val="20"/>
                <w:lang w:val="sr-Cyrl-RS"/>
              </w:rPr>
              <w:t>Словаци</w:t>
            </w:r>
          </w:p>
        </w:tc>
        <w:tc>
          <w:tcPr>
            <w:tcW w:w="139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1.130.000,00</w:t>
            </w:r>
          </w:p>
        </w:tc>
        <w:tc>
          <w:tcPr>
            <w:tcW w:w="1468"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2.350.000,00</w:t>
            </w:r>
          </w:p>
        </w:tc>
        <w:tc>
          <w:tcPr>
            <w:tcW w:w="1317"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1.100.000,00</w:t>
            </w:r>
          </w:p>
        </w:tc>
        <w:tc>
          <w:tcPr>
            <w:tcW w:w="143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1.150.000,00</w:t>
            </w:r>
          </w:p>
        </w:tc>
        <w:tc>
          <w:tcPr>
            <w:tcW w:w="1310"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1.150.000,00</w:t>
            </w:r>
          </w:p>
        </w:tc>
      </w:tr>
      <w:tr w:rsidR="00F31B10" w:rsidRPr="00935E8D" w:rsidTr="0056662A">
        <w:trPr>
          <w:trHeight w:val="276"/>
        </w:trPr>
        <w:tc>
          <w:tcPr>
            <w:tcW w:w="2417" w:type="dxa"/>
            <w:vAlign w:val="center"/>
          </w:tcPr>
          <w:p w:rsidR="00F31B10" w:rsidRPr="00935E8D" w:rsidRDefault="00F31B10" w:rsidP="0056662A">
            <w:pPr>
              <w:spacing w:after="0" w:line="240" w:lineRule="auto"/>
              <w:rPr>
                <w:rFonts w:eastAsia="Times New Roman"/>
                <w:bCs/>
                <w:iCs/>
                <w:sz w:val="20"/>
                <w:szCs w:val="20"/>
                <w:lang w:val="sr-Cyrl-RS"/>
              </w:rPr>
            </w:pPr>
            <w:r w:rsidRPr="00935E8D">
              <w:rPr>
                <w:rFonts w:eastAsia="Times New Roman"/>
                <w:bCs/>
                <w:iCs/>
                <w:sz w:val="20"/>
                <w:szCs w:val="20"/>
                <w:lang w:val="sr-Cyrl-RS"/>
              </w:rPr>
              <w:t>Словенци</w:t>
            </w:r>
          </w:p>
        </w:tc>
        <w:tc>
          <w:tcPr>
            <w:tcW w:w="139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20.000,00</w:t>
            </w:r>
          </w:p>
        </w:tc>
        <w:tc>
          <w:tcPr>
            <w:tcW w:w="1468"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20.000,00</w:t>
            </w:r>
          </w:p>
        </w:tc>
        <w:tc>
          <w:tcPr>
            <w:tcW w:w="1317"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50.000,00</w:t>
            </w:r>
          </w:p>
        </w:tc>
        <w:tc>
          <w:tcPr>
            <w:tcW w:w="143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50.000,00</w:t>
            </w:r>
          </w:p>
        </w:tc>
        <w:tc>
          <w:tcPr>
            <w:tcW w:w="1310" w:type="dxa"/>
            <w:vAlign w:val="center"/>
          </w:tcPr>
          <w:p w:rsidR="00F31B10" w:rsidRPr="00935E8D" w:rsidRDefault="00F31B10" w:rsidP="0056662A">
            <w:pPr>
              <w:spacing w:after="0" w:line="240" w:lineRule="auto"/>
              <w:jc w:val="center"/>
              <w:rPr>
                <w:rFonts w:eastAsia="Times New Roman"/>
                <w:bCs/>
                <w:sz w:val="20"/>
                <w:szCs w:val="20"/>
                <w:lang w:val="sr-Cyrl-RS"/>
              </w:rPr>
            </w:pPr>
          </w:p>
        </w:tc>
      </w:tr>
      <w:tr w:rsidR="00F31B10" w:rsidRPr="00935E8D" w:rsidTr="0056662A">
        <w:trPr>
          <w:trHeight w:val="286"/>
        </w:trPr>
        <w:tc>
          <w:tcPr>
            <w:tcW w:w="2417" w:type="dxa"/>
            <w:vAlign w:val="center"/>
          </w:tcPr>
          <w:p w:rsidR="00F31B10" w:rsidRPr="00935E8D" w:rsidRDefault="00F31B10" w:rsidP="0056662A">
            <w:pPr>
              <w:spacing w:after="0" w:line="240" w:lineRule="auto"/>
              <w:rPr>
                <w:rFonts w:eastAsia="Times New Roman"/>
                <w:bCs/>
                <w:iCs/>
                <w:sz w:val="20"/>
                <w:szCs w:val="20"/>
                <w:lang w:val="sr-Cyrl-RS"/>
              </w:rPr>
            </w:pPr>
            <w:r w:rsidRPr="00935E8D">
              <w:rPr>
                <w:rFonts w:eastAsia="Times New Roman"/>
                <w:bCs/>
                <w:iCs/>
                <w:sz w:val="20"/>
                <w:szCs w:val="20"/>
                <w:lang w:val="sr-Cyrl-RS"/>
              </w:rPr>
              <w:t>Украјинци</w:t>
            </w:r>
          </w:p>
        </w:tc>
        <w:tc>
          <w:tcPr>
            <w:tcW w:w="139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rPr>
              <w:t>14</w:t>
            </w:r>
            <w:r w:rsidRPr="00935E8D">
              <w:rPr>
                <w:rFonts w:eastAsia="Times New Roman"/>
                <w:bCs/>
                <w:sz w:val="20"/>
                <w:szCs w:val="20"/>
                <w:lang w:val="sr-Cyrl-RS"/>
              </w:rPr>
              <w:t>1.000,00</w:t>
            </w:r>
          </w:p>
        </w:tc>
        <w:tc>
          <w:tcPr>
            <w:tcW w:w="1468"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191.000,00</w:t>
            </w:r>
          </w:p>
        </w:tc>
        <w:tc>
          <w:tcPr>
            <w:tcW w:w="1317"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100.000,00</w:t>
            </w:r>
          </w:p>
        </w:tc>
        <w:tc>
          <w:tcPr>
            <w:tcW w:w="143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150.000,00</w:t>
            </w:r>
          </w:p>
        </w:tc>
        <w:tc>
          <w:tcPr>
            <w:tcW w:w="1310"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1</w:t>
            </w:r>
            <w:r w:rsidRPr="00935E8D">
              <w:rPr>
                <w:rFonts w:eastAsia="Times New Roman"/>
                <w:bCs/>
                <w:sz w:val="20"/>
                <w:szCs w:val="20"/>
              </w:rPr>
              <w:t>9</w:t>
            </w:r>
            <w:r w:rsidRPr="00935E8D">
              <w:rPr>
                <w:rFonts w:eastAsia="Times New Roman"/>
                <w:bCs/>
                <w:sz w:val="20"/>
                <w:szCs w:val="20"/>
                <w:lang w:val="sr-Cyrl-RS"/>
              </w:rPr>
              <w:t>5.000,00</w:t>
            </w:r>
          </w:p>
        </w:tc>
      </w:tr>
      <w:tr w:rsidR="00F31B10" w:rsidRPr="00935E8D" w:rsidTr="0056662A">
        <w:trPr>
          <w:trHeight w:val="286"/>
        </w:trPr>
        <w:tc>
          <w:tcPr>
            <w:tcW w:w="2417" w:type="dxa"/>
            <w:vAlign w:val="center"/>
          </w:tcPr>
          <w:p w:rsidR="00F31B10" w:rsidRPr="00935E8D" w:rsidRDefault="00F31B10" w:rsidP="0056662A">
            <w:pPr>
              <w:spacing w:after="0" w:line="240" w:lineRule="auto"/>
              <w:rPr>
                <w:rFonts w:eastAsia="Times New Roman"/>
                <w:bCs/>
                <w:iCs/>
                <w:sz w:val="20"/>
                <w:szCs w:val="20"/>
                <w:lang w:val="sr-Cyrl-RS"/>
              </w:rPr>
            </w:pPr>
            <w:r w:rsidRPr="00935E8D">
              <w:rPr>
                <w:rFonts w:eastAsia="Times New Roman"/>
                <w:bCs/>
                <w:iCs/>
                <w:sz w:val="20"/>
                <w:szCs w:val="20"/>
                <w:lang w:val="sr-Cyrl-RS"/>
              </w:rPr>
              <w:t>Хрвати</w:t>
            </w:r>
          </w:p>
        </w:tc>
        <w:tc>
          <w:tcPr>
            <w:tcW w:w="139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914.000,00</w:t>
            </w:r>
          </w:p>
        </w:tc>
        <w:tc>
          <w:tcPr>
            <w:tcW w:w="1468"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1.894.000,00</w:t>
            </w:r>
          </w:p>
        </w:tc>
        <w:tc>
          <w:tcPr>
            <w:tcW w:w="1317"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1.000.000,00</w:t>
            </w:r>
          </w:p>
        </w:tc>
        <w:tc>
          <w:tcPr>
            <w:tcW w:w="143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990,000.00</w:t>
            </w:r>
          </w:p>
        </w:tc>
        <w:tc>
          <w:tcPr>
            <w:tcW w:w="1310"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1.000.000,00</w:t>
            </w:r>
          </w:p>
        </w:tc>
      </w:tr>
      <w:tr w:rsidR="00F31B10" w:rsidRPr="00935E8D" w:rsidTr="0056662A">
        <w:trPr>
          <w:trHeight w:val="286"/>
        </w:trPr>
        <w:tc>
          <w:tcPr>
            <w:tcW w:w="2417" w:type="dxa"/>
            <w:vAlign w:val="center"/>
          </w:tcPr>
          <w:p w:rsidR="00F31B10" w:rsidRPr="00935E8D" w:rsidRDefault="00F31B10" w:rsidP="0056662A">
            <w:pPr>
              <w:spacing w:after="0" w:line="240" w:lineRule="auto"/>
              <w:rPr>
                <w:rFonts w:eastAsia="Times New Roman"/>
                <w:bCs/>
                <w:iCs/>
                <w:sz w:val="20"/>
                <w:szCs w:val="20"/>
                <w:lang w:val="sr-Cyrl-RS"/>
              </w:rPr>
            </w:pPr>
            <w:r w:rsidRPr="00935E8D">
              <w:rPr>
                <w:rFonts w:eastAsia="Times New Roman"/>
                <w:bCs/>
                <w:iCs/>
                <w:sz w:val="20"/>
                <w:szCs w:val="20"/>
                <w:lang w:val="sr-Cyrl-RS"/>
              </w:rPr>
              <w:t>Црногорци</w:t>
            </w:r>
          </w:p>
        </w:tc>
        <w:tc>
          <w:tcPr>
            <w:tcW w:w="139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rPr>
              <w:t>20</w:t>
            </w:r>
            <w:r w:rsidRPr="00935E8D">
              <w:rPr>
                <w:rFonts w:eastAsia="Times New Roman"/>
                <w:bCs/>
                <w:sz w:val="20"/>
                <w:szCs w:val="20"/>
                <w:lang w:val="sr-Cyrl-RS"/>
              </w:rPr>
              <w:t>7.000,00</w:t>
            </w:r>
          </w:p>
        </w:tc>
        <w:tc>
          <w:tcPr>
            <w:tcW w:w="1468"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rPr>
              <w:t>432</w:t>
            </w:r>
            <w:r w:rsidRPr="00935E8D">
              <w:rPr>
                <w:rFonts w:eastAsia="Times New Roman"/>
                <w:bCs/>
                <w:sz w:val="20"/>
                <w:szCs w:val="20"/>
                <w:lang w:val="sr-Cyrl-RS"/>
              </w:rPr>
              <w:t>.000,00</w:t>
            </w:r>
          </w:p>
        </w:tc>
        <w:tc>
          <w:tcPr>
            <w:tcW w:w="1317"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1</w:t>
            </w:r>
            <w:r w:rsidRPr="00935E8D">
              <w:rPr>
                <w:rFonts w:eastAsia="Times New Roman"/>
                <w:bCs/>
                <w:sz w:val="20"/>
                <w:szCs w:val="20"/>
              </w:rPr>
              <w:t>8</w:t>
            </w:r>
            <w:r w:rsidRPr="00935E8D">
              <w:rPr>
                <w:rFonts w:eastAsia="Times New Roman"/>
                <w:bCs/>
                <w:sz w:val="20"/>
                <w:szCs w:val="20"/>
                <w:lang w:val="sr-Cyrl-RS"/>
              </w:rPr>
              <w:t>0.000,00</w:t>
            </w:r>
          </w:p>
        </w:tc>
        <w:tc>
          <w:tcPr>
            <w:tcW w:w="143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1</w:t>
            </w:r>
            <w:r w:rsidRPr="00935E8D">
              <w:rPr>
                <w:rFonts w:eastAsia="Times New Roman"/>
                <w:bCs/>
                <w:sz w:val="20"/>
                <w:szCs w:val="20"/>
              </w:rPr>
              <w:t>8</w:t>
            </w:r>
            <w:r w:rsidRPr="00935E8D">
              <w:rPr>
                <w:rFonts w:eastAsia="Times New Roman"/>
                <w:bCs/>
                <w:sz w:val="20"/>
                <w:szCs w:val="20"/>
                <w:lang w:val="sr-Cyrl-RS"/>
              </w:rPr>
              <w:t>0.000,00</w:t>
            </w:r>
          </w:p>
        </w:tc>
        <w:tc>
          <w:tcPr>
            <w:tcW w:w="1310"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1</w:t>
            </w:r>
            <w:r w:rsidRPr="00935E8D">
              <w:rPr>
                <w:rFonts w:eastAsia="Times New Roman"/>
                <w:bCs/>
                <w:sz w:val="20"/>
                <w:szCs w:val="20"/>
              </w:rPr>
              <w:t>7</w:t>
            </w:r>
            <w:r w:rsidRPr="00935E8D">
              <w:rPr>
                <w:rFonts w:eastAsia="Times New Roman"/>
                <w:bCs/>
                <w:sz w:val="20"/>
                <w:szCs w:val="20"/>
                <w:lang w:val="sr-Cyrl-RS"/>
              </w:rPr>
              <w:t>5.000,00</w:t>
            </w:r>
          </w:p>
        </w:tc>
      </w:tr>
      <w:tr w:rsidR="00F31B10" w:rsidRPr="00B5055B" w:rsidTr="0056662A">
        <w:trPr>
          <w:trHeight w:val="286"/>
        </w:trPr>
        <w:tc>
          <w:tcPr>
            <w:tcW w:w="2417" w:type="dxa"/>
            <w:vAlign w:val="center"/>
          </w:tcPr>
          <w:p w:rsidR="00F31B10" w:rsidRPr="00935E8D" w:rsidRDefault="00F31B10" w:rsidP="0056662A">
            <w:pPr>
              <w:spacing w:after="0" w:line="240" w:lineRule="auto"/>
              <w:rPr>
                <w:rFonts w:eastAsia="Times New Roman"/>
                <w:bCs/>
                <w:iCs/>
                <w:sz w:val="20"/>
                <w:szCs w:val="20"/>
                <w:lang w:val="sr-Cyrl-RS"/>
              </w:rPr>
            </w:pPr>
            <w:r w:rsidRPr="00935E8D">
              <w:rPr>
                <w:rFonts w:eastAsia="Times New Roman"/>
                <w:bCs/>
                <w:iCs/>
                <w:sz w:val="20"/>
                <w:szCs w:val="20"/>
                <w:lang w:val="sr-Cyrl-RS"/>
              </w:rPr>
              <w:t>Чеси</w:t>
            </w:r>
          </w:p>
        </w:tc>
        <w:tc>
          <w:tcPr>
            <w:tcW w:w="139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20.000,00</w:t>
            </w:r>
          </w:p>
        </w:tc>
        <w:tc>
          <w:tcPr>
            <w:tcW w:w="1468"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70.000,00</w:t>
            </w:r>
          </w:p>
        </w:tc>
        <w:tc>
          <w:tcPr>
            <w:tcW w:w="1317"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50.000,00</w:t>
            </w:r>
          </w:p>
        </w:tc>
        <w:tc>
          <w:tcPr>
            <w:tcW w:w="1433" w:type="dxa"/>
            <w:vAlign w:val="center"/>
          </w:tcPr>
          <w:p w:rsidR="00F31B10" w:rsidRPr="00935E8D"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50.000,00</w:t>
            </w:r>
          </w:p>
        </w:tc>
        <w:tc>
          <w:tcPr>
            <w:tcW w:w="1310" w:type="dxa"/>
            <w:vAlign w:val="center"/>
          </w:tcPr>
          <w:p w:rsidR="00F31B10" w:rsidRPr="000328A3" w:rsidRDefault="00F31B10" w:rsidP="0056662A">
            <w:pPr>
              <w:spacing w:after="0" w:line="240" w:lineRule="auto"/>
              <w:jc w:val="center"/>
              <w:rPr>
                <w:rFonts w:eastAsia="Times New Roman"/>
                <w:bCs/>
                <w:sz w:val="20"/>
                <w:szCs w:val="20"/>
                <w:lang w:val="sr-Cyrl-RS"/>
              </w:rPr>
            </w:pPr>
            <w:r w:rsidRPr="00935E8D">
              <w:rPr>
                <w:rFonts w:eastAsia="Times New Roman"/>
                <w:bCs/>
                <w:sz w:val="20"/>
                <w:szCs w:val="20"/>
                <w:lang w:val="sr-Cyrl-RS"/>
              </w:rPr>
              <w:t>50.000,00</w:t>
            </w:r>
          </w:p>
        </w:tc>
      </w:tr>
    </w:tbl>
    <w:p w:rsidR="00F31B10" w:rsidRDefault="00F31B10" w:rsidP="00F31B10">
      <w:pPr>
        <w:spacing w:after="0"/>
        <w:jc w:val="both"/>
        <w:rPr>
          <w:sz w:val="24"/>
          <w:szCs w:val="24"/>
          <w:lang w:val="sr-Cyrl-RS"/>
        </w:rPr>
      </w:pPr>
    </w:p>
    <w:p w:rsidR="00F31B10" w:rsidRDefault="00F31B10" w:rsidP="00F31B10">
      <w:pPr>
        <w:spacing w:after="0"/>
        <w:ind w:firstLine="720"/>
        <w:jc w:val="both"/>
        <w:rPr>
          <w:sz w:val="24"/>
          <w:szCs w:val="24"/>
          <w:lang w:val="sr-Cyrl-RS"/>
        </w:rPr>
      </w:pPr>
      <w:r>
        <w:rPr>
          <w:sz w:val="24"/>
          <w:szCs w:val="24"/>
          <w:lang w:val="sr-Cyrl-RS"/>
        </w:rPr>
        <w:t>Као што је то случај са конкурсима на државном нивоу, и на покрајинском нивоу финансира се велики број пројеката националних мањина или пројеката који су од значаја за националне мањине и путем осталих конкурса покрајинског секртаријата надлежног за културу. Подаци о броју подржаних пројеката и висини средстава по годинама садржани су у доњој табели.</w:t>
      </w:r>
    </w:p>
    <w:p w:rsidR="00F31B10" w:rsidRDefault="00F31B10" w:rsidP="00F31B10">
      <w:pPr>
        <w:spacing w:after="0"/>
        <w:jc w:val="both"/>
        <w:rPr>
          <w:sz w:val="24"/>
          <w:szCs w:val="24"/>
          <w:lang w:val="sr-Cyrl-RS"/>
        </w:rPr>
      </w:pPr>
    </w:p>
    <w:tbl>
      <w:tblPr>
        <w:tblStyle w:val="TableGrid"/>
        <w:tblW w:w="9356" w:type="dxa"/>
        <w:tblInd w:w="-147" w:type="dxa"/>
        <w:tblLook w:val="04A0" w:firstRow="1" w:lastRow="0" w:firstColumn="1" w:lastColumn="0" w:noHBand="0" w:noVBand="1"/>
      </w:tblPr>
      <w:tblGrid>
        <w:gridCol w:w="1950"/>
        <w:gridCol w:w="1804"/>
        <w:gridCol w:w="1804"/>
        <w:gridCol w:w="1804"/>
        <w:gridCol w:w="1994"/>
      </w:tblGrid>
      <w:tr w:rsidR="00F31B10" w:rsidRPr="00E470B3" w:rsidTr="0056662A">
        <w:trPr>
          <w:trHeight w:val="278"/>
        </w:trPr>
        <w:tc>
          <w:tcPr>
            <w:tcW w:w="1950" w:type="dxa"/>
          </w:tcPr>
          <w:p w:rsidR="00F31B10" w:rsidRPr="00E470B3" w:rsidRDefault="00F31B10" w:rsidP="0056662A">
            <w:pPr>
              <w:spacing w:after="0"/>
              <w:jc w:val="center"/>
              <w:rPr>
                <w:sz w:val="20"/>
                <w:szCs w:val="20"/>
                <w:lang w:val="sr-Cyrl-RS"/>
              </w:rPr>
            </w:pPr>
          </w:p>
        </w:tc>
        <w:tc>
          <w:tcPr>
            <w:tcW w:w="1804" w:type="dxa"/>
          </w:tcPr>
          <w:p w:rsidR="00F31B10" w:rsidRPr="00E470B3" w:rsidRDefault="00F31B10" w:rsidP="0056662A">
            <w:pPr>
              <w:spacing w:after="0"/>
              <w:jc w:val="center"/>
              <w:rPr>
                <w:sz w:val="20"/>
                <w:szCs w:val="20"/>
                <w:lang w:val="sr-Cyrl-RS"/>
              </w:rPr>
            </w:pPr>
            <w:r w:rsidRPr="00E470B3">
              <w:rPr>
                <w:sz w:val="20"/>
                <w:szCs w:val="20"/>
                <w:lang w:val="sr-Cyrl-RS"/>
              </w:rPr>
              <w:t>2018.</w:t>
            </w:r>
          </w:p>
        </w:tc>
        <w:tc>
          <w:tcPr>
            <w:tcW w:w="1804" w:type="dxa"/>
          </w:tcPr>
          <w:p w:rsidR="00F31B10" w:rsidRPr="00E470B3" w:rsidRDefault="00F31B10" w:rsidP="0056662A">
            <w:pPr>
              <w:spacing w:after="0"/>
              <w:jc w:val="center"/>
              <w:rPr>
                <w:sz w:val="20"/>
                <w:szCs w:val="20"/>
                <w:lang w:val="sr-Cyrl-RS"/>
              </w:rPr>
            </w:pPr>
            <w:r w:rsidRPr="00E470B3">
              <w:rPr>
                <w:sz w:val="20"/>
                <w:szCs w:val="20"/>
                <w:lang w:val="sr-Cyrl-RS"/>
              </w:rPr>
              <w:t>2019.</w:t>
            </w:r>
          </w:p>
        </w:tc>
        <w:tc>
          <w:tcPr>
            <w:tcW w:w="1804" w:type="dxa"/>
          </w:tcPr>
          <w:p w:rsidR="00F31B10" w:rsidRPr="00E470B3" w:rsidRDefault="00F31B10" w:rsidP="0056662A">
            <w:pPr>
              <w:spacing w:after="0"/>
              <w:jc w:val="center"/>
              <w:rPr>
                <w:sz w:val="20"/>
                <w:szCs w:val="20"/>
                <w:lang w:val="sr-Cyrl-RS"/>
              </w:rPr>
            </w:pPr>
            <w:r w:rsidRPr="00E470B3">
              <w:rPr>
                <w:sz w:val="20"/>
                <w:szCs w:val="20"/>
                <w:lang w:val="sr-Cyrl-RS"/>
              </w:rPr>
              <w:t>2020.</w:t>
            </w:r>
          </w:p>
        </w:tc>
        <w:tc>
          <w:tcPr>
            <w:tcW w:w="1994" w:type="dxa"/>
          </w:tcPr>
          <w:p w:rsidR="00F31B10" w:rsidRPr="00E470B3" w:rsidRDefault="00F31B10" w:rsidP="0056662A">
            <w:pPr>
              <w:spacing w:after="0"/>
              <w:jc w:val="center"/>
              <w:rPr>
                <w:sz w:val="20"/>
                <w:szCs w:val="20"/>
                <w:lang w:val="sr-Cyrl-RS"/>
              </w:rPr>
            </w:pPr>
            <w:r w:rsidRPr="00E470B3">
              <w:rPr>
                <w:sz w:val="20"/>
                <w:szCs w:val="20"/>
                <w:lang w:val="sr-Cyrl-RS"/>
              </w:rPr>
              <w:t>2021.</w:t>
            </w:r>
          </w:p>
        </w:tc>
      </w:tr>
      <w:tr w:rsidR="00F31B10" w:rsidRPr="00DD045B" w:rsidTr="0056662A">
        <w:trPr>
          <w:trHeight w:val="278"/>
        </w:trPr>
        <w:tc>
          <w:tcPr>
            <w:tcW w:w="1950" w:type="dxa"/>
            <w:vAlign w:val="bottom"/>
          </w:tcPr>
          <w:p w:rsidR="00F31B10" w:rsidRPr="00E470B3" w:rsidRDefault="00F31B10" w:rsidP="0056662A">
            <w:pPr>
              <w:spacing w:after="0"/>
              <w:rPr>
                <w:rFonts w:eastAsia="Times New Roman"/>
                <w:color w:val="000000"/>
                <w:sz w:val="20"/>
                <w:szCs w:val="20"/>
              </w:rPr>
            </w:pPr>
            <w:r>
              <w:rPr>
                <w:rFonts w:eastAsia="Times New Roman"/>
                <w:color w:val="000000"/>
                <w:sz w:val="20"/>
                <w:szCs w:val="20"/>
                <w:lang w:val="sr-Cyrl-RS"/>
              </w:rPr>
              <w:t>Б</w:t>
            </w:r>
            <w:r w:rsidRPr="00E470B3">
              <w:rPr>
                <w:rFonts w:eastAsia="Times New Roman"/>
                <w:color w:val="000000"/>
                <w:sz w:val="20"/>
                <w:szCs w:val="20"/>
              </w:rPr>
              <w:t>рој пројеката</w:t>
            </w:r>
          </w:p>
        </w:tc>
        <w:tc>
          <w:tcPr>
            <w:tcW w:w="1804" w:type="dxa"/>
            <w:vAlign w:val="center"/>
          </w:tcPr>
          <w:p w:rsidR="00F31B10" w:rsidRPr="00A711FC" w:rsidRDefault="00F31B10" w:rsidP="0056662A">
            <w:pPr>
              <w:spacing w:after="0"/>
              <w:jc w:val="center"/>
              <w:rPr>
                <w:rFonts w:eastAsia="Times New Roman"/>
                <w:color w:val="000000"/>
                <w:sz w:val="20"/>
                <w:szCs w:val="20"/>
                <w:lang w:val="sr-Cyrl-RS"/>
              </w:rPr>
            </w:pPr>
            <w:r w:rsidRPr="00A711FC">
              <w:rPr>
                <w:rFonts w:eastAsia="Times New Roman"/>
                <w:color w:val="000000"/>
                <w:sz w:val="20"/>
                <w:szCs w:val="20"/>
                <w:lang w:val="sr-Cyrl-RS"/>
              </w:rPr>
              <w:t>9</w:t>
            </w:r>
          </w:p>
        </w:tc>
        <w:tc>
          <w:tcPr>
            <w:tcW w:w="1804" w:type="dxa"/>
            <w:vAlign w:val="center"/>
          </w:tcPr>
          <w:p w:rsidR="00F31B10" w:rsidRPr="00A711FC" w:rsidRDefault="00F31B10" w:rsidP="0056662A">
            <w:pPr>
              <w:spacing w:after="0"/>
              <w:jc w:val="center"/>
              <w:rPr>
                <w:rFonts w:eastAsia="Times New Roman"/>
                <w:color w:val="000000"/>
                <w:sz w:val="20"/>
                <w:szCs w:val="20"/>
                <w:lang w:val="sr-Cyrl-RS"/>
              </w:rPr>
            </w:pPr>
            <w:r w:rsidRPr="00A711FC">
              <w:rPr>
                <w:rFonts w:eastAsia="Times New Roman"/>
                <w:color w:val="000000"/>
                <w:sz w:val="20"/>
                <w:szCs w:val="20"/>
                <w:lang w:val="sr-Cyrl-RS"/>
              </w:rPr>
              <w:t>11</w:t>
            </w:r>
          </w:p>
        </w:tc>
        <w:tc>
          <w:tcPr>
            <w:tcW w:w="1804" w:type="dxa"/>
            <w:vAlign w:val="center"/>
          </w:tcPr>
          <w:p w:rsidR="00F31B10" w:rsidRPr="00A711FC" w:rsidRDefault="00F31B10" w:rsidP="0056662A">
            <w:pPr>
              <w:spacing w:after="0"/>
              <w:jc w:val="center"/>
              <w:rPr>
                <w:rFonts w:eastAsia="Times New Roman"/>
                <w:color w:val="000000"/>
                <w:sz w:val="20"/>
                <w:szCs w:val="20"/>
                <w:lang w:val="sr-Cyrl-RS"/>
              </w:rPr>
            </w:pPr>
            <w:r w:rsidRPr="00A711FC">
              <w:rPr>
                <w:rFonts w:eastAsia="Times New Roman"/>
                <w:color w:val="000000"/>
                <w:sz w:val="20"/>
                <w:szCs w:val="20"/>
                <w:lang w:val="sr-Cyrl-RS"/>
              </w:rPr>
              <w:t>7</w:t>
            </w:r>
          </w:p>
        </w:tc>
        <w:tc>
          <w:tcPr>
            <w:tcW w:w="1994" w:type="dxa"/>
            <w:vAlign w:val="center"/>
          </w:tcPr>
          <w:p w:rsidR="00F31B10" w:rsidRPr="00A711FC" w:rsidRDefault="00F31B10" w:rsidP="0056662A">
            <w:pPr>
              <w:spacing w:after="0"/>
              <w:jc w:val="center"/>
              <w:rPr>
                <w:rFonts w:eastAsia="Times New Roman"/>
                <w:color w:val="000000"/>
                <w:sz w:val="20"/>
                <w:szCs w:val="20"/>
                <w:lang w:val="sr-Cyrl-RS"/>
              </w:rPr>
            </w:pPr>
            <w:r w:rsidRPr="00A711FC">
              <w:rPr>
                <w:rFonts w:eastAsia="Times New Roman"/>
                <w:color w:val="000000"/>
                <w:sz w:val="20"/>
                <w:szCs w:val="20"/>
                <w:lang w:val="sr-Cyrl-RS"/>
              </w:rPr>
              <w:t>15</w:t>
            </w:r>
          </w:p>
        </w:tc>
      </w:tr>
      <w:tr w:rsidR="00F31B10" w:rsidRPr="00E470B3" w:rsidTr="0056662A">
        <w:trPr>
          <w:trHeight w:val="557"/>
        </w:trPr>
        <w:tc>
          <w:tcPr>
            <w:tcW w:w="1950" w:type="dxa"/>
            <w:vAlign w:val="center"/>
          </w:tcPr>
          <w:p w:rsidR="00F31B10" w:rsidRPr="00E470B3" w:rsidRDefault="00F31B10" w:rsidP="0056662A">
            <w:pPr>
              <w:spacing w:after="0"/>
              <w:jc w:val="both"/>
              <w:rPr>
                <w:sz w:val="20"/>
                <w:szCs w:val="20"/>
                <w:lang w:val="sr-Cyrl-RS"/>
              </w:rPr>
            </w:pPr>
            <w:r>
              <w:rPr>
                <w:sz w:val="20"/>
                <w:szCs w:val="20"/>
                <w:lang w:val="sr-Cyrl-RS"/>
              </w:rPr>
              <w:lastRenderedPageBreak/>
              <w:t>Износ средстава</w:t>
            </w:r>
          </w:p>
        </w:tc>
        <w:tc>
          <w:tcPr>
            <w:tcW w:w="1804" w:type="dxa"/>
            <w:vAlign w:val="center"/>
          </w:tcPr>
          <w:p w:rsidR="00F31B10" w:rsidRPr="00A711FC" w:rsidRDefault="00F31B10" w:rsidP="0056662A">
            <w:pPr>
              <w:spacing w:after="0"/>
              <w:jc w:val="center"/>
              <w:rPr>
                <w:sz w:val="20"/>
                <w:szCs w:val="20"/>
                <w:lang w:val="sr-Cyrl-RS"/>
              </w:rPr>
            </w:pPr>
            <w:r w:rsidRPr="00A711FC">
              <w:rPr>
                <w:rFonts w:eastAsia="Times New Roman"/>
                <w:color w:val="000000"/>
                <w:sz w:val="20"/>
                <w:szCs w:val="20"/>
              </w:rPr>
              <w:t>2</w:t>
            </w:r>
            <w:r w:rsidRPr="00A711FC">
              <w:rPr>
                <w:rFonts w:eastAsia="Times New Roman"/>
                <w:color w:val="000000"/>
                <w:sz w:val="20"/>
                <w:szCs w:val="20"/>
                <w:lang w:val="sr-Cyrl-RS"/>
              </w:rPr>
              <w:t>.600.0</w:t>
            </w:r>
            <w:r w:rsidRPr="00A711FC">
              <w:rPr>
                <w:rFonts w:eastAsia="Times New Roman"/>
                <w:color w:val="000000"/>
                <w:sz w:val="20"/>
                <w:szCs w:val="20"/>
              </w:rPr>
              <w:t>00</w:t>
            </w:r>
            <w:r w:rsidRPr="00A711FC">
              <w:rPr>
                <w:rFonts w:eastAsia="Times New Roman"/>
                <w:color w:val="000000"/>
                <w:sz w:val="20"/>
                <w:szCs w:val="20"/>
                <w:lang w:val="sr-Cyrl-RS"/>
              </w:rPr>
              <w:t>,</w:t>
            </w:r>
            <w:r w:rsidRPr="00A711FC">
              <w:rPr>
                <w:rFonts w:eastAsia="Times New Roman"/>
                <w:color w:val="000000"/>
                <w:sz w:val="20"/>
                <w:szCs w:val="20"/>
              </w:rPr>
              <w:t>00</w:t>
            </w:r>
          </w:p>
        </w:tc>
        <w:tc>
          <w:tcPr>
            <w:tcW w:w="1804" w:type="dxa"/>
            <w:vAlign w:val="center"/>
          </w:tcPr>
          <w:p w:rsidR="00F31B10" w:rsidRPr="00A711FC" w:rsidRDefault="00F31B10" w:rsidP="0056662A">
            <w:pPr>
              <w:spacing w:after="0"/>
              <w:jc w:val="center"/>
              <w:rPr>
                <w:sz w:val="20"/>
                <w:szCs w:val="20"/>
                <w:lang w:val="sr-Cyrl-RS"/>
              </w:rPr>
            </w:pPr>
            <w:r w:rsidRPr="00A711FC">
              <w:rPr>
                <w:rFonts w:eastAsia="Times New Roman"/>
                <w:color w:val="000000"/>
                <w:sz w:val="20"/>
                <w:szCs w:val="20"/>
                <w:lang w:val="sr-Cyrl-RS"/>
              </w:rPr>
              <w:t>2.520.00</w:t>
            </w:r>
            <w:r w:rsidRPr="00A711FC">
              <w:rPr>
                <w:rFonts w:eastAsia="Times New Roman"/>
                <w:color w:val="000000"/>
                <w:sz w:val="20"/>
                <w:szCs w:val="20"/>
              </w:rPr>
              <w:t>0</w:t>
            </w:r>
            <w:r w:rsidRPr="00A711FC">
              <w:rPr>
                <w:rFonts w:eastAsia="Times New Roman"/>
                <w:color w:val="000000"/>
                <w:sz w:val="20"/>
                <w:szCs w:val="20"/>
                <w:lang w:val="sr-Cyrl-RS"/>
              </w:rPr>
              <w:t>,</w:t>
            </w:r>
            <w:r w:rsidRPr="00A711FC">
              <w:rPr>
                <w:rFonts w:eastAsia="Times New Roman"/>
                <w:color w:val="000000"/>
                <w:sz w:val="20"/>
                <w:szCs w:val="20"/>
              </w:rPr>
              <w:t>00</w:t>
            </w:r>
          </w:p>
        </w:tc>
        <w:tc>
          <w:tcPr>
            <w:tcW w:w="1804" w:type="dxa"/>
            <w:vAlign w:val="center"/>
          </w:tcPr>
          <w:p w:rsidR="00F31B10" w:rsidRPr="00A711FC" w:rsidRDefault="00F31B10" w:rsidP="0056662A">
            <w:pPr>
              <w:spacing w:after="0"/>
              <w:jc w:val="center"/>
              <w:rPr>
                <w:sz w:val="20"/>
                <w:szCs w:val="20"/>
                <w:lang w:val="sr-Cyrl-RS"/>
              </w:rPr>
            </w:pPr>
            <w:r w:rsidRPr="00A711FC">
              <w:rPr>
                <w:rFonts w:eastAsia="Times New Roman"/>
                <w:color w:val="000000"/>
                <w:sz w:val="20"/>
                <w:szCs w:val="20"/>
                <w:lang w:val="sr-Cyrl-RS"/>
              </w:rPr>
              <w:t>2.050.</w:t>
            </w:r>
            <w:r w:rsidRPr="00A711FC">
              <w:rPr>
                <w:rFonts w:eastAsia="Times New Roman"/>
                <w:color w:val="000000"/>
                <w:sz w:val="20"/>
                <w:szCs w:val="20"/>
              </w:rPr>
              <w:t>000</w:t>
            </w:r>
            <w:r w:rsidRPr="00A711FC">
              <w:rPr>
                <w:rFonts w:eastAsia="Times New Roman"/>
                <w:color w:val="000000"/>
                <w:sz w:val="20"/>
                <w:szCs w:val="20"/>
                <w:lang w:val="sr-Cyrl-RS"/>
              </w:rPr>
              <w:t>,</w:t>
            </w:r>
            <w:r w:rsidRPr="00A711FC">
              <w:rPr>
                <w:rFonts w:eastAsia="Times New Roman"/>
                <w:color w:val="000000"/>
                <w:sz w:val="20"/>
                <w:szCs w:val="20"/>
              </w:rPr>
              <w:t>00</w:t>
            </w:r>
          </w:p>
        </w:tc>
        <w:tc>
          <w:tcPr>
            <w:tcW w:w="1994" w:type="dxa"/>
            <w:vAlign w:val="center"/>
          </w:tcPr>
          <w:p w:rsidR="00F31B10" w:rsidRPr="00A711FC" w:rsidRDefault="00F31B10" w:rsidP="0056662A">
            <w:pPr>
              <w:spacing w:after="0"/>
              <w:jc w:val="center"/>
              <w:rPr>
                <w:sz w:val="20"/>
                <w:szCs w:val="20"/>
                <w:lang w:val="sr-Cyrl-RS"/>
              </w:rPr>
            </w:pPr>
            <w:r w:rsidRPr="00A711FC">
              <w:rPr>
                <w:rFonts w:eastAsia="Times New Roman"/>
                <w:color w:val="000000"/>
                <w:sz w:val="20"/>
                <w:szCs w:val="20"/>
                <w:lang w:val="sr-Cyrl-RS"/>
              </w:rPr>
              <w:t>5.33</w:t>
            </w:r>
            <w:r w:rsidRPr="00A711FC">
              <w:rPr>
                <w:rFonts w:eastAsia="Times New Roman"/>
                <w:color w:val="000000"/>
                <w:sz w:val="20"/>
                <w:szCs w:val="20"/>
              </w:rPr>
              <w:t>0</w:t>
            </w:r>
            <w:r w:rsidRPr="00A711FC">
              <w:rPr>
                <w:rFonts w:eastAsia="Times New Roman"/>
                <w:color w:val="000000"/>
                <w:sz w:val="20"/>
                <w:szCs w:val="20"/>
                <w:lang w:val="sr-Cyrl-RS"/>
              </w:rPr>
              <w:t>.</w:t>
            </w:r>
            <w:r w:rsidRPr="00A711FC">
              <w:rPr>
                <w:rFonts w:eastAsia="Times New Roman"/>
                <w:color w:val="000000"/>
                <w:sz w:val="20"/>
                <w:szCs w:val="20"/>
              </w:rPr>
              <w:t>000</w:t>
            </w:r>
            <w:r w:rsidRPr="00A711FC">
              <w:rPr>
                <w:rFonts w:eastAsia="Times New Roman"/>
                <w:color w:val="000000"/>
                <w:sz w:val="20"/>
                <w:szCs w:val="20"/>
                <w:lang w:val="sr-Cyrl-RS"/>
              </w:rPr>
              <w:t>,</w:t>
            </w:r>
            <w:r w:rsidRPr="00A711FC">
              <w:rPr>
                <w:rFonts w:eastAsia="Times New Roman"/>
                <w:color w:val="000000"/>
                <w:sz w:val="20"/>
                <w:szCs w:val="20"/>
              </w:rPr>
              <w:t>00</w:t>
            </w:r>
          </w:p>
        </w:tc>
      </w:tr>
    </w:tbl>
    <w:p w:rsidR="00F31B10" w:rsidRDefault="00F31B10" w:rsidP="00F31B10">
      <w:pPr>
        <w:spacing w:after="0"/>
        <w:jc w:val="both"/>
        <w:rPr>
          <w:sz w:val="24"/>
          <w:szCs w:val="24"/>
          <w:lang w:val="sr-Cyrl-RS"/>
        </w:rPr>
      </w:pPr>
    </w:p>
    <w:p w:rsidR="00F31B10" w:rsidRDefault="00F31B10" w:rsidP="00F31B10">
      <w:pPr>
        <w:spacing w:after="0"/>
        <w:ind w:firstLine="720"/>
        <w:jc w:val="both"/>
        <w:rPr>
          <w:sz w:val="24"/>
          <w:szCs w:val="24"/>
          <w:lang w:val="sr-Cyrl-RS"/>
        </w:rPr>
      </w:pPr>
      <w:r>
        <w:rPr>
          <w:sz w:val="24"/>
          <w:szCs w:val="24"/>
          <w:lang w:val="sr-Cyrl-RS"/>
        </w:rPr>
        <w:t xml:space="preserve">Осим наведеног, из буџета АП Војводине суфинансира се рад завода за културу националних мањина, </w:t>
      </w:r>
      <w:r w:rsidRPr="00A711FC">
        <w:rPr>
          <w:sz w:val="24"/>
          <w:szCs w:val="24"/>
          <w:lang w:val="sr-Cyrl-RS"/>
        </w:rPr>
        <w:t>Издавачког завода „Форум” -  „Forum Könyvkiadó Intézet“</w:t>
      </w:r>
      <w:r>
        <w:rPr>
          <w:sz w:val="24"/>
          <w:szCs w:val="24"/>
          <w:lang w:val="sr-Cyrl-RS"/>
        </w:rPr>
        <w:t xml:space="preserve">, који се бави издавачком делатношћу на мађарском језику, као и установа за културу </w:t>
      </w:r>
      <w:r w:rsidRPr="00A711FC">
        <w:rPr>
          <w:sz w:val="24"/>
          <w:szCs w:val="24"/>
          <w:lang w:val="sr-Cyrl-RS"/>
        </w:rPr>
        <w:t>кој</w:t>
      </w:r>
      <w:r>
        <w:rPr>
          <w:sz w:val="24"/>
          <w:szCs w:val="24"/>
          <w:lang w:val="sr-Cyrl-RS"/>
        </w:rPr>
        <w:t>е</w:t>
      </w:r>
      <w:r w:rsidRPr="00A711FC">
        <w:rPr>
          <w:sz w:val="24"/>
          <w:szCs w:val="24"/>
          <w:lang w:val="sr-Cyrl-RS"/>
        </w:rPr>
        <w:t xml:space="preserve"> својим програмима превазилазе локални значај и трајније задовољавају културне потребе грађана у АП Војводини, а од значаја </w:t>
      </w:r>
      <w:r>
        <w:rPr>
          <w:sz w:val="24"/>
          <w:szCs w:val="24"/>
          <w:lang w:val="sr-Cyrl-RS"/>
        </w:rPr>
        <w:t xml:space="preserve">су </w:t>
      </w:r>
      <w:r w:rsidRPr="00A711FC">
        <w:rPr>
          <w:sz w:val="24"/>
          <w:szCs w:val="24"/>
          <w:lang w:val="sr-Cyrl-RS"/>
        </w:rPr>
        <w:t>за националне мањине</w:t>
      </w:r>
      <w:r>
        <w:rPr>
          <w:sz w:val="24"/>
          <w:szCs w:val="24"/>
          <w:lang w:val="sr-Cyrl-RS"/>
        </w:rPr>
        <w:t xml:space="preserve">. У доњој табели садржани су подаци о финансирању ових завода и установа по годинама. </w:t>
      </w:r>
    </w:p>
    <w:p w:rsidR="00F31B10" w:rsidRPr="00671635" w:rsidRDefault="00F31B10" w:rsidP="00F31B10">
      <w:pPr>
        <w:spacing w:after="0"/>
        <w:jc w:val="both"/>
        <w:rPr>
          <w:sz w:val="24"/>
          <w:szCs w:val="24"/>
          <w:lang w:val="sr-Cyrl-RS"/>
        </w:rPr>
      </w:pPr>
    </w:p>
    <w:tbl>
      <w:tblPr>
        <w:tblStyle w:val="TableGrid"/>
        <w:tblW w:w="0" w:type="auto"/>
        <w:tblLook w:val="04A0" w:firstRow="1" w:lastRow="0" w:firstColumn="1" w:lastColumn="0" w:noHBand="0" w:noVBand="1"/>
      </w:tblPr>
      <w:tblGrid>
        <w:gridCol w:w="1676"/>
        <w:gridCol w:w="1438"/>
        <w:gridCol w:w="1477"/>
        <w:gridCol w:w="1475"/>
        <w:gridCol w:w="1475"/>
        <w:gridCol w:w="1475"/>
      </w:tblGrid>
      <w:tr w:rsidR="00F31B10" w:rsidRPr="00A711FC" w:rsidTr="0056662A">
        <w:tc>
          <w:tcPr>
            <w:tcW w:w="1676" w:type="dxa"/>
          </w:tcPr>
          <w:p w:rsidR="00F31B10" w:rsidRPr="00A711FC" w:rsidRDefault="00F31B10" w:rsidP="0056662A">
            <w:pPr>
              <w:spacing w:after="0" w:line="240" w:lineRule="auto"/>
              <w:jc w:val="both"/>
              <w:rPr>
                <w:sz w:val="20"/>
                <w:szCs w:val="20"/>
                <w:lang w:val="sr-Cyrl-RS"/>
              </w:rPr>
            </w:pPr>
          </w:p>
        </w:tc>
        <w:tc>
          <w:tcPr>
            <w:tcW w:w="1438" w:type="dxa"/>
          </w:tcPr>
          <w:p w:rsidR="00F31B10" w:rsidRPr="00A711FC" w:rsidRDefault="00F31B10" w:rsidP="0056662A">
            <w:pPr>
              <w:spacing w:after="0" w:line="240" w:lineRule="auto"/>
              <w:jc w:val="center"/>
              <w:rPr>
                <w:sz w:val="20"/>
                <w:szCs w:val="20"/>
                <w:lang w:val="sr-Cyrl-RS"/>
              </w:rPr>
            </w:pPr>
            <w:r w:rsidRPr="00A711FC">
              <w:rPr>
                <w:sz w:val="20"/>
                <w:szCs w:val="20"/>
                <w:lang w:val="sr-Cyrl-RS"/>
              </w:rPr>
              <w:t>2017.</w:t>
            </w:r>
          </w:p>
        </w:tc>
        <w:tc>
          <w:tcPr>
            <w:tcW w:w="1477" w:type="dxa"/>
          </w:tcPr>
          <w:p w:rsidR="00F31B10" w:rsidRPr="00A711FC" w:rsidRDefault="00F31B10" w:rsidP="0056662A">
            <w:pPr>
              <w:spacing w:after="0" w:line="240" w:lineRule="auto"/>
              <w:jc w:val="center"/>
              <w:rPr>
                <w:sz w:val="20"/>
                <w:szCs w:val="20"/>
                <w:lang w:val="sr-Cyrl-RS"/>
              </w:rPr>
            </w:pPr>
            <w:r w:rsidRPr="00A711FC">
              <w:rPr>
                <w:sz w:val="20"/>
                <w:szCs w:val="20"/>
                <w:lang w:val="sr-Cyrl-RS"/>
              </w:rPr>
              <w:t>2018.</w:t>
            </w:r>
          </w:p>
        </w:tc>
        <w:tc>
          <w:tcPr>
            <w:tcW w:w="1475" w:type="dxa"/>
          </w:tcPr>
          <w:p w:rsidR="00F31B10" w:rsidRPr="00A711FC" w:rsidRDefault="00F31B10" w:rsidP="0056662A">
            <w:pPr>
              <w:spacing w:after="0" w:line="240" w:lineRule="auto"/>
              <w:jc w:val="center"/>
              <w:rPr>
                <w:sz w:val="20"/>
                <w:szCs w:val="20"/>
                <w:lang w:val="sr-Cyrl-RS"/>
              </w:rPr>
            </w:pPr>
            <w:r w:rsidRPr="00A711FC">
              <w:rPr>
                <w:sz w:val="20"/>
                <w:szCs w:val="20"/>
                <w:lang w:val="sr-Cyrl-RS"/>
              </w:rPr>
              <w:t>2019.</w:t>
            </w:r>
          </w:p>
        </w:tc>
        <w:tc>
          <w:tcPr>
            <w:tcW w:w="1475" w:type="dxa"/>
          </w:tcPr>
          <w:p w:rsidR="00F31B10" w:rsidRPr="00A711FC" w:rsidRDefault="00F31B10" w:rsidP="0056662A">
            <w:pPr>
              <w:spacing w:after="0" w:line="240" w:lineRule="auto"/>
              <w:jc w:val="center"/>
              <w:rPr>
                <w:sz w:val="20"/>
                <w:szCs w:val="20"/>
                <w:lang w:val="sr-Cyrl-RS"/>
              </w:rPr>
            </w:pPr>
            <w:r w:rsidRPr="00A711FC">
              <w:rPr>
                <w:sz w:val="20"/>
                <w:szCs w:val="20"/>
                <w:lang w:val="sr-Cyrl-RS"/>
              </w:rPr>
              <w:t>2020.</w:t>
            </w:r>
          </w:p>
        </w:tc>
        <w:tc>
          <w:tcPr>
            <w:tcW w:w="1475" w:type="dxa"/>
          </w:tcPr>
          <w:p w:rsidR="00F31B10" w:rsidRPr="00A711FC" w:rsidRDefault="00F31B10" w:rsidP="0056662A">
            <w:pPr>
              <w:spacing w:after="0" w:line="240" w:lineRule="auto"/>
              <w:jc w:val="center"/>
              <w:rPr>
                <w:sz w:val="20"/>
                <w:szCs w:val="20"/>
                <w:lang w:val="sr-Cyrl-RS"/>
              </w:rPr>
            </w:pPr>
            <w:r w:rsidRPr="00A711FC">
              <w:rPr>
                <w:sz w:val="20"/>
                <w:szCs w:val="20"/>
                <w:lang w:val="sr-Cyrl-RS"/>
              </w:rPr>
              <w:t>2021.</w:t>
            </w:r>
          </w:p>
        </w:tc>
      </w:tr>
      <w:tr w:rsidR="00F31B10" w:rsidRPr="00A711FC" w:rsidTr="0056662A">
        <w:tc>
          <w:tcPr>
            <w:tcW w:w="1676" w:type="dxa"/>
          </w:tcPr>
          <w:p w:rsidR="00F31B10" w:rsidRPr="00A711FC" w:rsidRDefault="00F31B10" w:rsidP="0056662A">
            <w:pPr>
              <w:spacing w:after="0" w:line="240" w:lineRule="auto"/>
              <w:rPr>
                <w:sz w:val="20"/>
                <w:szCs w:val="20"/>
                <w:lang w:val="sr-Cyrl-RS"/>
              </w:rPr>
            </w:pPr>
            <w:r w:rsidRPr="00A711FC">
              <w:rPr>
                <w:sz w:val="20"/>
                <w:szCs w:val="20"/>
                <w:lang w:val="sr-Cyrl-RS"/>
              </w:rPr>
              <w:t>Завод за културу војвођанских Мађара</w:t>
            </w:r>
          </w:p>
        </w:tc>
        <w:tc>
          <w:tcPr>
            <w:tcW w:w="1438" w:type="dxa"/>
            <w:vAlign w:val="center"/>
          </w:tcPr>
          <w:p w:rsidR="00F31B10" w:rsidRPr="00A711FC" w:rsidRDefault="00F31B10" w:rsidP="0056662A">
            <w:pPr>
              <w:spacing w:after="0" w:line="240" w:lineRule="auto"/>
              <w:jc w:val="center"/>
              <w:rPr>
                <w:sz w:val="20"/>
                <w:szCs w:val="20"/>
              </w:rPr>
            </w:pPr>
            <w:r w:rsidRPr="00A711FC">
              <w:rPr>
                <w:sz w:val="20"/>
                <w:szCs w:val="20"/>
              </w:rPr>
              <w:t>15.000,000,00</w:t>
            </w:r>
          </w:p>
        </w:tc>
        <w:tc>
          <w:tcPr>
            <w:tcW w:w="1477" w:type="dxa"/>
            <w:vAlign w:val="center"/>
          </w:tcPr>
          <w:p w:rsidR="00F31B10" w:rsidRPr="00A711FC" w:rsidRDefault="00F31B10" w:rsidP="0056662A">
            <w:pPr>
              <w:spacing w:after="0" w:line="240" w:lineRule="auto"/>
              <w:jc w:val="center"/>
              <w:rPr>
                <w:sz w:val="20"/>
                <w:szCs w:val="20"/>
              </w:rPr>
            </w:pPr>
            <w:r w:rsidRPr="00A711FC">
              <w:rPr>
                <w:sz w:val="20"/>
                <w:szCs w:val="20"/>
              </w:rPr>
              <w:t>15.000,000,00</w:t>
            </w:r>
          </w:p>
        </w:tc>
        <w:tc>
          <w:tcPr>
            <w:tcW w:w="1475" w:type="dxa"/>
            <w:vAlign w:val="center"/>
          </w:tcPr>
          <w:p w:rsidR="00F31B10" w:rsidRPr="00A711FC" w:rsidRDefault="00F31B10" w:rsidP="0056662A">
            <w:pPr>
              <w:spacing w:after="0" w:line="240" w:lineRule="auto"/>
              <w:jc w:val="center"/>
              <w:rPr>
                <w:sz w:val="20"/>
                <w:szCs w:val="20"/>
              </w:rPr>
            </w:pPr>
            <w:r w:rsidRPr="00A711FC">
              <w:rPr>
                <w:sz w:val="20"/>
                <w:szCs w:val="20"/>
              </w:rPr>
              <w:t>15.000,000,00</w:t>
            </w:r>
          </w:p>
        </w:tc>
        <w:tc>
          <w:tcPr>
            <w:tcW w:w="1475" w:type="dxa"/>
            <w:vAlign w:val="center"/>
          </w:tcPr>
          <w:p w:rsidR="00F31B10" w:rsidRPr="00A711FC" w:rsidRDefault="00F31B10" w:rsidP="0056662A">
            <w:pPr>
              <w:spacing w:after="0" w:line="240" w:lineRule="auto"/>
              <w:jc w:val="center"/>
              <w:rPr>
                <w:sz w:val="20"/>
                <w:szCs w:val="20"/>
              </w:rPr>
            </w:pPr>
            <w:r w:rsidRPr="00A711FC">
              <w:rPr>
                <w:sz w:val="20"/>
                <w:szCs w:val="20"/>
              </w:rPr>
              <w:t>15.000,000,00</w:t>
            </w:r>
          </w:p>
        </w:tc>
        <w:tc>
          <w:tcPr>
            <w:tcW w:w="1475" w:type="dxa"/>
            <w:vAlign w:val="center"/>
          </w:tcPr>
          <w:p w:rsidR="00F31B10" w:rsidRPr="00A711FC" w:rsidRDefault="00F31B10" w:rsidP="0056662A">
            <w:pPr>
              <w:spacing w:after="0" w:line="240" w:lineRule="auto"/>
              <w:jc w:val="center"/>
              <w:rPr>
                <w:sz w:val="20"/>
                <w:szCs w:val="20"/>
              </w:rPr>
            </w:pPr>
            <w:r w:rsidRPr="00A711FC">
              <w:rPr>
                <w:sz w:val="20"/>
                <w:szCs w:val="20"/>
              </w:rPr>
              <w:t>15.000,000,00</w:t>
            </w:r>
          </w:p>
        </w:tc>
      </w:tr>
      <w:tr w:rsidR="00F31B10" w:rsidRPr="00A711FC" w:rsidTr="0056662A">
        <w:tc>
          <w:tcPr>
            <w:tcW w:w="1676" w:type="dxa"/>
          </w:tcPr>
          <w:p w:rsidR="00F31B10" w:rsidRPr="00A711FC" w:rsidRDefault="00F31B10" w:rsidP="0056662A">
            <w:pPr>
              <w:spacing w:after="0" w:line="240" w:lineRule="auto"/>
              <w:rPr>
                <w:sz w:val="20"/>
                <w:szCs w:val="20"/>
                <w:lang w:val="sr-Cyrl-RS"/>
              </w:rPr>
            </w:pPr>
            <w:r w:rsidRPr="00A711FC">
              <w:rPr>
                <w:sz w:val="20"/>
                <w:szCs w:val="20"/>
                <w:lang w:val="sr-Cyrl-RS"/>
              </w:rPr>
              <w:t>Завод за културу војвођанских Румуна</w:t>
            </w:r>
          </w:p>
        </w:tc>
        <w:tc>
          <w:tcPr>
            <w:tcW w:w="1438" w:type="dxa"/>
            <w:vAlign w:val="center"/>
          </w:tcPr>
          <w:p w:rsidR="00F31B10" w:rsidRPr="00A711FC" w:rsidRDefault="00F31B10" w:rsidP="0056662A">
            <w:pPr>
              <w:spacing w:after="0" w:line="240" w:lineRule="auto"/>
              <w:jc w:val="center"/>
              <w:rPr>
                <w:sz w:val="20"/>
                <w:szCs w:val="20"/>
              </w:rPr>
            </w:pPr>
            <w:r w:rsidRPr="00A711FC">
              <w:rPr>
                <w:sz w:val="20"/>
                <w:szCs w:val="20"/>
              </w:rPr>
              <w:t>9.400.000,00</w:t>
            </w:r>
          </w:p>
        </w:tc>
        <w:tc>
          <w:tcPr>
            <w:tcW w:w="1477" w:type="dxa"/>
            <w:vAlign w:val="center"/>
          </w:tcPr>
          <w:p w:rsidR="00F31B10" w:rsidRPr="00A711FC" w:rsidRDefault="00F31B10" w:rsidP="0056662A">
            <w:pPr>
              <w:spacing w:after="0" w:line="240" w:lineRule="auto"/>
              <w:jc w:val="center"/>
              <w:rPr>
                <w:sz w:val="20"/>
                <w:szCs w:val="20"/>
              </w:rPr>
            </w:pPr>
            <w:r w:rsidRPr="00A711FC">
              <w:rPr>
                <w:sz w:val="20"/>
                <w:szCs w:val="20"/>
              </w:rPr>
              <w:t>9.400.000,00</w:t>
            </w:r>
          </w:p>
        </w:tc>
        <w:tc>
          <w:tcPr>
            <w:tcW w:w="1475" w:type="dxa"/>
            <w:vAlign w:val="center"/>
          </w:tcPr>
          <w:p w:rsidR="00F31B10" w:rsidRPr="00A711FC" w:rsidRDefault="00F31B10" w:rsidP="0056662A">
            <w:pPr>
              <w:spacing w:after="0" w:line="240" w:lineRule="auto"/>
              <w:jc w:val="center"/>
              <w:rPr>
                <w:sz w:val="20"/>
                <w:szCs w:val="20"/>
              </w:rPr>
            </w:pPr>
            <w:r w:rsidRPr="00A711FC">
              <w:rPr>
                <w:sz w:val="20"/>
                <w:szCs w:val="20"/>
              </w:rPr>
              <w:t>9.400.000,00</w:t>
            </w:r>
          </w:p>
        </w:tc>
        <w:tc>
          <w:tcPr>
            <w:tcW w:w="1475" w:type="dxa"/>
            <w:vAlign w:val="center"/>
          </w:tcPr>
          <w:p w:rsidR="00F31B10" w:rsidRPr="00A711FC" w:rsidRDefault="00F31B10" w:rsidP="0056662A">
            <w:pPr>
              <w:spacing w:after="0" w:line="240" w:lineRule="auto"/>
              <w:jc w:val="center"/>
              <w:rPr>
                <w:sz w:val="20"/>
                <w:szCs w:val="20"/>
              </w:rPr>
            </w:pPr>
            <w:r w:rsidRPr="00A711FC">
              <w:rPr>
                <w:sz w:val="20"/>
                <w:szCs w:val="20"/>
              </w:rPr>
              <w:t>9.400.000,00</w:t>
            </w:r>
          </w:p>
        </w:tc>
        <w:tc>
          <w:tcPr>
            <w:tcW w:w="1475" w:type="dxa"/>
            <w:vAlign w:val="center"/>
          </w:tcPr>
          <w:p w:rsidR="00F31B10" w:rsidRPr="00A711FC" w:rsidRDefault="00F31B10" w:rsidP="0056662A">
            <w:pPr>
              <w:spacing w:after="0" w:line="240" w:lineRule="auto"/>
              <w:jc w:val="center"/>
              <w:rPr>
                <w:sz w:val="20"/>
                <w:szCs w:val="20"/>
              </w:rPr>
            </w:pPr>
            <w:r w:rsidRPr="00A711FC">
              <w:rPr>
                <w:sz w:val="20"/>
                <w:szCs w:val="20"/>
              </w:rPr>
              <w:t>9.400.000,00</w:t>
            </w:r>
          </w:p>
        </w:tc>
      </w:tr>
      <w:tr w:rsidR="00F31B10" w:rsidRPr="00A711FC" w:rsidTr="0056662A">
        <w:tc>
          <w:tcPr>
            <w:tcW w:w="1676" w:type="dxa"/>
          </w:tcPr>
          <w:p w:rsidR="00F31B10" w:rsidRPr="00A711FC" w:rsidRDefault="00F31B10" w:rsidP="0056662A">
            <w:pPr>
              <w:spacing w:after="0" w:line="240" w:lineRule="auto"/>
              <w:rPr>
                <w:sz w:val="20"/>
                <w:szCs w:val="20"/>
                <w:lang w:val="sr-Cyrl-RS"/>
              </w:rPr>
            </w:pPr>
            <w:r w:rsidRPr="00A711FC">
              <w:rPr>
                <w:sz w:val="20"/>
                <w:szCs w:val="20"/>
                <w:lang w:val="sr-Cyrl-RS"/>
              </w:rPr>
              <w:t>Завод за културу војвођанских Русина</w:t>
            </w:r>
          </w:p>
        </w:tc>
        <w:tc>
          <w:tcPr>
            <w:tcW w:w="1438" w:type="dxa"/>
            <w:vAlign w:val="center"/>
          </w:tcPr>
          <w:p w:rsidR="00F31B10" w:rsidRPr="00A711FC" w:rsidRDefault="00F31B10" w:rsidP="0056662A">
            <w:pPr>
              <w:spacing w:after="0" w:line="240" w:lineRule="auto"/>
              <w:jc w:val="center"/>
              <w:rPr>
                <w:sz w:val="20"/>
                <w:szCs w:val="20"/>
              </w:rPr>
            </w:pPr>
            <w:r w:rsidRPr="00A711FC">
              <w:rPr>
                <w:sz w:val="20"/>
                <w:szCs w:val="20"/>
              </w:rPr>
              <w:t>6.600.000,00</w:t>
            </w:r>
          </w:p>
        </w:tc>
        <w:tc>
          <w:tcPr>
            <w:tcW w:w="1477" w:type="dxa"/>
            <w:vAlign w:val="center"/>
          </w:tcPr>
          <w:p w:rsidR="00F31B10" w:rsidRPr="00A711FC" w:rsidRDefault="00F31B10" w:rsidP="0056662A">
            <w:pPr>
              <w:spacing w:after="0" w:line="240" w:lineRule="auto"/>
              <w:jc w:val="center"/>
              <w:rPr>
                <w:sz w:val="20"/>
                <w:szCs w:val="20"/>
              </w:rPr>
            </w:pPr>
            <w:r w:rsidRPr="00A711FC">
              <w:rPr>
                <w:sz w:val="20"/>
                <w:szCs w:val="20"/>
              </w:rPr>
              <w:t>6.600.000,00</w:t>
            </w:r>
          </w:p>
        </w:tc>
        <w:tc>
          <w:tcPr>
            <w:tcW w:w="1475" w:type="dxa"/>
            <w:vAlign w:val="center"/>
          </w:tcPr>
          <w:p w:rsidR="00F31B10" w:rsidRPr="00A711FC" w:rsidRDefault="00F31B10" w:rsidP="0056662A">
            <w:pPr>
              <w:spacing w:after="0" w:line="240" w:lineRule="auto"/>
              <w:jc w:val="center"/>
              <w:rPr>
                <w:sz w:val="20"/>
                <w:szCs w:val="20"/>
              </w:rPr>
            </w:pPr>
            <w:r w:rsidRPr="00A711FC">
              <w:rPr>
                <w:sz w:val="20"/>
                <w:szCs w:val="20"/>
              </w:rPr>
              <w:t>6.600.000,00</w:t>
            </w:r>
          </w:p>
        </w:tc>
        <w:tc>
          <w:tcPr>
            <w:tcW w:w="1475" w:type="dxa"/>
            <w:vAlign w:val="center"/>
          </w:tcPr>
          <w:p w:rsidR="00F31B10" w:rsidRPr="00A711FC" w:rsidRDefault="00F31B10" w:rsidP="0056662A">
            <w:pPr>
              <w:spacing w:after="0" w:line="240" w:lineRule="auto"/>
              <w:jc w:val="center"/>
              <w:rPr>
                <w:sz w:val="20"/>
                <w:szCs w:val="20"/>
              </w:rPr>
            </w:pPr>
            <w:r w:rsidRPr="00A711FC">
              <w:rPr>
                <w:sz w:val="20"/>
                <w:szCs w:val="20"/>
              </w:rPr>
              <w:t>6.600.000,00</w:t>
            </w:r>
          </w:p>
        </w:tc>
        <w:tc>
          <w:tcPr>
            <w:tcW w:w="1475" w:type="dxa"/>
            <w:vAlign w:val="center"/>
          </w:tcPr>
          <w:p w:rsidR="00F31B10" w:rsidRPr="00A711FC" w:rsidRDefault="00F31B10" w:rsidP="0056662A">
            <w:pPr>
              <w:spacing w:after="0" w:line="240" w:lineRule="auto"/>
              <w:jc w:val="center"/>
              <w:rPr>
                <w:sz w:val="20"/>
                <w:szCs w:val="20"/>
              </w:rPr>
            </w:pPr>
            <w:r w:rsidRPr="00A711FC">
              <w:rPr>
                <w:sz w:val="20"/>
                <w:szCs w:val="20"/>
              </w:rPr>
              <w:t>6.600.000,00</w:t>
            </w:r>
          </w:p>
        </w:tc>
      </w:tr>
      <w:tr w:rsidR="00F31B10" w:rsidRPr="00A711FC" w:rsidTr="0056662A">
        <w:tc>
          <w:tcPr>
            <w:tcW w:w="1676" w:type="dxa"/>
          </w:tcPr>
          <w:p w:rsidR="00F31B10" w:rsidRPr="00A711FC" w:rsidRDefault="00F31B10" w:rsidP="0056662A">
            <w:pPr>
              <w:spacing w:after="0" w:line="240" w:lineRule="auto"/>
              <w:rPr>
                <w:sz w:val="20"/>
                <w:szCs w:val="20"/>
                <w:lang w:val="sr-Cyrl-RS"/>
              </w:rPr>
            </w:pPr>
            <w:r w:rsidRPr="00A711FC">
              <w:rPr>
                <w:sz w:val="20"/>
                <w:szCs w:val="20"/>
                <w:lang w:val="sr-Cyrl-RS"/>
              </w:rPr>
              <w:t>Завод за културу војвођанских Словака</w:t>
            </w:r>
          </w:p>
        </w:tc>
        <w:tc>
          <w:tcPr>
            <w:tcW w:w="1438" w:type="dxa"/>
            <w:vAlign w:val="center"/>
          </w:tcPr>
          <w:p w:rsidR="00F31B10" w:rsidRPr="00A711FC" w:rsidRDefault="00F31B10" w:rsidP="0056662A">
            <w:pPr>
              <w:spacing w:after="0" w:line="240" w:lineRule="auto"/>
              <w:jc w:val="center"/>
              <w:rPr>
                <w:sz w:val="20"/>
                <w:szCs w:val="20"/>
              </w:rPr>
            </w:pPr>
            <w:r w:rsidRPr="00A711FC">
              <w:rPr>
                <w:sz w:val="20"/>
                <w:szCs w:val="20"/>
              </w:rPr>
              <w:t>10.000.000,00</w:t>
            </w:r>
          </w:p>
        </w:tc>
        <w:tc>
          <w:tcPr>
            <w:tcW w:w="1477" w:type="dxa"/>
            <w:vAlign w:val="center"/>
          </w:tcPr>
          <w:p w:rsidR="00F31B10" w:rsidRPr="00A711FC" w:rsidRDefault="00F31B10" w:rsidP="0056662A">
            <w:pPr>
              <w:spacing w:after="0" w:line="240" w:lineRule="auto"/>
              <w:jc w:val="center"/>
              <w:rPr>
                <w:sz w:val="20"/>
                <w:szCs w:val="20"/>
              </w:rPr>
            </w:pPr>
            <w:r w:rsidRPr="00A711FC">
              <w:rPr>
                <w:sz w:val="20"/>
                <w:szCs w:val="20"/>
              </w:rPr>
              <w:t>10.000.000,00</w:t>
            </w:r>
          </w:p>
        </w:tc>
        <w:tc>
          <w:tcPr>
            <w:tcW w:w="1475" w:type="dxa"/>
            <w:vAlign w:val="center"/>
          </w:tcPr>
          <w:p w:rsidR="00F31B10" w:rsidRPr="00A711FC" w:rsidRDefault="00F31B10" w:rsidP="0056662A">
            <w:pPr>
              <w:spacing w:after="0" w:line="240" w:lineRule="auto"/>
              <w:jc w:val="center"/>
              <w:rPr>
                <w:sz w:val="20"/>
                <w:szCs w:val="20"/>
              </w:rPr>
            </w:pPr>
            <w:r w:rsidRPr="00A711FC">
              <w:rPr>
                <w:sz w:val="20"/>
                <w:szCs w:val="20"/>
              </w:rPr>
              <w:t>10.000.000,00</w:t>
            </w:r>
          </w:p>
        </w:tc>
        <w:tc>
          <w:tcPr>
            <w:tcW w:w="1475" w:type="dxa"/>
            <w:vAlign w:val="center"/>
          </w:tcPr>
          <w:p w:rsidR="00F31B10" w:rsidRPr="00A711FC" w:rsidRDefault="00F31B10" w:rsidP="0056662A">
            <w:pPr>
              <w:spacing w:after="0" w:line="240" w:lineRule="auto"/>
              <w:jc w:val="center"/>
              <w:rPr>
                <w:sz w:val="20"/>
                <w:szCs w:val="20"/>
              </w:rPr>
            </w:pPr>
            <w:r w:rsidRPr="00A711FC">
              <w:rPr>
                <w:sz w:val="20"/>
                <w:szCs w:val="20"/>
              </w:rPr>
              <w:t>10.000.000,00</w:t>
            </w:r>
          </w:p>
        </w:tc>
        <w:tc>
          <w:tcPr>
            <w:tcW w:w="1475" w:type="dxa"/>
            <w:vAlign w:val="center"/>
          </w:tcPr>
          <w:p w:rsidR="00F31B10" w:rsidRPr="00A711FC" w:rsidRDefault="00F31B10" w:rsidP="0056662A">
            <w:pPr>
              <w:spacing w:after="0" w:line="240" w:lineRule="auto"/>
              <w:jc w:val="center"/>
              <w:rPr>
                <w:sz w:val="20"/>
                <w:szCs w:val="20"/>
              </w:rPr>
            </w:pPr>
            <w:r w:rsidRPr="00A711FC">
              <w:rPr>
                <w:sz w:val="20"/>
                <w:szCs w:val="20"/>
              </w:rPr>
              <w:t>10.000.000,00</w:t>
            </w:r>
          </w:p>
        </w:tc>
      </w:tr>
      <w:tr w:rsidR="00F31B10" w:rsidRPr="00A711FC" w:rsidTr="0056662A">
        <w:tc>
          <w:tcPr>
            <w:tcW w:w="1676" w:type="dxa"/>
          </w:tcPr>
          <w:p w:rsidR="00F31B10" w:rsidRPr="00A711FC" w:rsidRDefault="00F31B10" w:rsidP="0056662A">
            <w:pPr>
              <w:spacing w:after="0" w:line="240" w:lineRule="auto"/>
              <w:rPr>
                <w:sz w:val="20"/>
                <w:szCs w:val="20"/>
                <w:lang w:val="sr-Cyrl-RS"/>
              </w:rPr>
            </w:pPr>
            <w:r w:rsidRPr="00A711FC">
              <w:rPr>
                <w:sz w:val="20"/>
                <w:szCs w:val="20"/>
                <w:lang w:val="sr-Cyrl-RS"/>
              </w:rPr>
              <w:t>Завод за културу војвођанских Хрвата</w:t>
            </w:r>
          </w:p>
        </w:tc>
        <w:tc>
          <w:tcPr>
            <w:tcW w:w="1438" w:type="dxa"/>
            <w:vAlign w:val="center"/>
          </w:tcPr>
          <w:p w:rsidR="00F31B10" w:rsidRPr="00A711FC" w:rsidRDefault="00F31B10" w:rsidP="0056662A">
            <w:pPr>
              <w:spacing w:after="0" w:line="240" w:lineRule="auto"/>
              <w:jc w:val="center"/>
              <w:rPr>
                <w:sz w:val="20"/>
                <w:szCs w:val="20"/>
              </w:rPr>
            </w:pPr>
            <w:r w:rsidRPr="00A711FC">
              <w:rPr>
                <w:sz w:val="20"/>
                <w:szCs w:val="20"/>
              </w:rPr>
              <w:t>10.000.000,00</w:t>
            </w:r>
          </w:p>
        </w:tc>
        <w:tc>
          <w:tcPr>
            <w:tcW w:w="1477" w:type="dxa"/>
            <w:vAlign w:val="center"/>
          </w:tcPr>
          <w:p w:rsidR="00F31B10" w:rsidRPr="00A711FC" w:rsidRDefault="00F31B10" w:rsidP="0056662A">
            <w:pPr>
              <w:spacing w:after="0" w:line="240" w:lineRule="auto"/>
              <w:jc w:val="center"/>
              <w:rPr>
                <w:sz w:val="20"/>
                <w:szCs w:val="20"/>
              </w:rPr>
            </w:pPr>
            <w:r w:rsidRPr="00A711FC">
              <w:rPr>
                <w:sz w:val="20"/>
                <w:szCs w:val="20"/>
              </w:rPr>
              <w:t>10.000.000,00</w:t>
            </w:r>
          </w:p>
        </w:tc>
        <w:tc>
          <w:tcPr>
            <w:tcW w:w="1475" w:type="dxa"/>
            <w:vAlign w:val="center"/>
          </w:tcPr>
          <w:p w:rsidR="00F31B10" w:rsidRPr="00A711FC" w:rsidRDefault="00F31B10" w:rsidP="0056662A">
            <w:pPr>
              <w:spacing w:after="0" w:line="240" w:lineRule="auto"/>
              <w:jc w:val="center"/>
              <w:rPr>
                <w:sz w:val="20"/>
                <w:szCs w:val="20"/>
              </w:rPr>
            </w:pPr>
            <w:r w:rsidRPr="00A711FC">
              <w:rPr>
                <w:sz w:val="20"/>
                <w:szCs w:val="20"/>
              </w:rPr>
              <w:t>10.000.000,00</w:t>
            </w:r>
          </w:p>
        </w:tc>
        <w:tc>
          <w:tcPr>
            <w:tcW w:w="1475" w:type="dxa"/>
            <w:vAlign w:val="center"/>
          </w:tcPr>
          <w:p w:rsidR="00F31B10" w:rsidRPr="00A711FC" w:rsidRDefault="00F31B10" w:rsidP="0056662A">
            <w:pPr>
              <w:spacing w:after="0" w:line="240" w:lineRule="auto"/>
              <w:jc w:val="center"/>
              <w:rPr>
                <w:sz w:val="20"/>
                <w:szCs w:val="20"/>
              </w:rPr>
            </w:pPr>
            <w:r w:rsidRPr="00A711FC">
              <w:rPr>
                <w:sz w:val="20"/>
                <w:szCs w:val="20"/>
              </w:rPr>
              <w:t>10.000.000,00</w:t>
            </w:r>
          </w:p>
        </w:tc>
        <w:tc>
          <w:tcPr>
            <w:tcW w:w="1475" w:type="dxa"/>
            <w:vAlign w:val="center"/>
          </w:tcPr>
          <w:p w:rsidR="00F31B10" w:rsidRPr="00A711FC" w:rsidRDefault="00F31B10" w:rsidP="0056662A">
            <w:pPr>
              <w:spacing w:after="0" w:line="240" w:lineRule="auto"/>
              <w:jc w:val="center"/>
              <w:rPr>
                <w:sz w:val="20"/>
                <w:szCs w:val="20"/>
              </w:rPr>
            </w:pPr>
            <w:r w:rsidRPr="00A711FC">
              <w:rPr>
                <w:sz w:val="20"/>
                <w:szCs w:val="20"/>
              </w:rPr>
              <w:t>10.000.000,00</w:t>
            </w:r>
          </w:p>
        </w:tc>
      </w:tr>
      <w:tr w:rsidR="00F31B10" w:rsidRPr="00A711FC" w:rsidTr="0056662A">
        <w:tc>
          <w:tcPr>
            <w:tcW w:w="1676" w:type="dxa"/>
          </w:tcPr>
          <w:p w:rsidR="00F31B10" w:rsidRPr="00A711FC" w:rsidRDefault="00F31B10" w:rsidP="0056662A">
            <w:pPr>
              <w:spacing w:after="0" w:line="240" w:lineRule="auto"/>
              <w:rPr>
                <w:sz w:val="20"/>
                <w:szCs w:val="20"/>
                <w:lang w:val="sr-Cyrl-RS"/>
              </w:rPr>
            </w:pPr>
            <w:r w:rsidRPr="00A711FC">
              <w:rPr>
                <w:sz w:val="20"/>
                <w:szCs w:val="20"/>
                <w:lang w:val="sr-Cyrl-RS"/>
              </w:rPr>
              <w:t>Издавачк</w:t>
            </w:r>
            <w:r w:rsidR="008841AB">
              <w:rPr>
                <w:sz w:val="20"/>
                <w:szCs w:val="20"/>
              </w:rPr>
              <w:t>и</w:t>
            </w:r>
            <w:r w:rsidRPr="00A711FC">
              <w:rPr>
                <w:sz w:val="20"/>
                <w:szCs w:val="20"/>
                <w:lang w:val="sr-Cyrl-RS"/>
              </w:rPr>
              <w:t xml:space="preserve"> завод „Форум” </w:t>
            </w:r>
          </w:p>
        </w:tc>
        <w:tc>
          <w:tcPr>
            <w:tcW w:w="1438" w:type="dxa"/>
            <w:vAlign w:val="center"/>
          </w:tcPr>
          <w:p w:rsidR="00F31B10" w:rsidRPr="00A711FC" w:rsidRDefault="00F31B10" w:rsidP="0056662A">
            <w:pPr>
              <w:spacing w:after="0" w:line="240" w:lineRule="auto"/>
              <w:jc w:val="center"/>
              <w:rPr>
                <w:sz w:val="20"/>
                <w:szCs w:val="20"/>
              </w:rPr>
            </w:pPr>
            <w:r w:rsidRPr="00A711FC">
              <w:rPr>
                <w:bCs/>
                <w:sz w:val="20"/>
                <w:szCs w:val="20"/>
              </w:rPr>
              <w:t>17</w:t>
            </w:r>
            <w:r w:rsidRPr="00A711FC">
              <w:rPr>
                <w:bCs/>
                <w:sz w:val="20"/>
                <w:szCs w:val="20"/>
                <w:lang w:val="en-US"/>
              </w:rPr>
              <w:t>.</w:t>
            </w:r>
            <w:r w:rsidRPr="00A711FC">
              <w:rPr>
                <w:bCs/>
                <w:sz w:val="20"/>
                <w:szCs w:val="20"/>
              </w:rPr>
              <w:t>505</w:t>
            </w:r>
            <w:r w:rsidRPr="00A711FC">
              <w:rPr>
                <w:bCs/>
                <w:sz w:val="20"/>
                <w:szCs w:val="20"/>
                <w:lang w:val="en-US"/>
              </w:rPr>
              <w:t>.</w:t>
            </w:r>
            <w:r w:rsidRPr="00A711FC">
              <w:rPr>
                <w:bCs/>
                <w:sz w:val="20"/>
                <w:szCs w:val="20"/>
              </w:rPr>
              <w:t>719</w:t>
            </w:r>
            <w:r w:rsidRPr="00A711FC">
              <w:rPr>
                <w:bCs/>
                <w:sz w:val="20"/>
                <w:szCs w:val="20"/>
                <w:lang w:val="en-US"/>
              </w:rPr>
              <w:t>,</w:t>
            </w:r>
            <w:r w:rsidRPr="00A711FC">
              <w:rPr>
                <w:bCs/>
                <w:sz w:val="20"/>
                <w:szCs w:val="20"/>
              </w:rPr>
              <w:t>63</w:t>
            </w:r>
          </w:p>
        </w:tc>
        <w:tc>
          <w:tcPr>
            <w:tcW w:w="1477" w:type="dxa"/>
            <w:vAlign w:val="center"/>
          </w:tcPr>
          <w:p w:rsidR="00F31B10" w:rsidRPr="00A711FC" w:rsidRDefault="00F31B10" w:rsidP="0056662A">
            <w:pPr>
              <w:spacing w:after="0" w:line="240" w:lineRule="auto"/>
              <w:jc w:val="center"/>
              <w:rPr>
                <w:sz w:val="20"/>
                <w:szCs w:val="20"/>
              </w:rPr>
            </w:pPr>
            <w:r w:rsidRPr="00A711FC">
              <w:rPr>
                <w:bCs/>
                <w:sz w:val="20"/>
                <w:szCs w:val="20"/>
              </w:rPr>
              <w:t>18</w:t>
            </w:r>
            <w:r w:rsidRPr="00A711FC">
              <w:rPr>
                <w:bCs/>
                <w:sz w:val="20"/>
                <w:szCs w:val="20"/>
                <w:lang w:val="en-US"/>
              </w:rPr>
              <w:t>.</w:t>
            </w:r>
            <w:r w:rsidRPr="00A711FC">
              <w:rPr>
                <w:bCs/>
                <w:sz w:val="20"/>
                <w:szCs w:val="20"/>
              </w:rPr>
              <w:t>206</w:t>
            </w:r>
            <w:r w:rsidRPr="00A711FC">
              <w:rPr>
                <w:bCs/>
                <w:sz w:val="20"/>
                <w:szCs w:val="20"/>
                <w:lang w:val="en-US"/>
              </w:rPr>
              <w:t>.</w:t>
            </w:r>
            <w:r w:rsidRPr="00A711FC">
              <w:rPr>
                <w:bCs/>
                <w:sz w:val="20"/>
                <w:szCs w:val="20"/>
              </w:rPr>
              <w:t>064</w:t>
            </w:r>
            <w:r w:rsidRPr="00A711FC">
              <w:rPr>
                <w:bCs/>
                <w:sz w:val="20"/>
                <w:szCs w:val="20"/>
                <w:lang w:val="en-US"/>
              </w:rPr>
              <w:t>,</w:t>
            </w:r>
            <w:r w:rsidRPr="00A711FC">
              <w:rPr>
                <w:bCs/>
                <w:sz w:val="20"/>
                <w:szCs w:val="20"/>
              </w:rPr>
              <w:t>91</w:t>
            </w:r>
          </w:p>
        </w:tc>
        <w:tc>
          <w:tcPr>
            <w:tcW w:w="1475" w:type="dxa"/>
            <w:vAlign w:val="center"/>
          </w:tcPr>
          <w:p w:rsidR="00F31B10" w:rsidRPr="00A711FC" w:rsidRDefault="00F31B10" w:rsidP="0056662A">
            <w:pPr>
              <w:spacing w:after="0" w:line="240" w:lineRule="auto"/>
              <w:jc w:val="center"/>
              <w:rPr>
                <w:sz w:val="20"/>
                <w:szCs w:val="20"/>
              </w:rPr>
            </w:pPr>
            <w:r w:rsidRPr="00A711FC">
              <w:rPr>
                <w:bCs/>
                <w:sz w:val="20"/>
                <w:szCs w:val="20"/>
              </w:rPr>
              <w:t>20</w:t>
            </w:r>
            <w:r w:rsidRPr="00A711FC">
              <w:rPr>
                <w:bCs/>
                <w:sz w:val="20"/>
                <w:szCs w:val="20"/>
                <w:lang w:val="en-US"/>
              </w:rPr>
              <w:t>.</w:t>
            </w:r>
            <w:r w:rsidRPr="00A711FC">
              <w:rPr>
                <w:bCs/>
                <w:sz w:val="20"/>
                <w:szCs w:val="20"/>
              </w:rPr>
              <w:t>384</w:t>
            </w:r>
            <w:r w:rsidRPr="00A711FC">
              <w:rPr>
                <w:bCs/>
                <w:sz w:val="20"/>
                <w:szCs w:val="20"/>
                <w:lang w:val="en-US"/>
              </w:rPr>
              <w:t>.</w:t>
            </w:r>
            <w:r w:rsidRPr="00A711FC">
              <w:rPr>
                <w:bCs/>
                <w:sz w:val="20"/>
                <w:szCs w:val="20"/>
              </w:rPr>
              <w:t>428</w:t>
            </w:r>
            <w:r w:rsidRPr="00A711FC">
              <w:rPr>
                <w:bCs/>
                <w:sz w:val="20"/>
                <w:szCs w:val="20"/>
                <w:lang w:val="en-US"/>
              </w:rPr>
              <w:t>,</w:t>
            </w:r>
            <w:r w:rsidRPr="00A711FC">
              <w:rPr>
                <w:bCs/>
                <w:sz w:val="20"/>
                <w:szCs w:val="20"/>
              </w:rPr>
              <w:t>00</w:t>
            </w:r>
          </w:p>
        </w:tc>
        <w:tc>
          <w:tcPr>
            <w:tcW w:w="1475" w:type="dxa"/>
            <w:vAlign w:val="center"/>
          </w:tcPr>
          <w:p w:rsidR="00F31B10" w:rsidRPr="00A711FC" w:rsidRDefault="00F31B10" w:rsidP="0056662A">
            <w:pPr>
              <w:spacing w:after="0" w:line="240" w:lineRule="auto"/>
              <w:jc w:val="center"/>
              <w:rPr>
                <w:sz w:val="20"/>
                <w:szCs w:val="20"/>
              </w:rPr>
            </w:pPr>
            <w:r w:rsidRPr="00A711FC">
              <w:rPr>
                <w:bCs/>
                <w:sz w:val="20"/>
                <w:szCs w:val="20"/>
              </w:rPr>
              <w:t>18</w:t>
            </w:r>
            <w:r w:rsidRPr="00A711FC">
              <w:rPr>
                <w:bCs/>
                <w:sz w:val="20"/>
                <w:szCs w:val="20"/>
                <w:lang w:val="en-US"/>
              </w:rPr>
              <w:t>.</w:t>
            </w:r>
            <w:r w:rsidRPr="00A711FC">
              <w:rPr>
                <w:bCs/>
                <w:sz w:val="20"/>
                <w:szCs w:val="20"/>
              </w:rPr>
              <w:t>708</w:t>
            </w:r>
            <w:r w:rsidRPr="00A711FC">
              <w:rPr>
                <w:bCs/>
                <w:sz w:val="20"/>
                <w:szCs w:val="20"/>
                <w:lang w:val="en-US"/>
              </w:rPr>
              <w:t>.</w:t>
            </w:r>
            <w:r w:rsidRPr="00A711FC">
              <w:rPr>
                <w:bCs/>
                <w:sz w:val="20"/>
                <w:szCs w:val="20"/>
              </w:rPr>
              <w:t>327</w:t>
            </w:r>
            <w:r w:rsidRPr="00A711FC">
              <w:rPr>
                <w:bCs/>
                <w:sz w:val="20"/>
                <w:szCs w:val="20"/>
                <w:lang w:val="en-US"/>
              </w:rPr>
              <w:t>,</w:t>
            </w:r>
            <w:r w:rsidRPr="00A711FC">
              <w:rPr>
                <w:bCs/>
                <w:sz w:val="20"/>
                <w:szCs w:val="20"/>
              </w:rPr>
              <w:t>00</w:t>
            </w:r>
          </w:p>
        </w:tc>
        <w:tc>
          <w:tcPr>
            <w:tcW w:w="1475" w:type="dxa"/>
            <w:vAlign w:val="center"/>
          </w:tcPr>
          <w:p w:rsidR="00F31B10" w:rsidRPr="00A711FC" w:rsidRDefault="00F31B10" w:rsidP="0056662A">
            <w:pPr>
              <w:spacing w:after="0" w:line="240" w:lineRule="auto"/>
              <w:jc w:val="center"/>
              <w:rPr>
                <w:sz w:val="20"/>
                <w:szCs w:val="20"/>
              </w:rPr>
            </w:pPr>
            <w:r w:rsidRPr="00A711FC">
              <w:rPr>
                <w:bCs/>
                <w:sz w:val="20"/>
                <w:szCs w:val="20"/>
              </w:rPr>
              <w:t>19</w:t>
            </w:r>
            <w:r w:rsidRPr="00A711FC">
              <w:rPr>
                <w:bCs/>
                <w:sz w:val="20"/>
                <w:szCs w:val="20"/>
                <w:lang w:val="en-US"/>
              </w:rPr>
              <w:t>.</w:t>
            </w:r>
            <w:r w:rsidRPr="00A711FC">
              <w:rPr>
                <w:bCs/>
                <w:sz w:val="20"/>
                <w:szCs w:val="20"/>
              </w:rPr>
              <w:t>643</w:t>
            </w:r>
            <w:r w:rsidRPr="00A711FC">
              <w:rPr>
                <w:bCs/>
                <w:sz w:val="20"/>
                <w:szCs w:val="20"/>
                <w:lang w:val="en-US"/>
              </w:rPr>
              <w:t>.</w:t>
            </w:r>
            <w:r w:rsidRPr="00A711FC">
              <w:rPr>
                <w:bCs/>
                <w:sz w:val="20"/>
                <w:szCs w:val="20"/>
              </w:rPr>
              <w:t>385</w:t>
            </w:r>
            <w:r w:rsidRPr="00A711FC">
              <w:rPr>
                <w:bCs/>
                <w:sz w:val="20"/>
                <w:szCs w:val="20"/>
                <w:lang w:val="en-US"/>
              </w:rPr>
              <w:t>,</w:t>
            </w:r>
            <w:r w:rsidRPr="00A711FC">
              <w:rPr>
                <w:bCs/>
                <w:sz w:val="20"/>
                <w:szCs w:val="20"/>
              </w:rPr>
              <w:t>00</w:t>
            </w:r>
          </w:p>
        </w:tc>
      </w:tr>
      <w:tr w:rsidR="00F31B10" w:rsidRPr="00A711FC" w:rsidTr="0056662A">
        <w:tc>
          <w:tcPr>
            <w:tcW w:w="1676" w:type="dxa"/>
          </w:tcPr>
          <w:p w:rsidR="00F31B10" w:rsidRPr="00A711FC" w:rsidRDefault="00F31B10" w:rsidP="0056662A">
            <w:pPr>
              <w:spacing w:after="0" w:line="240" w:lineRule="auto"/>
              <w:rPr>
                <w:sz w:val="20"/>
                <w:szCs w:val="20"/>
                <w:lang w:val="sr-Cyrl-RS"/>
              </w:rPr>
            </w:pPr>
            <w:r w:rsidRPr="00A711FC">
              <w:rPr>
                <w:sz w:val="20"/>
                <w:szCs w:val="20"/>
                <w:lang w:val="sr-Cyrl-RS"/>
              </w:rPr>
              <w:t>Центар за културу Буњеваца</w:t>
            </w:r>
          </w:p>
        </w:tc>
        <w:tc>
          <w:tcPr>
            <w:tcW w:w="1438" w:type="dxa"/>
            <w:vAlign w:val="center"/>
          </w:tcPr>
          <w:p w:rsidR="00F31B10" w:rsidRPr="00A711FC" w:rsidRDefault="00F31B10" w:rsidP="0056662A">
            <w:pPr>
              <w:spacing w:after="0" w:line="240" w:lineRule="auto"/>
              <w:jc w:val="center"/>
              <w:rPr>
                <w:bCs/>
                <w:sz w:val="20"/>
                <w:szCs w:val="20"/>
              </w:rPr>
            </w:pPr>
            <w:r w:rsidRPr="00A711FC">
              <w:rPr>
                <w:bCs/>
                <w:sz w:val="20"/>
                <w:szCs w:val="20"/>
              </w:rPr>
              <w:t>443.000,00</w:t>
            </w:r>
          </w:p>
        </w:tc>
        <w:tc>
          <w:tcPr>
            <w:tcW w:w="1477" w:type="dxa"/>
            <w:vAlign w:val="center"/>
          </w:tcPr>
          <w:p w:rsidR="00F31B10" w:rsidRPr="00A711FC" w:rsidRDefault="00F31B10" w:rsidP="0056662A">
            <w:pPr>
              <w:spacing w:after="0" w:line="240" w:lineRule="auto"/>
              <w:jc w:val="center"/>
              <w:rPr>
                <w:bCs/>
                <w:sz w:val="20"/>
                <w:szCs w:val="20"/>
              </w:rPr>
            </w:pPr>
            <w:r w:rsidRPr="00A711FC">
              <w:rPr>
                <w:bCs/>
                <w:sz w:val="20"/>
                <w:szCs w:val="20"/>
              </w:rPr>
              <w:t>743.000,00</w:t>
            </w:r>
          </w:p>
        </w:tc>
        <w:tc>
          <w:tcPr>
            <w:tcW w:w="1475" w:type="dxa"/>
            <w:vAlign w:val="center"/>
          </w:tcPr>
          <w:p w:rsidR="00F31B10" w:rsidRPr="00A711FC" w:rsidRDefault="00F31B10" w:rsidP="0056662A">
            <w:pPr>
              <w:spacing w:after="0" w:line="240" w:lineRule="auto"/>
              <w:jc w:val="center"/>
              <w:rPr>
                <w:bCs/>
                <w:sz w:val="20"/>
                <w:szCs w:val="20"/>
              </w:rPr>
            </w:pPr>
            <w:r w:rsidRPr="00541E21">
              <w:rPr>
                <w:bCs/>
                <w:sz w:val="20"/>
                <w:szCs w:val="20"/>
              </w:rPr>
              <w:t>443.000,00</w:t>
            </w:r>
          </w:p>
        </w:tc>
        <w:tc>
          <w:tcPr>
            <w:tcW w:w="1475" w:type="dxa"/>
            <w:vAlign w:val="center"/>
          </w:tcPr>
          <w:p w:rsidR="00F31B10" w:rsidRPr="00A711FC" w:rsidRDefault="00F31B10" w:rsidP="0056662A">
            <w:pPr>
              <w:spacing w:after="0" w:line="240" w:lineRule="auto"/>
              <w:jc w:val="center"/>
              <w:rPr>
                <w:bCs/>
                <w:sz w:val="20"/>
                <w:szCs w:val="20"/>
              </w:rPr>
            </w:pPr>
            <w:r w:rsidRPr="00541E21">
              <w:rPr>
                <w:bCs/>
                <w:sz w:val="20"/>
                <w:szCs w:val="20"/>
              </w:rPr>
              <w:t>443.000,00</w:t>
            </w:r>
          </w:p>
        </w:tc>
        <w:tc>
          <w:tcPr>
            <w:tcW w:w="1475" w:type="dxa"/>
            <w:vAlign w:val="center"/>
          </w:tcPr>
          <w:p w:rsidR="00F31B10" w:rsidRPr="00A711FC" w:rsidRDefault="00F31B10" w:rsidP="0056662A">
            <w:pPr>
              <w:spacing w:after="0" w:line="240" w:lineRule="auto"/>
              <w:jc w:val="center"/>
              <w:rPr>
                <w:bCs/>
                <w:sz w:val="20"/>
                <w:szCs w:val="20"/>
              </w:rPr>
            </w:pPr>
            <w:r w:rsidRPr="00541E21">
              <w:rPr>
                <w:bCs/>
                <w:sz w:val="20"/>
                <w:szCs w:val="20"/>
              </w:rPr>
              <w:t>550.000,00</w:t>
            </w:r>
          </w:p>
        </w:tc>
      </w:tr>
      <w:tr w:rsidR="00F31B10" w:rsidRPr="00A711FC" w:rsidTr="0056662A">
        <w:tc>
          <w:tcPr>
            <w:tcW w:w="1676" w:type="dxa"/>
          </w:tcPr>
          <w:p w:rsidR="00F31B10" w:rsidRPr="00A711FC" w:rsidRDefault="00F31B10" w:rsidP="0056662A">
            <w:pPr>
              <w:spacing w:after="0" w:line="240" w:lineRule="auto"/>
              <w:rPr>
                <w:sz w:val="20"/>
                <w:szCs w:val="20"/>
                <w:lang w:val="sr-Cyrl-RS"/>
              </w:rPr>
            </w:pPr>
            <w:r w:rsidRPr="00541E21">
              <w:rPr>
                <w:sz w:val="20"/>
                <w:szCs w:val="20"/>
                <w:lang w:val="sr-Cyrl-RS"/>
              </w:rPr>
              <w:t>Музеј војвођанских Словака</w:t>
            </w:r>
          </w:p>
        </w:tc>
        <w:tc>
          <w:tcPr>
            <w:tcW w:w="1438" w:type="dxa"/>
            <w:vAlign w:val="center"/>
          </w:tcPr>
          <w:p w:rsidR="00F31B10" w:rsidRPr="00A711FC" w:rsidRDefault="00F31B10" w:rsidP="0056662A">
            <w:pPr>
              <w:spacing w:after="0" w:line="240" w:lineRule="auto"/>
              <w:jc w:val="center"/>
              <w:rPr>
                <w:bCs/>
                <w:sz w:val="20"/>
                <w:szCs w:val="20"/>
              </w:rPr>
            </w:pPr>
            <w:r w:rsidRPr="00541E21">
              <w:rPr>
                <w:bCs/>
                <w:sz w:val="20"/>
                <w:szCs w:val="20"/>
              </w:rPr>
              <w:t>150.000,00</w:t>
            </w:r>
          </w:p>
        </w:tc>
        <w:tc>
          <w:tcPr>
            <w:tcW w:w="1477" w:type="dxa"/>
            <w:vAlign w:val="center"/>
          </w:tcPr>
          <w:p w:rsidR="00F31B10" w:rsidRPr="00A711FC" w:rsidRDefault="00F31B10" w:rsidP="0056662A">
            <w:pPr>
              <w:spacing w:after="0" w:line="240" w:lineRule="auto"/>
              <w:jc w:val="center"/>
              <w:rPr>
                <w:bCs/>
                <w:sz w:val="20"/>
                <w:szCs w:val="20"/>
              </w:rPr>
            </w:pPr>
            <w:r>
              <w:rPr>
                <w:bCs/>
                <w:sz w:val="20"/>
                <w:szCs w:val="20"/>
              </w:rPr>
              <w:t>3</w:t>
            </w:r>
            <w:r w:rsidRPr="00541E21">
              <w:rPr>
                <w:bCs/>
                <w:sz w:val="20"/>
                <w:szCs w:val="20"/>
              </w:rPr>
              <w:t>50.000,00</w:t>
            </w:r>
          </w:p>
        </w:tc>
        <w:tc>
          <w:tcPr>
            <w:tcW w:w="1475" w:type="dxa"/>
            <w:vAlign w:val="center"/>
          </w:tcPr>
          <w:p w:rsidR="00F31B10" w:rsidRPr="00541E21" w:rsidRDefault="00F31B10" w:rsidP="0056662A">
            <w:pPr>
              <w:spacing w:after="0" w:line="240" w:lineRule="auto"/>
              <w:jc w:val="center"/>
              <w:rPr>
                <w:bCs/>
                <w:sz w:val="20"/>
                <w:szCs w:val="20"/>
              </w:rPr>
            </w:pPr>
            <w:r w:rsidRPr="00541E21">
              <w:rPr>
                <w:bCs/>
                <w:sz w:val="20"/>
                <w:szCs w:val="20"/>
              </w:rPr>
              <w:t>1</w:t>
            </w:r>
            <w:r>
              <w:rPr>
                <w:bCs/>
                <w:sz w:val="20"/>
                <w:szCs w:val="20"/>
                <w:lang w:val="sr-Cyrl-RS"/>
              </w:rPr>
              <w:t>3</w:t>
            </w:r>
            <w:r w:rsidRPr="00541E21">
              <w:rPr>
                <w:bCs/>
                <w:sz w:val="20"/>
                <w:szCs w:val="20"/>
              </w:rPr>
              <w:t>0.000,00</w:t>
            </w:r>
          </w:p>
        </w:tc>
        <w:tc>
          <w:tcPr>
            <w:tcW w:w="1475" w:type="dxa"/>
            <w:vAlign w:val="center"/>
          </w:tcPr>
          <w:p w:rsidR="00F31B10" w:rsidRPr="00541E21" w:rsidRDefault="00F31B10" w:rsidP="0056662A">
            <w:pPr>
              <w:spacing w:after="0" w:line="240" w:lineRule="auto"/>
              <w:jc w:val="center"/>
              <w:rPr>
                <w:bCs/>
                <w:sz w:val="20"/>
                <w:szCs w:val="20"/>
              </w:rPr>
            </w:pPr>
            <w:r w:rsidRPr="00541E21">
              <w:rPr>
                <w:bCs/>
                <w:sz w:val="20"/>
                <w:szCs w:val="20"/>
              </w:rPr>
              <w:t>1</w:t>
            </w:r>
            <w:r>
              <w:rPr>
                <w:bCs/>
                <w:sz w:val="20"/>
                <w:szCs w:val="20"/>
                <w:lang w:val="sr-Cyrl-RS"/>
              </w:rPr>
              <w:t>4</w:t>
            </w:r>
            <w:r w:rsidRPr="00541E21">
              <w:rPr>
                <w:bCs/>
                <w:sz w:val="20"/>
                <w:szCs w:val="20"/>
              </w:rPr>
              <w:t>0.000,00</w:t>
            </w:r>
          </w:p>
        </w:tc>
        <w:tc>
          <w:tcPr>
            <w:tcW w:w="1475" w:type="dxa"/>
            <w:vAlign w:val="center"/>
          </w:tcPr>
          <w:p w:rsidR="00F31B10" w:rsidRPr="00541E21" w:rsidRDefault="00F31B10" w:rsidP="0056662A">
            <w:pPr>
              <w:spacing w:after="0" w:line="240" w:lineRule="auto"/>
              <w:jc w:val="center"/>
              <w:rPr>
                <w:bCs/>
                <w:sz w:val="20"/>
                <w:szCs w:val="20"/>
              </w:rPr>
            </w:pPr>
            <w:r w:rsidRPr="00541E21">
              <w:rPr>
                <w:bCs/>
                <w:sz w:val="20"/>
                <w:szCs w:val="20"/>
              </w:rPr>
              <w:t>413.300,00</w:t>
            </w:r>
          </w:p>
        </w:tc>
      </w:tr>
      <w:tr w:rsidR="00F31B10" w:rsidRPr="00A711FC" w:rsidTr="0056662A">
        <w:tc>
          <w:tcPr>
            <w:tcW w:w="1676" w:type="dxa"/>
          </w:tcPr>
          <w:p w:rsidR="00F31B10" w:rsidRPr="00541E21" w:rsidRDefault="00F31B10" w:rsidP="0056662A">
            <w:pPr>
              <w:spacing w:after="0" w:line="240" w:lineRule="auto"/>
              <w:rPr>
                <w:sz w:val="20"/>
                <w:szCs w:val="20"/>
                <w:lang w:val="sr-Cyrl-RS"/>
              </w:rPr>
            </w:pPr>
            <w:r w:rsidRPr="00541E21">
              <w:rPr>
                <w:sz w:val="20"/>
                <w:szCs w:val="20"/>
                <w:lang w:val="sr-Cyrl-RS"/>
              </w:rPr>
              <w:t>Галерија наивне уметности Словака</w:t>
            </w:r>
          </w:p>
        </w:tc>
        <w:tc>
          <w:tcPr>
            <w:tcW w:w="1438" w:type="dxa"/>
            <w:vAlign w:val="center"/>
          </w:tcPr>
          <w:p w:rsidR="00F31B10" w:rsidRPr="00541E21" w:rsidRDefault="00F31B10" w:rsidP="0056662A">
            <w:pPr>
              <w:spacing w:after="0" w:line="240" w:lineRule="auto"/>
              <w:jc w:val="center"/>
              <w:rPr>
                <w:bCs/>
                <w:sz w:val="20"/>
                <w:szCs w:val="20"/>
              </w:rPr>
            </w:pPr>
            <w:r w:rsidRPr="00541E21">
              <w:rPr>
                <w:bCs/>
                <w:sz w:val="20"/>
                <w:szCs w:val="20"/>
              </w:rPr>
              <w:t>1</w:t>
            </w:r>
            <w:r>
              <w:rPr>
                <w:bCs/>
                <w:sz w:val="20"/>
                <w:szCs w:val="20"/>
                <w:lang w:val="sr-Cyrl-RS"/>
              </w:rPr>
              <w:t>0</w:t>
            </w:r>
            <w:r w:rsidRPr="00541E21">
              <w:rPr>
                <w:bCs/>
                <w:sz w:val="20"/>
                <w:szCs w:val="20"/>
              </w:rPr>
              <w:t>0.000,00</w:t>
            </w:r>
          </w:p>
        </w:tc>
        <w:tc>
          <w:tcPr>
            <w:tcW w:w="1477" w:type="dxa"/>
            <w:vAlign w:val="center"/>
          </w:tcPr>
          <w:p w:rsidR="00F31B10" w:rsidRDefault="00F31B10" w:rsidP="0056662A">
            <w:pPr>
              <w:spacing w:after="0" w:line="240" w:lineRule="auto"/>
              <w:jc w:val="center"/>
              <w:rPr>
                <w:bCs/>
                <w:sz w:val="20"/>
                <w:szCs w:val="20"/>
              </w:rPr>
            </w:pPr>
            <w:r w:rsidRPr="00541E21">
              <w:rPr>
                <w:bCs/>
                <w:sz w:val="20"/>
                <w:szCs w:val="20"/>
              </w:rPr>
              <w:t>1</w:t>
            </w:r>
            <w:r>
              <w:rPr>
                <w:bCs/>
                <w:sz w:val="20"/>
                <w:szCs w:val="20"/>
                <w:lang w:val="sr-Cyrl-RS"/>
              </w:rPr>
              <w:t>0</w:t>
            </w:r>
            <w:r w:rsidRPr="00541E21">
              <w:rPr>
                <w:bCs/>
                <w:sz w:val="20"/>
                <w:szCs w:val="20"/>
              </w:rPr>
              <w:t>0.000,00</w:t>
            </w:r>
          </w:p>
        </w:tc>
        <w:tc>
          <w:tcPr>
            <w:tcW w:w="1475" w:type="dxa"/>
            <w:vAlign w:val="center"/>
          </w:tcPr>
          <w:p w:rsidR="00F31B10" w:rsidRPr="00541E21" w:rsidRDefault="00F31B10" w:rsidP="0056662A">
            <w:pPr>
              <w:spacing w:after="0" w:line="240" w:lineRule="auto"/>
              <w:jc w:val="center"/>
              <w:rPr>
                <w:bCs/>
                <w:sz w:val="20"/>
                <w:szCs w:val="20"/>
              </w:rPr>
            </w:pPr>
            <w:r>
              <w:rPr>
                <w:bCs/>
                <w:sz w:val="20"/>
                <w:szCs w:val="20"/>
                <w:lang w:val="sr-Cyrl-RS"/>
              </w:rPr>
              <w:t>7</w:t>
            </w:r>
            <w:r w:rsidRPr="00541E21">
              <w:rPr>
                <w:bCs/>
                <w:sz w:val="20"/>
                <w:szCs w:val="20"/>
              </w:rPr>
              <w:t>0.000,00</w:t>
            </w:r>
          </w:p>
        </w:tc>
        <w:tc>
          <w:tcPr>
            <w:tcW w:w="1475" w:type="dxa"/>
            <w:vAlign w:val="center"/>
          </w:tcPr>
          <w:p w:rsidR="00F31B10" w:rsidRPr="00541E21" w:rsidRDefault="00F31B10" w:rsidP="0056662A">
            <w:pPr>
              <w:spacing w:after="0" w:line="240" w:lineRule="auto"/>
              <w:jc w:val="center"/>
              <w:rPr>
                <w:bCs/>
                <w:sz w:val="20"/>
                <w:szCs w:val="20"/>
              </w:rPr>
            </w:pPr>
          </w:p>
        </w:tc>
        <w:tc>
          <w:tcPr>
            <w:tcW w:w="1475" w:type="dxa"/>
            <w:vAlign w:val="center"/>
          </w:tcPr>
          <w:p w:rsidR="00F31B10" w:rsidRPr="00541E21" w:rsidRDefault="00F31B10" w:rsidP="0056662A">
            <w:pPr>
              <w:spacing w:after="0" w:line="240" w:lineRule="auto"/>
              <w:jc w:val="center"/>
              <w:rPr>
                <w:bCs/>
                <w:sz w:val="20"/>
                <w:szCs w:val="20"/>
              </w:rPr>
            </w:pPr>
          </w:p>
        </w:tc>
      </w:tr>
      <w:tr w:rsidR="00F31B10" w:rsidRPr="00A711FC" w:rsidTr="0056662A">
        <w:tc>
          <w:tcPr>
            <w:tcW w:w="1676" w:type="dxa"/>
          </w:tcPr>
          <w:p w:rsidR="00F31B10" w:rsidRPr="00541E21" w:rsidRDefault="00F31B10" w:rsidP="0056662A">
            <w:pPr>
              <w:spacing w:after="0" w:line="240" w:lineRule="auto"/>
              <w:rPr>
                <w:sz w:val="20"/>
                <w:szCs w:val="20"/>
                <w:lang w:val="sr-Cyrl-RS"/>
              </w:rPr>
            </w:pPr>
            <w:r w:rsidRPr="00541E21">
              <w:rPr>
                <w:sz w:val="20"/>
                <w:szCs w:val="20"/>
                <w:lang w:val="sr-Cyrl-RS"/>
              </w:rPr>
              <w:t>Галеријa наивне уметности војвођанских Румуна при Дому културе „Доина“</w:t>
            </w:r>
          </w:p>
        </w:tc>
        <w:tc>
          <w:tcPr>
            <w:tcW w:w="1438" w:type="dxa"/>
            <w:vAlign w:val="center"/>
          </w:tcPr>
          <w:p w:rsidR="00F31B10" w:rsidRPr="00541E21" w:rsidRDefault="00F31B10" w:rsidP="0056662A">
            <w:pPr>
              <w:spacing w:after="0" w:line="240" w:lineRule="auto"/>
              <w:jc w:val="center"/>
              <w:rPr>
                <w:bCs/>
                <w:sz w:val="20"/>
                <w:szCs w:val="20"/>
              </w:rPr>
            </w:pPr>
            <w:r w:rsidRPr="00541E21">
              <w:rPr>
                <w:bCs/>
                <w:sz w:val="20"/>
                <w:szCs w:val="20"/>
              </w:rPr>
              <w:t>100.000,00</w:t>
            </w:r>
          </w:p>
        </w:tc>
        <w:tc>
          <w:tcPr>
            <w:tcW w:w="1477" w:type="dxa"/>
            <w:vAlign w:val="center"/>
          </w:tcPr>
          <w:p w:rsidR="00F31B10" w:rsidRPr="00541E21" w:rsidRDefault="00F31B10" w:rsidP="0056662A">
            <w:pPr>
              <w:spacing w:after="0" w:line="240" w:lineRule="auto"/>
              <w:jc w:val="center"/>
              <w:rPr>
                <w:bCs/>
                <w:sz w:val="20"/>
                <w:szCs w:val="20"/>
              </w:rPr>
            </w:pPr>
            <w:r>
              <w:rPr>
                <w:bCs/>
                <w:sz w:val="20"/>
                <w:szCs w:val="20"/>
                <w:lang w:val="sr-Cyrl-RS"/>
              </w:rPr>
              <w:t>2</w:t>
            </w:r>
            <w:r w:rsidRPr="00541E21">
              <w:rPr>
                <w:bCs/>
                <w:sz w:val="20"/>
                <w:szCs w:val="20"/>
              </w:rPr>
              <w:t>00.000,00</w:t>
            </w:r>
          </w:p>
        </w:tc>
        <w:tc>
          <w:tcPr>
            <w:tcW w:w="1475" w:type="dxa"/>
            <w:vAlign w:val="center"/>
          </w:tcPr>
          <w:p w:rsidR="00F31B10" w:rsidRDefault="00F31B10" w:rsidP="0056662A">
            <w:pPr>
              <w:spacing w:after="0" w:line="240" w:lineRule="auto"/>
              <w:jc w:val="center"/>
              <w:rPr>
                <w:bCs/>
                <w:sz w:val="20"/>
                <w:szCs w:val="20"/>
                <w:lang w:val="sr-Cyrl-RS"/>
              </w:rPr>
            </w:pPr>
            <w:r>
              <w:rPr>
                <w:bCs/>
                <w:sz w:val="20"/>
                <w:szCs w:val="20"/>
                <w:lang w:val="sr-Cyrl-RS"/>
              </w:rPr>
              <w:t>8</w:t>
            </w:r>
            <w:r w:rsidRPr="00541E21">
              <w:rPr>
                <w:bCs/>
                <w:sz w:val="20"/>
                <w:szCs w:val="20"/>
                <w:lang w:val="sr-Cyrl-RS"/>
              </w:rPr>
              <w:t>0.000,00</w:t>
            </w:r>
          </w:p>
        </w:tc>
        <w:tc>
          <w:tcPr>
            <w:tcW w:w="1475" w:type="dxa"/>
            <w:vAlign w:val="center"/>
          </w:tcPr>
          <w:p w:rsidR="00F31B10" w:rsidRPr="00541E21" w:rsidRDefault="00F31B10" w:rsidP="0056662A">
            <w:pPr>
              <w:spacing w:after="0" w:line="240" w:lineRule="auto"/>
              <w:jc w:val="center"/>
              <w:rPr>
                <w:bCs/>
                <w:sz w:val="20"/>
                <w:szCs w:val="20"/>
              </w:rPr>
            </w:pPr>
          </w:p>
        </w:tc>
        <w:tc>
          <w:tcPr>
            <w:tcW w:w="1475" w:type="dxa"/>
            <w:vAlign w:val="center"/>
          </w:tcPr>
          <w:p w:rsidR="00F31B10" w:rsidRPr="00541E21" w:rsidRDefault="00F31B10" w:rsidP="0056662A">
            <w:pPr>
              <w:spacing w:after="0" w:line="240" w:lineRule="auto"/>
              <w:jc w:val="center"/>
              <w:rPr>
                <w:bCs/>
                <w:sz w:val="20"/>
                <w:szCs w:val="20"/>
              </w:rPr>
            </w:pPr>
          </w:p>
        </w:tc>
      </w:tr>
    </w:tbl>
    <w:p w:rsidR="00F31B10" w:rsidRDefault="00F31B10" w:rsidP="00F31B10">
      <w:pPr>
        <w:spacing w:after="0"/>
        <w:jc w:val="both"/>
        <w:rPr>
          <w:sz w:val="24"/>
          <w:szCs w:val="24"/>
          <w:lang w:val="sr-Cyrl-RS"/>
        </w:rPr>
      </w:pPr>
    </w:p>
    <w:p w:rsidR="00C82FD1" w:rsidRDefault="00C82FD1" w:rsidP="00BB3887">
      <w:pPr>
        <w:spacing w:after="0"/>
        <w:ind w:firstLine="720"/>
        <w:jc w:val="both"/>
        <w:rPr>
          <w:sz w:val="24"/>
          <w:szCs w:val="24"/>
          <w:lang w:val="sr-Cyrl-RS"/>
        </w:rPr>
      </w:pPr>
      <w:r>
        <w:rPr>
          <w:sz w:val="24"/>
          <w:szCs w:val="24"/>
          <w:lang w:val="sr-Cyrl-RS"/>
        </w:rPr>
        <w:t xml:space="preserve">Осим Покрајинског секретаријата за културу, јавно информисање и односе с црквама и верским заједницама, </w:t>
      </w:r>
      <w:r w:rsidRPr="00C82FD1">
        <w:rPr>
          <w:sz w:val="24"/>
          <w:szCs w:val="24"/>
          <w:lang w:val="sr-Cyrl-RS"/>
        </w:rPr>
        <w:t>редовно финансирањ</w:t>
      </w:r>
      <w:r>
        <w:rPr>
          <w:sz w:val="24"/>
          <w:szCs w:val="24"/>
          <w:lang w:val="sr-Cyrl-RS"/>
        </w:rPr>
        <w:t>е</w:t>
      </w:r>
      <w:r w:rsidRPr="00C82FD1">
        <w:rPr>
          <w:sz w:val="24"/>
          <w:szCs w:val="24"/>
          <w:lang w:val="sr-Cyrl-RS"/>
        </w:rPr>
        <w:t xml:space="preserve"> и одрживост пројеката од значаја за националне мањине</w:t>
      </w:r>
      <w:r>
        <w:rPr>
          <w:sz w:val="24"/>
          <w:szCs w:val="24"/>
          <w:lang w:val="sr-Cyrl-RS"/>
        </w:rPr>
        <w:t xml:space="preserve"> обезбеђује и </w:t>
      </w:r>
      <w:r w:rsidRPr="00C82FD1">
        <w:rPr>
          <w:sz w:val="24"/>
          <w:szCs w:val="24"/>
          <w:lang w:val="sr-Cyrl-RS"/>
        </w:rPr>
        <w:t>Покрајински секретаријат за образовање, прописе, управу и националне мањине – националне заједнице</w:t>
      </w:r>
      <w:r>
        <w:rPr>
          <w:sz w:val="24"/>
          <w:szCs w:val="24"/>
          <w:lang w:val="sr-Cyrl-RS"/>
        </w:rPr>
        <w:t xml:space="preserve"> </w:t>
      </w:r>
      <w:r w:rsidR="00BB3887">
        <w:rPr>
          <w:sz w:val="24"/>
          <w:szCs w:val="24"/>
          <w:lang w:val="sr-Cyrl-RS"/>
        </w:rPr>
        <w:t xml:space="preserve">кроз суфинансирање </w:t>
      </w:r>
      <w:r w:rsidR="00BB3887" w:rsidRPr="00BB3887">
        <w:rPr>
          <w:sz w:val="24"/>
          <w:szCs w:val="24"/>
          <w:lang w:val="sr-Cyrl-RS"/>
        </w:rPr>
        <w:t>програма и пројеката усмерених на</w:t>
      </w:r>
      <w:r w:rsidR="00BB3887">
        <w:rPr>
          <w:sz w:val="24"/>
          <w:szCs w:val="24"/>
          <w:lang w:val="sr-Cyrl-RS"/>
        </w:rPr>
        <w:t xml:space="preserve"> </w:t>
      </w:r>
      <w:r w:rsidR="00BB3887" w:rsidRPr="00BB3887">
        <w:rPr>
          <w:sz w:val="24"/>
          <w:szCs w:val="24"/>
          <w:lang w:val="sr-Cyrl-RS"/>
        </w:rPr>
        <w:t xml:space="preserve">унапређивање права националних мањина у </w:t>
      </w:r>
      <w:r w:rsidR="00BB3887">
        <w:rPr>
          <w:sz w:val="24"/>
          <w:szCs w:val="24"/>
          <w:lang w:val="sr-Cyrl-RS"/>
        </w:rPr>
        <w:t>АП</w:t>
      </w:r>
      <w:r w:rsidR="00BB3887" w:rsidRPr="00BB3887">
        <w:rPr>
          <w:sz w:val="24"/>
          <w:szCs w:val="24"/>
          <w:lang w:val="sr-Cyrl-RS"/>
        </w:rPr>
        <w:t xml:space="preserve"> </w:t>
      </w:r>
      <w:r w:rsidR="00BB3887">
        <w:rPr>
          <w:sz w:val="24"/>
          <w:szCs w:val="24"/>
          <w:lang w:val="sr-Cyrl-RS"/>
        </w:rPr>
        <w:t>В</w:t>
      </w:r>
      <w:r w:rsidR="00BB3887" w:rsidRPr="00BB3887">
        <w:rPr>
          <w:sz w:val="24"/>
          <w:szCs w:val="24"/>
          <w:lang w:val="sr-Cyrl-RS"/>
        </w:rPr>
        <w:t>ојводини</w:t>
      </w:r>
      <w:r w:rsidR="00BB3887">
        <w:rPr>
          <w:sz w:val="24"/>
          <w:szCs w:val="24"/>
          <w:lang w:val="sr-Cyrl-RS"/>
        </w:rPr>
        <w:t xml:space="preserve">. </w:t>
      </w:r>
      <w:r w:rsidR="00BB3887" w:rsidRPr="00BB3887">
        <w:rPr>
          <w:sz w:val="24"/>
          <w:szCs w:val="24"/>
          <w:lang w:val="sr-Cyrl-RS"/>
        </w:rPr>
        <w:t>На јавном конкурсу средства се додељују за програме и пројекте усмерене на остваривање права националних мањина</w:t>
      </w:r>
      <w:r w:rsidR="00BB3887">
        <w:rPr>
          <w:sz w:val="24"/>
          <w:szCs w:val="24"/>
          <w:lang w:val="sr-Cyrl-RS"/>
        </w:rPr>
        <w:t xml:space="preserve">, а нарочито за </w:t>
      </w:r>
      <w:r w:rsidR="00BB3887" w:rsidRPr="00BB3887">
        <w:rPr>
          <w:sz w:val="24"/>
          <w:szCs w:val="24"/>
          <w:lang w:val="sr-Cyrl-RS"/>
        </w:rPr>
        <w:t>очување и неговање језика, народних обичаја и старих заната</w:t>
      </w:r>
      <w:r w:rsidR="00BB3887">
        <w:rPr>
          <w:sz w:val="24"/>
          <w:szCs w:val="24"/>
          <w:lang w:val="sr-Cyrl-RS"/>
        </w:rPr>
        <w:t xml:space="preserve">, </w:t>
      </w:r>
      <w:r w:rsidR="00BB3887" w:rsidRPr="00BB3887">
        <w:rPr>
          <w:sz w:val="24"/>
          <w:szCs w:val="24"/>
          <w:lang w:val="sr-Cyrl-RS"/>
        </w:rPr>
        <w:t>заштиту и презентацију фолклорног наслеђа</w:t>
      </w:r>
      <w:r w:rsidR="00BB3887">
        <w:rPr>
          <w:sz w:val="24"/>
          <w:szCs w:val="24"/>
          <w:lang w:val="sr-Cyrl-RS"/>
        </w:rPr>
        <w:t xml:space="preserve">, </w:t>
      </w:r>
      <w:r w:rsidR="00BB3887" w:rsidRPr="00BB3887">
        <w:rPr>
          <w:sz w:val="24"/>
          <w:szCs w:val="24"/>
          <w:lang w:val="sr-Cyrl-RS"/>
        </w:rPr>
        <w:t>стварање услова за развој културе, науке и уметности</w:t>
      </w:r>
      <w:r w:rsidR="00BB3887">
        <w:rPr>
          <w:sz w:val="24"/>
          <w:szCs w:val="24"/>
          <w:lang w:val="sr-Cyrl-RS"/>
        </w:rPr>
        <w:t xml:space="preserve">, </w:t>
      </w:r>
      <w:r w:rsidR="00BB3887" w:rsidRPr="00BB3887">
        <w:rPr>
          <w:sz w:val="24"/>
          <w:szCs w:val="24"/>
          <w:lang w:val="sr-Cyrl-RS"/>
        </w:rPr>
        <w:t>неговање и подстицање народног стваралаштва</w:t>
      </w:r>
      <w:r w:rsidR="00BB3887">
        <w:rPr>
          <w:sz w:val="24"/>
          <w:szCs w:val="24"/>
          <w:lang w:val="sr-Cyrl-RS"/>
        </w:rPr>
        <w:t xml:space="preserve">, </w:t>
      </w:r>
      <w:r w:rsidR="00BB3887" w:rsidRPr="00BB3887">
        <w:rPr>
          <w:sz w:val="24"/>
          <w:szCs w:val="24"/>
          <w:lang w:val="sr-Cyrl-RS"/>
        </w:rPr>
        <w:lastRenderedPageBreak/>
        <w:t>представљање културних добара од изузетног значаја</w:t>
      </w:r>
      <w:r w:rsidR="00BB3887">
        <w:rPr>
          <w:sz w:val="24"/>
          <w:szCs w:val="24"/>
          <w:lang w:val="sr-Cyrl-RS"/>
        </w:rPr>
        <w:t xml:space="preserve">, </w:t>
      </w:r>
      <w:r w:rsidR="00BB3887" w:rsidRPr="00BB3887">
        <w:rPr>
          <w:sz w:val="24"/>
          <w:szCs w:val="24"/>
          <w:lang w:val="sr-Cyrl-RS"/>
        </w:rPr>
        <w:t>књижевно, драмско, сценско, музичко и ликовно стваралаштво,</w:t>
      </w:r>
      <w:r w:rsidR="00BB3887">
        <w:rPr>
          <w:sz w:val="24"/>
          <w:szCs w:val="24"/>
          <w:lang w:val="sr-Cyrl-RS"/>
        </w:rPr>
        <w:t xml:space="preserve"> </w:t>
      </w:r>
      <w:r w:rsidR="00BB3887" w:rsidRPr="00BB3887">
        <w:rPr>
          <w:sz w:val="24"/>
          <w:szCs w:val="24"/>
          <w:lang w:val="sr-Cyrl-RS"/>
        </w:rPr>
        <w:t>меморијале, фестивале, јубиларне манифестације, уметничке колоније, кампове</w:t>
      </w:r>
      <w:r w:rsidR="00BB3887">
        <w:rPr>
          <w:sz w:val="24"/>
          <w:szCs w:val="24"/>
          <w:lang w:val="sr-Cyrl-RS"/>
        </w:rPr>
        <w:t xml:space="preserve"> и конференције</w:t>
      </w:r>
      <w:r w:rsidR="00BB3887" w:rsidRPr="00BB3887">
        <w:rPr>
          <w:sz w:val="24"/>
          <w:szCs w:val="24"/>
          <w:lang w:val="sr-Cyrl-RS"/>
        </w:rPr>
        <w:t xml:space="preserve"> којима се негују толеранција и права националних мањина</w:t>
      </w:r>
      <w:r w:rsidR="00BB3887">
        <w:rPr>
          <w:sz w:val="24"/>
          <w:szCs w:val="24"/>
          <w:lang w:val="sr-Cyrl-RS"/>
        </w:rPr>
        <w:t xml:space="preserve">, </w:t>
      </w:r>
      <w:r w:rsidR="00BB3887" w:rsidRPr="00BB3887">
        <w:rPr>
          <w:sz w:val="24"/>
          <w:szCs w:val="24"/>
          <w:lang w:val="sr-Cyrl-RS"/>
        </w:rPr>
        <w:t>неговање и развој аматеризма</w:t>
      </w:r>
      <w:r w:rsidR="00BB3887">
        <w:rPr>
          <w:sz w:val="24"/>
          <w:szCs w:val="24"/>
          <w:lang w:val="sr-Cyrl-RS"/>
        </w:rPr>
        <w:t xml:space="preserve"> и</w:t>
      </w:r>
      <w:r w:rsidR="00BB3887" w:rsidRPr="00BB3887">
        <w:rPr>
          <w:sz w:val="24"/>
          <w:szCs w:val="24"/>
          <w:lang w:val="sr-Cyrl-RS"/>
        </w:rPr>
        <w:t xml:space="preserve"> гостовања ансамбала</w:t>
      </w:r>
      <w:r w:rsidR="00BB3887">
        <w:rPr>
          <w:sz w:val="24"/>
          <w:szCs w:val="24"/>
          <w:lang w:val="sr-Cyrl-RS"/>
        </w:rPr>
        <w:t xml:space="preserve">, као и за </w:t>
      </w:r>
      <w:r w:rsidR="00BB3887" w:rsidRPr="00BB3887">
        <w:rPr>
          <w:sz w:val="24"/>
          <w:szCs w:val="24"/>
          <w:lang w:val="sr-Cyrl-RS"/>
        </w:rPr>
        <w:t>сарадњу с матичним земљама и друге облике сарадње.</w:t>
      </w:r>
      <w:r w:rsidR="00BB3887">
        <w:rPr>
          <w:sz w:val="24"/>
          <w:szCs w:val="24"/>
          <w:lang w:val="sr-Cyrl-RS"/>
        </w:rPr>
        <w:t xml:space="preserve"> Доња табела садржи податке о расподели средстава по овом основу.</w:t>
      </w:r>
    </w:p>
    <w:p w:rsidR="00BB3887" w:rsidRDefault="00BB3887" w:rsidP="00BB3887">
      <w:pPr>
        <w:spacing w:after="0"/>
        <w:jc w:val="both"/>
        <w:rPr>
          <w:sz w:val="24"/>
          <w:szCs w:val="24"/>
          <w:lang w:val="sr-Cyrl-RS"/>
        </w:rPr>
      </w:pPr>
    </w:p>
    <w:tbl>
      <w:tblPr>
        <w:tblStyle w:val="TableGrid"/>
        <w:tblW w:w="0" w:type="auto"/>
        <w:tblLook w:val="04A0" w:firstRow="1" w:lastRow="0" w:firstColumn="1" w:lastColumn="0" w:noHBand="0" w:noVBand="1"/>
      </w:tblPr>
      <w:tblGrid>
        <w:gridCol w:w="1787"/>
        <w:gridCol w:w="1445"/>
        <w:gridCol w:w="1446"/>
        <w:gridCol w:w="1446"/>
        <w:gridCol w:w="1446"/>
        <w:gridCol w:w="1446"/>
      </w:tblGrid>
      <w:tr w:rsidR="00BB3887" w:rsidRPr="00BB3887" w:rsidTr="00AD5BFF">
        <w:tc>
          <w:tcPr>
            <w:tcW w:w="1502" w:type="dxa"/>
          </w:tcPr>
          <w:p w:rsidR="00BB3887" w:rsidRPr="00BB3887" w:rsidRDefault="00BB3887" w:rsidP="00BB3887">
            <w:pPr>
              <w:spacing w:after="0"/>
              <w:rPr>
                <w:sz w:val="20"/>
                <w:szCs w:val="20"/>
                <w:lang w:val="sr-Cyrl-RS"/>
              </w:rPr>
            </w:pPr>
          </w:p>
        </w:tc>
        <w:tc>
          <w:tcPr>
            <w:tcW w:w="1502" w:type="dxa"/>
          </w:tcPr>
          <w:p w:rsidR="00BB3887" w:rsidRPr="00BB3887" w:rsidRDefault="00BB3887" w:rsidP="00BB3887">
            <w:pPr>
              <w:spacing w:after="0"/>
              <w:jc w:val="center"/>
              <w:rPr>
                <w:sz w:val="20"/>
                <w:szCs w:val="20"/>
                <w:lang w:val="sr-Cyrl-RS"/>
              </w:rPr>
            </w:pPr>
            <w:r w:rsidRPr="00BB3887">
              <w:rPr>
                <w:sz w:val="20"/>
                <w:szCs w:val="20"/>
                <w:lang w:val="sr-Cyrl-RS"/>
              </w:rPr>
              <w:t>2017.</w:t>
            </w:r>
          </w:p>
        </w:tc>
        <w:tc>
          <w:tcPr>
            <w:tcW w:w="1503" w:type="dxa"/>
          </w:tcPr>
          <w:p w:rsidR="00BB3887" w:rsidRPr="00BB3887" w:rsidRDefault="00BB3887" w:rsidP="00BB3887">
            <w:pPr>
              <w:spacing w:after="0"/>
              <w:jc w:val="center"/>
              <w:rPr>
                <w:sz w:val="20"/>
                <w:szCs w:val="20"/>
                <w:lang w:val="sr-Cyrl-RS"/>
              </w:rPr>
            </w:pPr>
            <w:r w:rsidRPr="00BB3887">
              <w:rPr>
                <w:sz w:val="20"/>
                <w:szCs w:val="20"/>
                <w:lang w:val="sr-Cyrl-RS"/>
              </w:rPr>
              <w:t>2018.</w:t>
            </w:r>
          </w:p>
        </w:tc>
        <w:tc>
          <w:tcPr>
            <w:tcW w:w="1503" w:type="dxa"/>
          </w:tcPr>
          <w:p w:rsidR="00BB3887" w:rsidRPr="00BB3887" w:rsidRDefault="00BB3887" w:rsidP="00BB3887">
            <w:pPr>
              <w:spacing w:after="0"/>
              <w:jc w:val="center"/>
              <w:rPr>
                <w:sz w:val="20"/>
                <w:szCs w:val="20"/>
                <w:lang w:val="sr-Cyrl-RS"/>
              </w:rPr>
            </w:pPr>
            <w:r w:rsidRPr="00BB3887">
              <w:rPr>
                <w:sz w:val="20"/>
                <w:szCs w:val="20"/>
                <w:lang w:val="sr-Cyrl-RS"/>
              </w:rPr>
              <w:t>2019.</w:t>
            </w:r>
          </w:p>
        </w:tc>
        <w:tc>
          <w:tcPr>
            <w:tcW w:w="1503" w:type="dxa"/>
          </w:tcPr>
          <w:p w:rsidR="00BB3887" w:rsidRPr="00BB3887" w:rsidRDefault="00BB3887" w:rsidP="00BB3887">
            <w:pPr>
              <w:spacing w:after="0"/>
              <w:jc w:val="center"/>
              <w:rPr>
                <w:sz w:val="20"/>
                <w:szCs w:val="20"/>
                <w:lang w:val="sr-Cyrl-RS"/>
              </w:rPr>
            </w:pPr>
            <w:r w:rsidRPr="00BB3887">
              <w:rPr>
                <w:sz w:val="20"/>
                <w:szCs w:val="20"/>
                <w:lang w:val="sr-Cyrl-RS"/>
              </w:rPr>
              <w:t>2020.</w:t>
            </w:r>
          </w:p>
        </w:tc>
        <w:tc>
          <w:tcPr>
            <w:tcW w:w="1503" w:type="dxa"/>
          </w:tcPr>
          <w:p w:rsidR="00BB3887" w:rsidRPr="00BB3887" w:rsidRDefault="00BB3887" w:rsidP="00BB3887">
            <w:pPr>
              <w:spacing w:after="0"/>
              <w:jc w:val="center"/>
              <w:rPr>
                <w:sz w:val="20"/>
                <w:szCs w:val="20"/>
                <w:lang w:val="sr-Cyrl-RS"/>
              </w:rPr>
            </w:pPr>
            <w:r w:rsidRPr="00BB3887">
              <w:rPr>
                <w:sz w:val="20"/>
                <w:szCs w:val="20"/>
                <w:lang w:val="sr-Cyrl-RS"/>
              </w:rPr>
              <w:t>2021.</w:t>
            </w:r>
          </w:p>
        </w:tc>
      </w:tr>
      <w:tr w:rsidR="00BB3887" w:rsidRPr="00BB3887" w:rsidTr="00AD5BFF">
        <w:tc>
          <w:tcPr>
            <w:tcW w:w="1502" w:type="dxa"/>
          </w:tcPr>
          <w:p w:rsidR="00BB3887" w:rsidRPr="00BB3887" w:rsidRDefault="00BB3887" w:rsidP="00BB3887">
            <w:pPr>
              <w:spacing w:after="0"/>
              <w:rPr>
                <w:sz w:val="20"/>
                <w:szCs w:val="20"/>
                <w:lang w:val="sr-Cyrl-RS"/>
              </w:rPr>
            </w:pPr>
            <w:r w:rsidRPr="00BB3887">
              <w:rPr>
                <w:sz w:val="20"/>
                <w:szCs w:val="20"/>
                <w:lang w:val="sr-Cyrl-RS"/>
              </w:rPr>
              <w:t>Ашкалије</w:t>
            </w:r>
          </w:p>
        </w:tc>
        <w:tc>
          <w:tcPr>
            <w:tcW w:w="1502" w:type="dxa"/>
          </w:tcPr>
          <w:p w:rsidR="00BB3887" w:rsidRPr="00BB3887" w:rsidRDefault="00BB3887" w:rsidP="00BB3887">
            <w:pPr>
              <w:spacing w:after="0"/>
              <w:rPr>
                <w:sz w:val="20"/>
                <w:szCs w:val="20"/>
                <w:lang w:val="sr-Cyrl-RS"/>
              </w:rPr>
            </w:pPr>
            <w:r w:rsidRPr="00BB3887">
              <w:rPr>
                <w:sz w:val="20"/>
                <w:szCs w:val="20"/>
                <w:lang w:val="sr-Cyrl-RS"/>
              </w:rPr>
              <w:t>95.000,00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95.000,00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200.000,00</w:t>
            </w:r>
          </w:p>
        </w:tc>
        <w:tc>
          <w:tcPr>
            <w:tcW w:w="1503" w:type="dxa"/>
          </w:tcPr>
          <w:p w:rsidR="00BB3887" w:rsidRPr="00BB3887" w:rsidRDefault="00BB3887" w:rsidP="00BB3887">
            <w:pPr>
              <w:spacing w:after="0"/>
              <w:rPr>
                <w:sz w:val="20"/>
                <w:szCs w:val="20"/>
                <w:lang w:val="sr-Cyrl-RS"/>
              </w:rPr>
            </w:pPr>
          </w:p>
        </w:tc>
        <w:tc>
          <w:tcPr>
            <w:tcW w:w="1503" w:type="dxa"/>
          </w:tcPr>
          <w:p w:rsidR="00BB3887" w:rsidRPr="00BB3887" w:rsidRDefault="00BB3887" w:rsidP="00BB3887">
            <w:pPr>
              <w:spacing w:after="0"/>
              <w:rPr>
                <w:sz w:val="20"/>
                <w:szCs w:val="20"/>
                <w:lang w:val="sr-Cyrl-RS"/>
              </w:rPr>
            </w:pPr>
            <w:r w:rsidRPr="00BB3887">
              <w:rPr>
                <w:sz w:val="20"/>
                <w:szCs w:val="20"/>
                <w:lang w:val="sr-Cyrl-RS"/>
              </w:rPr>
              <w:t>140.000,00</w:t>
            </w:r>
          </w:p>
        </w:tc>
      </w:tr>
      <w:tr w:rsidR="00BB3887" w:rsidRPr="00BB3887" w:rsidTr="00AD5BFF">
        <w:tc>
          <w:tcPr>
            <w:tcW w:w="1502" w:type="dxa"/>
          </w:tcPr>
          <w:p w:rsidR="00BB3887" w:rsidRPr="00BB3887" w:rsidRDefault="00BB3887" w:rsidP="00BB3887">
            <w:pPr>
              <w:spacing w:after="0"/>
              <w:rPr>
                <w:sz w:val="20"/>
                <w:szCs w:val="20"/>
                <w:lang w:val="sr-Cyrl-RS"/>
              </w:rPr>
            </w:pPr>
            <w:r w:rsidRPr="00BB3887">
              <w:rPr>
                <w:sz w:val="20"/>
                <w:szCs w:val="20"/>
                <w:lang w:val="sr-Cyrl-RS"/>
              </w:rPr>
              <w:t>Бошњаци</w:t>
            </w:r>
          </w:p>
        </w:tc>
        <w:tc>
          <w:tcPr>
            <w:tcW w:w="1502" w:type="dxa"/>
          </w:tcPr>
          <w:p w:rsidR="00BB3887" w:rsidRPr="00BB3887" w:rsidRDefault="00BB3887" w:rsidP="00BB3887">
            <w:pPr>
              <w:spacing w:after="0"/>
              <w:rPr>
                <w:sz w:val="20"/>
                <w:szCs w:val="20"/>
                <w:lang w:val="sr-Cyrl-RS"/>
              </w:rPr>
            </w:pPr>
            <w:r w:rsidRPr="00BB3887">
              <w:rPr>
                <w:sz w:val="20"/>
                <w:szCs w:val="20"/>
                <w:lang w:val="sr-Cyrl-RS"/>
              </w:rPr>
              <w:t>130.000,00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100.000,00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95.000,00</w:t>
            </w:r>
          </w:p>
        </w:tc>
        <w:tc>
          <w:tcPr>
            <w:tcW w:w="1503" w:type="dxa"/>
          </w:tcPr>
          <w:p w:rsidR="00BB3887" w:rsidRPr="00BB3887" w:rsidRDefault="00BB3887" w:rsidP="00BB3887">
            <w:pPr>
              <w:spacing w:after="0"/>
              <w:rPr>
                <w:sz w:val="20"/>
                <w:szCs w:val="20"/>
                <w:lang w:val="sr-Cyrl-RS"/>
              </w:rPr>
            </w:pPr>
          </w:p>
        </w:tc>
        <w:tc>
          <w:tcPr>
            <w:tcW w:w="1503" w:type="dxa"/>
          </w:tcPr>
          <w:p w:rsidR="00BB3887" w:rsidRPr="00BB3887" w:rsidRDefault="00BB3887" w:rsidP="00BB3887">
            <w:pPr>
              <w:spacing w:after="0"/>
              <w:rPr>
                <w:sz w:val="20"/>
                <w:szCs w:val="20"/>
                <w:lang w:val="sr-Cyrl-RS"/>
              </w:rPr>
            </w:pPr>
          </w:p>
        </w:tc>
      </w:tr>
      <w:tr w:rsidR="00BB3887" w:rsidRPr="00BB3887" w:rsidTr="00AD5BFF">
        <w:tc>
          <w:tcPr>
            <w:tcW w:w="1502" w:type="dxa"/>
          </w:tcPr>
          <w:p w:rsidR="00BB3887" w:rsidRPr="00BB3887" w:rsidRDefault="00BB3887" w:rsidP="00BB3887">
            <w:pPr>
              <w:spacing w:after="0"/>
              <w:rPr>
                <w:sz w:val="20"/>
                <w:szCs w:val="20"/>
                <w:lang w:val="sr-Cyrl-RS"/>
              </w:rPr>
            </w:pPr>
            <w:r w:rsidRPr="00BB3887">
              <w:rPr>
                <w:sz w:val="20"/>
                <w:szCs w:val="20"/>
                <w:lang w:val="sr-Cyrl-RS"/>
              </w:rPr>
              <w:t>Бугари</w:t>
            </w:r>
          </w:p>
        </w:tc>
        <w:tc>
          <w:tcPr>
            <w:tcW w:w="1502" w:type="dxa"/>
          </w:tcPr>
          <w:p w:rsidR="00BB3887" w:rsidRPr="00BB3887" w:rsidRDefault="00BB3887" w:rsidP="00BB3887">
            <w:pPr>
              <w:spacing w:after="0"/>
              <w:rPr>
                <w:sz w:val="20"/>
                <w:szCs w:val="20"/>
                <w:lang w:val="sr-Cyrl-RS"/>
              </w:rPr>
            </w:pPr>
            <w:r w:rsidRPr="00BB3887">
              <w:rPr>
                <w:sz w:val="20"/>
                <w:szCs w:val="20"/>
                <w:lang w:val="sr-Cyrl-RS"/>
              </w:rPr>
              <w:t>230.000,00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220.000,00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120.000,00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160.000,00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138.000,00</w:t>
            </w:r>
          </w:p>
        </w:tc>
      </w:tr>
      <w:tr w:rsidR="00BB3887" w:rsidRPr="00BB3887" w:rsidTr="00AD5BFF">
        <w:tc>
          <w:tcPr>
            <w:tcW w:w="1502" w:type="dxa"/>
          </w:tcPr>
          <w:p w:rsidR="00BB3887" w:rsidRPr="00BB3887" w:rsidRDefault="00BB3887" w:rsidP="00BB3887">
            <w:pPr>
              <w:spacing w:after="0"/>
              <w:rPr>
                <w:sz w:val="20"/>
                <w:szCs w:val="20"/>
                <w:lang w:val="sr-Cyrl-RS"/>
              </w:rPr>
            </w:pPr>
            <w:r w:rsidRPr="00BB3887">
              <w:rPr>
                <w:sz w:val="20"/>
                <w:szCs w:val="20"/>
                <w:lang w:val="sr-Cyrl-RS"/>
              </w:rPr>
              <w:t>Буњевци</w:t>
            </w:r>
          </w:p>
        </w:tc>
        <w:tc>
          <w:tcPr>
            <w:tcW w:w="1502" w:type="dxa"/>
          </w:tcPr>
          <w:p w:rsidR="00BB3887" w:rsidRPr="00BB3887" w:rsidRDefault="00BB3887" w:rsidP="00BB3887">
            <w:pPr>
              <w:spacing w:after="0"/>
              <w:rPr>
                <w:sz w:val="20"/>
                <w:szCs w:val="20"/>
                <w:lang w:val="sr-Cyrl-RS"/>
              </w:rPr>
            </w:pPr>
            <w:r w:rsidRPr="00BB3887">
              <w:rPr>
                <w:sz w:val="20"/>
                <w:szCs w:val="20"/>
                <w:lang w:val="sr-Cyrl-RS"/>
              </w:rPr>
              <w:t>1.000.000,00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1.000.000,00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1.045.000,00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1.050.000,00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1.050.000,00</w:t>
            </w:r>
          </w:p>
        </w:tc>
      </w:tr>
      <w:tr w:rsidR="00BB3887" w:rsidRPr="00BB3887" w:rsidTr="00AD5BFF">
        <w:tc>
          <w:tcPr>
            <w:tcW w:w="1502" w:type="dxa"/>
          </w:tcPr>
          <w:p w:rsidR="00BB3887" w:rsidRPr="00BB3887" w:rsidRDefault="00BB3887" w:rsidP="00BB3887">
            <w:pPr>
              <w:spacing w:after="0"/>
              <w:rPr>
                <w:sz w:val="20"/>
                <w:szCs w:val="20"/>
                <w:lang w:val="sr-Cyrl-RS"/>
              </w:rPr>
            </w:pPr>
            <w:r w:rsidRPr="00BB3887">
              <w:rPr>
                <w:sz w:val="20"/>
                <w:szCs w:val="20"/>
                <w:lang w:val="sr-Cyrl-RS"/>
              </w:rPr>
              <w:t>Горанци</w:t>
            </w:r>
          </w:p>
        </w:tc>
        <w:tc>
          <w:tcPr>
            <w:tcW w:w="1502" w:type="dxa"/>
          </w:tcPr>
          <w:p w:rsidR="00BB3887" w:rsidRPr="00BB3887" w:rsidRDefault="00BB3887" w:rsidP="00BB3887">
            <w:pPr>
              <w:spacing w:after="0"/>
              <w:rPr>
                <w:sz w:val="20"/>
                <w:szCs w:val="20"/>
                <w:lang w:val="sr-Cyrl-RS"/>
              </w:rPr>
            </w:pPr>
          </w:p>
        </w:tc>
        <w:tc>
          <w:tcPr>
            <w:tcW w:w="1503" w:type="dxa"/>
          </w:tcPr>
          <w:p w:rsidR="00BB3887" w:rsidRPr="00BB3887" w:rsidRDefault="00BB3887" w:rsidP="00BB3887">
            <w:pPr>
              <w:spacing w:after="0"/>
              <w:rPr>
                <w:sz w:val="20"/>
                <w:szCs w:val="20"/>
                <w:lang w:val="sr-Cyrl-RS"/>
              </w:rPr>
            </w:pPr>
          </w:p>
        </w:tc>
        <w:tc>
          <w:tcPr>
            <w:tcW w:w="1503" w:type="dxa"/>
          </w:tcPr>
          <w:p w:rsidR="00BB3887" w:rsidRPr="00BB3887" w:rsidRDefault="00BB3887" w:rsidP="00BB3887">
            <w:pPr>
              <w:spacing w:after="0"/>
              <w:rPr>
                <w:sz w:val="20"/>
                <w:szCs w:val="20"/>
                <w:lang w:val="sr-Cyrl-RS"/>
              </w:rPr>
            </w:pPr>
          </w:p>
        </w:tc>
        <w:tc>
          <w:tcPr>
            <w:tcW w:w="1503" w:type="dxa"/>
          </w:tcPr>
          <w:p w:rsidR="00BB3887" w:rsidRPr="00BB3887" w:rsidRDefault="00BB3887" w:rsidP="00BB3887">
            <w:pPr>
              <w:spacing w:after="0"/>
              <w:rPr>
                <w:sz w:val="20"/>
                <w:szCs w:val="20"/>
                <w:lang w:val="sr-Cyrl-RS"/>
              </w:rPr>
            </w:pPr>
          </w:p>
        </w:tc>
        <w:tc>
          <w:tcPr>
            <w:tcW w:w="1503" w:type="dxa"/>
          </w:tcPr>
          <w:p w:rsidR="00BB3887" w:rsidRPr="00BB3887" w:rsidRDefault="00BB3887" w:rsidP="00BB3887">
            <w:pPr>
              <w:spacing w:after="0"/>
              <w:rPr>
                <w:sz w:val="20"/>
                <w:szCs w:val="20"/>
                <w:lang w:val="sr-Cyrl-RS"/>
              </w:rPr>
            </w:pPr>
            <w:r w:rsidRPr="00BB3887">
              <w:rPr>
                <w:sz w:val="20"/>
                <w:szCs w:val="20"/>
                <w:lang w:val="sr-Cyrl-RS"/>
              </w:rPr>
              <w:t>70.000,00</w:t>
            </w:r>
          </w:p>
        </w:tc>
      </w:tr>
      <w:tr w:rsidR="00BB3887" w:rsidRPr="00BB3887" w:rsidTr="00AD5BFF">
        <w:tc>
          <w:tcPr>
            <w:tcW w:w="1502" w:type="dxa"/>
          </w:tcPr>
          <w:p w:rsidR="00BB3887" w:rsidRPr="00BB3887" w:rsidRDefault="00BB3887" w:rsidP="00BB3887">
            <w:pPr>
              <w:spacing w:after="0"/>
              <w:rPr>
                <w:sz w:val="20"/>
                <w:szCs w:val="20"/>
                <w:lang w:val="sr-Cyrl-RS"/>
              </w:rPr>
            </w:pPr>
            <w:r w:rsidRPr="00BB3887">
              <w:rPr>
                <w:sz w:val="20"/>
                <w:szCs w:val="20"/>
                <w:lang w:val="sr-Cyrl-RS"/>
              </w:rPr>
              <w:t>Грци</w:t>
            </w:r>
          </w:p>
        </w:tc>
        <w:tc>
          <w:tcPr>
            <w:tcW w:w="1502" w:type="dxa"/>
          </w:tcPr>
          <w:p w:rsidR="00BB3887" w:rsidRPr="00BB3887" w:rsidRDefault="00BB3887" w:rsidP="00BB3887">
            <w:pPr>
              <w:spacing w:after="0"/>
              <w:rPr>
                <w:sz w:val="20"/>
                <w:szCs w:val="20"/>
                <w:lang w:val="sr-Cyrl-RS"/>
              </w:rPr>
            </w:pPr>
            <w:r w:rsidRPr="00BB3887">
              <w:rPr>
                <w:sz w:val="20"/>
                <w:szCs w:val="20"/>
                <w:lang w:val="sr-Cyrl-RS"/>
              </w:rPr>
              <w:t>95.000,00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95.000,00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155.000,00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150.000,00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138.000,00</w:t>
            </w:r>
          </w:p>
        </w:tc>
      </w:tr>
      <w:tr w:rsidR="00BB3887" w:rsidRPr="00BB3887" w:rsidTr="00AD5BFF">
        <w:tc>
          <w:tcPr>
            <w:tcW w:w="1502" w:type="dxa"/>
          </w:tcPr>
          <w:p w:rsidR="00BB3887" w:rsidRPr="00BB3887" w:rsidRDefault="00BB3887" w:rsidP="00BB3887">
            <w:pPr>
              <w:spacing w:after="0"/>
              <w:rPr>
                <w:sz w:val="20"/>
                <w:szCs w:val="20"/>
                <w:lang w:val="sr-Cyrl-RS"/>
              </w:rPr>
            </w:pPr>
            <w:r w:rsidRPr="00BB3887">
              <w:rPr>
                <w:sz w:val="20"/>
                <w:szCs w:val="20"/>
                <w:lang w:val="sr-Cyrl-RS"/>
              </w:rPr>
              <w:t>Египћани</w:t>
            </w:r>
          </w:p>
        </w:tc>
        <w:tc>
          <w:tcPr>
            <w:tcW w:w="1502" w:type="dxa"/>
          </w:tcPr>
          <w:p w:rsidR="00BB3887" w:rsidRPr="00BB3887" w:rsidRDefault="00BB3887" w:rsidP="00BB3887">
            <w:pPr>
              <w:spacing w:after="0"/>
              <w:rPr>
                <w:sz w:val="20"/>
                <w:szCs w:val="20"/>
                <w:lang w:val="sr-Cyrl-RS"/>
              </w:rPr>
            </w:pPr>
            <w:r w:rsidRPr="00BB3887">
              <w:rPr>
                <w:sz w:val="20"/>
                <w:szCs w:val="20"/>
                <w:lang w:val="sr-Cyrl-RS"/>
              </w:rPr>
              <w:t>95.000,00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95.000,00</w:t>
            </w:r>
          </w:p>
        </w:tc>
        <w:tc>
          <w:tcPr>
            <w:tcW w:w="1503" w:type="dxa"/>
          </w:tcPr>
          <w:p w:rsidR="00BB3887" w:rsidRPr="00BB3887" w:rsidRDefault="00BB3887" w:rsidP="00BB3887">
            <w:pPr>
              <w:spacing w:after="0"/>
              <w:rPr>
                <w:sz w:val="20"/>
                <w:szCs w:val="20"/>
                <w:lang w:val="sr-Cyrl-RS"/>
              </w:rPr>
            </w:pPr>
          </w:p>
        </w:tc>
        <w:tc>
          <w:tcPr>
            <w:tcW w:w="1503" w:type="dxa"/>
          </w:tcPr>
          <w:p w:rsidR="00BB3887" w:rsidRPr="00BB3887" w:rsidRDefault="00BB3887" w:rsidP="00BB3887">
            <w:pPr>
              <w:spacing w:after="0"/>
              <w:rPr>
                <w:sz w:val="20"/>
                <w:szCs w:val="20"/>
                <w:lang w:val="sr-Cyrl-RS"/>
              </w:rPr>
            </w:pPr>
          </w:p>
        </w:tc>
        <w:tc>
          <w:tcPr>
            <w:tcW w:w="1503" w:type="dxa"/>
          </w:tcPr>
          <w:p w:rsidR="00BB3887" w:rsidRPr="00BB3887" w:rsidRDefault="00BB3887" w:rsidP="00BB3887">
            <w:pPr>
              <w:spacing w:after="0"/>
              <w:rPr>
                <w:sz w:val="20"/>
                <w:szCs w:val="20"/>
                <w:lang w:val="sr-Cyrl-RS"/>
              </w:rPr>
            </w:pPr>
            <w:r w:rsidRPr="00BB3887">
              <w:rPr>
                <w:sz w:val="20"/>
                <w:szCs w:val="20"/>
                <w:lang w:val="sr-Cyrl-RS"/>
              </w:rPr>
              <w:t>130.000,00</w:t>
            </w:r>
          </w:p>
        </w:tc>
      </w:tr>
      <w:tr w:rsidR="00BB3887" w:rsidRPr="00BB3887" w:rsidTr="00AD5BFF">
        <w:tc>
          <w:tcPr>
            <w:tcW w:w="1502" w:type="dxa"/>
          </w:tcPr>
          <w:p w:rsidR="00BB3887" w:rsidRPr="00BB3887" w:rsidRDefault="00BB3887" w:rsidP="00BB3887">
            <w:pPr>
              <w:spacing w:after="0"/>
              <w:rPr>
                <w:sz w:val="20"/>
                <w:szCs w:val="20"/>
                <w:lang w:val="sr-Cyrl-RS"/>
              </w:rPr>
            </w:pPr>
            <w:r w:rsidRPr="00BB3887">
              <w:rPr>
                <w:sz w:val="20"/>
                <w:szCs w:val="20"/>
                <w:lang w:val="sr-Cyrl-RS"/>
              </w:rPr>
              <w:t>Јевреји</w:t>
            </w:r>
          </w:p>
        </w:tc>
        <w:tc>
          <w:tcPr>
            <w:tcW w:w="1502" w:type="dxa"/>
          </w:tcPr>
          <w:p w:rsidR="00BB3887" w:rsidRPr="00BB3887" w:rsidRDefault="00BB3887" w:rsidP="00BB3887">
            <w:pPr>
              <w:spacing w:after="0"/>
              <w:rPr>
                <w:sz w:val="20"/>
                <w:szCs w:val="20"/>
                <w:lang w:val="sr-Cyrl-RS"/>
              </w:rPr>
            </w:pPr>
            <w:r w:rsidRPr="00BB3887">
              <w:rPr>
                <w:sz w:val="20"/>
                <w:szCs w:val="20"/>
                <w:lang w:val="sr-Cyrl-RS"/>
              </w:rPr>
              <w:t>50.000,00</w:t>
            </w:r>
          </w:p>
        </w:tc>
        <w:tc>
          <w:tcPr>
            <w:tcW w:w="1503" w:type="dxa"/>
          </w:tcPr>
          <w:p w:rsidR="00BB3887" w:rsidRPr="00BB3887" w:rsidRDefault="00BB3887" w:rsidP="00BB3887">
            <w:pPr>
              <w:spacing w:after="0"/>
              <w:rPr>
                <w:sz w:val="20"/>
                <w:szCs w:val="20"/>
                <w:lang w:val="sr-Cyrl-RS"/>
              </w:rPr>
            </w:pPr>
          </w:p>
        </w:tc>
        <w:tc>
          <w:tcPr>
            <w:tcW w:w="1503" w:type="dxa"/>
          </w:tcPr>
          <w:p w:rsidR="00BB3887" w:rsidRPr="00BB3887" w:rsidRDefault="00BB3887" w:rsidP="00BB3887">
            <w:pPr>
              <w:spacing w:after="0"/>
              <w:rPr>
                <w:sz w:val="20"/>
                <w:szCs w:val="20"/>
                <w:lang w:val="sr-Cyrl-RS"/>
              </w:rPr>
            </w:pPr>
          </w:p>
        </w:tc>
        <w:tc>
          <w:tcPr>
            <w:tcW w:w="1503" w:type="dxa"/>
          </w:tcPr>
          <w:p w:rsidR="00BB3887" w:rsidRPr="00BB3887" w:rsidRDefault="00BB3887" w:rsidP="00BB3887">
            <w:pPr>
              <w:spacing w:after="0"/>
              <w:rPr>
                <w:sz w:val="20"/>
                <w:szCs w:val="20"/>
                <w:lang w:val="sr-Cyrl-RS"/>
              </w:rPr>
            </w:pPr>
            <w:r w:rsidRPr="00BB3887">
              <w:rPr>
                <w:sz w:val="20"/>
                <w:szCs w:val="20"/>
                <w:lang w:val="sr-Cyrl-RS"/>
              </w:rPr>
              <w:t>100.000,00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100.000,00</w:t>
            </w:r>
          </w:p>
        </w:tc>
      </w:tr>
      <w:tr w:rsidR="00BB3887" w:rsidRPr="00BB3887" w:rsidTr="00AD5BFF">
        <w:tc>
          <w:tcPr>
            <w:tcW w:w="1502" w:type="dxa"/>
          </w:tcPr>
          <w:p w:rsidR="00BB3887" w:rsidRPr="00BB3887" w:rsidRDefault="00BB3887" w:rsidP="00BB3887">
            <w:pPr>
              <w:spacing w:after="0"/>
              <w:rPr>
                <w:sz w:val="20"/>
                <w:szCs w:val="20"/>
                <w:lang w:val="sr-Cyrl-RS"/>
              </w:rPr>
            </w:pPr>
            <w:r w:rsidRPr="00BB3887">
              <w:rPr>
                <w:sz w:val="20"/>
                <w:szCs w:val="20"/>
                <w:lang w:val="sr-Cyrl-RS"/>
              </w:rPr>
              <w:t>Македонци</w:t>
            </w:r>
          </w:p>
        </w:tc>
        <w:tc>
          <w:tcPr>
            <w:tcW w:w="1502" w:type="dxa"/>
          </w:tcPr>
          <w:p w:rsidR="00BB3887" w:rsidRPr="00BB3887" w:rsidRDefault="00BB3887" w:rsidP="00BB3887">
            <w:pPr>
              <w:spacing w:after="0"/>
              <w:rPr>
                <w:sz w:val="20"/>
                <w:szCs w:val="20"/>
                <w:lang w:val="sr-Cyrl-RS"/>
              </w:rPr>
            </w:pPr>
            <w:r w:rsidRPr="00BB3887">
              <w:rPr>
                <w:sz w:val="20"/>
                <w:szCs w:val="20"/>
                <w:lang w:val="sr-Cyrl-RS"/>
              </w:rPr>
              <w:t>630.000,00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630.000,00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660.000,00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660.000,00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660.000,00</w:t>
            </w:r>
          </w:p>
        </w:tc>
      </w:tr>
      <w:tr w:rsidR="00BB3887" w:rsidRPr="00BB3887" w:rsidTr="00AD5BFF">
        <w:tc>
          <w:tcPr>
            <w:tcW w:w="1502" w:type="dxa"/>
          </w:tcPr>
          <w:p w:rsidR="00BB3887" w:rsidRPr="00BB3887" w:rsidRDefault="00BB3887" w:rsidP="00BB3887">
            <w:pPr>
              <w:spacing w:after="0"/>
              <w:rPr>
                <w:sz w:val="20"/>
                <w:szCs w:val="20"/>
                <w:lang w:val="sr-Cyrl-RS"/>
              </w:rPr>
            </w:pPr>
            <w:r w:rsidRPr="00BB3887">
              <w:rPr>
                <w:sz w:val="20"/>
                <w:szCs w:val="20"/>
                <w:lang w:val="sr-Cyrl-RS"/>
              </w:rPr>
              <w:t>Мађари</w:t>
            </w:r>
          </w:p>
        </w:tc>
        <w:tc>
          <w:tcPr>
            <w:tcW w:w="1502" w:type="dxa"/>
          </w:tcPr>
          <w:p w:rsidR="00BB3887" w:rsidRPr="00BB3887" w:rsidRDefault="00BB3887" w:rsidP="00BB3887">
            <w:pPr>
              <w:spacing w:after="0"/>
              <w:rPr>
                <w:sz w:val="20"/>
                <w:szCs w:val="20"/>
                <w:lang w:val="sr-Cyrl-RS"/>
              </w:rPr>
            </w:pPr>
            <w:r w:rsidRPr="00BB3887">
              <w:rPr>
                <w:sz w:val="20"/>
                <w:szCs w:val="20"/>
                <w:lang w:val="sr-Cyrl-RS"/>
              </w:rPr>
              <w:t>14.600.000,00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14.600.000,00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15.200.000,00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15.450.000,00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15.450.000,00</w:t>
            </w:r>
          </w:p>
        </w:tc>
      </w:tr>
      <w:tr w:rsidR="00BB3887" w:rsidRPr="00BB3887" w:rsidTr="00AD5BFF">
        <w:tc>
          <w:tcPr>
            <w:tcW w:w="1502" w:type="dxa"/>
          </w:tcPr>
          <w:p w:rsidR="00BB3887" w:rsidRPr="00BB3887" w:rsidRDefault="00BB3887" w:rsidP="00BB3887">
            <w:pPr>
              <w:spacing w:after="0"/>
              <w:rPr>
                <w:sz w:val="20"/>
                <w:szCs w:val="20"/>
                <w:lang w:val="sr-Cyrl-RS"/>
              </w:rPr>
            </w:pPr>
            <w:r w:rsidRPr="00BB3887">
              <w:rPr>
                <w:sz w:val="20"/>
                <w:szCs w:val="20"/>
                <w:lang w:val="sr-Cyrl-RS"/>
              </w:rPr>
              <w:t>Немци</w:t>
            </w:r>
          </w:p>
        </w:tc>
        <w:tc>
          <w:tcPr>
            <w:tcW w:w="1502" w:type="dxa"/>
          </w:tcPr>
          <w:p w:rsidR="00BB3887" w:rsidRPr="00BB3887" w:rsidRDefault="00BB3887" w:rsidP="00BB3887">
            <w:pPr>
              <w:spacing w:after="0"/>
              <w:rPr>
                <w:sz w:val="20"/>
                <w:szCs w:val="20"/>
                <w:lang w:val="sr-Cyrl-RS"/>
              </w:rPr>
            </w:pPr>
            <w:r w:rsidRPr="00BB3887">
              <w:rPr>
                <w:sz w:val="20"/>
                <w:szCs w:val="20"/>
                <w:lang w:val="sr-Cyrl-RS"/>
              </w:rPr>
              <w:t>280.000,00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280.000,00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290.000,00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300.000,00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300.000,00</w:t>
            </w:r>
          </w:p>
        </w:tc>
      </w:tr>
      <w:tr w:rsidR="00BB3887" w:rsidRPr="00BB3887" w:rsidTr="00AD5BFF">
        <w:tc>
          <w:tcPr>
            <w:tcW w:w="1502" w:type="dxa"/>
          </w:tcPr>
          <w:p w:rsidR="00BB3887" w:rsidRPr="00BB3887" w:rsidRDefault="00BB3887" w:rsidP="00BB3887">
            <w:pPr>
              <w:spacing w:after="0"/>
              <w:rPr>
                <w:sz w:val="20"/>
                <w:szCs w:val="20"/>
                <w:lang w:val="sr-Cyrl-RS"/>
              </w:rPr>
            </w:pPr>
            <w:r w:rsidRPr="00BB3887">
              <w:rPr>
                <w:sz w:val="20"/>
                <w:szCs w:val="20"/>
                <w:lang w:val="sr-Cyrl-RS"/>
              </w:rPr>
              <w:t>Пољаци</w:t>
            </w:r>
          </w:p>
        </w:tc>
        <w:tc>
          <w:tcPr>
            <w:tcW w:w="1502" w:type="dxa"/>
          </w:tcPr>
          <w:p w:rsidR="00BB3887" w:rsidRPr="00BB3887" w:rsidRDefault="00BB3887" w:rsidP="00BB3887">
            <w:pPr>
              <w:spacing w:after="0"/>
              <w:rPr>
                <w:sz w:val="20"/>
                <w:szCs w:val="20"/>
                <w:lang w:val="sr-Cyrl-RS"/>
              </w:rPr>
            </w:pPr>
          </w:p>
        </w:tc>
        <w:tc>
          <w:tcPr>
            <w:tcW w:w="1503" w:type="dxa"/>
          </w:tcPr>
          <w:p w:rsidR="00BB3887" w:rsidRPr="00BB3887" w:rsidRDefault="00BB3887" w:rsidP="00BB3887">
            <w:pPr>
              <w:spacing w:after="0"/>
              <w:rPr>
                <w:sz w:val="20"/>
                <w:szCs w:val="20"/>
                <w:lang w:val="sr-Cyrl-RS"/>
              </w:rPr>
            </w:pPr>
            <w:r w:rsidRPr="00BB3887">
              <w:rPr>
                <w:sz w:val="20"/>
                <w:szCs w:val="20"/>
                <w:lang w:val="sr-Cyrl-RS"/>
              </w:rPr>
              <w:t>100.000,00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30.000,00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150.000,00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140.000,00</w:t>
            </w:r>
          </w:p>
        </w:tc>
      </w:tr>
      <w:tr w:rsidR="00BB3887" w:rsidRPr="00BB3887" w:rsidTr="00AD5BFF">
        <w:tc>
          <w:tcPr>
            <w:tcW w:w="1502" w:type="dxa"/>
          </w:tcPr>
          <w:p w:rsidR="00BB3887" w:rsidRPr="00BB3887" w:rsidRDefault="00BB3887" w:rsidP="00BB3887">
            <w:pPr>
              <w:spacing w:after="0"/>
              <w:rPr>
                <w:sz w:val="20"/>
                <w:szCs w:val="20"/>
                <w:lang w:val="sr-Cyrl-RS"/>
              </w:rPr>
            </w:pPr>
            <w:r w:rsidRPr="00BB3887">
              <w:rPr>
                <w:sz w:val="20"/>
                <w:szCs w:val="20"/>
                <w:lang w:val="sr-Cyrl-RS"/>
              </w:rPr>
              <w:t>Роми</w:t>
            </w:r>
          </w:p>
        </w:tc>
        <w:tc>
          <w:tcPr>
            <w:tcW w:w="1502" w:type="dxa"/>
          </w:tcPr>
          <w:p w:rsidR="00BB3887" w:rsidRPr="00BB3887" w:rsidRDefault="00BB3887" w:rsidP="00BB3887">
            <w:pPr>
              <w:spacing w:after="0"/>
              <w:rPr>
                <w:sz w:val="20"/>
                <w:szCs w:val="20"/>
                <w:lang w:val="sr-Cyrl-RS"/>
              </w:rPr>
            </w:pPr>
            <w:r w:rsidRPr="00BB3887">
              <w:rPr>
                <w:sz w:val="20"/>
                <w:szCs w:val="20"/>
                <w:lang w:val="sr-Cyrl-RS"/>
              </w:rPr>
              <w:t>1.730.000,00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1.730.000.00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1.800.000,00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3.350.000,00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3.350.000,00</w:t>
            </w:r>
          </w:p>
        </w:tc>
      </w:tr>
      <w:tr w:rsidR="00BB3887" w:rsidRPr="00BB3887" w:rsidTr="00AD5BFF">
        <w:tc>
          <w:tcPr>
            <w:tcW w:w="1502" w:type="dxa"/>
          </w:tcPr>
          <w:p w:rsidR="00BB3887" w:rsidRPr="00BB3887" w:rsidRDefault="00BB3887" w:rsidP="00BB3887">
            <w:pPr>
              <w:spacing w:after="0"/>
              <w:rPr>
                <w:sz w:val="20"/>
                <w:szCs w:val="20"/>
                <w:lang w:val="sr-Cyrl-RS"/>
              </w:rPr>
            </w:pPr>
            <w:r w:rsidRPr="00BB3887">
              <w:rPr>
                <w:sz w:val="20"/>
                <w:szCs w:val="20"/>
                <w:lang w:val="sr-Cyrl-RS"/>
              </w:rPr>
              <w:t>Румуни</w:t>
            </w:r>
          </w:p>
        </w:tc>
        <w:tc>
          <w:tcPr>
            <w:tcW w:w="1502" w:type="dxa"/>
          </w:tcPr>
          <w:p w:rsidR="00BB3887" w:rsidRPr="00BB3887" w:rsidRDefault="00BB3887" w:rsidP="00BB3887">
            <w:pPr>
              <w:spacing w:after="0"/>
              <w:rPr>
                <w:sz w:val="20"/>
                <w:szCs w:val="20"/>
                <w:lang w:val="sr-Cyrl-RS"/>
              </w:rPr>
            </w:pPr>
            <w:r w:rsidRPr="00BB3887">
              <w:rPr>
                <w:sz w:val="20"/>
                <w:szCs w:val="20"/>
                <w:lang w:val="sr-Cyrl-RS"/>
              </w:rPr>
              <w:t>2.220.000,00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2.220.000,00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2.315.000,00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2.350.000,00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2.350.000,00</w:t>
            </w:r>
          </w:p>
        </w:tc>
      </w:tr>
      <w:tr w:rsidR="00BB3887" w:rsidRPr="00BB3887" w:rsidTr="00AD5BFF">
        <w:tc>
          <w:tcPr>
            <w:tcW w:w="1502" w:type="dxa"/>
          </w:tcPr>
          <w:p w:rsidR="00BB3887" w:rsidRPr="00BB3887" w:rsidRDefault="00BB3887" w:rsidP="00BB3887">
            <w:pPr>
              <w:spacing w:after="0"/>
              <w:rPr>
                <w:sz w:val="20"/>
                <w:szCs w:val="20"/>
                <w:lang w:val="sr-Cyrl-RS"/>
              </w:rPr>
            </w:pPr>
            <w:r w:rsidRPr="00BB3887">
              <w:rPr>
                <w:sz w:val="20"/>
                <w:szCs w:val="20"/>
                <w:lang w:val="sr-Cyrl-RS"/>
              </w:rPr>
              <w:t>Руси</w:t>
            </w:r>
          </w:p>
        </w:tc>
        <w:tc>
          <w:tcPr>
            <w:tcW w:w="1502" w:type="dxa"/>
          </w:tcPr>
          <w:p w:rsidR="00BB3887" w:rsidRPr="00BB3887" w:rsidRDefault="00BB3887" w:rsidP="00BB3887">
            <w:pPr>
              <w:spacing w:after="0"/>
              <w:rPr>
                <w:sz w:val="20"/>
                <w:szCs w:val="20"/>
                <w:lang w:val="sr-Cyrl-RS"/>
              </w:rPr>
            </w:pPr>
          </w:p>
        </w:tc>
        <w:tc>
          <w:tcPr>
            <w:tcW w:w="1503" w:type="dxa"/>
          </w:tcPr>
          <w:p w:rsidR="00BB3887" w:rsidRPr="00BB3887" w:rsidRDefault="00BB3887" w:rsidP="00BB3887">
            <w:pPr>
              <w:spacing w:after="0"/>
              <w:rPr>
                <w:sz w:val="20"/>
                <w:szCs w:val="20"/>
                <w:lang w:val="sr-Cyrl-RS"/>
              </w:rPr>
            </w:pPr>
          </w:p>
        </w:tc>
        <w:tc>
          <w:tcPr>
            <w:tcW w:w="1503" w:type="dxa"/>
          </w:tcPr>
          <w:p w:rsidR="00BB3887" w:rsidRPr="00BB3887" w:rsidRDefault="00BB3887" w:rsidP="00BB3887">
            <w:pPr>
              <w:spacing w:after="0"/>
              <w:rPr>
                <w:sz w:val="20"/>
                <w:szCs w:val="20"/>
                <w:lang w:val="sr-Cyrl-RS"/>
              </w:rPr>
            </w:pPr>
          </w:p>
        </w:tc>
        <w:tc>
          <w:tcPr>
            <w:tcW w:w="1503" w:type="dxa"/>
          </w:tcPr>
          <w:p w:rsidR="00BB3887" w:rsidRPr="00BB3887" w:rsidRDefault="00BB3887" w:rsidP="00BB3887">
            <w:pPr>
              <w:spacing w:after="0"/>
              <w:rPr>
                <w:sz w:val="20"/>
                <w:szCs w:val="20"/>
                <w:lang w:val="sr-Cyrl-RS"/>
              </w:rPr>
            </w:pPr>
            <w:r w:rsidRPr="00BB3887">
              <w:rPr>
                <w:sz w:val="20"/>
                <w:szCs w:val="20"/>
                <w:lang w:val="sr-Cyrl-RS"/>
              </w:rPr>
              <w:t>100.000,00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104.000,00</w:t>
            </w:r>
          </w:p>
        </w:tc>
      </w:tr>
      <w:tr w:rsidR="00BB3887" w:rsidRPr="00BB3887" w:rsidTr="00AD5BFF">
        <w:tc>
          <w:tcPr>
            <w:tcW w:w="1502" w:type="dxa"/>
          </w:tcPr>
          <w:p w:rsidR="00BB3887" w:rsidRPr="00BB3887" w:rsidRDefault="00BB3887" w:rsidP="00BB3887">
            <w:pPr>
              <w:spacing w:after="0"/>
              <w:rPr>
                <w:sz w:val="20"/>
                <w:szCs w:val="20"/>
                <w:lang w:val="sr-Cyrl-RS"/>
              </w:rPr>
            </w:pPr>
            <w:r w:rsidRPr="00BB3887">
              <w:rPr>
                <w:sz w:val="20"/>
                <w:szCs w:val="20"/>
                <w:lang w:val="sr-Cyrl-RS"/>
              </w:rPr>
              <w:t>Русини</w:t>
            </w:r>
          </w:p>
        </w:tc>
        <w:tc>
          <w:tcPr>
            <w:tcW w:w="1502" w:type="dxa"/>
          </w:tcPr>
          <w:p w:rsidR="00BB3887" w:rsidRPr="00BB3887" w:rsidRDefault="00BB3887" w:rsidP="00BB3887">
            <w:pPr>
              <w:spacing w:after="0"/>
              <w:rPr>
                <w:sz w:val="20"/>
                <w:szCs w:val="20"/>
                <w:lang w:val="sr-Cyrl-RS"/>
              </w:rPr>
            </w:pPr>
            <w:r w:rsidRPr="00BB3887">
              <w:rPr>
                <w:sz w:val="20"/>
                <w:szCs w:val="20"/>
                <w:lang w:val="sr-Cyrl-RS"/>
              </w:rPr>
              <w:t>1.110.000,00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1.110.000,00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1.160.000,00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1.200.000,00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1.200.000,00</w:t>
            </w:r>
          </w:p>
        </w:tc>
      </w:tr>
      <w:tr w:rsidR="00BB3887" w:rsidRPr="00BB3887" w:rsidTr="00AD5BFF">
        <w:tc>
          <w:tcPr>
            <w:tcW w:w="1502" w:type="dxa"/>
          </w:tcPr>
          <w:p w:rsidR="00BB3887" w:rsidRPr="00BB3887" w:rsidRDefault="00BB3887" w:rsidP="00BB3887">
            <w:pPr>
              <w:spacing w:after="0"/>
              <w:rPr>
                <w:sz w:val="20"/>
                <w:szCs w:val="20"/>
                <w:lang w:val="sr-Cyrl-RS"/>
              </w:rPr>
            </w:pPr>
            <w:r w:rsidRPr="00BB3887">
              <w:rPr>
                <w:sz w:val="20"/>
                <w:szCs w:val="20"/>
                <w:lang w:val="sr-Cyrl-RS"/>
              </w:rPr>
              <w:t>Словаци</w:t>
            </w:r>
          </w:p>
        </w:tc>
        <w:tc>
          <w:tcPr>
            <w:tcW w:w="1502" w:type="dxa"/>
          </w:tcPr>
          <w:p w:rsidR="00BB3887" w:rsidRPr="00BB3887" w:rsidRDefault="00BB3887" w:rsidP="00BB3887">
            <w:pPr>
              <w:spacing w:after="0"/>
              <w:rPr>
                <w:sz w:val="20"/>
                <w:szCs w:val="20"/>
                <w:lang w:val="sr-Cyrl-RS"/>
              </w:rPr>
            </w:pPr>
            <w:r w:rsidRPr="00BB3887">
              <w:rPr>
                <w:sz w:val="20"/>
                <w:szCs w:val="20"/>
                <w:lang w:val="sr-Cyrl-RS"/>
              </w:rPr>
              <w:t>3.000.000,00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2.950.000,00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3.130.000,00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3.200.000,00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3.200.000,00</w:t>
            </w:r>
          </w:p>
        </w:tc>
      </w:tr>
      <w:tr w:rsidR="00BB3887" w:rsidRPr="00BB3887" w:rsidTr="00AD5BFF">
        <w:tc>
          <w:tcPr>
            <w:tcW w:w="1502" w:type="dxa"/>
          </w:tcPr>
          <w:p w:rsidR="00BB3887" w:rsidRPr="00BB3887" w:rsidRDefault="00BB3887" w:rsidP="00BB3887">
            <w:pPr>
              <w:spacing w:after="0"/>
              <w:rPr>
                <w:sz w:val="20"/>
                <w:szCs w:val="20"/>
                <w:lang w:val="sr-Cyrl-RS"/>
              </w:rPr>
            </w:pPr>
            <w:r w:rsidRPr="00BB3887">
              <w:rPr>
                <w:sz w:val="20"/>
                <w:szCs w:val="20"/>
                <w:lang w:val="sr-Cyrl-RS"/>
              </w:rPr>
              <w:t>Словенци</w:t>
            </w:r>
          </w:p>
        </w:tc>
        <w:tc>
          <w:tcPr>
            <w:tcW w:w="1502" w:type="dxa"/>
          </w:tcPr>
          <w:p w:rsidR="00BB3887" w:rsidRPr="00BB3887" w:rsidRDefault="00BB3887" w:rsidP="00BB3887">
            <w:pPr>
              <w:spacing w:after="0"/>
              <w:rPr>
                <w:sz w:val="20"/>
                <w:szCs w:val="20"/>
                <w:lang w:val="sr-Cyrl-RS"/>
              </w:rPr>
            </w:pPr>
            <w:r w:rsidRPr="00BB3887">
              <w:rPr>
                <w:sz w:val="20"/>
                <w:szCs w:val="20"/>
                <w:lang w:val="sr-Cyrl-RS"/>
              </w:rPr>
              <w:t>210.000,00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360.000,00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320.000,00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200.000,00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140.000,00</w:t>
            </w:r>
          </w:p>
        </w:tc>
      </w:tr>
      <w:tr w:rsidR="00BB3887" w:rsidRPr="00BB3887" w:rsidTr="00AD5BFF">
        <w:tc>
          <w:tcPr>
            <w:tcW w:w="1502" w:type="dxa"/>
          </w:tcPr>
          <w:p w:rsidR="00BB3887" w:rsidRPr="00BB3887" w:rsidRDefault="00BB3887" w:rsidP="00BB3887">
            <w:pPr>
              <w:spacing w:after="0"/>
              <w:rPr>
                <w:sz w:val="20"/>
                <w:szCs w:val="20"/>
                <w:lang w:val="sr-Cyrl-RS"/>
              </w:rPr>
            </w:pPr>
            <w:r w:rsidRPr="00BB3887">
              <w:rPr>
                <w:sz w:val="20"/>
                <w:szCs w:val="20"/>
                <w:lang w:val="sr-Cyrl-RS"/>
              </w:rPr>
              <w:t>Украјинци</w:t>
            </w:r>
          </w:p>
        </w:tc>
        <w:tc>
          <w:tcPr>
            <w:tcW w:w="1502" w:type="dxa"/>
          </w:tcPr>
          <w:p w:rsidR="00BB3887" w:rsidRPr="00BB3887" w:rsidRDefault="00BB3887" w:rsidP="00BB3887">
            <w:pPr>
              <w:spacing w:after="0"/>
              <w:rPr>
                <w:sz w:val="20"/>
                <w:szCs w:val="20"/>
                <w:lang w:val="sr-Cyrl-RS"/>
              </w:rPr>
            </w:pPr>
            <w:r w:rsidRPr="00BB3887">
              <w:rPr>
                <w:sz w:val="20"/>
                <w:szCs w:val="20"/>
                <w:lang w:val="sr-Cyrl-RS"/>
              </w:rPr>
              <w:t>390.000,00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390.000,00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410.000,00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410.000,00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410.000,00</w:t>
            </w:r>
          </w:p>
        </w:tc>
      </w:tr>
      <w:tr w:rsidR="00BB3887" w:rsidRPr="00BB3887" w:rsidTr="00AD5BFF">
        <w:tc>
          <w:tcPr>
            <w:tcW w:w="1502" w:type="dxa"/>
          </w:tcPr>
          <w:p w:rsidR="00BB3887" w:rsidRPr="00BB3887" w:rsidRDefault="00BB3887" w:rsidP="00BB3887">
            <w:pPr>
              <w:spacing w:after="0"/>
              <w:rPr>
                <w:sz w:val="20"/>
                <w:szCs w:val="20"/>
                <w:lang w:val="sr-Cyrl-RS"/>
              </w:rPr>
            </w:pPr>
            <w:r w:rsidRPr="00BB3887">
              <w:rPr>
                <w:sz w:val="20"/>
                <w:szCs w:val="20"/>
                <w:lang w:val="sr-Cyrl-RS"/>
              </w:rPr>
              <w:t>Хрвати</w:t>
            </w:r>
          </w:p>
        </w:tc>
        <w:tc>
          <w:tcPr>
            <w:tcW w:w="1502" w:type="dxa"/>
          </w:tcPr>
          <w:p w:rsidR="00BB3887" w:rsidRPr="00BB3887" w:rsidRDefault="00BB3887" w:rsidP="00BB3887">
            <w:pPr>
              <w:spacing w:after="0"/>
              <w:rPr>
                <w:sz w:val="20"/>
                <w:szCs w:val="20"/>
                <w:lang w:val="sr-Cyrl-RS"/>
              </w:rPr>
            </w:pPr>
            <w:r w:rsidRPr="00BB3887">
              <w:rPr>
                <w:sz w:val="20"/>
                <w:szCs w:val="20"/>
                <w:lang w:val="sr-Cyrl-RS"/>
              </w:rPr>
              <w:t>3.000.000,00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2.940.000,00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3.130.000,00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3.200.000,00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3.200.000,00</w:t>
            </w:r>
          </w:p>
        </w:tc>
      </w:tr>
      <w:tr w:rsidR="00BB3887" w:rsidRPr="00BB3887" w:rsidTr="00AD5BFF">
        <w:tc>
          <w:tcPr>
            <w:tcW w:w="1502" w:type="dxa"/>
          </w:tcPr>
          <w:p w:rsidR="00BB3887" w:rsidRPr="00BB3887" w:rsidRDefault="00BB3887" w:rsidP="00BB3887">
            <w:pPr>
              <w:spacing w:after="0"/>
              <w:rPr>
                <w:sz w:val="20"/>
                <w:szCs w:val="20"/>
                <w:lang w:val="sr-Cyrl-RS"/>
              </w:rPr>
            </w:pPr>
            <w:r w:rsidRPr="00BB3887">
              <w:rPr>
                <w:sz w:val="20"/>
                <w:szCs w:val="20"/>
                <w:lang w:val="sr-Cyrl-RS"/>
              </w:rPr>
              <w:t>Црногорци</w:t>
            </w:r>
          </w:p>
        </w:tc>
        <w:tc>
          <w:tcPr>
            <w:tcW w:w="1502" w:type="dxa"/>
          </w:tcPr>
          <w:p w:rsidR="00BB3887" w:rsidRPr="00BB3887" w:rsidRDefault="00BB3887" w:rsidP="00BB3887">
            <w:pPr>
              <w:spacing w:after="0"/>
              <w:rPr>
                <w:sz w:val="20"/>
                <w:szCs w:val="20"/>
                <w:lang w:val="sr-Cyrl-RS"/>
              </w:rPr>
            </w:pPr>
            <w:r w:rsidRPr="00BB3887">
              <w:rPr>
                <w:sz w:val="20"/>
                <w:szCs w:val="20"/>
                <w:lang w:val="sr-Cyrl-RS"/>
              </w:rPr>
              <w:t>580.000,00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580.000,00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600.000,00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600.000,00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600.000,00</w:t>
            </w:r>
          </w:p>
        </w:tc>
      </w:tr>
      <w:tr w:rsidR="00BB3887" w:rsidRPr="00BB3887" w:rsidTr="00AD5BFF">
        <w:tc>
          <w:tcPr>
            <w:tcW w:w="1502" w:type="dxa"/>
          </w:tcPr>
          <w:p w:rsidR="00BB3887" w:rsidRPr="00BB3887" w:rsidRDefault="00BB3887" w:rsidP="00BB3887">
            <w:pPr>
              <w:spacing w:after="0"/>
              <w:rPr>
                <w:sz w:val="20"/>
                <w:szCs w:val="20"/>
                <w:lang w:val="sr-Cyrl-RS"/>
              </w:rPr>
            </w:pPr>
            <w:r w:rsidRPr="00BB3887">
              <w:rPr>
                <w:sz w:val="20"/>
                <w:szCs w:val="20"/>
                <w:lang w:val="sr-Cyrl-RS"/>
              </w:rPr>
              <w:t>Чеси</w:t>
            </w:r>
          </w:p>
        </w:tc>
        <w:tc>
          <w:tcPr>
            <w:tcW w:w="1502" w:type="dxa"/>
          </w:tcPr>
          <w:p w:rsidR="00BB3887" w:rsidRPr="00BB3887" w:rsidRDefault="00BB3887" w:rsidP="00BB3887">
            <w:pPr>
              <w:spacing w:after="0"/>
              <w:rPr>
                <w:sz w:val="20"/>
                <w:szCs w:val="20"/>
                <w:lang w:val="sr-Cyrl-RS"/>
              </w:rPr>
            </w:pPr>
            <w:r w:rsidRPr="00BB3887">
              <w:rPr>
                <w:sz w:val="20"/>
                <w:szCs w:val="20"/>
                <w:lang w:val="sr-Cyrl-RS"/>
              </w:rPr>
              <w:t>125.000,00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125.000,00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130.000,00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130.000,00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130.000,00</w:t>
            </w:r>
          </w:p>
        </w:tc>
      </w:tr>
      <w:tr w:rsidR="00BB3887" w:rsidRPr="00BB3887" w:rsidTr="00AD5BFF">
        <w:tc>
          <w:tcPr>
            <w:tcW w:w="1502" w:type="dxa"/>
          </w:tcPr>
          <w:p w:rsidR="00BB3887" w:rsidRPr="00BB3887" w:rsidRDefault="00BB3887" w:rsidP="00BB3887">
            <w:pPr>
              <w:spacing w:after="0"/>
              <w:rPr>
                <w:sz w:val="20"/>
                <w:szCs w:val="20"/>
                <w:lang w:val="sr-Cyrl-RS"/>
              </w:rPr>
            </w:pPr>
            <w:r w:rsidRPr="00BB3887">
              <w:rPr>
                <w:sz w:val="20"/>
                <w:szCs w:val="20"/>
                <w:lang w:val="sr-Cyrl-RS"/>
              </w:rPr>
              <w:t>Мулултикултурни</w:t>
            </w:r>
          </w:p>
        </w:tc>
        <w:tc>
          <w:tcPr>
            <w:tcW w:w="1502" w:type="dxa"/>
          </w:tcPr>
          <w:p w:rsidR="00BB3887" w:rsidRPr="00BB3887" w:rsidRDefault="00BB3887" w:rsidP="00BB3887">
            <w:pPr>
              <w:spacing w:after="0"/>
              <w:rPr>
                <w:sz w:val="20"/>
                <w:szCs w:val="20"/>
                <w:lang w:val="sr-Cyrl-RS"/>
              </w:rPr>
            </w:pPr>
            <w:r w:rsidRPr="00BB3887">
              <w:rPr>
                <w:sz w:val="20"/>
                <w:szCs w:val="20"/>
                <w:lang w:val="sr-Cyrl-RS"/>
              </w:rPr>
              <w:t>380.000,00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270.000,00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210.000,00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240.000,00</w:t>
            </w:r>
          </w:p>
        </w:tc>
        <w:tc>
          <w:tcPr>
            <w:tcW w:w="1503" w:type="dxa"/>
          </w:tcPr>
          <w:p w:rsidR="00BB3887" w:rsidRPr="00BB3887" w:rsidRDefault="00BB3887" w:rsidP="00BB3887">
            <w:pPr>
              <w:spacing w:after="0"/>
              <w:rPr>
                <w:sz w:val="20"/>
                <w:szCs w:val="20"/>
                <w:lang w:val="sr-Cyrl-RS"/>
              </w:rPr>
            </w:pPr>
          </w:p>
        </w:tc>
      </w:tr>
      <w:tr w:rsidR="00BB3887" w:rsidRPr="00BB3887" w:rsidTr="00AD5BFF">
        <w:tc>
          <w:tcPr>
            <w:tcW w:w="1502" w:type="dxa"/>
          </w:tcPr>
          <w:p w:rsidR="00BB3887" w:rsidRPr="00BB3887" w:rsidRDefault="00BB3887" w:rsidP="00BB3887">
            <w:pPr>
              <w:spacing w:after="0"/>
              <w:rPr>
                <w:sz w:val="20"/>
                <w:szCs w:val="20"/>
                <w:lang w:val="sr-Cyrl-RS"/>
              </w:rPr>
            </w:pPr>
            <w:r w:rsidRPr="00BB3887">
              <w:rPr>
                <w:sz w:val="20"/>
                <w:szCs w:val="20"/>
                <w:lang w:val="sr-Cyrl-RS"/>
              </w:rPr>
              <w:t>Укупно</w:t>
            </w:r>
          </w:p>
        </w:tc>
        <w:tc>
          <w:tcPr>
            <w:tcW w:w="1502" w:type="dxa"/>
          </w:tcPr>
          <w:p w:rsidR="00BB3887" w:rsidRPr="00BB3887" w:rsidRDefault="00BB3887" w:rsidP="00BB3887">
            <w:pPr>
              <w:spacing w:after="0"/>
              <w:rPr>
                <w:sz w:val="20"/>
                <w:szCs w:val="20"/>
                <w:lang w:val="sr-Cyrl-RS"/>
              </w:rPr>
            </w:pPr>
            <w:r w:rsidRPr="00BB3887">
              <w:rPr>
                <w:sz w:val="20"/>
                <w:szCs w:val="20"/>
                <w:lang w:val="sr-Cyrl-RS"/>
              </w:rPr>
              <w:t>29.950.000,00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29.890.000,00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31.000.000,00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33.000.000,00</w:t>
            </w:r>
          </w:p>
        </w:tc>
        <w:tc>
          <w:tcPr>
            <w:tcW w:w="1503" w:type="dxa"/>
          </w:tcPr>
          <w:p w:rsidR="00BB3887" w:rsidRPr="00BB3887" w:rsidRDefault="00BB3887" w:rsidP="00BB3887">
            <w:pPr>
              <w:spacing w:after="0"/>
              <w:rPr>
                <w:sz w:val="20"/>
                <w:szCs w:val="20"/>
                <w:lang w:val="sr-Cyrl-RS"/>
              </w:rPr>
            </w:pPr>
            <w:r w:rsidRPr="00BB3887">
              <w:rPr>
                <w:sz w:val="20"/>
                <w:szCs w:val="20"/>
                <w:lang w:val="sr-Cyrl-RS"/>
              </w:rPr>
              <w:t>33.000.000,00</w:t>
            </w:r>
          </w:p>
        </w:tc>
      </w:tr>
    </w:tbl>
    <w:p w:rsidR="00BB3887" w:rsidRDefault="00BB3887" w:rsidP="00BB3887">
      <w:pPr>
        <w:spacing w:after="0"/>
        <w:ind w:firstLine="720"/>
        <w:jc w:val="both"/>
        <w:rPr>
          <w:sz w:val="24"/>
          <w:szCs w:val="24"/>
          <w:lang w:val="sr-Cyrl-RS"/>
        </w:rPr>
      </w:pPr>
    </w:p>
    <w:p w:rsidR="00F31B10" w:rsidRPr="0061338C" w:rsidRDefault="00F31B10" w:rsidP="00F31B10">
      <w:pPr>
        <w:spacing w:after="0"/>
        <w:ind w:firstLine="720"/>
        <w:jc w:val="both"/>
        <w:rPr>
          <w:sz w:val="24"/>
          <w:szCs w:val="24"/>
          <w:lang w:val="sr-Cyrl-RS"/>
        </w:rPr>
      </w:pPr>
      <w:r>
        <w:rPr>
          <w:sz w:val="24"/>
          <w:szCs w:val="24"/>
          <w:lang w:val="sr-Cyrl-RS"/>
        </w:rPr>
        <w:t>Такође и</w:t>
      </w:r>
      <w:r w:rsidRPr="00541E21">
        <w:rPr>
          <w:sz w:val="24"/>
          <w:szCs w:val="24"/>
          <w:lang w:val="sr-Cyrl-RS"/>
        </w:rPr>
        <w:t xml:space="preserve"> јединице локалне самоуправе редовно расписују годишње конкурсе за расподелу средстава из буџета за програме и пројекте из области културе који су од значаја за конкретну јединицу локалне самоуправе. Путем таквих конкурса, у оним јединицама локалне самоуправе у којима су заступљени и припадници националних мањина, средства се опредељују и за финансирање програма и пројеката у области културе националних мањина. </w:t>
      </w:r>
      <w:r>
        <w:rPr>
          <w:sz w:val="24"/>
          <w:szCs w:val="24"/>
          <w:lang w:val="sr-Cyrl-RS"/>
        </w:rPr>
        <w:t>У доњој табели дат је, п</w:t>
      </w:r>
      <w:r w:rsidRPr="00541E21">
        <w:rPr>
          <w:sz w:val="24"/>
          <w:szCs w:val="24"/>
          <w:lang w:val="sr-Cyrl-RS"/>
        </w:rPr>
        <w:t>рема расположивим подацима,</w:t>
      </w:r>
      <w:r>
        <w:rPr>
          <w:sz w:val="24"/>
          <w:szCs w:val="24"/>
          <w:lang w:val="sr-Cyrl-RS"/>
        </w:rPr>
        <w:t xml:space="preserve"> преглед броја јединица локалне самоуправе које су подржале рад културних удружења или пројекте у области културе од значаја за одређену националну мањину и износ опредељених средстава у 2020. години. Треба напоменути да у 2020. години када су прикупљани ови подаци, неке јединице локалне самоуправе, због пандемије </w:t>
      </w:r>
      <w:r w:rsidR="00945A5A">
        <w:rPr>
          <w:sz w:val="24"/>
          <w:szCs w:val="24"/>
          <w:lang w:val="sr-Cyrl-RS"/>
        </w:rPr>
        <w:t>КОВИД</w:t>
      </w:r>
      <w:r>
        <w:rPr>
          <w:sz w:val="24"/>
          <w:szCs w:val="24"/>
        </w:rPr>
        <w:t xml:space="preserve">-19, </w:t>
      </w:r>
      <w:r>
        <w:rPr>
          <w:sz w:val="24"/>
          <w:szCs w:val="24"/>
          <w:lang w:val="sr-Cyrl-RS"/>
        </w:rPr>
        <w:t xml:space="preserve">нису расписивале конкурсе у области културе. Такође, </w:t>
      </w:r>
      <w:r w:rsidR="004051F5">
        <w:rPr>
          <w:sz w:val="24"/>
          <w:szCs w:val="24"/>
          <w:lang w:val="sr-Cyrl-RS"/>
        </w:rPr>
        <w:t xml:space="preserve">важно је напоменути да подаци о </w:t>
      </w:r>
      <w:r>
        <w:rPr>
          <w:sz w:val="24"/>
          <w:szCs w:val="24"/>
          <w:lang w:val="sr-Cyrl-RS"/>
        </w:rPr>
        <w:t>велик</w:t>
      </w:r>
      <w:r w:rsidR="004051F5">
        <w:rPr>
          <w:sz w:val="24"/>
          <w:szCs w:val="24"/>
          <w:lang w:val="sr-Cyrl-RS"/>
        </w:rPr>
        <w:t>ом</w:t>
      </w:r>
      <w:r>
        <w:rPr>
          <w:sz w:val="24"/>
          <w:szCs w:val="24"/>
          <w:lang w:val="sr-Cyrl-RS"/>
        </w:rPr>
        <w:t xml:space="preserve"> број</w:t>
      </w:r>
      <w:r w:rsidR="004051F5">
        <w:rPr>
          <w:sz w:val="24"/>
          <w:szCs w:val="24"/>
          <w:lang w:val="sr-Cyrl-RS"/>
        </w:rPr>
        <w:t>у финансираних</w:t>
      </w:r>
      <w:r>
        <w:rPr>
          <w:sz w:val="24"/>
          <w:szCs w:val="24"/>
          <w:lang w:val="sr-Cyrl-RS"/>
        </w:rPr>
        <w:t xml:space="preserve"> пројеката </w:t>
      </w:r>
      <w:r w:rsidR="00945A5A">
        <w:rPr>
          <w:sz w:val="24"/>
          <w:szCs w:val="24"/>
          <w:lang w:val="sr-Cyrl-RS"/>
        </w:rPr>
        <w:t xml:space="preserve">који су </w:t>
      </w:r>
      <w:r w:rsidRPr="00025313">
        <w:rPr>
          <w:sz w:val="24"/>
          <w:szCs w:val="24"/>
          <w:lang w:val="sr-Cyrl-RS"/>
        </w:rPr>
        <w:t xml:space="preserve">од значаја за </w:t>
      </w:r>
      <w:r>
        <w:rPr>
          <w:sz w:val="24"/>
          <w:szCs w:val="24"/>
          <w:lang w:val="sr-Cyrl-RS"/>
        </w:rPr>
        <w:t>читаву</w:t>
      </w:r>
      <w:r w:rsidRPr="00025313">
        <w:rPr>
          <w:sz w:val="24"/>
          <w:szCs w:val="24"/>
          <w:lang w:val="sr-Cyrl-RS"/>
        </w:rPr>
        <w:t xml:space="preserve"> јединицу локалне самоуправе</w:t>
      </w:r>
      <w:r>
        <w:rPr>
          <w:sz w:val="24"/>
          <w:szCs w:val="24"/>
          <w:lang w:val="sr-Cyrl-RS"/>
        </w:rPr>
        <w:t xml:space="preserve"> и све њене становнике, па тако и припаднике националних мањина, нису садржани у доњој табели.</w:t>
      </w:r>
    </w:p>
    <w:p w:rsidR="00F31B10" w:rsidRDefault="00F31B10" w:rsidP="00F31B10">
      <w:pPr>
        <w:spacing w:after="0"/>
        <w:jc w:val="both"/>
        <w:rPr>
          <w:sz w:val="24"/>
          <w:szCs w:val="24"/>
          <w:lang w:val="sr-Cyrl-RS"/>
        </w:rPr>
      </w:pPr>
    </w:p>
    <w:tbl>
      <w:tblPr>
        <w:tblStyle w:val="TableGrid"/>
        <w:tblW w:w="0" w:type="auto"/>
        <w:tblLook w:val="04A0" w:firstRow="1" w:lastRow="0" w:firstColumn="1" w:lastColumn="0" w:noHBand="0" w:noVBand="1"/>
      </w:tblPr>
      <w:tblGrid>
        <w:gridCol w:w="3005"/>
        <w:gridCol w:w="3005"/>
        <w:gridCol w:w="3006"/>
      </w:tblGrid>
      <w:tr w:rsidR="00F31B10" w:rsidRPr="00025313" w:rsidTr="0056662A">
        <w:tc>
          <w:tcPr>
            <w:tcW w:w="3005" w:type="dxa"/>
          </w:tcPr>
          <w:p w:rsidR="00F31B10" w:rsidRPr="00025313" w:rsidRDefault="00F31B10" w:rsidP="0056662A">
            <w:pPr>
              <w:spacing w:after="0"/>
              <w:jc w:val="center"/>
              <w:rPr>
                <w:sz w:val="20"/>
                <w:szCs w:val="20"/>
                <w:lang w:val="sr-Cyrl-RS"/>
              </w:rPr>
            </w:pPr>
            <w:r w:rsidRPr="00025313">
              <w:rPr>
                <w:sz w:val="20"/>
                <w:szCs w:val="20"/>
                <w:lang w:val="sr-Cyrl-RS"/>
              </w:rPr>
              <w:t>Национална мањина</w:t>
            </w:r>
          </w:p>
        </w:tc>
        <w:tc>
          <w:tcPr>
            <w:tcW w:w="3005" w:type="dxa"/>
          </w:tcPr>
          <w:p w:rsidR="00F31B10" w:rsidRPr="00025313" w:rsidRDefault="00F31B10" w:rsidP="0056662A">
            <w:pPr>
              <w:spacing w:after="0"/>
              <w:jc w:val="center"/>
              <w:rPr>
                <w:sz w:val="20"/>
                <w:szCs w:val="20"/>
                <w:lang w:val="sr-Cyrl-RS"/>
              </w:rPr>
            </w:pPr>
            <w:r w:rsidRPr="00025313">
              <w:rPr>
                <w:sz w:val="20"/>
                <w:szCs w:val="20"/>
                <w:lang w:val="sr-Cyrl-RS"/>
              </w:rPr>
              <w:t>Број ЈЛС које су доделиле средства</w:t>
            </w:r>
          </w:p>
        </w:tc>
        <w:tc>
          <w:tcPr>
            <w:tcW w:w="3006" w:type="dxa"/>
          </w:tcPr>
          <w:p w:rsidR="00F31B10" w:rsidRPr="00025313" w:rsidRDefault="00F31B10" w:rsidP="0056662A">
            <w:pPr>
              <w:spacing w:after="0"/>
              <w:jc w:val="center"/>
              <w:rPr>
                <w:sz w:val="20"/>
                <w:szCs w:val="20"/>
                <w:lang w:val="sr-Cyrl-RS"/>
              </w:rPr>
            </w:pPr>
            <w:r w:rsidRPr="00025313">
              <w:rPr>
                <w:sz w:val="20"/>
                <w:szCs w:val="20"/>
                <w:lang w:val="sr-Cyrl-RS"/>
              </w:rPr>
              <w:t>Износ средстава</w:t>
            </w:r>
          </w:p>
        </w:tc>
      </w:tr>
      <w:tr w:rsidR="00F31B10" w:rsidRPr="00025313" w:rsidTr="0056662A">
        <w:tc>
          <w:tcPr>
            <w:tcW w:w="3005" w:type="dxa"/>
          </w:tcPr>
          <w:p w:rsidR="00F31B10" w:rsidRPr="00025313" w:rsidRDefault="00F31B10" w:rsidP="0056662A">
            <w:pPr>
              <w:spacing w:after="0"/>
              <w:jc w:val="both"/>
              <w:rPr>
                <w:sz w:val="20"/>
                <w:szCs w:val="20"/>
                <w:lang w:val="sr-Cyrl-RS"/>
              </w:rPr>
            </w:pPr>
            <w:r w:rsidRPr="00025313">
              <w:rPr>
                <w:sz w:val="20"/>
                <w:szCs w:val="20"/>
                <w:lang w:val="sr-Cyrl-RS"/>
              </w:rPr>
              <w:t>Албанци</w:t>
            </w:r>
          </w:p>
        </w:tc>
        <w:tc>
          <w:tcPr>
            <w:tcW w:w="3005" w:type="dxa"/>
          </w:tcPr>
          <w:p w:rsidR="00F31B10" w:rsidRPr="00025313" w:rsidRDefault="00F31B10" w:rsidP="0056662A">
            <w:pPr>
              <w:spacing w:after="0"/>
              <w:jc w:val="right"/>
              <w:rPr>
                <w:sz w:val="20"/>
                <w:szCs w:val="20"/>
                <w:lang w:val="sr-Cyrl-RS"/>
              </w:rPr>
            </w:pPr>
            <w:r w:rsidRPr="00025313">
              <w:rPr>
                <w:sz w:val="20"/>
                <w:szCs w:val="20"/>
                <w:lang w:val="sr-Cyrl-RS"/>
              </w:rPr>
              <w:t>2</w:t>
            </w:r>
          </w:p>
        </w:tc>
        <w:tc>
          <w:tcPr>
            <w:tcW w:w="3006" w:type="dxa"/>
          </w:tcPr>
          <w:p w:rsidR="00F31B10" w:rsidRPr="00025313" w:rsidRDefault="00F31B10" w:rsidP="0056662A">
            <w:pPr>
              <w:spacing w:after="0"/>
              <w:jc w:val="right"/>
              <w:rPr>
                <w:sz w:val="20"/>
                <w:szCs w:val="20"/>
                <w:lang w:val="sr-Cyrl-RS"/>
              </w:rPr>
            </w:pPr>
            <w:r w:rsidRPr="00025313">
              <w:rPr>
                <w:sz w:val="20"/>
                <w:szCs w:val="20"/>
                <w:lang w:val="sr-Cyrl-RS"/>
              </w:rPr>
              <w:t>5.615.000,00</w:t>
            </w:r>
          </w:p>
        </w:tc>
      </w:tr>
      <w:tr w:rsidR="00F31B10" w:rsidRPr="00025313" w:rsidTr="0056662A">
        <w:tc>
          <w:tcPr>
            <w:tcW w:w="3005" w:type="dxa"/>
          </w:tcPr>
          <w:p w:rsidR="00F31B10" w:rsidRPr="00025313" w:rsidRDefault="00F31B10" w:rsidP="0056662A">
            <w:pPr>
              <w:spacing w:after="0"/>
              <w:jc w:val="both"/>
              <w:rPr>
                <w:sz w:val="20"/>
                <w:szCs w:val="20"/>
                <w:lang w:val="sr-Cyrl-RS"/>
              </w:rPr>
            </w:pPr>
            <w:r w:rsidRPr="00025313">
              <w:rPr>
                <w:sz w:val="20"/>
                <w:szCs w:val="20"/>
                <w:lang w:val="sr-Cyrl-RS"/>
              </w:rPr>
              <w:t>Бошњаци</w:t>
            </w:r>
          </w:p>
        </w:tc>
        <w:tc>
          <w:tcPr>
            <w:tcW w:w="3005" w:type="dxa"/>
          </w:tcPr>
          <w:p w:rsidR="00F31B10" w:rsidRPr="00025313" w:rsidRDefault="00F31B10" w:rsidP="0056662A">
            <w:pPr>
              <w:spacing w:after="0"/>
              <w:jc w:val="right"/>
              <w:rPr>
                <w:sz w:val="20"/>
                <w:szCs w:val="20"/>
                <w:lang w:val="sr-Cyrl-RS"/>
              </w:rPr>
            </w:pPr>
            <w:r w:rsidRPr="00025313">
              <w:rPr>
                <w:sz w:val="20"/>
                <w:szCs w:val="20"/>
                <w:lang w:val="sr-Cyrl-RS"/>
              </w:rPr>
              <w:t>1</w:t>
            </w:r>
          </w:p>
        </w:tc>
        <w:tc>
          <w:tcPr>
            <w:tcW w:w="3006" w:type="dxa"/>
          </w:tcPr>
          <w:p w:rsidR="00F31B10" w:rsidRPr="00025313" w:rsidRDefault="00F31B10" w:rsidP="0056662A">
            <w:pPr>
              <w:spacing w:after="0"/>
              <w:jc w:val="right"/>
              <w:rPr>
                <w:sz w:val="20"/>
                <w:szCs w:val="20"/>
                <w:lang w:val="sr-Cyrl-RS"/>
              </w:rPr>
            </w:pPr>
            <w:r w:rsidRPr="00025313">
              <w:rPr>
                <w:rStyle w:val="Strong"/>
                <w:b w:val="0"/>
                <w:color w:val="282828"/>
                <w:sz w:val="20"/>
                <w:szCs w:val="20"/>
                <w:shd w:val="clear" w:color="auto" w:fill="FFFFFF"/>
                <w:lang w:val="sr-Cyrl-RS"/>
              </w:rPr>
              <w:t>70.000,00</w:t>
            </w:r>
          </w:p>
        </w:tc>
      </w:tr>
      <w:tr w:rsidR="00F31B10" w:rsidRPr="00025313" w:rsidTr="0056662A">
        <w:tc>
          <w:tcPr>
            <w:tcW w:w="3005" w:type="dxa"/>
          </w:tcPr>
          <w:p w:rsidR="00F31B10" w:rsidRPr="00025313" w:rsidRDefault="00F31B10" w:rsidP="0056662A">
            <w:pPr>
              <w:spacing w:after="0"/>
              <w:jc w:val="both"/>
              <w:rPr>
                <w:sz w:val="20"/>
                <w:szCs w:val="20"/>
                <w:lang w:val="sr-Cyrl-RS"/>
              </w:rPr>
            </w:pPr>
            <w:r>
              <w:rPr>
                <w:sz w:val="20"/>
                <w:szCs w:val="20"/>
                <w:lang w:val="sr-Cyrl-RS"/>
              </w:rPr>
              <w:t>Бугари</w:t>
            </w:r>
          </w:p>
        </w:tc>
        <w:tc>
          <w:tcPr>
            <w:tcW w:w="3005" w:type="dxa"/>
          </w:tcPr>
          <w:p w:rsidR="00F31B10" w:rsidRPr="00025313" w:rsidRDefault="00F31B10" w:rsidP="0056662A">
            <w:pPr>
              <w:spacing w:after="0"/>
              <w:jc w:val="right"/>
              <w:rPr>
                <w:sz w:val="20"/>
                <w:szCs w:val="20"/>
                <w:lang w:val="sr-Cyrl-RS"/>
              </w:rPr>
            </w:pPr>
            <w:r>
              <w:rPr>
                <w:sz w:val="20"/>
                <w:szCs w:val="20"/>
                <w:lang w:val="sr-Cyrl-RS"/>
              </w:rPr>
              <w:t>3</w:t>
            </w:r>
          </w:p>
        </w:tc>
        <w:tc>
          <w:tcPr>
            <w:tcW w:w="3006" w:type="dxa"/>
          </w:tcPr>
          <w:p w:rsidR="00F31B10" w:rsidRPr="00025313" w:rsidRDefault="00F31B10" w:rsidP="0056662A">
            <w:pPr>
              <w:spacing w:after="0"/>
              <w:jc w:val="right"/>
              <w:rPr>
                <w:sz w:val="20"/>
                <w:szCs w:val="20"/>
                <w:lang w:val="sr-Cyrl-RS"/>
              </w:rPr>
            </w:pPr>
            <w:r w:rsidRPr="00025313">
              <w:rPr>
                <w:sz w:val="20"/>
                <w:szCs w:val="20"/>
                <w:lang w:val="sr-Cyrl-RS"/>
              </w:rPr>
              <w:t>844.000,00</w:t>
            </w:r>
          </w:p>
        </w:tc>
      </w:tr>
      <w:tr w:rsidR="00F31B10" w:rsidRPr="00025313" w:rsidTr="0056662A">
        <w:tc>
          <w:tcPr>
            <w:tcW w:w="3005" w:type="dxa"/>
          </w:tcPr>
          <w:p w:rsidR="00F31B10" w:rsidRPr="00025313" w:rsidRDefault="00F31B10" w:rsidP="0056662A">
            <w:pPr>
              <w:spacing w:after="0"/>
              <w:jc w:val="both"/>
              <w:rPr>
                <w:sz w:val="20"/>
                <w:szCs w:val="20"/>
                <w:lang w:val="sr-Cyrl-RS"/>
              </w:rPr>
            </w:pPr>
            <w:r>
              <w:rPr>
                <w:sz w:val="20"/>
                <w:szCs w:val="20"/>
                <w:lang w:val="sr-Cyrl-RS"/>
              </w:rPr>
              <w:t>Буњевци</w:t>
            </w:r>
          </w:p>
        </w:tc>
        <w:tc>
          <w:tcPr>
            <w:tcW w:w="3005" w:type="dxa"/>
          </w:tcPr>
          <w:p w:rsidR="00F31B10" w:rsidRPr="00025313" w:rsidRDefault="00F31B10" w:rsidP="0056662A">
            <w:pPr>
              <w:spacing w:after="0"/>
              <w:jc w:val="right"/>
              <w:rPr>
                <w:sz w:val="20"/>
                <w:szCs w:val="20"/>
                <w:lang w:val="sr-Cyrl-RS"/>
              </w:rPr>
            </w:pPr>
            <w:r>
              <w:rPr>
                <w:sz w:val="20"/>
                <w:szCs w:val="20"/>
                <w:lang w:val="sr-Cyrl-RS"/>
              </w:rPr>
              <w:t>2</w:t>
            </w:r>
          </w:p>
        </w:tc>
        <w:tc>
          <w:tcPr>
            <w:tcW w:w="3006" w:type="dxa"/>
          </w:tcPr>
          <w:p w:rsidR="00F31B10" w:rsidRPr="00025313" w:rsidRDefault="00F31B10" w:rsidP="0056662A">
            <w:pPr>
              <w:spacing w:after="0"/>
              <w:jc w:val="right"/>
              <w:rPr>
                <w:sz w:val="20"/>
                <w:szCs w:val="20"/>
                <w:lang w:val="sr-Cyrl-RS"/>
              </w:rPr>
            </w:pPr>
            <w:r w:rsidRPr="00025313">
              <w:rPr>
                <w:sz w:val="20"/>
                <w:szCs w:val="20"/>
                <w:lang w:val="sr-Cyrl-RS"/>
              </w:rPr>
              <w:t>2.700.000,00</w:t>
            </w:r>
          </w:p>
        </w:tc>
      </w:tr>
      <w:tr w:rsidR="00F31B10" w:rsidRPr="00025313" w:rsidTr="0056662A">
        <w:tc>
          <w:tcPr>
            <w:tcW w:w="3005" w:type="dxa"/>
          </w:tcPr>
          <w:p w:rsidR="00F31B10" w:rsidRPr="00025313" w:rsidRDefault="00F31B10" w:rsidP="0056662A">
            <w:pPr>
              <w:spacing w:after="0"/>
              <w:jc w:val="both"/>
              <w:rPr>
                <w:sz w:val="20"/>
                <w:szCs w:val="20"/>
                <w:lang w:val="sr-Cyrl-RS"/>
              </w:rPr>
            </w:pPr>
            <w:r>
              <w:rPr>
                <w:sz w:val="20"/>
                <w:szCs w:val="20"/>
                <w:lang w:val="sr-Cyrl-RS"/>
              </w:rPr>
              <w:t>Власи</w:t>
            </w:r>
          </w:p>
        </w:tc>
        <w:tc>
          <w:tcPr>
            <w:tcW w:w="3005" w:type="dxa"/>
          </w:tcPr>
          <w:p w:rsidR="00F31B10" w:rsidRPr="00025313" w:rsidRDefault="00F31B10" w:rsidP="0056662A">
            <w:pPr>
              <w:spacing w:after="0"/>
              <w:jc w:val="right"/>
              <w:rPr>
                <w:sz w:val="20"/>
                <w:szCs w:val="20"/>
                <w:lang w:val="sr-Cyrl-RS"/>
              </w:rPr>
            </w:pPr>
            <w:r>
              <w:rPr>
                <w:sz w:val="20"/>
                <w:szCs w:val="20"/>
                <w:lang w:val="sr-Cyrl-RS"/>
              </w:rPr>
              <w:t>4</w:t>
            </w:r>
          </w:p>
        </w:tc>
        <w:tc>
          <w:tcPr>
            <w:tcW w:w="3006" w:type="dxa"/>
          </w:tcPr>
          <w:p w:rsidR="00F31B10" w:rsidRPr="00025313" w:rsidRDefault="00F31B10" w:rsidP="0056662A">
            <w:pPr>
              <w:spacing w:after="0"/>
              <w:jc w:val="right"/>
              <w:rPr>
                <w:sz w:val="20"/>
                <w:szCs w:val="20"/>
                <w:lang w:val="sr-Cyrl-RS"/>
              </w:rPr>
            </w:pPr>
            <w:r w:rsidRPr="00025313">
              <w:rPr>
                <w:sz w:val="20"/>
                <w:szCs w:val="20"/>
                <w:lang w:val="sr-Cyrl-RS"/>
              </w:rPr>
              <w:t>890.000,00</w:t>
            </w:r>
          </w:p>
        </w:tc>
      </w:tr>
      <w:tr w:rsidR="00F31B10" w:rsidRPr="00025313" w:rsidTr="0056662A">
        <w:tc>
          <w:tcPr>
            <w:tcW w:w="3005" w:type="dxa"/>
          </w:tcPr>
          <w:p w:rsidR="00F31B10" w:rsidRPr="00025313" w:rsidRDefault="00F31B10" w:rsidP="0056662A">
            <w:pPr>
              <w:spacing w:after="0"/>
              <w:jc w:val="both"/>
              <w:rPr>
                <w:sz w:val="20"/>
                <w:szCs w:val="20"/>
                <w:lang w:val="sr-Cyrl-RS"/>
              </w:rPr>
            </w:pPr>
            <w:r>
              <w:rPr>
                <w:sz w:val="20"/>
                <w:szCs w:val="20"/>
                <w:lang w:val="sr-Cyrl-RS"/>
              </w:rPr>
              <w:t>Грци</w:t>
            </w:r>
          </w:p>
        </w:tc>
        <w:tc>
          <w:tcPr>
            <w:tcW w:w="3005" w:type="dxa"/>
          </w:tcPr>
          <w:p w:rsidR="00F31B10" w:rsidRPr="00025313" w:rsidRDefault="00F31B10" w:rsidP="0056662A">
            <w:pPr>
              <w:spacing w:after="0"/>
              <w:jc w:val="right"/>
              <w:rPr>
                <w:sz w:val="20"/>
                <w:szCs w:val="20"/>
                <w:lang w:val="sr-Cyrl-RS"/>
              </w:rPr>
            </w:pPr>
            <w:r>
              <w:rPr>
                <w:sz w:val="20"/>
                <w:szCs w:val="20"/>
                <w:lang w:val="sr-Cyrl-RS"/>
              </w:rPr>
              <w:t>3</w:t>
            </w:r>
          </w:p>
        </w:tc>
        <w:tc>
          <w:tcPr>
            <w:tcW w:w="3006" w:type="dxa"/>
          </w:tcPr>
          <w:p w:rsidR="00F31B10" w:rsidRPr="00025313" w:rsidRDefault="00F31B10" w:rsidP="0056662A">
            <w:pPr>
              <w:spacing w:after="0"/>
              <w:jc w:val="right"/>
              <w:rPr>
                <w:sz w:val="20"/>
                <w:szCs w:val="20"/>
                <w:lang w:val="sr-Cyrl-RS"/>
              </w:rPr>
            </w:pPr>
            <w:r w:rsidRPr="00025313">
              <w:rPr>
                <w:sz w:val="20"/>
                <w:szCs w:val="20"/>
                <w:lang w:val="sr-Cyrl-RS"/>
              </w:rPr>
              <w:t>755.000,00</w:t>
            </w:r>
          </w:p>
        </w:tc>
      </w:tr>
      <w:tr w:rsidR="00F31B10" w:rsidRPr="00025313" w:rsidTr="0056662A">
        <w:tc>
          <w:tcPr>
            <w:tcW w:w="3005" w:type="dxa"/>
          </w:tcPr>
          <w:p w:rsidR="00F31B10" w:rsidRPr="00025313" w:rsidRDefault="00F31B10" w:rsidP="0056662A">
            <w:pPr>
              <w:spacing w:after="0"/>
              <w:jc w:val="both"/>
              <w:rPr>
                <w:sz w:val="20"/>
                <w:szCs w:val="20"/>
                <w:lang w:val="sr-Cyrl-RS"/>
              </w:rPr>
            </w:pPr>
            <w:r>
              <w:rPr>
                <w:sz w:val="20"/>
                <w:szCs w:val="20"/>
                <w:lang w:val="sr-Cyrl-RS"/>
              </w:rPr>
              <w:t>Јевреји</w:t>
            </w:r>
          </w:p>
        </w:tc>
        <w:tc>
          <w:tcPr>
            <w:tcW w:w="3005" w:type="dxa"/>
          </w:tcPr>
          <w:p w:rsidR="00F31B10" w:rsidRPr="00025313" w:rsidRDefault="00F31B10" w:rsidP="0056662A">
            <w:pPr>
              <w:spacing w:after="0"/>
              <w:jc w:val="right"/>
              <w:rPr>
                <w:sz w:val="20"/>
                <w:szCs w:val="20"/>
                <w:lang w:val="sr-Cyrl-RS"/>
              </w:rPr>
            </w:pPr>
            <w:r>
              <w:rPr>
                <w:sz w:val="20"/>
                <w:szCs w:val="20"/>
                <w:lang w:val="sr-Cyrl-RS"/>
              </w:rPr>
              <w:t>2</w:t>
            </w:r>
          </w:p>
        </w:tc>
        <w:tc>
          <w:tcPr>
            <w:tcW w:w="3006" w:type="dxa"/>
          </w:tcPr>
          <w:p w:rsidR="00F31B10" w:rsidRPr="00025313" w:rsidRDefault="00F31B10" w:rsidP="0056662A">
            <w:pPr>
              <w:spacing w:after="0"/>
              <w:jc w:val="right"/>
              <w:rPr>
                <w:sz w:val="20"/>
                <w:szCs w:val="20"/>
                <w:lang w:val="sr-Cyrl-RS"/>
              </w:rPr>
            </w:pPr>
            <w:r w:rsidRPr="00025313">
              <w:rPr>
                <w:sz w:val="20"/>
                <w:szCs w:val="20"/>
                <w:lang w:val="sr-Cyrl-RS"/>
              </w:rPr>
              <w:t>1.150.000,00</w:t>
            </w:r>
          </w:p>
        </w:tc>
      </w:tr>
      <w:tr w:rsidR="00F31B10" w:rsidRPr="00025313" w:rsidTr="0056662A">
        <w:tc>
          <w:tcPr>
            <w:tcW w:w="3005" w:type="dxa"/>
          </w:tcPr>
          <w:p w:rsidR="00F31B10" w:rsidRPr="00025313" w:rsidRDefault="00F31B10" w:rsidP="0056662A">
            <w:pPr>
              <w:spacing w:after="0"/>
              <w:jc w:val="both"/>
              <w:rPr>
                <w:sz w:val="20"/>
                <w:szCs w:val="20"/>
                <w:lang w:val="sr-Cyrl-RS"/>
              </w:rPr>
            </w:pPr>
            <w:r>
              <w:rPr>
                <w:sz w:val="20"/>
                <w:szCs w:val="20"/>
                <w:lang w:val="sr-Cyrl-RS"/>
              </w:rPr>
              <w:t>Мађари</w:t>
            </w:r>
          </w:p>
        </w:tc>
        <w:tc>
          <w:tcPr>
            <w:tcW w:w="3005" w:type="dxa"/>
          </w:tcPr>
          <w:p w:rsidR="00F31B10" w:rsidRPr="00025313" w:rsidRDefault="00F31B10" w:rsidP="0056662A">
            <w:pPr>
              <w:spacing w:after="0"/>
              <w:jc w:val="right"/>
              <w:rPr>
                <w:sz w:val="20"/>
                <w:szCs w:val="20"/>
                <w:lang w:val="sr-Cyrl-RS"/>
              </w:rPr>
            </w:pPr>
            <w:r>
              <w:rPr>
                <w:sz w:val="20"/>
                <w:szCs w:val="20"/>
                <w:lang w:val="sr-Cyrl-RS"/>
              </w:rPr>
              <w:t>15</w:t>
            </w:r>
          </w:p>
        </w:tc>
        <w:tc>
          <w:tcPr>
            <w:tcW w:w="3006" w:type="dxa"/>
          </w:tcPr>
          <w:p w:rsidR="00F31B10" w:rsidRPr="00025313" w:rsidRDefault="00F31B10" w:rsidP="0056662A">
            <w:pPr>
              <w:spacing w:after="0"/>
              <w:jc w:val="right"/>
              <w:rPr>
                <w:sz w:val="20"/>
                <w:szCs w:val="20"/>
                <w:lang w:val="sr-Cyrl-RS"/>
              </w:rPr>
            </w:pPr>
            <w:r w:rsidRPr="00025313">
              <w:rPr>
                <w:sz w:val="20"/>
                <w:szCs w:val="20"/>
                <w:lang w:val="sr-Cyrl-RS"/>
              </w:rPr>
              <w:t>22.028.500,00</w:t>
            </w:r>
          </w:p>
        </w:tc>
      </w:tr>
      <w:tr w:rsidR="00F31B10" w:rsidRPr="00025313" w:rsidTr="0056662A">
        <w:tc>
          <w:tcPr>
            <w:tcW w:w="3005" w:type="dxa"/>
          </w:tcPr>
          <w:p w:rsidR="00F31B10" w:rsidRPr="00025313" w:rsidRDefault="00F31B10" w:rsidP="0056662A">
            <w:pPr>
              <w:spacing w:after="0"/>
              <w:jc w:val="both"/>
              <w:rPr>
                <w:sz w:val="20"/>
                <w:szCs w:val="20"/>
                <w:lang w:val="sr-Cyrl-RS"/>
              </w:rPr>
            </w:pPr>
            <w:r>
              <w:rPr>
                <w:sz w:val="20"/>
                <w:szCs w:val="20"/>
                <w:lang w:val="sr-Cyrl-RS"/>
              </w:rPr>
              <w:t>Македонци</w:t>
            </w:r>
          </w:p>
        </w:tc>
        <w:tc>
          <w:tcPr>
            <w:tcW w:w="3005" w:type="dxa"/>
          </w:tcPr>
          <w:p w:rsidR="00F31B10" w:rsidRPr="00025313" w:rsidRDefault="00F31B10" w:rsidP="0056662A">
            <w:pPr>
              <w:spacing w:after="0"/>
              <w:jc w:val="right"/>
              <w:rPr>
                <w:sz w:val="20"/>
                <w:szCs w:val="20"/>
                <w:lang w:val="sr-Cyrl-RS"/>
              </w:rPr>
            </w:pPr>
            <w:r>
              <w:rPr>
                <w:sz w:val="20"/>
                <w:szCs w:val="20"/>
                <w:lang w:val="sr-Cyrl-RS"/>
              </w:rPr>
              <w:t>5</w:t>
            </w:r>
          </w:p>
        </w:tc>
        <w:tc>
          <w:tcPr>
            <w:tcW w:w="3006" w:type="dxa"/>
          </w:tcPr>
          <w:p w:rsidR="00F31B10" w:rsidRPr="00025313" w:rsidRDefault="00F31B10" w:rsidP="0056662A">
            <w:pPr>
              <w:spacing w:after="0"/>
              <w:jc w:val="right"/>
              <w:rPr>
                <w:sz w:val="20"/>
                <w:szCs w:val="20"/>
                <w:lang w:val="sr-Cyrl-RS"/>
              </w:rPr>
            </w:pPr>
            <w:r w:rsidRPr="00025313">
              <w:rPr>
                <w:sz w:val="20"/>
                <w:szCs w:val="20"/>
                <w:lang w:val="sr-Cyrl-RS"/>
              </w:rPr>
              <w:t>320.000,00</w:t>
            </w:r>
          </w:p>
        </w:tc>
      </w:tr>
      <w:tr w:rsidR="00F31B10" w:rsidRPr="00025313" w:rsidTr="0056662A">
        <w:tc>
          <w:tcPr>
            <w:tcW w:w="3005" w:type="dxa"/>
          </w:tcPr>
          <w:p w:rsidR="00F31B10" w:rsidRDefault="00F31B10" w:rsidP="0056662A">
            <w:pPr>
              <w:spacing w:after="0"/>
              <w:jc w:val="both"/>
              <w:rPr>
                <w:sz w:val="20"/>
                <w:szCs w:val="20"/>
                <w:lang w:val="sr-Cyrl-RS"/>
              </w:rPr>
            </w:pPr>
            <w:r>
              <w:rPr>
                <w:sz w:val="20"/>
                <w:szCs w:val="20"/>
                <w:lang w:val="sr-Cyrl-RS"/>
              </w:rPr>
              <w:t>Немци</w:t>
            </w:r>
          </w:p>
        </w:tc>
        <w:tc>
          <w:tcPr>
            <w:tcW w:w="3005" w:type="dxa"/>
          </w:tcPr>
          <w:p w:rsidR="00F31B10" w:rsidRDefault="00F31B10" w:rsidP="0056662A">
            <w:pPr>
              <w:spacing w:after="0"/>
              <w:jc w:val="right"/>
              <w:rPr>
                <w:sz w:val="20"/>
                <w:szCs w:val="20"/>
                <w:lang w:val="sr-Cyrl-RS"/>
              </w:rPr>
            </w:pPr>
            <w:r>
              <w:rPr>
                <w:sz w:val="20"/>
                <w:szCs w:val="20"/>
                <w:lang w:val="sr-Cyrl-RS"/>
              </w:rPr>
              <w:t>5</w:t>
            </w:r>
          </w:p>
        </w:tc>
        <w:tc>
          <w:tcPr>
            <w:tcW w:w="3006" w:type="dxa"/>
          </w:tcPr>
          <w:p w:rsidR="00F31B10" w:rsidRPr="00025313" w:rsidRDefault="00F31B10" w:rsidP="0056662A">
            <w:pPr>
              <w:spacing w:after="0"/>
              <w:jc w:val="right"/>
              <w:rPr>
                <w:sz w:val="20"/>
                <w:szCs w:val="20"/>
                <w:lang w:val="sr-Cyrl-RS"/>
              </w:rPr>
            </w:pPr>
            <w:r w:rsidRPr="00353D0B">
              <w:rPr>
                <w:sz w:val="20"/>
                <w:szCs w:val="20"/>
                <w:lang w:val="sr-Cyrl-RS"/>
              </w:rPr>
              <w:t>685.000,00</w:t>
            </w:r>
          </w:p>
        </w:tc>
      </w:tr>
      <w:tr w:rsidR="00F31B10" w:rsidRPr="00025313" w:rsidTr="0056662A">
        <w:tc>
          <w:tcPr>
            <w:tcW w:w="3005" w:type="dxa"/>
          </w:tcPr>
          <w:p w:rsidR="00F31B10" w:rsidRDefault="00F31B10" w:rsidP="0056662A">
            <w:pPr>
              <w:spacing w:after="0"/>
              <w:jc w:val="both"/>
              <w:rPr>
                <w:sz w:val="20"/>
                <w:szCs w:val="20"/>
                <w:lang w:val="sr-Cyrl-RS"/>
              </w:rPr>
            </w:pPr>
            <w:r>
              <w:rPr>
                <w:sz w:val="20"/>
                <w:szCs w:val="20"/>
                <w:lang w:val="sr-Cyrl-RS"/>
              </w:rPr>
              <w:t>Пољаци</w:t>
            </w:r>
          </w:p>
        </w:tc>
        <w:tc>
          <w:tcPr>
            <w:tcW w:w="3005" w:type="dxa"/>
          </w:tcPr>
          <w:p w:rsidR="00F31B10" w:rsidRDefault="00F31B10" w:rsidP="0056662A">
            <w:pPr>
              <w:spacing w:after="0"/>
              <w:jc w:val="right"/>
              <w:rPr>
                <w:sz w:val="20"/>
                <w:szCs w:val="20"/>
                <w:lang w:val="sr-Cyrl-RS"/>
              </w:rPr>
            </w:pPr>
            <w:r>
              <w:rPr>
                <w:sz w:val="20"/>
                <w:szCs w:val="20"/>
                <w:lang w:val="sr-Cyrl-RS"/>
              </w:rPr>
              <w:t>1</w:t>
            </w:r>
          </w:p>
        </w:tc>
        <w:tc>
          <w:tcPr>
            <w:tcW w:w="3006" w:type="dxa"/>
          </w:tcPr>
          <w:p w:rsidR="00F31B10" w:rsidRPr="00025313" w:rsidRDefault="00F31B10" w:rsidP="0056662A">
            <w:pPr>
              <w:spacing w:after="0"/>
              <w:jc w:val="right"/>
              <w:rPr>
                <w:sz w:val="20"/>
                <w:szCs w:val="20"/>
                <w:lang w:val="sr-Cyrl-RS"/>
              </w:rPr>
            </w:pPr>
            <w:r w:rsidRPr="00353D0B">
              <w:rPr>
                <w:sz w:val="20"/>
                <w:szCs w:val="20"/>
                <w:lang w:val="sr-Cyrl-RS"/>
              </w:rPr>
              <w:t>175.000,00</w:t>
            </w:r>
          </w:p>
        </w:tc>
      </w:tr>
      <w:tr w:rsidR="00F31B10" w:rsidRPr="00025313" w:rsidTr="0056662A">
        <w:tc>
          <w:tcPr>
            <w:tcW w:w="3005" w:type="dxa"/>
          </w:tcPr>
          <w:p w:rsidR="00F31B10" w:rsidRDefault="00F31B10" w:rsidP="0056662A">
            <w:pPr>
              <w:spacing w:after="0"/>
              <w:jc w:val="both"/>
              <w:rPr>
                <w:sz w:val="20"/>
                <w:szCs w:val="20"/>
                <w:lang w:val="sr-Cyrl-RS"/>
              </w:rPr>
            </w:pPr>
            <w:r>
              <w:rPr>
                <w:sz w:val="20"/>
                <w:szCs w:val="20"/>
                <w:lang w:val="sr-Cyrl-RS"/>
              </w:rPr>
              <w:t>Роми</w:t>
            </w:r>
          </w:p>
        </w:tc>
        <w:tc>
          <w:tcPr>
            <w:tcW w:w="3005" w:type="dxa"/>
          </w:tcPr>
          <w:p w:rsidR="00F31B10" w:rsidRDefault="00F31B10" w:rsidP="0056662A">
            <w:pPr>
              <w:spacing w:after="0"/>
              <w:jc w:val="right"/>
              <w:rPr>
                <w:sz w:val="20"/>
                <w:szCs w:val="20"/>
                <w:lang w:val="sr-Cyrl-RS"/>
              </w:rPr>
            </w:pPr>
            <w:r>
              <w:rPr>
                <w:sz w:val="20"/>
                <w:szCs w:val="20"/>
                <w:lang w:val="sr-Cyrl-RS"/>
              </w:rPr>
              <w:t>37</w:t>
            </w:r>
          </w:p>
        </w:tc>
        <w:tc>
          <w:tcPr>
            <w:tcW w:w="3006" w:type="dxa"/>
          </w:tcPr>
          <w:p w:rsidR="00F31B10" w:rsidRPr="00025313" w:rsidRDefault="00F31B10" w:rsidP="0056662A">
            <w:pPr>
              <w:spacing w:after="0"/>
              <w:jc w:val="right"/>
              <w:rPr>
                <w:sz w:val="20"/>
                <w:szCs w:val="20"/>
                <w:lang w:val="sr-Cyrl-RS"/>
              </w:rPr>
            </w:pPr>
            <w:r>
              <w:rPr>
                <w:sz w:val="20"/>
                <w:szCs w:val="20"/>
                <w:lang w:val="sr-Cyrl-RS"/>
              </w:rPr>
              <w:t>15.615.050,00</w:t>
            </w:r>
          </w:p>
        </w:tc>
      </w:tr>
      <w:tr w:rsidR="00F31B10" w:rsidRPr="00025313" w:rsidTr="0056662A">
        <w:tc>
          <w:tcPr>
            <w:tcW w:w="3005" w:type="dxa"/>
          </w:tcPr>
          <w:p w:rsidR="00F31B10" w:rsidRDefault="00F31B10" w:rsidP="0056662A">
            <w:pPr>
              <w:spacing w:after="0"/>
              <w:jc w:val="both"/>
              <w:rPr>
                <w:sz w:val="20"/>
                <w:szCs w:val="20"/>
                <w:lang w:val="sr-Cyrl-RS"/>
              </w:rPr>
            </w:pPr>
            <w:r>
              <w:rPr>
                <w:sz w:val="20"/>
                <w:szCs w:val="20"/>
                <w:lang w:val="sr-Cyrl-RS"/>
              </w:rPr>
              <w:t>Румуни</w:t>
            </w:r>
          </w:p>
        </w:tc>
        <w:tc>
          <w:tcPr>
            <w:tcW w:w="3005" w:type="dxa"/>
          </w:tcPr>
          <w:p w:rsidR="00F31B10" w:rsidRDefault="00F31B10" w:rsidP="0056662A">
            <w:pPr>
              <w:spacing w:after="0"/>
              <w:jc w:val="right"/>
              <w:rPr>
                <w:sz w:val="20"/>
                <w:szCs w:val="20"/>
                <w:lang w:val="sr-Cyrl-RS"/>
              </w:rPr>
            </w:pPr>
            <w:r>
              <w:rPr>
                <w:sz w:val="20"/>
                <w:szCs w:val="20"/>
                <w:lang w:val="sr-Cyrl-RS"/>
              </w:rPr>
              <w:t>4</w:t>
            </w:r>
          </w:p>
        </w:tc>
        <w:tc>
          <w:tcPr>
            <w:tcW w:w="3006" w:type="dxa"/>
          </w:tcPr>
          <w:p w:rsidR="00F31B10" w:rsidRPr="00025313" w:rsidRDefault="00F31B10" w:rsidP="0056662A">
            <w:pPr>
              <w:spacing w:after="0"/>
              <w:jc w:val="right"/>
              <w:rPr>
                <w:sz w:val="20"/>
                <w:szCs w:val="20"/>
                <w:lang w:val="sr-Cyrl-RS"/>
              </w:rPr>
            </w:pPr>
            <w:r w:rsidRPr="00237259">
              <w:rPr>
                <w:sz w:val="20"/>
                <w:szCs w:val="20"/>
                <w:lang w:val="sr-Cyrl-RS"/>
              </w:rPr>
              <w:t>810.000,00</w:t>
            </w:r>
          </w:p>
        </w:tc>
      </w:tr>
      <w:tr w:rsidR="00F31B10" w:rsidRPr="00025313" w:rsidTr="0056662A">
        <w:tc>
          <w:tcPr>
            <w:tcW w:w="3005" w:type="dxa"/>
          </w:tcPr>
          <w:p w:rsidR="00F31B10" w:rsidRDefault="00F31B10" w:rsidP="0056662A">
            <w:pPr>
              <w:spacing w:after="0"/>
              <w:jc w:val="both"/>
              <w:rPr>
                <w:sz w:val="20"/>
                <w:szCs w:val="20"/>
                <w:lang w:val="sr-Cyrl-RS"/>
              </w:rPr>
            </w:pPr>
            <w:r>
              <w:rPr>
                <w:sz w:val="20"/>
                <w:szCs w:val="20"/>
                <w:lang w:val="sr-Cyrl-RS"/>
              </w:rPr>
              <w:t>Руси</w:t>
            </w:r>
          </w:p>
        </w:tc>
        <w:tc>
          <w:tcPr>
            <w:tcW w:w="3005" w:type="dxa"/>
          </w:tcPr>
          <w:p w:rsidR="00F31B10" w:rsidRDefault="00F31B10" w:rsidP="0056662A">
            <w:pPr>
              <w:spacing w:after="0"/>
              <w:jc w:val="right"/>
              <w:rPr>
                <w:sz w:val="20"/>
                <w:szCs w:val="20"/>
                <w:lang w:val="sr-Cyrl-RS"/>
              </w:rPr>
            </w:pPr>
            <w:r>
              <w:rPr>
                <w:sz w:val="20"/>
                <w:szCs w:val="20"/>
                <w:lang w:val="sr-Cyrl-RS"/>
              </w:rPr>
              <w:t>10</w:t>
            </w:r>
          </w:p>
        </w:tc>
        <w:tc>
          <w:tcPr>
            <w:tcW w:w="3006" w:type="dxa"/>
          </w:tcPr>
          <w:p w:rsidR="00F31B10" w:rsidRPr="00237259" w:rsidRDefault="00F31B10" w:rsidP="0056662A">
            <w:pPr>
              <w:spacing w:after="0"/>
              <w:jc w:val="right"/>
              <w:rPr>
                <w:sz w:val="20"/>
                <w:szCs w:val="20"/>
                <w:lang w:val="sr-Cyrl-RS"/>
              </w:rPr>
            </w:pPr>
            <w:r w:rsidRPr="00237259">
              <w:rPr>
                <w:sz w:val="20"/>
                <w:szCs w:val="20"/>
                <w:lang w:val="sr-Cyrl-RS"/>
              </w:rPr>
              <w:t>792.000,00</w:t>
            </w:r>
          </w:p>
        </w:tc>
      </w:tr>
      <w:tr w:rsidR="00F31B10" w:rsidRPr="00025313" w:rsidTr="0056662A">
        <w:tc>
          <w:tcPr>
            <w:tcW w:w="3005" w:type="dxa"/>
          </w:tcPr>
          <w:p w:rsidR="00F31B10" w:rsidRDefault="00F31B10" w:rsidP="0056662A">
            <w:pPr>
              <w:spacing w:after="0"/>
              <w:jc w:val="both"/>
              <w:rPr>
                <w:sz w:val="20"/>
                <w:szCs w:val="20"/>
                <w:lang w:val="sr-Cyrl-RS"/>
              </w:rPr>
            </w:pPr>
            <w:r>
              <w:rPr>
                <w:sz w:val="20"/>
                <w:szCs w:val="20"/>
                <w:lang w:val="sr-Cyrl-RS"/>
              </w:rPr>
              <w:t>Русини</w:t>
            </w:r>
          </w:p>
        </w:tc>
        <w:tc>
          <w:tcPr>
            <w:tcW w:w="3005" w:type="dxa"/>
          </w:tcPr>
          <w:p w:rsidR="00F31B10" w:rsidRDefault="00F31B10" w:rsidP="0056662A">
            <w:pPr>
              <w:spacing w:after="0"/>
              <w:jc w:val="right"/>
              <w:rPr>
                <w:sz w:val="20"/>
                <w:szCs w:val="20"/>
                <w:lang w:val="sr-Cyrl-RS"/>
              </w:rPr>
            </w:pPr>
            <w:r>
              <w:rPr>
                <w:sz w:val="20"/>
                <w:szCs w:val="20"/>
                <w:lang w:val="sr-Cyrl-RS"/>
              </w:rPr>
              <w:t>3</w:t>
            </w:r>
          </w:p>
        </w:tc>
        <w:tc>
          <w:tcPr>
            <w:tcW w:w="3006" w:type="dxa"/>
          </w:tcPr>
          <w:p w:rsidR="00F31B10" w:rsidRPr="00025313" w:rsidRDefault="00F31B10" w:rsidP="0056662A">
            <w:pPr>
              <w:spacing w:after="0"/>
              <w:jc w:val="right"/>
              <w:rPr>
                <w:sz w:val="20"/>
                <w:szCs w:val="20"/>
                <w:lang w:val="sr-Cyrl-RS"/>
              </w:rPr>
            </w:pPr>
            <w:r w:rsidRPr="00237259">
              <w:rPr>
                <w:sz w:val="20"/>
                <w:szCs w:val="20"/>
                <w:lang w:val="sr-Cyrl-RS"/>
              </w:rPr>
              <w:t>1.825.451,00</w:t>
            </w:r>
          </w:p>
        </w:tc>
      </w:tr>
      <w:tr w:rsidR="00F31B10" w:rsidRPr="00025313" w:rsidTr="0056662A">
        <w:tc>
          <w:tcPr>
            <w:tcW w:w="3005" w:type="dxa"/>
          </w:tcPr>
          <w:p w:rsidR="00F31B10" w:rsidRDefault="00F31B10" w:rsidP="0056662A">
            <w:pPr>
              <w:spacing w:after="0"/>
              <w:jc w:val="both"/>
              <w:rPr>
                <w:sz w:val="20"/>
                <w:szCs w:val="20"/>
                <w:lang w:val="sr-Cyrl-RS"/>
              </w:rPr>
            </w:pPr>
            <w:r>
              <w:rPr>
                <w:sz w:val="20"/>
                <w:szCs w:val="20"/>
                <w:lang w:val="sr-Cyrl-RS"/>
              </w:rPr>
              <w:t>Словаци</w:t>
            </w:r>
          </w:p>
        </w:tc>
        <w:tc>
          <w:tcPr>
            <w:tcW w:w="3005" w:type="dxa"/>
          </w:tcPr>
          <w:p w:rsidR="00F31B10" w:rsidRDefault="00F31B10" w:rsidP="0056662A">
            <w:pPr>
              <w:spacing w:after="0"/>
              <w:jc w:val="right"/>
              <w:rPr>
                <w:sz w:val="20"/>
                <w:szCs w:val="20"/>
                <w:lang w:val="sr-Cyrl-RS"/>
              </w:rPr>
            </w:pPr>
            <w:r>
              <w:rPr>
                <w:sz w:val="20"/>
                <w:szCs w:val="20"/>
                <w:lang w:val="sr-Cyrl-RS"/>
              </w:rPr>
              <w:t>7</w:t>
            </w:r>
          </w:p>
        </w:tc>
        <w:tc>
          <w:tcPr>
            <w:tcW w:w="3006" w:type="dxa"/>
          </w:tcPr>
          <w:p w:rsidR="00F31B10" w:rsidRPr="00237259" w:rsidRDefault="00F31B10" w:rsidP="0056662A">
            <w:pPr>
              <w:spacing w:after="0"/>
              <w:jc w:val="right"/>
              <w:rPr>
                <w:sz w:val="20"/>
                <w:szCs w:val="20"/>
                <w:lang w:val="sr-Cyrl-RS"/>
              </w:rPr>
            </w:pPr>
            <w:r w:rsidRPr="00237259">
              <w:rPr>
                <w:sz w:val="20"/>
                <w:szCs w:val="20"/>
                <w:lang w:val="sr-Cyrl-RS"/>
              </w:rPr>
              <w:t>2.296.737,00</w:t>
            </w:r>
          </w:p>
        </w:tc>
      </w:tr>
      <w:tr w:rsidR="00F31B10" w:rsidRPr="00025313" w:rsidTr="0056662A">
        <w:tc>
          <w:tcPr>
            <w:tcW w:w="3005" w:type="dxa"/>
          </w:tcPr>
          <w:p w:rsidR="00F31B10" w:rsidRDefault="00F31B10" w:rsidP="0056662A">
            <w:pPr>
              <w:spacing w:after="0"/>
              <w:jc w:val="both"/>
              <w:rPr>
                <w:sz w:val="20"/>
                <w:szCs w:val="20"/>
                <w:lang w:val="sr-Cyrl-RS"/>
              </w:rPr>
            </w:pPr>
            <w:r>
              <w:rPr>
                <w:sz w:val="20"/>
                <w:szCs w:val="20"/>
                <w:lang w:val="sr-Cyrl-RS"/>
              </w:rPr>
              <w:t>Словенци</w:t>
            </w:r>
          </w:p>
        </w:tc>
        <w:tc>
          <w:tcPr>
            <w:tcW w:w="3005" w:type="dxa"/>
          </w:tcPr>
          <w:p w:rsidR="00F31B10" w:rsidRDefault="00F31B10" w:rsidP="0056662A">
            <w:pPr>
              <w:spacing w:after="0"/>
              <w:jc w:val="right"/>
              <w:rPr>
                <w:sz w:val="20"/>
                <w:szCs w:val="20"/>
                <w:lang w:val="sr-Cyrl-RS"/>
              </w:rPr>
            </w:pPr>
            <w:r>
              <w:rPr>
                <w:sz w:val="20"/>
                <w:szCs w:val="20"/>
                <w:lang w:val="sr-Cyrl-RS"/>
              </w:rPr>
              <w:t>3</w:t>
            </w:r>
          </w:p>
        </w:tc>
        <w:tc>
          <w:tcPr>
            <w:tcW w:w="3006" w:type="dxa"/>
          </w:tcPr>
          <w:p w:rsidR="00F31B10" w:rsidRPr="00237259" w:rsidRDefault="00F31B10" w:rsidP="0056662A">
            <w:pPr>
              <w:spacing w:after="0"/>
              <w:jc w:val="right"/>
              <w:rPr>
                <w:sz w:val="20"/>
                <w:szCs w:val="20"/>
                <w:lang w:val="sr-Cyrl-RS"/>
              </w:rPr>
            </w:pPr>
            <w:r w:rsidRPr="00237259">
              <w:rPr>
                <w:sz w:val="20"/>
                <w:szCs w:val="20"/>
                <w:lang w:val="sr-Cyrl-RS"/>
              </w:rPr>
              <w:t>690.000,00</w:t>
            </w:r>
          </w:p>
        </w:tc>
      </w:tr>
      <w:tr w:rsidR="00F31B10" w:rsidRPr="00025313" w:rsidTr="0056662A">
        <w:tc>
          <w:tcPr>
            <w:tcW w:w="3005" w:type="dxa"/>
          </w:tcPr>
          <w:p w:rsidR="00F31B10" w:rsidRDefault="00F31B10" w:rsidP="0056662A">
            <w:pPr>
              <w:spacing w:after="0"/>
              <w:jc w:val="both"/>
              <w:rPr>
                <w:sz w:val="20"/>
                <w:szCs w:val="20"/>
                <w:lang w:val="sr-Cyrl-RS"/>
              </w:rPr>
            </w:pPr>
            <w:r>
              <w:rPr>
                <w:sz w:val="20"/>
                <w:szCs w:val="20"/>
                <w:lang w:val="sr-Cyrl-RS"/>
              </w:rPr>
              <w:t>Украјинсци</w:t>
            </w:r>
          </w:p>
        </w:tc>
        <w:tc>
          <w:tcPr>
            <w:tcW w:w="3005" w:type="dxa"/>
          </w:tcPr>
          <w:p w:rsidR="00F31B10" w:rsidRDefault="00F31B10" w:rsidP="0056662A">
            <w:pPr>
              <w:spacing w:after="0"/>
              <w:jc w:val="right"/>
              <w:rPr>
                <w:sz w:val="20"/>
                <w:szCs w:val="20"/>
                <w:lang w:val="sr-Cyrl-RS"/>
              </w:rPr>
            </w:pPr>
            <w:r>
              <w:rPr>
                <w:sz w:val="20"/>
                <w:szCs w:val="20"/>
                <w:lang w:val="sr-Cyrl-RS"/>
              </w:rPr>
              <w:t>3</w:t>
            </w:r>
          </w:p>
        </w:tc>
        <w:tc>
          <w:tcPr>
            <w:tcW w:w="3006" w:type="dxa"/>
          </w:tcPr>
          <w:p w:rsidR="00F31B10" w:rsidRPr="00237259" w:rsidRDefault="00F31B10" w:rsidP="0056662A">
            <w:pPr>
              <w:spacing w:after="0"/>
              <w:jc w:val="right"/>
              <w:rPr>
                <w:sz w:val="20"/>
                <w:szCs w:val="20"/>
                <w:lang w:val="sr-Cyrl-RS"/>
              </w:rPr>
            </w:pPr>
            <w:r w:rsidRPr="00237259">
              <w:rPr>
                <w:sz w:val="20"/>
                <w:szCs w:val="20"/>
                <w:lang w:val="sr-Cyrl-RS"/>
              </w:rPr>
              <w:t>820.000,00</w:t>
            </w:r>
          </w:p>
        </w:tc>
      </w:tr>
      <w:tr w:rsidR="00F31B10" w:rsidRPr="00025313" w:rsidTr="0056662A">
        <w:tc>
          <w:tcPr>
            <w:tcW w:w="3005" w:type="dxa"/>
          </w:tcPr>
          <w:p w:rsidR="00F31B10" w:rsidRDefault="00F31B10" w:rsidP="0056662A">
            <w:pPr>
              <w:spacing w:after="0"/>
              <w:jc w:val="both"/>
              <w:rPr>
                <w:sz w:val="20"/>
                <w:szCs w:val="20"/>
                <w:lang w:val="sr-Cyrl-RS"/>
              </w:rPr>
            </w:pPr>
            <w:r>
              <w:rPr>
                <w:sz w:val="20"/>
                <w:szCs w:val="20"/>
                <w:lang w:val="sr-Cyrl-RS"/>
              </w:rPr>
              <w:t>Хрвати</w:t>
            </w:r>
          </w:p>
        </w:tc>
        <w:tc>
          <w:tcPr>
            <w:tcW w:w="3005" w:type="dxa"/>
          </w:tcPr>
          <w:p w:rsidR="00F31B10" w:rsidRDefault="00F31B10" w:rsidP="0056662A">
            <w:pPr>
              <w:spacing w:after="0"/>
              <w:jc w:val="right"/>
              <w:rPr>
                <w:sz w:val="20"/>
                <w:szCs w:val="20"/>
                <w:lang w:val="sr-Cyrl-RS"/>
              </w:rPr>
            </w:pPr>
            <w:r>
              <w:rPr>
                <w:sz w:val="20"/>
                <w:szCs w:val="20"/>
                <w:lang w:val="sr-Cyrl-RS"/>
              </w:rPr>
              <w:t>6</w:t>
            </w:r>
          </w:p>
        </w:tc>
        <w:tc>
          <w:tcPr>
            <w:tcW w:w="3006" w:type="dxa"/>
          </w:tcPr>
          <w:p w:rsidR="00F31B10" w:rsidRPr="00237259" w:rsidRDefault="00F31B10" w:rsidP="0056662A">
            <w:pPr>
              <w:spacing w:after="0"/>
              <w:jc w:val="right"/>
              <w:rPr>
                <w:sz w:val="20"/>
                <w:szCs w:val="20"/>
                <w:lang w:val="sr-Cyrl-RS"/>
              </w:rPr>
            </w:pPr>
            <w:r w:rsidRPr="00237259">
              <w:rPr>
                <w:sz w:val="20"/>
                <w:szCs w:val="20"/>
                <w:lang w:val="sr-Cyrl-RS"/>
              </w:rPr>
              <w:t>5.785.000,00</w:t>
            </w:r>
          </w:p>
        </w:tc>
      </w:tr>
      <w:tr w:rsidR="00F31B10" w:rsidRPr="00025313" w:rsidTr="0056662A">
        <w:tc>
          <w:tcPr>
            <w:tcW w:w="3005" w:type="dxa"/>
          </w:tcPr>
          <w:p w:rsidR="00F31B10" w:rsidRDefault="00F31B10" w:rsidP="0056662A">
            <w:pPr>
              <w:spacing w:after="0"/>
              <w:jc w:val="both"/>
              <w:rPr>
                <w:sz w:val="20"/>
                <w:szCs w:val="20"/>
                <w:lang w:val="sr-Cyrl-RS"/>
              </w:rPr>
            </w:pPr>
            <w:r>
              <w:rPr>
                <w:sz w:val="20"/>
                <w:szCs w:val="20"/>
                <w:lang w:val="sr-Cyrl-RS"/>
              </w:rPr>
              <w:t>Црногорци</w:t>
            </w:r>
          </w:p>
        </w:tc>
        <w:tc>
          <w:tcPr>
            <w:tcW w:w="3005" w:type="dxa"/>
          </w:tcPr>
          <w:p w:rsidR="00F31B10" w:rsidRDefault="00F31B10" w:rsidP="0056662A">
            <w:pPr>
              <w:spacing w:after="0"/>
              <w:jc w:val="right"/>
              <w:rPr>
                <w:sz w:val="20"/>
                <w:szCs w:val="20"/>
                <w:lang w:val="sr-Cyrl-RS"/>
              </w:rPr>
            </w:pPr>
            <w:r>
              <w:rPr>
                <w:sz w:val="20"/>
                <w:szCs w:val="20"/>
                <w:lang w:val="sr-Cyrl-RS"/>
              </w:rPr>
              <w:t>2</w:t>
            </w:r>
          </w:p>
        </w:tc>
        <w:tc>
          <w:tcPr>
            <w:tcW w:w="3006" w:type="dxa"/>
          </w:tcPr>
          <w:p w:rsidR="00F31B10" w:rsidRPr="00237259" w:rsidRDefault="00F31B10" w:rsidP="0056662A">
            <w:pPr>
              <w:spacing w:after="0"/>
              <w:jc w:val="right"/>
              <w:rPr>
                <w:sz w:val="20"/>
                <w:szCs w:val="20"/>
                <w:lang w:val="sr-Cyrl-RS"/>
              </w:rPr>
            </w:pPr>
            <w:r w:rsidRPr="00237259">
              <w:rPr>
                <w:sz w:val="20"/>
                <w:szCs w:val="20"/>
                <w:lang w:val="sr-Cyrl-RS"/>
              </w:rPr>
              <w:t>200.000,00</w:t>
            </w:r>
          </w:p>
        </w:tc>
      </w:tr>
      <w:tr w:rsidR="00F31B10" w:rsidRPr="00025313" w:rsidTr="0056662A">
        <w:tc>
          <w:tcPr>
            <w:tcW w:w="3005" w:type="dxa"/>
          </w:tcPr>
          <w:p w:rsidR="00F31B10" w:rsidRDefault="00F31B10" w:rsidP="0056662A">
            <w:pPr>
              <w:spacing w:after="0"/>
              <w:jc w:val="both"/>
              <w:rPr>
                <w:sz w:val="20"/>
                <w:szCs w:val="20"/>
                <w:lang w:val="sr-Cyrl-RS"/>
              </w:rPr>
            </w:pPr>
            <w:r>
              <w:rPr>
                <w:sz w:val="20"/>
                <w:szCs w:val="20"/>
                <w:lang w:val="sr-Cyrl-RS"/>
              </w:rPr>
              <w:t>Чеси</w:t>
            </w:r>
          </w:p>
        </w:tc>
        <w:tc>
          <w:tcPr>
            <w:tcW w:w="3005" w:type="dxa"/>
          </w:tcPr>
          <w:p w:rsidR="00F31B10" w:rsidRDefault="00F31B10" w:rsidP="0056662A">
            <w:pPr>
              <w:spacing w:after="0"/>
              <w:jc w:val="right"/>
              <w:rPr>
                <w:sz w:val="20"/>
                <w:szCs w:val="20"/>
                <w:lang w:val="sr-Cyrl-RS"/>
              </w:rPr>
            </w:pPr>
            <w:r>
              <w:rPr>
                <w:sz w:val="20"/>
                <w:szCs w:val="20"/>
                <w:lang w:val="sr-Cyrl-RS"/>
              </w:rPr>
              <w:t>1</w:t>
            </w:r>
          </w:p>
        </w:tc>
        <w:tc>
          <w:tcPr>
            <w:tcW w:w="3006" w:type="dxa"/>
          </w:tcPr>
          <w:p w:rsidR="00F31B10" w:rsidRPr="00237259" w:rsidRDefault="00F31B10" w:rsidP="0056662A">
            <w:pPr>
              <w:spacing w:after="0"/>
              <w:jc w:val="right"/>
              <w:rPr>
                <w:sz w:val="20"/>
                <w:szCs w:val="20"/>
                <w:lang w:val="sr-Cyrl-RS"/>
              </w:rPr>
            </w:pPr>
            <w:r w:rsidRPr="00237259">
              <w:rPr>
                <w:sz w:val="20"/>
                <w:szCs w:val="20"/>
                <w:lang w:val="sr-Cyrl-RS"/>
              </w:rPr>
              <w:t>100.000,00</w:t>
            </w:r>
          </w:p>
        </w:tc>
      </w:tr>
    </w:tbl>
    <w:p w:rsidR="00F31B10" w:rsidRDefault="00F31B10" w:rsidP="00A475C5">
      <w:pPr>
        <w:spacing w:after="0"/>
        <w:jc w:val="both"/>
        <w:rPr>
          <w:sz w:val="24"/>
          <w:szCs w:val="24"/>
          <w:lang w:val="sr-Cyrl-RS"/>
        </w:rPr>
      </w:pPr>
    </w:p>
    <w:p w:rsidR="00F31B10" w:rsidRDefault="00741176" w:rsidP="00741176">
      <w:pPr>
        <w:spacing w:after="0"/>
        <w:ind w:firstLine="720"/>
        <w:jc w:val="both"/>
        <w:rPr>
          <w:sz w:val="24"/>
          <w:szCs w:val="24"/>
          <w:lang w:val="sr-Cyrl-RS"/>
        </w:rPr>
      </w:pPr>
      <w:r w:rsidRPr="00CB50B7">
        <w:rPr>
          <w:sz w:val="24"/>
          <w:szCs w:val="24"/>
          <w:lang w:val="sr-Cyrl-RS"/>
        </w:rPr>
        <w:t>У прилогу за израду овог извештаја Удружење „Гергина“, наводи да је потребно да се промоција влашке културе појача на свим нивоима, од локалних средина до Републике, као и да је информисање на влашком језику недовољно, будући да се обезбеђује искључиво путем пројектног финансирања у оквиру појединих локалних медија.</w:t>
      </w:r>
      <w:r w:rsidRPr="00741176">
        <w:rPr>
          <w:sz w:val="24"/>
          <w:szCs w:val="24"/>
          <w:lang w:val="sr-Cyrl-RS"/>
        </w:rPr>
        <w:t xml:space="preserve"> </w:t>
      </w:r>
    </w:p>
    <w:p w:rsidR="00C82FD1" w:rsidRDefault="00C82FD1" w:rsidP="00C82FD1">
      <w:pPr>
        <w:spacing w:after="0"/>
        <w:jc w:val="both"/>
        <w:rPr>
          <w:sz w:val="24"/>
          <w:szCs w:val="24"/>
          <w:lang w:val="sr-Cyrl-RS"/>
        </w:rPr>
      </w:pPr>
    </w:p>
    <w:p w:rsidR="00C82FD1" w:rsidRDefault="00C82FD1" w:rsidP="00C82FD1">
      <w:pPr>
        <w:spacing w:after="0"/>
        <w:jc w:val="both"/>
        <w:rPr>
          <w:i/>
          <w:sz w:val="24"/>
          <w:szCs w:val="24"/>
          <w:lang w:val="sr-Cyrl-RS"/>
        </w:rPr>
      </w:pPr>
      <w:r w:rsidRPr="00C82FD1">
        <w:rPr>
          <w:i/>
          <w:sz w:val="24"/>
          <w:szCs w:val="24"/>
          <w:lang w:val="sr-Cyrl-RS"/>
        </w:rPr>
        <w:t>Финансирање националних савета националних мањина</w:t>
      </w:r>
    </w:p>
    <w:p w:rsidR="00C82FD1" w:rsidRDefault="00C82FD1" w:rsidP="00C82FD1">
      <w:pPr>
        <w:spacing w:after="0"/>
        <w:jc w:val="both"/>
        <w:rPr>
          <w:i/>
          <w:sz w:val="24"/>
          <w:szCs w:val="24"/>
          <w:lang w:val="sr-Cyrl-RS"/>
        </w:rPr>
      </w:pPr>
    </w:p>
    <w:p w:rsidR="00C82FD1" w:rsidRDefault="00C82FD1" w:rsidP="00C82FD1">
      <w:pPr>
        <w:spacing w:after="0"/>
        <w:jc w:val="both"/>
        <w:rPr>
          <w:sz w:val="24"/>
          <w:szCs w:val="24"/>
          <w:lang w:val="sr-Cyrl-RS"/>
        </w:rPr>
      </w:pPr>
      <w:r>
        <w:rPr>
          <w:i/>
          <w:sz w:val="24"/>
          <w:szCs w:val="24"/>
          <w:lang w:val="sr-Cyrl-RS"/>
        </w:rPr>
        <w:tab/>
      </w:r>
      <w:r w:rsidRPr="00371D4F">
        <w:rPr>
          <w:sz w:val="24"/>
          <w:szCs w:val="24"/>
          <w:lang w:val="sr-Cyrl-RS"/>
        </w:rPr>
        <w:t xml:space="preserve">У извештајном периоду настављено је редовно финансирање националних савета </w:t>
      </w:r>
      <w:r w:rsidR="00945A5A" w:rsidRPr="00371D4F">
        <w:rPr>
          <w:sz w:val="24"/>
          <w:szCs w:val="24"/>
          <w:lang w:val="sr-Cyrl-RS"/>
        </w:rPr>
        <w:t xml:space="preserve">националних мањина </w:t>
      </w:r>
      <w:r w:rsidRPr="00371D4F">
        <w:rPr>
          <w:sz w:val="24"/>
          <w:szCs w:val="24"/>
          <w:lang w:val="sr-Cyrl-RS"/>
        </w:rPr>
        <w:t>средствима из буџета Републике Србије, АП Војводине и јединица локалне самоуправе. Националнии савети средствима којима располажу могу финансирати различите пројекте</w:t>
      </w:r>
      <w:r w:rsidR="00371D4F" w:rsidRPr="00371D4F">
        <w:rPr>
          <w:sz w:val="24"/>
          <w:szCs w:val="24"/>
          <w:lang w:val="sr-Cyrl-RS"/>
        </w:rPr>
        <w:t>, укључујући и пројекте у облати културе</w:t>
      </w:r>
      <w:r w:rsidRPr="00371D4F">
        <w:rPr>
          <w:sz w:val="24"/>
          <w:szCs w:val="24"/>
          <w:lang w:val="sr-Cyrl-RS"/>
        </w:rPr>
        <w:t>. Доње табеле садрже подате о финансирању националних савета</w:t>
      </w:r>
      <w:r w:rsidR="00CA1D81" w:rsidRPr="00371D4F">
        <w:rPr>
          <w:sz w:val="24"/>
          <w:szCs w:val="24"/>
          <w:lang w:val="sr-Cyrl-RS"/>
        </w:rPr>
        <w:t xml:space="preserve"> из буџета Републике Србије и буџета АП Војводине</w:t>
      </w:r>
      <w:r w:rsidRPr="00371D4F">
        <w:rPr>
          <w:sz w:val="24"/>
          <w:szCs w:val="24"/>
          <w:lang w:val="sr-Cyrl-RS"/>
        </w:rPr>
        <w:t>.</w:t>
      </w:r>
    </w:p>
    <w:p w:rsidR="00CA1D81" w:rsidRPr="00C82FD1" w:rsidRDefault="00CA1D81" w:rsidP="00C82FD1">
      <w:pPr>
        <w:spacing w:after="0"/>
        <w:jc w:val="both"/>
        <w:rPr>
          <w:sz w:val="24"/>
          <w:szCs w:val="24"/>
          <w:lang w:val="sr-Cyrl-RS"/>
        </w:rPr>
      </w:pPr>
    </w:p>
    <w:p w:rsidR="00CA1D81" w:rsidRPr="00CA1D81" w:rsidRDefault="00CA1D81" w:rsidP="00CA1D81">
      <w:pPr>
        <w:spacing w:after="0"/>
        <w:jc w:val="center"/>
        <w:rPr>
          <w:i/>
          <w:sz w:val="20"/>
          <w:szCs w:val="20"/>
          <w:lang w:val="sr-Cyrl-RS"/>
        </w:rPr>
      </w:pPr>
      <w:r w:rsidRPr="00CA1D81">
        <w:rPr>
          <w:i/>
          <w:sz w:val="20"/>
          <w:szCs w:val="20"/>
          <w:lang w:val="sr-Cyrl-RS"/>
        </w:rPr>
        <w:t xml:space="preserve">Финансирање из буџета </w:t>
      </w:r>
      <w:r>
        <w:rPr>
          <w:i/>
          <w:sz w:val="20"/>
          <w:szCs w:val="20"/>
          <w:lang w:val="sr-Cyrl-RS"/>
        </w:rPr>
        <w:t>Републике Србије</w:t>
      </w: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473"/>
        <w:gridCol w:w="1473"/>
        <w:gridCol w:w="1473"/>
        <w:gridCol w:w="1473"/>
        <w:gridCol w:w="1473"/>
      </w:tblGrid>
      <w:tr w:rsidR="00CA1D81" w:rsidRPr="00A03082" w:rsidTr="00AD5BFF">
        <w:trPr>
          <w:trHeight w:val="928"/>
        </w:trPr>
        <w:tc>
          <w:tcPr>
            <w:tcW w:w="1752" w:type="dxa"/>
            <w:tcBorders>
              <w:top w:val="single" w:sz="4" w:space="0" w:color="auto"/>
              <w:left w:val="single" w:sz="4" w:space="0" w:color="auto"/>
              <w:bottom w:val="single" w:sz="4" w:space="0" w:color="auto"/>
              <w:right w:val="single" w:sz="4" w:space="0" w:color="auto"/>
            </w:tcBorders>
          </w:tcPr>
          <w:p w:rsidR="00CA1D81" w:rsidRPr="00045161" w:rsidRDefault="00CA1D81" w:rsidP="00AD5BFF">
            <w:pPr>
              <w:tabs>
                <w:tab w:val="left" w:pos="1152"/>
              </w:tabs>
              <w:spacing w:after="0" w:line="240" w:lineRule="auto"/>
              <w:jc w:val="center"/>
              <w:rPr>
                <w:rFonts w:eastAsia="Times New Roman"/>
                <w:b/>
                <w:sz w:val="18"/>
                <w:szCs w:val="18"/>
                <w:lang w:val="sr-Cyrl-BA"/>
              </w:rPr>
            </w:pPr>
            <w:r w:rsidRPr="00045161">
              <w:rPr>
                <w:rFonts w:eastAsia="Times New Roman"/>
                <w:b/>
                <w:sz w:val="18"/>
                <w:szCs w:val="18"/>
                <w:lang w:val="sr-Cyrl-BA"/>
              </w:rPr>
              <w:t>НАЦИОНАЛНИ САВЕТ НАЦИОНАЛНЕ МАЊИНЕ</w:t>
            </w:r>
          </w:p>
        </w:tc>
        <w:tc>
          <w:tcPr>
            <w:tcW w:w="1473" w:type="dxa"/>
            <w:tcBorders>
              <w:top w:val="single" w:sz="4" w:space="0" w:color="auto"/>
              <w:left w:val="single" w:sz="4" w:space="0" w:color="auto"/>
              <w:bottom w:val="single" w:sz="4" w:space="0" w:color="auto"/>
              <w:right w:val="single" w:sz="4" w:space="0" w:color="auto"/>
            </w:tcBorders>
          </w:tcPr>
          <w:p w:rsidR="00CA1D81" w:rsidRPr="00A03082" w:rsidRDefault="00CA1D81" w:rsidP="00AD5BFF">
            <w:pPr>
              <w:tabs>
                <w:tab w:val="left" w:pos="1152"/>
              </w:tabs>
              <w:spacing w:after="0" w:line="240" w:lineRule="auto"/>
              <w:jc w:val="center"/>
              <w:rPr>
                <w:rFonts w:eastAsia="Times New Roman"/>
                <w:b/>
                <w:sz w:val="20"/>
                <w:szCs w:val="20"/>
              </w:rPr>
            </w:pPr>
            <w:r w:rsidRPr="00A03082">
              <w:rPr>
                <w:rFonts w:eastAsia="Times New Roman"/>
                <w:b/>
                <w:sz w:val="20"/>
                <w:szCs w:val="20"/>
                <w:lang w:val="sr-Cyrl-BA"/>
              </w:rPr>
              <w:t>201</w:t>
            </w:r>
            <w:r w:rsidRPr="00A03082">
              <w:rPr>
                <w:rFonts w:eastAsia="Times New Roman"/>
                <w:b/>
                <w:sz w:val="20"/>
                <w:szCs w:val="20"/>
              </w:rPr>
              <w:t>7.</w:t>
            </w:r>
          </w:p>
        </w:tc>
        <w:tc>
          <w:tcPr>
            <w:tcW w:w="1473" w:type="dxa"/>
            <w:tcBorders>
              <w:top w:val="single" w:sz="4" w:space="0" w:color="auto"/>
              <w:left w:val="single" w:sz="4" w:space="0" w:color="auto"/>
              <w:bottom w:val="single" w:sz="4" w:space="0" w:color="auto"/>
              <w:right w:val="single" w:sz="4" w:space="0" w:color="auto"/>
            </w:tcBorders>
          </w:tcPr>
          <w:p w:rsidR="00CA1D81" w:rsidRPr="00A03082" w:rsidRDefault="00CA1D81" w:rsidP="00AD5BFF">
            <w:pPr>
              <w:tabs>
                <w:tab w:val="left" w:pos="1152"/>
              </w:tabs>
              <w:spacing w:after="0" w:line="240" w:lineRule="auto"/>
              <w:jc w:val="center"/>
              <w:rPr>
                <w:rFonts w:eastAsia="Times New Roman"/>
                <w:b/>
                <w:sz w:val="20"/>
                <w:szCs w:val="20"/>
              </w:rPr>
            </w:pPr>
            <w:r w:rsidRPr="00A03082">
              <w:rPr>
                <w:rFonts w:eastAsia="Times New Roman"/>
                <w:b/>
                <w:sz w:val="20"/>
                <w:szCs w:val="20"/>
                <w:lang w:val="sr-Cyrl-BA"/>
              </w:rPr>
              <w:t>201</w:t>
            </w:r>
            <w:r w:rsidRPr="00A03082">
              <w:rPr>
                <w:rFonts w:eastAsia="Times New Roman"/>
                <w:b/>
                <w:sz w:val="20"/>
                <w:szCs w:val="20"/>
              </w:rPr>
              <w:t>8.</w:t>
            </w:r>
          </w:p>
        </w:tc>
        <w:tc>
          <w:tcPr>
            <w:tcW w:w="1473" w:type="dxa"/>
            <w:tcBorders>
              <w:top w:val="single" w:sz="4" w:space="0" w:color="auto"/>
              <w:left w:val="single" w:sz="4" w:space="0" w:color="auto"/>
              <w:bottom w:val="single" w:sz="4" w:space="0" w:color="auto"/>
              <w:right w:val="single" w:sz="4" w:space="0" w:color="auto"/>
            </w:tcBorders>
          </w:tcPr>
          <w:p w:rsidR="00CA1D81" w:rsidRPr="00A03082" w:rsidRDefault="00CA1D81" w:rsidP="00AD5BFF">
            <w:pPr>
              <w:tabs>
                <w:tab w:val="left" w:pos="1152"/>
              </w:tabs>
              <w:spacing w:after="0" w:line="240" w:lineRule="auto"/>
              <w:jc w:val="center"/>
              <w:rPr>
                <w:rFonts w:eastAsia="Times New Roman"/>
                <w:b/>
                <w:sz w:val="20"/>
                <w:szCs w:val="20"/>
              </w:rPr>
            </w:pPr>
            <w:r w:rsidRPr="00A03082">
              <w:rPr>
                <w:rFonts w:eastAsia="Times New Roman"/>
                <w:b/>
                <w:sz w:val="20"/>
                <w:szCs w:val="20"/>
                <w:lang w:val="sr-Cyrl-BA"/>
              </w:rPr>
              <w:t>2019</w:t>
            </w:r>
            <w:r w:rsidRPr="00A03082">
              <w:rPr>
                <w:rFonts w:eastAsia="Times New Roman"/>
                <w:b/>
                <w:sz w:val="20"/>
                <w:szCs w:val="20"/>
              </w:rPr>
              <w:t>.</w:t>
            </w:r>
          </w:p>
        </w:tc>
        <w:tc>
          <w:tcPr>
            <w:tcW w:w="1473" w:type="dxa"/>
            <w:tcBorders>
              <w:top w:val="single" w:sz="4" w:space="0" w:color="auto"/>
              <w:left w:val="single" w:sz="4" w:space="0" w:color="auto"/>
              <w:bottom w:val="single" w:sz="4" w:space="0" w:color="auto"/>
              <w:right w:val="single" w:sz="4" w:space="0" w:color="auto"/>
            </w:tcBorders>
          </w:tcPr>
          <w:p w:rsidR="00CA1D81" w:rsidRPr="00A03082" w:rsidRDefault="00CA1D81" w:rsidP="00AD5BFF">
            <w:pPr>
              <w:tabs>
                <w:tab w:val="left" w:pos="1152"/>
              </w:tabs>
              <w:spacing w:after="0" w:line="240" w:lineRule="auto"/>
              <w:jc w:val="center"/>
              <w:rPr>
                <w:rFonts w:eastAsia="Times New Roman"/>
                <w:b/>
                <w:sz w:val="20"/>
                <w:szCs w:val="20"/>
              </w:rPr>
            </w:pPr>
            <w:r w:rsidRPr="00A03082">
              <w:rPr>
                <w:rFonts w:eastAsia="Times New Roman"/>
                <w:b/>
                <w:sz w:val="20"/>
                <w:szCs w:val="20"/>
              </w:rPr>
              <w:t>2020.</w:t>
            </w:r>
          </w:p>
        </w:tc>
        <w:tc>
          <w:tcPr>
            <w:tcW w:w="1473" w:type="dxa"/>
            <w:tcBorders>
              <w:top w:val="single" w:sz="4" w:space="0" w:color="auto"/>
              <w:left w:val="single" w:sz="4" w:space="0" w:color="auto"/>
              <w:bottom w:val="single" w:sz="4" w:space="0" w:color="auto"/>
              <w:right w:val="single" w:sz="4" w:space="0" w:color="auto"/>
            </w:tcBorders>
          </w:tcPr>
          <w:p w:rsidR="00CA1D81" w:rsidRPr="00A03082" w:rsidRDefault="00CA1D81" w:rsidP="00AD5BFF">
            <w:pPr>
              <w:tabs>
                <w:tab w:val="left" w:pos="1152"/>
              </w:tabs>
              <w:spacing w:after="0" w:line="240" w:lineRule="auto"/>
              <w:jc w:val="center"/>
              <w:rPr>
                <w:rFonts w:eastAsia="Times New Roman"/>
                <w:b/>
                <w:sz w:val="20"/>
                <w:szCs w:val="20"/>
              </w:rPr>
            </w:pPr>
            <w:r w:rsidRPr="00A03082">
              <w:rPr>
                <w:rFonts w:eastAsia="Times New Roman"/>
                <w:b/>
                <w:sz w:val="20"/>
                <w:szCs w:val="20"/>
              </w:rPr>
              <w:t>2021.</w:t>
            </w:r>
          </w:p>
        </w:tc>
      </w:tr>
      <w:tr w:rsidR="00CA1D81" w:rsidRPr="00A03082"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rsidR="00CA1D81" w:rsidRPr="00A03082" w:rsidRDefault="00CA1D81" w:rsidP="00AD5BFF">
            <w:pPr>
              <w:tabs>
                <w:tab w:val="left" w:pos="1152"/>
              </w:tabs>
              <w:spacing w:after="0" w:line="240" w:lineRule="auto"/>
              <w:rPr>
                <w:rFonts w:eastAsia="Times New Roman"/>
                <w:sz w:val="20"/>
                <w:szCs w:val="20"/>
                <w:lang w:val="sr-Cyrl-BA"/>
              </w:rPr>
            </w:pPr>
            <w:r w:rsidRPr="00A03082">
              <w:rPr>
                <w:rFonts w:eastAsia="Times New Roman"/>
                <w:sz w:val="20"/>
                <w:szCs w:val="20"/>
                <w:lang w:val="sr-Cyrl-BA"/>
              </w:rPr>
              <w:t xml:space="preserve">албанске </w:t>
            </w:r>
          </w:p>
        </w:tc>
        <w:tc>
          <w:tcPr>
            <w:tcW w:w="1473" w:type="dxa"/>
            <w:tcBorders>
              <w:top w:val="single" w:sz="4" w:space="0" w:color="auto"/>
              <w:left w:val="single" w:sz="4" w:space="0" w:color="auto"/>
              <w:bottom w:val="single" w:sz="4" w:space="0" w:color="auto"/>
              <w:right w:val="single" w:sz="4" w:space="0" w:color="auto"/>
            </w:tcBorders>
            <w:hideMark/>
          </w:tcPr>
          <w:p w:rsidR="00CA1D81" w:rsidRPr="00C620DB" w:rsidRDefault="00CA1D81" w:rsidP="00CA1D81">
            <w:pPr>
              <w:spacing w:after="0" w:line="240" w:lineRule="auto"/>
              <w:jc w:val="right"/>
              <w:rPr>
                <w:sz w:val="20"/>
                <w:szCs w:val="20"/>
              </w:rPr>
            </w:pPr>
            <w:r w:rsidRPr="00C620DB">
              <w:rPr>
                <w:sz w:val="20"/>
                <w:szCs w:val="20"/>
              </w:rPr>
              <w:t>13.226.019,00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line="240" w:lineRule="auto"/>
              <w:jc w:val="right"/>
              <w:rPr>
                <w:sz w:val="20"/>
                <w:szCs w:val="20"/>
              </w:rPr>
            </w:pPr>
            <w:r w:rsidRPr="00C620DB">
              <w:rPr>
                <w:sz w:val="20"/>
                <w:szCs w:val="20"/>
              </w:rPr>
              <w:t>13.226.019,00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13.226.019,00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13.226.019,00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13.226.019,00</w:t>
            </w:r>
          </w:p>
        </w:tc>
      </w:tr>
      <w:tr w:rsidR="00CA1D81" w:rsidRPr="00A03082"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rsidR="00CA1D81" w:rsidRPr="00A03082" w:rsidRDefault="00CA1D81" w:rsidP="00AD5BFF">
            <w:pPr>
              <w:tabs>
                <w:tab w:val="left" w:pos="1152"/>
              </w:tabs>
              <w:spacing w:after="0" w:line="240" w:lineRule="auto"/>
              <w:rPr>
                <w:rFonts w:eastAsia="Times New Roman"/>
                <w:sz w:val="20"/>
                <w:szCs w:val="20"/>
                <w:lang w:val="sr-Cyrl-BA"/>
              </w:rPr>
            </w:pPr>
            <w:r w:rsidRPr="00A03082">
              <w:rPr>
                <w:rFonts w:eastAsia="Times New Roman"/>
                <w:sz w:val="20"/>
                <w:szCs w:val="20"/>
                <w:lang w:val="sr-Cyrl-BA"/>
              </w:rPr>
              <w:t xml:space="preserve">ашкалијске </w:t>
            </w:r>
          </w:p>
        </w:tc>
        <w:tc>
          <w:tcPr>
            <w:tcW w:w="1473" w:type="dxa"/>
            <w:tcBorders>
              <w:top w:val="single" w:sz="4" w:space="0" w:color="auto"/>
              <w:left w:val="single" w:sz="4" w:space="0" w:color="auto"/>
              <w:bottom w:val="single" w:sz="4" w:space="0" w:color="auto"/>
              <w:right w:val="single" w:sz="4" w:space="0" w:color="auto"/>
            </w:tcBorders>
            <w:hideMark/>
          </w:tcPr>
          <w:p w:rsidR="00CA1D81" w:rsidRPr="00C620DB" w:rsidRDefault="00CA1D81" w:rsidP="00CA1D81">
            <w:pPr>
              <w:spacing w:after="0" w:line="240" w:lineRule="auto"/>
              <w:jc w:val="right"/>
              <w:rPr>
                <w:sz w:val="20"/>
                <w:szCs w:val="20"/>
              </w:rPr>
            </w:pPr>
            <w:r w:rsidRPr="00C620DB">
              <w:rPr>
                <w:sz w:val="20"/>
                <w:szCs w:val="20"/>
              </w:rPr>
              <w:t>3.696.225,00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line="240" w:lineRule="auto"/>
              <w:jc w:val="right"/>
              <w:rPr>
                <w:sz w:val="20"/>
                <w:szCs w:val="20"/>
              </w:rPr>
            </w:pPr>
            <w:r w:rsidRPr="00C620DB">
              <w:rPr>
                <w:sz w:val="20"/>
                <w:szCs w:val="20"/>
              </w:rPr>
              <w:t>3.696.225,00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color w:val="000000"/>
                <w:sz w:val="20"/>
                <w:szCs w:val="20"/>
                <w:lang w:val="sr-Cyrl-RS"/>
              </w:rPr>
            </w:pPr>
            <w:r w:rsidRPr="00C620DB">
              <w:rPr>
                <w:color w:val="000000"/>
                <w:sz w:val="20"/>
                <w:szCs w:val="20"/>
              </w:rPr>
              <w:t>1</w:t>
            </w:r>
            <w:r w:rsidRPr="00C620DB">
              <w:rPr>
                <w:color w:val="000000"/>
                <w:sz w:val="20"/>
                <w:szCs w:val="20"/>
                <w:lang w:val="sr-Cyrl-RS"/>
              </w:rPr>
              <w:t>.</w:t>
            </w:r>
            <w:r w:rsidRPr="00C620DB">
              <w:rPr>
                <w:color w:val="000000"/>
                <w:sz w:val="20"/>
                <w:szCs w:val="20"/>
              </w:rPr>
              <w:t>848</w:t>
            </w:r>
            <w:r w:rsidRPr="00C620DB">
              <w:rPr>
                <w:color w:val="000000"/>
                <w:sz w:val="20"/>
                <w:szCs w:val="20"/>
                <w:lang w:val="sr-Cyrl-RS"/>
              </w:rPr>
              <w:t>.</w:t>
            </w:r>
            <w:r w:rsidRPr="00C620DB">
              <w:rPr>
                <w:color w:val="000000"/>
                <w:sz w:val="20"/>
                <w:szCs w:val="20"/>
              </w:rPr>
              <w:t>114</w:t>
            </w:r>
            <w:r w:rsidRPr="00C620DB">
              <w:rPr>
                <w:color w:val="000000"/>
                <w:sz w:val="20"/>
                <w:szCs w:val="20"/>
                <w:lang w:val="sr-Cyrl-RS"/>
              </w:rPr>
              <w:t>,00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color w:val="000000"/>
                <w:sz w:val="20"/>
                <w:szCs w:val="20"/>
              </w:rPr>
            </w:pP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color w:val="000000"/>
                <w:sz w:val="20"/>
                <w:szCs w:val="20"/>
                <w:lang w:val="sr-Cyrl-RS"/>
              </w:rPr>
            </w:pPr>
            <w:r w:rsidRPr="00C620DB">
              <w:rPr>
                <w:color w:val="000000"/>
                <w:sz w:val="20"/>
                <w:szCs w:val="20"/>
              </w:rPr>
              <w:t>3</w:t>
            </w:r>
            <w:r w:rsidRPr="00C620DB">
              <w:rPr>
                <w:color w:val="000000"/>
                <w:sz w:val="20"/>
                <w:szCs w:val="20"/>
                <w:lang w:val="sr-Cyrl-RS"/>
              </w:rPr>
              <w:t>.</w:t>
            </w:r>
            <w:r w:rsidRPr="00C620DB">
              <w:rPr>
                <w:color w:val="000000"/>
                <w:sz w:val="20"/>
                <w:szCs w:val="20"/>
              </w:rPr>
              <w:t>388</w:t>
            </w:r>
            <w:r w:rsidRPr="00C620DB">
              <w:rPr>
                <w:color w:val="000000"/>
                <w:sz w:val="20"/>
                <w:szCs w:val="20"/>
                <w:lang w:val="sr-Cyrl-RS"/>
              </w:rPr>
              <w:t>.</w:t>
            </w:r>
            <w:r w:rsidRPr="00C620DB">
              <w:rPr>
                <w:color w:val="000000"/>
                <w:sz w:val="20"/>
                <w:szCs w:val="20"/>
              </w:rPr>
              <w:t>209</w:t>
            </w:r>
            <w:r w:rsidRPr="00C620DB">
              <w:rPr>
                <w:color w:val="000000"/>
                <w:sz w:val="20"/>
                <w:szCs w:val="20"/>
                <w:lang w:val="sr-Cyrl-RS"/>
              </w:rPr>
              <w:t>,00</w:t>
            </w:r>
          </w:p>
        </w:tc>
      </w:tr>
      <w:tr w:rsidR="00CA1D81" w:rsidRPr="00A03082" w:rsidTr="00AD5BFF">
        <w:trPr>
          <w:trHeight w:val="261"/>
        </w:trPr>
        <w:tc>
          <w:tcPr>
            <w:tcW w:w="1752" w:type="dxa"/>
            <w:tcBorders>
              <w:top w:val="single" w:sz="4" w:space="0" w:color="auto"/>
              <w:left w:val="single" w:sz="4" w:space="0" w:color="auto"/>
              <w:bottom w:val="single" w:sz="4" w:space="0" w:color="auto"/>
              <w:right w:val="single" w:sz="4" w:space="0" w:color="auto"/>
            </w:tcBorders>
            <w:hideMark/>
          </w:tcPr>
          <w:p w:rsidR="00CA1D81" w:rsidRPr="00A03082" w:rsidRDefault="00CA1D81" w:rsidP="00AD5BFF">
            <w:pPr>
              <w:tabs>
                <w:tab w:val="left" w:pos="1152"/>
              </w:tabs>
              <w:spacing w:after="0" w:line="240" w:lineRule="auto"/>
              <w:rPr>
                <w:rFonts w:eastAsia="Times New Roman"/>
                <w:sz w:val="20"/>
                <w:szCs w:val="20"/>
                <w:lang w:val="sr-Cyrl-BA"/>
              </w:rPr>
            </w:pPr>
            <w:r w:rsidRPr="00A03082">
              <w:rPr>
                <w:rFonts w:eastAsia="Times New Roman"/>
                <w:sz w:val="20"/>
                <w:szCs w:val="20"/>
                <w:lang w:val="sr-Cyrl-BA"/>
              </w:rPr>
              <w:t xml:space="preserve">бошњачке </w:t>
            </w:r>
          </w:p>
        </w:tc>
        <w:tc>
          <w:tcPr>
            <w:tcW w:w="1473" w:type="dxa"/>
            <w:tcBorders>
              <w:top w:val="single" w:sz="4" w:space="0" w:color="auto"/>
              <w:left w:val="single" w:sz="4" w:space="0" w:color="auto"/>
              <w:bottom w:val="single" w:sz="4" w:space="0" w:color="auto"/>
              <w:right w:val="single" w:sz="4" w:space="0" w:color="auto"/>
            </w:tcBorders>
            <w:hideMark/>
          </w:tcPr>
          <w:p w:rsidR="00CA1D81" w:rsidRPr="00C620DB" w:rsidRDefault="00CA1D81" w:rsidP="00CA1D81">
            <w:pPr>
              <w:spacing w:after="0" w:line="240" w:lineRule="auto"/>
              <w:jc w:val="right"/>
              <w:rPr>
                <w:sz w:val="20"/>
                <w:szCs w:val="20"/>
              </w:rPr>
            </w:pPr>
            <w:r w:rsidRPr="00C620DB">
              <w:rPr>
                <w:sz w:val="20"/>
                <w:szCs w:val="20"/>
              </w:rPr>
              <w:t>27.828.583,00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line="240" w:lineRule="auto"/>
              <w:jc w:val="right"/>
              <w:rPr>
                <w:sz w:val="20"/>
                <w:szCs w:val="20"/>
              </w:rPr>
            </w:pPr>
            <w:r w:rsidRPr="00C620DB">
              <w:rPr>
                <w:sz w:val="20"/>
                <w:szCs w:val="20"/>
              </w:rPr>
              <w:t>27.828.583,00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27.828.583,00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27.828.583,00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27.828.583,00</w:t>
            </w:r>
          </w:p>
        </w:tc>
      </w:tr>
      <w:tr w:rsidR="00CA1D81" w:rsidRPr="00A03082"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rsidR="00CA1D81" w:rsidRPr="00A03082" w:rsidRDefault="00CA1D81" w:rsidP="00AD5BFF">
            <w:pPr>
              <w:tabs>
                <w:tab w:val="left" w:pos="1152"/>
              </w:tabs>
              <w:spacing w:after="0" w:line="240" w:lineRule="auto"/>
              <w:rPr>
                <w:rFonts w:eastAsia="Times New Roman"/>
                <w:sz w:val="20"/>
                <w:szCs w:val="20"/>
                <w:lang w:val="sr-Cyrl-BA"/>
              </w:rPr>
            </w:pPr>
            <w:r w:rsidRPr="00A03082">
              <w:rPr>
                <w:rFonts w:eastAsia="Times New Roman"/>
                <w:sz w:val="20"/>
                <w:szCs w:val="20"/>
                <w:lang w:val="sr-Cyrl-BA"/>
              </w:rPr>
              <w:lastRenderedPageBreak/>
              <w:t xml:space="preserve">бугарске </w:t>
            </w:r>
          </w:p>
        </w:tc>
        <w:tc>
          <w:tcPr>
            <w:tcW w:w="1473" w:type="dxa"/>
            <w:tcBorders>
              <w:top w:val="single" w:sz="4" w:space="0" w:color="auto"/>
              <w:left w:val="single" w:sz="4" w:space="0" w:color="auto"/>
              <w:bottom w:val="single" w:sz="4" w:space="0" w:color="auto"/>
              <w:right w:val="single" w:sz="4" w:space="0" w:color="auto"/>
            </w:tcBorders>
            <w:hideMark/>
          </w:tcPr>
          <w:p w:rsidR="00CA1D81" w:rsidRPr="00C620DB" w:rsidRDefault="00CA1D81" w:rsidP="00CA1D81">
            <w:pPr>
              <w:spacing w:after="0" w:line="240" w:lineRule="auto"/>
              <w:jc w:val="right"/>
              <w:rPr>
                <w:sz w:val="20"/>
                <w:szCs w:val="20"/>
              </w:rPr>
            </w:pPr>
            <w:r w:rsidRPr="00C620DB">
              <w:rPr>
                <w:sz w:val="20"/>
                <w:szCs w:val="20"/>
              </w:rPr>
              <w:t>7.643.683,00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line="240" w:lineRule="auto"/>
              <w:jc w:val="right"/>
              <w:rPr>
                <w:sz w:val="20"/>
                <w:szCs w:val="20"/>
              </w:rPr>
            </w:pPr>
            <w:r w:rsidRPr="00C620DB">
              <w:rPr>
                <w:sz w:val="20"/>
                <w:szCs w:val="20"/>
              </w:rPr>
              <w:t>7.643.683,00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7.643.683,00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7.643.683,00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7.643.683,00</w:t>
            </w:r>
          </w:p>
        </w:tc>
      </w:tr>
      <w:tr w:rsidR="00CA1D81" w:rsidRPr="00A03082"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rsidR="00CA1D81" w:rsidRPr="00A03082" w:rsidRDefault="00CA1D81" w:rsidP="00AD5BFF">
            <w:pPr>
              <w:tabs>
                <w:tab w:val="left" w:pos="1152"/>
              </w:tabs>
              <w:spacing w:after="0" w:line="240" w:lineRule="auto"/>
              <w:rPr>
                <w:rFonts w:eastAsia="Times New Roman"/>
                <w:sz w:val="20"/>
                <w:szCs w:val="20"/>
                <w:lang w:val="sr-Cyrl-BA"/>
              </w:rPr>
            </w:pPr>
            <w:r w:rsidRPr="00A03082">
              <w:rPr>
                <w:rFonts w:eastAsia="Times New Roman"/>
                <w:sz w:val="20"/>
                <w:szCs w:val="20"/>
                <w:lang w:val="sr-Cyrl-BA"/>
              </w:rPr>
              <w:t xml:space="preserve">буњевачке </w:t>
            </w:r>
          </w:p>
        </w:tc>
        <w:tc>
          <w:tcPr>
            <w:tcW w:w="1473" w:type="dxa"/>
            <w:tcBorders>
              <w:top w:val="single" w:sz="4" w:space="0" w:color="auto"/>
              <w:left w:val="single" w:sz="4" w:space="0" w:color="auto"/>
              <w:bottom w:val="single" w:sz="4" w:space="0" w:color="auto"/>
              <w:right w:val="single" w:sz="4" w:space="0" w:color="auto"/>
            </w:tcBorders>
            <w:hideMark/>
          </w:tcPr>
          <w:p w:rsidR="00CA1D81" w:rsidRPr="00C620DB" w:rsidRDefault="00CA1D81" w:rsidP="00CA1D81">
            <w:pPr>
              <w:spacing w:after="0" w:line="240" w:lineRule="auto"/>
              <w:jc w:val="right"/>
              <w:rPr>
                <w:sz w:val="20"/>
                <w:szCs w:val="20"/>
              </w:rPr>
            </w:pPr>
            <w:r w:rsidRPr="00C620DB">
              <w:rPr>
                <w:sz w:val="20"/>
                <w:szCs w:val="20"/>
              </w:rPr>
              <w:t>7.141.540,00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line="240" w:lineRule="auto"/>
              <w:jc w:val="right"/>
              <w:rPr>
                <w:sz w:val="20"/>
                <w:szCs w:val="20"/>
              </w:rPr>
            </w:pPr>
            <w:r w:rsidRPr="00C620DB">
              <w:rPr>
                <w:sz w:val="20"/>
                <w:szCs w:val="20"/>
              </w:rPr>
              <w:t>7.141.540,00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7.141.540,00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7.141.540,00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7.141.540,00</w:t>
            </w:r>
          </w:p>
        </w:tc>
      </w:tr>
      <w:tr w:rsidR="00CA1D81" w:rsidRPr="00A03082"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rsidR="00CA1D81" w:rsidRPr="00A03082" w:rsidRDefault="00CA1D81" w:rsidP="00AD5BFF">
            <w:pPr>
              <w:tabs>
                <w:tab w:val="left" w:pos="1152"/>
              </w:tabs>
              <w:spacing w:after="0" w:line="240" w:lineRule="auto"/>
              <w:rPr>
                <w:rFonts w:eastAsia="Times New Roman"/>
                <w:sz w:val="20"/>
                <w:szCs w:val="20"/>
                <w:lang w:val="sr-Cyrl-BA"/>
              </w:rPr>
            </w:pPr>
            <w:r w:rsidRPr="00A03082">
              <w:rPr>
                <w:rFonts w:eastAsia="Times New Roman"/>
                <w:sz w:val="20"/>
                <w:szCs w:val="20"/>
                <w:lang w:val="sr-Cyrl-BA"/>
              </w:rPr>
              <w:t xml:space="preserve">влашке </w:t>
            </w:r>
          </w:p>
        </w:tc>
        <w:tc>
          <w:tcPr>
            <w:tcW w:w="1473" w:type="dxa"/>
            <w:tcBorders>
              <w:top w:val="single" w:sz="4" w:space="0" w:color="auto"/>
              <w:left w:val="single" w:sz="4" w:space="0" w:color="auto"/>
              <w:bottom w:val="single" w:sz="4" w:space="0" w:color="auto"/>
              <w:right w:val="single" w:sz="4" w:space="0" w:color="auto"/>
            </w:tcBorders>
            <w:hideMark/>
          </w:tcPr>
          <w:p w:rsidR="00CA1D81" w:rsidRPr="00C620DB" w:rsidRDefault="00CA1D81" w:rsidP="00CA1D81">
            <w:pPr>
              <w:spacing w:after="0" w:line="240" w:lineRule="auto"/>
              <w:jc w:val="right"/>
              <w:rPr>
                <w:sz w:val="20"/>
                <w:szCs w:val="20"/>
              </w:rPr>
            </w:pPr>
            <w:r w:rsidRPr="00C620DB">
              <w:rPr>
                <w:sz w:val="20"/>
                <w:szCs w:val="20"/>
              </w:rPr>
              <w:t>7.757.459,00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line="240" w:lineRule="auto"/>
              <w:jc w:val="right"/>
              <w:rPr>
                <w:sz w:val="20"/>
                <w:szCs w:val="20"/>
              </w:rPr>
            </w:pPr>
            <w:r w:rsidRPr="00C620DB">
              <w:rPr>
                <w:sz w:val="20"/>
                <w:szCs w:val="20"/>
              </w:rPr>
              <w:t>7.757.459,00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7.757.459,00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7.757.459,00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7.757.459,00</w:t>
            </w:r>
          </w:p>
        </w:tc>
      </w:tr>
      <w:tr w:rsidR="00CA1D81" w:rsidRPr="00A03082"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rsidR="00CA1D81" w:rsidRPr="00A03082" w:rsidRDefault="00CA1D81" w:rsidP="00AD5BFF">
            <w:pPr>
              <w:tabs>
                <w:tab w:val="left" w:pos="1152"/>
              </w:tabs>
              <w:spacing w:after="0" w:line="240" w:lineRule="auto"/>
              <w:rPr>
                <w:rFonts w:eastAsia="Times New Roman"/>
                <w:sz w:val="20"/>
                <w:szCs w:val="20"/>
                <w:lang w:val="sr-Cyrl-BA"/>
              </w:rPr>
            </w:pPr>
            <w:r w:rsidRPr="00A03082">
              <w:rPr>
                <w:rFonts w:eastAsia="Times New Roman"/>
                <w:sz w:val="20"/>
                <w:szCs w:val="20"/>
                <w:lang w:val="sr-Cyrl-BA"/>
              </w:rPr>
              <w:t xml:space="preserve">грчке </w:t>
            </w:r>
          </w:p>
        </w:tc>
        <w:tc>
          <w:tcPr>
            <w:tcW w:w="1473" w:type="dxa"/>
            <w:tcBorders>
              <w:top w:val="single" w:sz="4" w:space="0" w:color="auto"/>
              <w:left w:val="single" w:sz="4" w:space="0" w:color="auto"/>
              <w:bottom w:val="single" w:sz="4" w:space="0" w:color="auto"/>
              <w:right w:val="single" w:sz="4" w:space="0" w:color="auto"/>
            </w:tcBorders>
            <w:hideMark/>
          </w:tcPr>
          <w:p w:rsidR="00CA1D81" w:rsidRPr="00C620DB" w:rsidRDefault="00CA1D81" w:rsidP="00CA1D81">
            <w:pPr>
              <w:spacing w:after="0" w:line="240" w:lineRule="auto"/>
              <w:jc w:val="right"/>
              <w:rPr>
                <w:sz w:val="20"/>
                <w:szCs w:val="20"/>
              </w:rPr>
            </w:pPr>
            <w:r w:rsidRPr="00C620DB">
              <w:rPr>
                <w:sz w:val="20"/>
                <w:szCs w:val="20"/>
              </w:rPr>
              <w:t>3.572.471,00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line="240" w:lineRule="auto"/>
              <w:jc w:val="right"/>
              <w:rPr>
                <w:sz w:val="20"/>
                <w:szCs w:val="20"/>
              </w:rPr>
            </w:pPr>
            <w:r w:rsidRPr="00C620DB">
              <w:rPr>
                <w:sz w:val="20"/>
                <w:szCs w:val="20"/>
              </w:rPr>
              <w:t>3.572.471,00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3.572.471,00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3.572.471,00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3.572.471,00</w:t>
            </w:r>
          </w:p>
        </w:tc>
      </w:tr>
      <w:tr w:rsidR="00CA1D81" w:rsidRPr="00A03082"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rsidR="00CA1D81" w:rsidRPr="00A03082" w:rsidRDefault="00CA1D81" w:rsidP="00AD5BFF">
            <w:pPr>
              <w:tabs>
                <w:tab w:val="left" w:pos="1152"/>
              </w:tabs>
              <w:spacing w:after="0" w:line="240" w:lineRule="auto"/>
              <w:rPr>
                <w:rFonts w:eastAsia="Times New Roman"/>
                <w:sz w:val="20"/>
                <w:szCs w:val="20"/>
                <w:lang w:val="sr-Cyrl-BA"/>
              </w:rPr>
            </w:pPr>
            <w:r w:rsidRPr="00A03082">
              <w:rPr>
                <w:rFonts w:eastAsia="Times New Roman"/>
                <w:sz w:val="20"/>
                <w:szCs w:val="20"/>
                <w:lang w:val="sr-Cyrl-BA"/>
              </w:rPr>
              <w:t xml:space="preserve">египатске </w:t>
            </w:r>
          </w:p>
        </w:tc>
        <w:tc>
          <w:tcPr>
            <w:tcW w:w="1473" w:type="dxa"/>
            <w:tcBorders>
              <w:top w:val="single" w:sz="4" w:space="0" w:color="auto"/>
              <w:left w:val="single" w:sz="4" w:space="0" w:color="auto"/>
              <w:bottom w:val="single" w:sz="4" w:space="0" w:color="auto"/>
              <w:right w:val="single" w:sz="4" w:space="0" w:color="auto"/>
            </w:tcBorders>
            <w:hideMark/>
          </w:tcPr>
          <w:p w:rsidR="00CA1D81" w:rsidRPr="00C620DB" w:rsidRDefault="00CA1D81" w:rsidP="00CA1D81">
            <w:pPr>
              <w:spacing w:after="0" w:line="240" w:lineRule="auto"/>
              <w:jc w:val="right"/>
              <w:rPr>
                <w:sz w:val="20"/>
                <w:szCs w:val="20"/>
              </w:rPr>
            </w:pPr>
            <w:r w:rsidRPr="00C620DB">
              <w:rPr>
                <w:sz w:val="20"/>
                <w:szCs w:val="20"/>
              </w:rPr>
              <w:t>3.683.326,00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line="240" w:lineRule="auto"/>
              <w:jc w:val="right"/>
              <w:rPr>
                <w:sz w:val="20"/>
                <w:szCs w:val="20"/>
              </w:rPr>
            </w:pPr>
            <w:r w:rsidRPr="00C620DB">
              <w:rPr>
                <w:sz w:val="20"/>
                <w:szCs w:val="20"/>
              </w:rPr>
              <w:t>3.683.326,00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3.683.326,00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3.683.326,00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3.683.326,00</w:t>
            </w:r>
          </w:p>
        </w:tc>
      </w:tr>
      <w:tr w:rsidR="00CA1D81" w:rsidRPr="00A03082" w:rsidTr="00AD5BFF">
        <w:trPr>
          <w:trHeight w:val="460"/>
        </w:trPr>
        <w:tc>
          <w:tcPr>
            <w:tcW w:w="1752" w:type="dxa"/>
            <w:tcBorders>
              <w:top w:val="single" w:sz="4" w:space="0" w:color="auto"/>
              <w:left w:val="single" w:sz="4" w:space="0" w:color="auto"/>
              <w:bottom w:val="single" w:sz="4" w:space="0" w:color="auto"/>
              <w:right w:val="single" w:sz="4" w:space="0" w:color="auto"/>
            </w:tcBorders>
            <w:hideMark/>
          </w:tcPr>
          <w:p w:rsidR="00CA1D81" w:rsidRPr="00A03082" w:rsidRDefault="00CA1D81" w:rsidP="00AD5BFF">
            <w:pPr>
              <w:tabs>
                <w:tab w:val="left" w:pos="1152"/>
              </w:tabs>
              <w:spacing w:after="0" w:line="240" w:lineRule="auto"/>
              <w:rPr>
                <w:rFonts w:eastAsia="Times New Roman"/>
                <w:sz w:val="20"/>
                <w:szCs w:val="20"/>
                <w:lang w:val="sr-Cyrl-BA"/>
              </w:rPr>
            </w:pPr>
            <w:r w:rsidRPr="00A03082">
              <w:rPr>
                <w:rFonts w:eastAsia="Times New Roman"/>
                <w:sz w:val="20"/>
                <w:szCs w:val="20"/>
                <w:lang w:val="sr-Cyrl-BA"/>
              </w:rPr>
              <w:t>Савез јеврејских општина</w:t>
            </w:r>
          </w:p>
        </w:tc>
        <w:tc>
          <w:tcPr>
            <w:tcW w:w="1473" w:type="dxa"/>
            <w:tcBorders>
              <w:top w:val="single" w:sz="4" w:space="0" w:color="auto"/>
              <w:left w:val="single" w:sz="4" w:space="0" w:color="auto"/>
              <w:bottom w:val="single" w:sz="4" w:space="0" w:color="auto"/>
              <w:right w:val="single" w:sz="4" w:space="0" w:color="auto"/>
            </w:tcBorders>
            <w:hideMark/>
          </w:tcPr>
          <w:p w:rsidR="00CA1D81" w:rsidRPr="00C620DB" w:rsidRDefault="00CA1D81" w:rsidP="00CA1D81">
            <w:pPr>
              <w:spacing w:after="0" w:line="240" w:lineRule="auto"/>
              <w:jc w:val="right"/>
              <w:rPr>
                <w:sz w:val="20"/>
                <w:szCs w:val="20"/>
              </w:rPr>
            </w:pPr>
            <w:r w:rsidRPr="00C620DB">
              <w:rPr>
                <w:sz w:val="20"/>
                <w:szCs w:val="20"/>
              </w:rPr>
              <w:t>3.616.063,00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line="240" w:lineRule="auto"/>
              <w:jc w:val="right"/>
              <w:rPr>
                <w:sz w:val="20"/>
                <w:szCs w:val="20"/>
              </w:rPr>
            </w:pPr>
            <w:r w:rsidRPr="00C620DB">
              <w:rPr>
                <w:sz w:val="20"/>
                <w:szCs w:val="20"/>
              </w:rPr>
              <w:t>3.616.063,00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3.616.063,00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3.616.063,00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3.616.063,00</w:t>
            </w:r>
          </w:p>
        </w:tc>
      </w:tr>
      <w:tr w:rsidR="00CA1D81" w:rsidRPr="00A03082"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rsidR="00CA1D81" w:rsidRPr="00A03082" w:rsidRDefault="00CA1D81" w:rsidP="00AD5BFF">
            <w:pPr>
              <w:tabs>
                <w:tab w:val="left" w:pos="1152"/>
              </w:tabs>
              <w:spacing w:after="0" w:line="240" w:lineRule="auto"/>
              <w:rPr>
                <w:rFonts w:eastAsia="Times New Roman"/>
                <w:sz w:val="20"/>
                <w:szCs w:val="20"/>
                <w:lang w:val="sr-Cyrl-BA"/>
              </w:rPr>
            </w:pPr>
            <w:r w:rsidRPr="00A03082">
              <w:rPr>
                <w:rFonts w:eastAsia="Times New Roman"/>
                <w:sz w:val="20"/>
                <w:szCs w:val="20"/>
                <w:lang w:val="sr-Cyrl-BA"/>
              </w:rPr>
              <w:t xml:space="preserve">мађарске </w:t>
            </w:r>
          </w:p>
        </w:tc>
        <w:tc>
          <w:tcPr>
            <w:tcW w:w="1473" w:type="dxa"/>
            <w:tcBorders>
              <w:top w:val="single" w:sz="4" w:space="0" w:color="auto"/>
              <w:left w:val="single" w:sz="4" w:space="0" w:color="auto"/>
              <w:bottom w:val="single" w:sz="4" w:space="0" w:color="auto"/>
              <w:right w:val="single" w:sz="4" w:space="0" w:color="auto"/>
            </w:tcBorders>
            <w:hideMark/>
          </w:tcPr>
          <w:p w:rsidR="00CA1D81" w:rsidRPr="00C620DB" w:rsidRDefault="00CA1D81" w:rsidP="00CA1D81">
            <w:pPr>
              <w:spacing w:after="0" w:line="240" w:lineRule="auto"/>
              <w:jc w:val="right"/>
              <w:rPr>
                <w:sz w:val="20"/>
                <w:szCs w:val="20"/>
              </w:rPr>
            </w:pPr>
            <w:r w:rsidRPr="00C620DB">
              <w:rPr>
                <w:sz w:val="20"/>
                <w:szCs w:val="20"/>
              </w:rPr>
              <w:t>59.438.983,00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line="240" w:lineRule="auto"/>
              <w:jc w:val="right"/>
              <w:rPr>
                <w:sz w:val="20"/>
                <w:szCs w:val="20"/>
              </w:rPr>
            </w:pPr>
            <w:r w:rsidRPr="00C620DB">
              <w:rPr>
                <w:sz w:val="20"/>
                <w:szCs w:val="20"/>
              </w:rPr>
              <w:t>59.438.983,00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59.438.983,00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59.438.983,00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59.438.983,00</w:t>
            </w:r>
          </w:p>
        </w:tc>
      </w:tr>
      <w:tr w:rsidR="00CA1D81" w:rsidRPr="00A03082"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rsidR="00CA1D81" w:rsidRPr="00A03082" w:rsidRDefault="00CA1D81" w:rsidP="00AD5BFF">
            <w:pPr>
              <w:tabs>
                <w:tab w:val="left" w:pos="1152"/>
              </w:tabs>
              <w:spacing w:after="0" w:line="240" w:lineRule="auto"/>
              <w:rPr>
                <w:rFonts w:eastAsia="Times New Roman"/>
                <w:sz w:val="20"/>
                <w:szCs w:val="20"/>
                <w:lang w:val="sr-Cyrl-BA"/>
              </w:rPr>
            </w:pPr>
            <w:r w:rsidRPr="00A03082">
              <w:rPr>
                <w:rFonts w:eastAsia="Times New Roman"/>
                <w:sz w:val="20"/>
                <w:szCs w:val="20"/>
                <w:lang w:val="sr-Cyrl-BA"/>
              </w:rPr>
              <w:t xml:space="preserve">македонске </w:t>
            </w:r>
          </w:p>
        </w:tc>
        <w:tc>
          <w:tcPr>
            <w:tcW w:w="1473" w:type="dxa"/>
            <w:tcBorders>
              <w:top w:val="single" w:sz="4" w:space="0" w:color="auto"/>
              <w:left w:val="single" w:sz="4" w:space="0" w:color="auto"/>
              <w:bottom w:val="single" w:sz="4" w:space="0" w:color="auto"/>
              <w:right w:val="single" w:sz="4" w:space="0" w:color="auto"/>
            </w:tcBorders>
            <w:hideMark/>
          </w:tcPr>
          <w:p w:rsidR="00CA1D81" w:rsidRPr="00C620DB" w:rsidRDefault="00CA1D81" w:rsidP="00CA1D81">
            <w:pPr>
              <w:spacing w:after="0" w:line="240" w:lineRule="auto"/>
              <w:jc w:val="right"/>
              <w:rPr>
                <w:sz w:val="20"/>
                <w:szCs w:val="20"/>
              </w:rPr>
            </w:pPr>
            <w:r w:rsidRPr="00C620DB">
              <w:rPr>
                <w:sz w:val="20"/>
                <w:szCs w:val="20"/>
              </w:rPr>
              <w:t>6.952.728,00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line="240" w:lineRule="auto"/>
              <w:jc w:val="right"/>
              <w:rPr>
                <w:sz w:val="20"/>
                <w:szCs w:val="20"/>
              </w:rPr>
            </w:pPr>
            <w:r w:rsidRPr="00C620DB">
              <w:rPr>
                <w:sz w:val="20"/>
                <w:szCs w:val="20"/>
              </w:rPr>
              <w:t>6.952.728,00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6.952.728,00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6.952.728,00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6.952.728,00</w:t>
            </w:r>
          </w:p>
        </w:tc>
      </w:tr>
      <w:tr w:rsidR="00CA1D81" w:rsidRPr="00A03082"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rsidR="00CA1D81" w:rsidRPr="00A03082" w:rsidRDefault="00CA1D81" w:rsidP="00AD5BFF">
            <w:pPr>
              <w:tabs>
                <w:tab w:val="left" w:pos="1152"/>
              </w:tabs>
              <w:spacing w:after="0" w:line="240" w:lineRule="auto"/>
              <w:rPr>
                <w:rFonts w:eastAsia="Times New Roman"/>
                <w:sz w:val="20"/>
                <w:szCs w:val="20"/>
                <w:lang w:val="sr-Cyrl-BA"/>
              </w:rPr>
            </w:pPr>
            <w:r w:rsidRPr="00A03082">
              <w:rPr>
                <w:rFonts w:eastAsia="Times New Roman"/>
                <w:sz w:val="20"/>
                <w:szCs w:val="20"/>
                <w:lang w:val="sr-Cyrl-BA"/>
              </w:rPr>
              <w:t xml:space="preserve">немачке </w:t>
            </w:r>
          </w:p>
        </w:tc>
        <w:tc>
          <w:tcPr>
            <w:tcW w:w="1473" w:type="dxa"/>
            <w:tcBorders>
              <w:top w:val="single" w:sz="4" w:space="0" w:color="auto"/>
              <w:left w:val="single" w:sz="4" w:space="0" w:color="auto"/>
              <w:bottom w:val="single" w:sz="4" w:space="0" w:color="auto"/>
              <w:right w:val="single" w:sz="4" w:space="0" w:color="auto"/>
            </w:tcBorders>
            <w:hideMark/>
          </w:tcPr>
          <w:p w:rsidR="00CA1D81" w:rsidRPr="00C620DB" w:rsidRDefault="00CA1D81" w:rsidP="00CA1D81">
            <w:pPr>
              <w:spacing w:after="0" w:line="240" w:lineRule="auto"/>
              <w:jc w:val="right"/>
              <w:rPr>
                <w:sz w:val="20"/>
                <w:szCs w:val="20"/>
              </w:rPr>
            </w:pPr>
            <w:r w:rsidRPr="00C620DB">
              <w:rPr>
                <w:sz w:val="20"/>
                <w:szCs w:val="20"/>
              </w:rPr>
              <w:t>3.963.046,00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line="240" w:lineRule="auto"/>
              <w:jc w:val="right"/>
              <w:rPr>
                <w:sz w:val="20"/>
                <w:szCs w:val="20"/>
              </w:rPr>
            </w:pPr>
            <w:r w:rsidRPr="00C620DB">
              <w:rPr>
                <w:sz w:val="20"/>
                <w:szCs w:val="20"/>
              </w:rPr>
              <w:t>3.963.046,00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3.963.046,00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3.963.046,00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3.963.046,00</w:t>
            </w:r>
          </w:p>
        </w:tc>
      </w:tr>
      <w:tr w:rsidR="00CA1D81" w:rsidRPr="00A03082" w:rsidTr="00AD5BFF">
        <w:trPr>
          <w:trHeight w:val="268"/>
        </w:trPr>
        <w:tc>
          <w:tcPr>
            <w:tcW w:w="1752" w:type="dxa"/>
            <w:tcBorders>
              <w:top w:val="single" w:sz="4" w:space="0" w:color="auto"/>
              <w:left w:val="single" w:sz="4" w:space="0" w:color="auto"/>
              <w:bottom w:val="single" w:sz="4" w:space="0" w:color="auto"/>
              <w:right w:val="single" w:sz="4" w:space="0" w:color="auto"/>
            </w:tcBorders>
          </w:tcPr>
          <w:p w:rsidR="00CA1D81" w:rsidRPr="00A03082" w:rsidRDefault="00CA1D81" w:rsidP="00AD5BFF">
            <w:pPr>
              <w:tabs>
                <w:tab w:val="left" w:pos="1152"/>
              </w:tabs>
              <w:spacing w:after="0" w:line="240" w:lineRule="auto"/>
              <w:rPr>
                <w:rFonts w:eastAsia="Times New Roman"/>
                <w:sz w:val="20"/>
                <w:szCs w:val="20"/>
                <w:lang w:val="sr-Cyrl-BA"/>
              </w:rPr>
            </w:pPr>
            <w:r>
              <w:rPr>
                <w:rFonts w:eastAsia="Times New Roman"/>
                <w:sz w:val="20"/>
                <w:szCs w:val="20"/>
                <w:lang w:val="sr-Cyrl-BA"/>
              </w:rPr>
              <w:t>пољ</w:t>
            </w:r>
            <w:r w:rsidRPr="00A03082">
              <w:rPr>
                <w:rFonts w:eastAsia="Times New Roman"/>
                <w:sz w:val="20"/>
                <w:szCs w:val="20"/>
                <w:lang w:val="sr-Cyrl-BA"/>
              </w:rPr>
              <w:t xml:space="preserve">ске </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line="240" w:lineRule="auto"/>
              <w:jc w:val="right"/>
              <w:rPr>
                <w:sz w:val="20"/>
                <w:szCs w:val="20"/>
              </w:rPr>
            </w:pP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line="240" w:lineRule="auto"/>
              <w:jc w:val="right"/>
              <w:rPr>
                <w:sz w:val="20"/>
                <w:szCs w:val="20"/>
              </w:rPr>
            </w:pPr>
          </w:p>
        </w:tc>
        <w:tc>
          <w:tcPr>
            <w:tcW w:w="1473" w:type="dxa"/>
            <w:tcBorders>
              <w:top w:val="single" w:sz="4" w:space="0" w:color="auto"/>
              <w:left w:val="single" w:sz="4" w:space="0" w:color="auto"/>
              <w:bottom w:val="single" w:sz="4" w:space="0" w:color="auto"/>
              <w:right w:val="single" w:sz="4" w:space="0" w:color="auto"/>
            </w:tcBorders>
            <w:vAlign w:val="bottom"/>
          </w:tcPr>
          <w:p w:rsidR="00CA1D81" w:rsidRPr="00C620DB" w:rsidRDefault="00CA1D81" w:rsidP="00CA1D81">
            <w:pPr>
              <w:spacing w:after="0"/>
              <w:jc w:val="right"/>
              <w:rPr>
                <w:color w:val="000000"/>
                <w:sz w:val="20"/>
                <w:szCs w:val="20"/>
                <w:lang w:val="sr-Cyrl-RS"/>
              </w:rPr>
            </w:pPr>
            <w:r w:rsidRPr="00C620DB">
              <w:rPr>
                <w:color w:val="000000"/>
                <w:sz w:val="20"/>
                <w:szCs w:val="20"/>
              </w:rPr>
              <w:t>3</w:t>
            </w:r>
            <w:r w:rsidRPr="00C620DB">
              <w:rPr>
                <w:color w:val="000000"/>
                <w:sz w:val="20"/>
                <w:szCs w:val="20"/>
                <w:lang w:val="sr-Cyrl-RS"/>
              </w:rPr>
              <w:t>.</w:t>
            </w:r>
            <w:r w:rsidRPr="00C620DB">
              <w:rPr>
                <w:color w:val="000000"/>
                <w:sz w:val="20"/>
                <w:szCs w:val="20"/>
              </w:rPr>
              <w:t>326</w:t>
            </w:r>
            <w:r w:rsidRPr="00C620DB">
              <w:rPr>
                <w:color w:val="000000"/>
                <w:sz w:val="20"/>
                <w:szCs w:val="20"/>
                <w:lang w:val="sr-Cyrl-RS"/>
              </w:rPr>
              <w:t>.</w:t>
            </w:r>
            <w:r w:rsidRPr="00C620DB">
              <w:rPr>
                <w:color w:val="000000"/>
                <w:sz w:val="20"/>
                <w:szCs w:val="20"/>
              </w:rPr>
              <w:t>088</w:t>
            </w:r>
            <w:r w:rsidRPr="00C620DB">
              <w:rPr>
                <w:color w:val="000000"/>
                <w:sz w:val="20"/>
                <w:szCs w:val="20"/>
                <w:lang w:val="sr-Cyrl-RS"/>
              </w:rPr>
              <w:t>,00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color w:val="000000"/>
                <w:sz w:val="20"/>
                <w:szCs w:val="20"/>
              </w:rPr>
              <w:t>3</w:t>
            </w:r>
            <w:r w:rsidRPr="00C620DB">
              <w:rPr>
                <w:color w:val="000000"/>
                <w:sz w:val="20"/>
                <w:szCs w:val="20"/>
                <w:lang w:val="sr-Cyrl-RS"/>
              </w:rPr>
              <w:t>.</w:t>
            </w:r>
            <w:r w:rsidRPr="00C620DB">
              <w:rPr>
                <w:color w:val="000000"/>
                <w:sz w:val="20"/>
                <w:szCs w:val="20"/>
              </w:rPr>
              <w:t>326</w:t>
            </w:r>
            <w:r w:rsidRPr="00C620DB">
              <w:rPr>
                <w:color w:val="000000"/>
                <w:sz w:val="20"/>
                <w:szCs w:val="20"/>
                <w:lang w:val="sr-Cyrl-RS"/>
              </w:rPr>
              <w:t>.</w:t>
            </w:r>
            <w:r w:rsidRPr="00C620DB">
              <w:rPr>
                <w:color w:val="000000"/>
                <w:sz w:val="20"/>
                <w:szCs w:val="20"/>
              </w:rPr>
              <w:t>088</w:t>
            </w:r>
            <w:r w:rsidRPr="00C620DB">
              <w:rPr>
                <w:color w:val="000000"/>
                <w:sz w:val="20"/>
                <w:szCs w:val="20"/>
                <w:lang w:val="sr-Cyrl-RS"/>
              </w:rPr>
              <w:t>,00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color w:val="000000"/>
                <w:sz w:val="20"/>
                <w:szCs w:val="20"/>
              </w:rPr>
              <w:t>3</w:t>
            </w:r>
            <w:r w:rsidRPr="00C620DB">
              <w:rPr>
                <w:color w:val="000000"/>
                <w:sz w:val="20"/>
                <w:szCs w:val="20"/>
                <w:lang w:val="sr-Cyrl-RS"/>
              </w:rPr>
              <w:t>.</w:t>
            </w:r>
            <w:r w:rsidRPr="00C620DB">
              <w:rPr>
                <w:color w:val="000000"/>
                <w:sz w:val="20"/>
                <w:szCs w:val="20"/>
              </w:rPr>
              <w:t>326</w:t>
            </w:r>
            <w:r w:rsidRPr="00C620DB">
              <w:rPr>
                <w:color w:val="000000"/>
                <w:sz w:val="20"/>
                <w:szCs w:val="20"/>
                <w:lang w:val="sr-Cyrl-RS"/>
              </w:rPr>
              <w:t>.</w:t>
            </w:r>
            <w:r w:rsidRPr="00C620DB">
              <w:rPr>
                <w:color w:val="000000"/>
                <w:sz w:val="20"/>
                <w:szCs w:val="20"/>
              </w:rPr>
              <w:t>088</w:t>
            </w:r>
            <w:r w:rsidRPr="00C620DB">
              <w:rPr>
                <w:color w:val="000000"/>
                <w:sz w:val="20"/>
                <w:szCs w:val="20"/>
                <w:lang w:val="sr-Cyrl-RS"/>
              </w:rPr>
              <w:t>,00</w:t>
            </w:r>
          </w:p>
        </w:tc>
      </w:tr>
      <w:tr w:rsidR="00CA1D81" w:rsidRPr="00A03082"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rsidR="00CA1D81" w:rsidRPr="00A03082" w:rsidRDefault="00CA1D81" w:rsidP="00AD5BFF">
            <w:pPr>
              <w:tabs>
                <w:tab w:val="left" w:pos="1152"/>
              </w:tabs>
              <w:spacing w:after="0" w:line="240" w:lineRule="auto"/>
              <w:rPr>
                <w:rFonts w:eastAsia="Times New Roman"/>
                <w:sz w:val="20"/>
                <w:szCs w:val="20"/>
                <w:lang w:val="sr-Cyrl-BA"/>
              </w:rPr>
            </w:pPr>
            <w:r w:rsidRPr="00A03082">
              <w:rPr>
                <w:rFonts w:eastAsia="Times New Roman"/>
                <w:sz w:val="20"/>
                <w:szCs w:val="20"/>
                <w:lang w:val="sr-Cyrl-BA"/>
              </w:rPr>
              <w:t xml:space="preserve">ромске </w:t>
            </w:r>
          </w:p>
        </w:tc>
        <w:tc>
          <w:tcPr>
            <w:tcW w:w="1473" w:type="dxa"/>
            <w:tcBorders>
              <w:top w:val="single" w:sz="4" w:space="0" w:color="auto"/>
              <w:left w:val="single" w:sz="4" w:space="0" w:color="auto"/>
              <w:bottom w:val="single" w:sz="4" w:space="0" w:color="auto"/>
              <w:right w:val="single" w:sz="4" w:space="0" w:color="auto"/>
            </w:tcBorders>
            <w:hideMark/>
          </w:tcPr>
          <w:p w:rsidR="00CA1D81" w:rsidRPr="00C620DB" w:rsidRDefault="00CA1D81" w:rsidP="00CA1D81">
            <w:pPr>
              <w:spacing w:after="0" w:line="240" w:lineRule="auto"/>
              <w:jc w:val="right"/>
              <w:rPr>
                <w:sz w:val="20"/>
                <w:szCs w:val="20"/>
              </w:rPr>
            </w:pPr>
            <w:r w:rsidRPr="00C620DB">
              <w:rPr>
                <w:sz w:val="20"/>
                <w:szCs w:val="20"/>
              </w:rPr>
              <w:t>22.122.634,00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line="240" w:lineRule="auto"/>
              <w:jc w:val="right"/>
              <w:rPr>
                <w:sz w:val="20"/>
                <w:szCs w:val="20"/>
              </w:rPr>
            </w:pPr>
            <w:r w:rsidRPr="00C620DB">
              <w:rPr>
                <w:sz w:val="20"/>
                <w:szCs w:val="20"/>
              </w:rPr>
              <w:t>22.122.634,00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22.122.634,00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22.122.634,00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22.122.634,00</w:t>
            </w:r>
          </w:p>
        </w:tc>
      </w:tr>
      <w:tr w:rsidR="00CA1D81" w:rsidRPr="00A03082"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rsidR="00CA1D81" w:rsidRPr="00A03082" w:rsidRDefault="00CA1D81" w:rsidP="00AD5BFF">
            <w:pPr>
              <w:tabs>
                <w:tab w:val="left" w:pos="1152"/>
              </w:tabs>
              <w:spacing w:after="0" w:line="240" w:lineRule="auto"/>
              <w:rPr>
                <w:rFonts w:eastAsia="Times New Roman"/>
                <w:sz w:val="20"/>
                <w:szCs w:val="20"/>
                <w:lang w:val="sr-Cyrl-BA"/>
              </w:rPr>
            </w:pPr>
            <w:r w:rsidRPr="00A03082">
              <w:rPr>
                <w:rFonts w:eastAsia="Times New Roman"/>
                <w:sz w:val="20"/>
                <w:szCs w:val="20"/>
                <w:lang w:val="sr-Cyrl-BA"/>
              </w:rPr>
              <w:t xml:space="preserve">румунске </w:t>
            </w:r>
          </w:p>
        </w:tc>
        <w:tc>
          <w:tcPr>
            <w:tcW w:w="1473" w:type="dxa"/>
            <w:tcBorders>
              <w:top w:val="single" w:sz="4" w:space="0" w:color="auto"/>
              <w:left w:val="single" w:sz="4" w:space="0" w:color="auto"/>
              <w:bottom w:val="single" w:sz="4" w:space="0" w:color="auto"/>
              <w:right w:val="single" w:sz="4" w:space="0" w:color="auto"/>
            </w:tcBorders>
            <w:hideMark/>
          </w:tcPr>
          <w:p w:rsidR="00CA1D81" w:rsidRPr="00C620DB" w:rsidRDefault="00CA1D81" w:rsidP="00CA1D81">
            <w:pPr>
              <w:spacing w:after="0" w:line="240" w:lineRule="auto"/>
              <w:jc w:val="right"/>
              <w:rPr>
                <w:sz w:val="20"/>
                <w:szCs w:val="20"/>
              </w:rPr>
            </w:pPr>
            <w:r w:rsidRPr="00C620DB">
              <w:rPr>
                <w:sz w:val="20"/>
                <w:szCs w:val="20"/>
              </w:rPr>
              <w:t>14.160.015,00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line="240" w:lineRule="auto"/>
              <w:jc w:val="right"/>
              <w:rPr>
                <w:sz w:val="20"/>
                <w:szCs w:val="20"/>
              </w:rPr>
            </w:pPr>
            <w:r w:rsidRPr="00C620DB">
              <w:rPr>
                <w:sz w:val="20"/>
                <w:szCs w:val="20"/>
              </w:rPr>
              <w:t>14.160.015,00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14.160.015,00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14.160.015,00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14.160.015,00</w:t>
            </w:r>
          </w:p>
        </w:tc>
      </w:tr>
      <w:tr w:rsidR="00CA1D81" w:rsidRPr="00A03082"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rsidR="00CA1D81" w:rsidRPr="00A03082" w:rsidRDefault="00CA1D81" w:rsidP="00AD5BFF">
            <w:pPr>
              <w:tabs>
                <w:tab w:val="left" w:pos="1152"/>
              </w:tabs>
              <w:spacing w:after="0" w:line="240" w:lineRule="auto"/>
              <w:rPr>
                <w:rFonts w:eastAsia="Times New Roman"/>
                <w:sz w:val="20"/>
                <w:szCs w:val="20"/>
                <w:lang w:val="sr-Cyrl-BA"/>
              </w:rPr>
            </w:pPr>
            <w:r w:rsidRPr="00A03082">
              <w:rPr>
                <w:rFonts w:eastAsia="Times New Roman"/>
                <w:sz w:val="20"/>
                <w:szCs w:val="20"/>
                <w:lang w:val="sr-Cyrl-BA"/>
              </w:rPr>
              <w:t xml:space="preserve">русинске </w:t>
            </w:r>
          </w:p>
        </w:tc>
        <w:tc>
          <w:tcPr>
            <w:tcW w:w="1473" w:type="dxa"/>
            <w:tcBorders>
              <w:top w:val="single" w:sz="4" w:space="0" w:color="auto"/>
              <w:left w:val="single" w:sz="4" w:space="0" w:color="auto"/>
              <w:bottom w:val="single" w:sz="4" w:space="0" w:color="auto"/>
              <w:right w:val="single" w:sz="4" w:space="0" w:color="auto"/>
            </w:tcBorders>
            <w:hideMark/>
          </w:tcPr>
          <w:p w:rsidR="00CA1D81" w:rsidRPr="00C620DB" w:rsidRDefault="00CA1D81" w:rsidP="00CA1D81">
            <w:pPr>
              <w:spacing w:after="0" w:line="240" w:lineRule="auto"/>
              <w:jc w:val="right"/>
              <w:rPr>
                <w:sz w:val="20"/>
                <w:szCs w:val="20"/>
              </w:rPr>
            </w:pPr>
            <w:r w:rsidRPr="00C620DB">
              <w:rPr>
                <w:sz w:val="20"/>
                <w:szCs w:val="20"/>
              </w:rPr>
              <w:t>9.033.971,00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line="240" w:lineRule="auto"/>
              <w:jc w:val="right"/>
              <w:rPr>
                <w:sz w:val="20"/>
                <w:szCs w:val="20"/>
              </w:rPr>
            </w:pPr>
            <w:r w:rsidRPr="00C620DB">
              <w:rPr>
                <w:sz w:val="20"/>
                <w:szCs w:val="20"/>
              </w:rPr>
              <w:t>9.033.971,00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9.033.971,00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9.033.971,00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9.033.971,00</w:t>
            </w:r>
          </w:p>
        </w:tc>
      </w:tr>
      <w:tr w:rsidR="00CA1D81" w:rsidRPr="00A03082" w:rsidTr="00AD5BFF">
        <w:trPr>
          <w:trHeight w:val="261"/>
        </w:trPr>
        <w:tc>
          <w:tcPr>
            <w:tcW w:w="1752" w:type="dxa"/>
            <w:tcBorders>
              <w:top w:val="single" w:sz="4" w:space="0" w:color="auto"/>
              <w:left w:val="single" w:sz="4" w:space="0" w:color="auto"/>
              <w:bottom w:val="single" w:sz="4" w:space="0" w:color="auto"/>
              <w:right w:val="single" w:sz="4" w:space="0" w:color="auto"/>
            </w:tcBorders>
          </w:tcPr>
          <w:p w:rsidR="00CA1D81" w:rsidRPr="00A03082" w:rsidRDefault="00CA1D81" w:rsidP="00AD5BFF">
            <w:pPr>
              <w:tabs>
                <w:tab w:val="left" w:pos="1152"/>
              </w:tabs>
              <w:spacing w:after="0" w:line="240" w:lineRule="auto"/>
              <w:rPr>
                <w:rFonts w:eastAsia="Times New Roman"/>
                <w:sz w:val="20"/>
                <w:szCs w:val="20"/>
                <w:lang w:val="sr-Cyrl-BA"/>
              </w:rPr>
            </w:pPr>
            <w:r w:rsidRPr="00A03082">
              <w:rPr>
                <w:rFonts w:eastAsia="Times New Roman"/>
                <w:sz w:val="20"/>
                <w:szCs w:val="20"/>
                <w:lang w:val="sr-Cyrl-BA"/>
              </w:rPr>
              <w:t xml:space="preserve">руске </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line="240" w:lineRule="auto"/>
              <w:jc w:val="right"/>
              <w:rPr>
                <w:sz w:val="20"/>
                <w:szCs w:val="20"/>
              </w:rPr>
            </w:pP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line="240" w:lineRule="auto"/>
              <w:jc w:val="right"/>
              <w:rPr>
                <w:sz w:val="20"/>
                <w:szCs w:val="20"/>
              </w:rPr>
            </w:pPr>
          </w:p>
        </w:tc>
        <w:tc>
          <w:tcPr>
            <w:tcW w:w="1473" w:type="dxa"/>
            <w:tcBorders>
              <w:top w:val="single" w:sz="4" w:space="0" w:color="auto"/>
              <w:left w:val="single" w:sz="4" w:space="0" w:color="auto"/>
              <w:bottom w:val="single" w:sz="4" w:space="0" w:color="auto"/>
              <w:right w:val="single" w:sz="4" w:space="0" w:color="auto"/>
            </w:tcBorders>
            <w:vAlign w:val="bottom"/>
          </w:tcPr>
          <w:p w:rsidR="00CA1D81" w:rsidRPr="00C620DB" w:rsidRDefault="00CA1D81" w:rsidP="00CA1D81">
            <w:pPr>
              <w:spacing w:after="0"/>
              <w:jc w:val="right"/>
              <w:rPr>
                <w:color w:val="000000"/>
                <w:sz w:val="20"/>
                <w:szCs w:val="20"/>
                <w:lang w:val="sr-Cyrl-RS"/>
              </w:rPr>
            </w:pPr>
            <w:r w:rsidRPr="00C620DB">
              <w:rPr>
                <w:color w:val="000000"/>
                <w:sz w:val="20"/>
                <w:szCs w:val="20"/>
              </w:rPr>
              <w:t>3</w:t>
            </w:r>
            <w:r w:rsidRPr="00C620DB">
              <w:rPr>
                <w:color w:val="000000"/>
                <w:sz w:val="20"/>
                <w:szCs w:val="20"/>
                <w:lang w:val="sr-Cyrl-RS"/>
              </w:rPr>
              <w:t>.</w:t>
            </w:r>
            <w:r w:rsidRPr="00C620DB">
              <w:rPr>
                <w:color w:val="000000"/>
                <w:sz w:val="20"/>
                <w:szCs w:val="20"/>
              </w:rPr>
              <w:t>326</w:t>
            </w:r>
            <w:r w:rsidRPr="00C620DB">
              <w:rPr>
                <w:color w:val="000000"/>
                <w:sz w:val="20"/>
                <w:szCs w:val="20"/>
                <w:lang w:val="sr-Cyrl-RS"/>
              </w:rPr>
              <w:t>.</w:t>
            </w:r>
            <w:r w:rsidRPr="00C620DB">
              <w:rPr>
                <w:color w:val="000000"/>
                <w:sz w:val="20"/>
                <w:szCs w:val="20"/>
              </w:rPr>
              <w:t>088</w:t>
            </w:r>
            <w:r w:rsidRPr="00C620DB">
              <w:rPr>
                <w:color w:val="000000"/>
                <w:sz w:val="20"/>
                <w:szCs w:val="20"/>
                <w:lang w:val="sr-Cyrl-RS"/>
              </w:rPr>
              <w:t>,00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color w:val="000000"/>
                <w:sz w:val="20"/>
                <w:szCs w:val="20"/>
              </w:rPr>
              <w:t>3</w:t>
            </w:r>
            <w:r w:rsidRPr="00C620DB">
              <w:rPr>
                <w:color w:val="000000"/>
                <w:sz w:val="20"/>
                <w:szCs w:val="20"/>
                <w:lang w:val="sr-Cyrl-RS"/>
              </w:rPr>
              <w:t>.</w:t>
            </w:r>
            <w:r w:rsidRPr="00C620DB">
              <w:rPr>
                <w:color w:val="000000"/>
                <w:sz w:val="20"/>
                <w:szCs w:val="20"/>
              </w:rPr>
              <w:t>326</w:t>
            </w:r>
            <w:r w:rsidRPr="00C620DB">
              <w:rPr>
                <w:color w:val="000000"/>
                <w:sz w:val="20"/>
                <w:szCs w:val="20"/>
                <w:lang w:val="sr-Cyrl-RS"/>
              </w:rPr>
              <w:t>.</w:t>
            </w:r>
            <w:r w:rsidRPr="00C620DB">
              <w:rPr>
                <w:color w:val="000000"/>
                <w:sz w:val="20"/>
                <w:szCs w:val="20"/>
              </w:rPr>
              <w:t>088</w:t>
            </w:r>
            <w:r w:rsidRPr="00C620DB">
              <w:rPr>
                <w:color w:val="000000"/>
                <w:sz w:val="20"/>
                <w:szCs w:val="20"/>
                <w:lang w:val="sr-Cyrl-RS"/>
              </w:rPr>
              <w:t>,00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color w:val="000000"/>
                <w:sz w:val="20"/>
                <w:szCs w:val="20"/>
              </w:rPr>
              <w:t>3</w:t>
            </w:r>
            <w:r w:rsidRPr="00C620DB">
              <w:rPr>
                <w:color w:val="000000"/>
                <w:sz w:val="20"/>
                <w:szCs w:val="20"/>
                <w:lang w:val="sr-Cyrl-RS"/>
              </w:rPr>
              <w:t>.</w:t>
            </w:r>
            <w:r w:rsidRPr="00C620DB">
              <w:rPr>
                <w:color w:val="000000"/>
                <w:sz w:val="20"/>
                <w:szCs w:val="20"/>
              </w:rPr>
              <w:t>326</w:t>
            </w:r>
            <w:r w:rsidRPr="00C620DB">
              <w:rPr>
                <w:color w:val="000000"/>
                <w:sz w:val="20"/>
                <w:szCs w:val="20"/>
                <w:lang w:val="sr-Cyrl-RS"/>
              </w:rPr>
              <w:t>.</w:t>
            </w:r>
            <w:r w:rsidRPr="00C620DB">
              <w:rPr>
                <w:color w:val="000000"/>
                <w:sz w:val="20"/>
                <w:szCs w:val="20"/>
              </w:rPr>
              <w:t>088</w:t>
            </w:r>
            <w:r w:rsidRPr="00C620DB">
              <w:rPr>
                <w:color w:val="000000"/>
                <w:sz w:val="20"/>
                <w:szCs w:val="20"/>
                <w:lang w:val="sr-Cyrl-RS"/>
              </w:rPr>
              <w:t>,00</w:t>
            </w:r>
          </w:p>
        </w:tc>
      </w:tr>
      <w:tr w:rsidR="00CA1D81" w:rsidRPr="00A03082"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rsidR="00CA1D81" w:rsidRPr="00A03082" w:rsidRDefault="00CA1D81" w:rsidP="00AD5BFF">
            <w:pPr>
              <w:tabs>
                <w:tab w:val="left" w:pos="1152"/>
              </w:tabs>
              <w:spacing w:after="0" w:line="240" w:lineRule="auto"/>
              <w:rPr>
                <w:rFonts w:eastAsia="Times New Roman"/>
                <w:sz w:val="20"/>
                <w:szCs w:val="20"/>
                <w:lang w:val="sr-Cyrl-BA"/>
              </w:rPr>
            </w:pPr>
            <w:r w:rsidRPr="00A03082">
              <w:rPr>
                <w:rFonts w:eastAsia="Times New Roman"/>
                <w:sz w:val="20"/>
                <w:szCs w:val="20"/>
                <w:lang w:val="sr-Cyrl-BA"/>
              </w:rPr>
              <w:t xml:space="preserve">словачке </w:t>
            </w:r>
          </w:p>
        </w:tc>
        <w:tc>
          <w:tcPr>
            <w:tcW w:w="1473" w:type="dxa"/>
            <w:tcBorders>
              <w:top w:val="single" w:sz="4" w:space="0" w:color="auto"/>
              <w:left w:val="single" w:sz="4" w:space="0" w:color="auto"/>
              <w:bottom w:val="single" w:sz="4" w:space="0" w:color="auto"/>
              <w:right w:val="single" w:sz="4" w:space="0" w:color="auto"/>
            </w:tcBorders>
            <w:hideMark/>
          </w:tcPr>
          <w:p w:rsidR="00CA1D81" w:rsidRPr="00C620DB" w:rsidRDefault="00CA1D81" w:rsidP="00CA1D81">
            <w:pPr>
              <w:spacing w:after="0" w:line="240" w:lineRule="auto"/>
              <w:jc w:val="right"/>
              <w:rPr>
                <w:sz w:val="20"/>
                <w:szCs w:val="20"/>
              </w:rPr>
            </w:pPr>
            <w:r w:rsidRPr="00C620DB">
              <w:rPr>
                <w:sz w:val="20"/>
                <w:szCs w:val="20"/>
              </w:rPr>
              <w:t>17.778.529,00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line="240" w:lineRule="auto"/>
              <w:jc w:val="right"/>
              <w:rPr>
                <w:sz w:val="20"/>
                <w:szCs w:val="20"/>
              </w:rPr>
            </w:pPr>
            <w:r w:rsidRPr="00C620DB">
              <w:rPr>
                <w:sz w:val="20"/>
                <w:szCs w:val="20"/>
              </w:rPr>
              <w:t>17.778.529,00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17.778.529,00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17.778.529,00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17.778.529,00</w:t>
            </w:r>
          </w:p>
        </w:tc>
      </w:tr>
      <w:tr w:rsidR="00CA1D81" w:rsidRPr="00A03082"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rsidR="00CA1D81" w:rsidRPr="00A03082" w:rsidRDefault="00CA1D81" w:rsidP="00AD5BFF">
            <w:pPr>
              <w:tabs>
                <w:tab w:val="left" w:pos="1152"/>
              </w:tabs>
              <w:spacing w:after="0" w:line="240" w:lineRule="auto"/>
              <w:rPr>
                <w:rFonts w:eastAsia="Times New Roman"/>
                <w:sz w:val="20"/>
                <w:szCs w:val="20"/>
                <w:lang w:val="sr-Cyrl-BA"/>
              </w:rPr>
            </w:pPr>
            <w:r w:rsidRPr="00A03082">
              <w:rPr>
                <w:rFonts w:eastAsia="Times New Roman"/>
                <w:sz w:val="20"/>
                <w:szCs w:val="20"/>
                <w:lang w:val="sr-Cyrl-BA"/>
              </w:rPr>
              <w:t xml:space="preserve">словеначке </w:t>
            </w:r>
          </w:p>
        </w:tc>
        <w:tc>
          <w:tcPr>
            <w:tcW w:w="1473" w:type="dxa"/>
            <w:tcBorders>
              <w:top w:val="single" w:sz="4" w:space="0" w:color="auto"/>
              <w:left w:val="single" w:sz="4" w:space="0" w:color="auto"/>
              <w:bottom w:val="single" w:sz="4" w:space="0" w:color="auto"/>
              <w:right w:val="single" w:sz="4" w:space="0" w:color="auto"/>
            </w:tcBorders>
            <w:hideMark/>
          </w:tcPr>
          <w:p w:rsidR="00CA1D81" w:rsidRPr="00C620DB" w:rsidRDefault="00CA1D81" w:rsidP="00CA1D81">
            <w:pPr>
              <w:spacing w:after="0" w:line="240" w:lineRule="auto"/>
              <w:jc w:val="right"/>
              <w:rPr>
                <w:sz w:val="20"/>
                <w:szCs w:val="20"/>
              </w:rPr>
            </w:pPr>
            <w:r w:rsidRPr="00C620DB">
              <w:rPr>
                <w:sz w:val="20"/>
                <w:szCs w:val="20"/>
              </w:rPr>
              <w:t>4.095.241,00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line="240" w:lineRule="auto"/>
              <w:jc w:val="right"/>
              <w:rPr>
                <w:sz w:val="20"/>
                <w:szCs w:val="20"/>
              </w:rPr>
            </w:pPr>
            <w:r w:rsidRPr="00C620DB">
              <w:rPr>
                <w:sz w:val="20"/>
                <w:szCs w:val="20"/>
              </w:rPr>
              <w:t>4.095.241,00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4.095.241,00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4.095.241,00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4.095.241,00</w:t>
            </w:r>
          </w:p>
        </w:tc>
      </w:tr>
      <w:tr w:rsidR="00CA1D81" w:rsidRPr="00A03082"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rsidR="00CA1D81" w:rsidRPr="00A03082" w:rsidRDefault="00CA1D81" w:rsidP="00AD5BFF">
            <w:pPr>
              <w:tabs>
                <w:tab w:val="left" w:pos="1152"/>
              </w:tabs>
              <w:spacing w:after="0" w:line="240" w:lineRule="auto"/>
              <w:rPr>
                <w:rFonts w:eastAsia="Times New Roman"/>
                <w:sz w:val="20"/>
                <w:szCs w:val="20"/>
                <w:lang w:val="sr-Cyrl-BA"/>
              </w:rPr>
            </w:pPr>
            <w:r w:rsidRPr="00A03082">
              <w:rPr>
                <w:rFonts w:eastAsia="Times New Roman"/>
                <w:sz w:val="20"/>
                <w:szCs w:val="20"/>
                <w:lang w:val="sr-Cyrl-BA"/>
              </w:rPr>
              <w:t xml:space="preserve">украјинске </w:t>
            </w:r>
          </w:p>
        </w:tc>
        <w:tc>
          <w:tcPr>
            <w:tcW w:w="1473" w:type="dxa"/>
            <w:tcBorders>
              <w:top w:val="single" w:sz="4" w:space="0" w:color="auto"/>
              <w:left w:val="single" w:sz="4" w:space="0" w:color="auto"/>
              <w:bottom w:val="single" w:sz="4" w:space="0" w:color="auto"/>
              <w:right w:val="single" w:sz="4" w:space="0" w:color="auto"/>
            </w:tcBorders>
            <w:hideMark/>
          </w:tcPr>
          <w:p w:rsidR="00CA1D81" w:rsidRPr="00C620DB" w:rsidRDefault="00CA1D81" w:rsidP="00CA1D81">
            <w:pPr>
              <w:spacing w:after="0" w:line="240" w:lineRule="auto"/>
              <w:jc w:val="right"/>
              <w:rPr>
                <w:sz w:val="20"/>
                <w:szCs w:val="20"/>
              </w:rPr>
            </w:pPr>
            <w:r w:rsidRPr="00C620DB">
              <w:rPr>
                <w:sz w:val="20"/>
                <w:szCs w:val="20"/>
              </w:rPr>
              <w:t>4.601.055,00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line="240" w:lineRule="auto"/>
              <w:jc w:val="right"/>
              <w:rPr>
                <w:sz w:val="20"/>
                <w:szCs w:val="20"/>
              </w:rPr>
            </w:pPr>
            <w:r w:rsidRPr="00C620DB">
              <w:rPr>
                <w:sz w:val="20"/>
                <w:szCs w:val="20"/>
              </w:rPr>
              <w:t>4.601.055,00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4.601.055,00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4.601.055,00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4.601.055,00</w:t>
            </w:r>
          </w:p>
        </w:tc>
      </w:tr>
      <w:tr w:rsidR="00CA1D81" w:rsidRPr="00A03082"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rsidR="00CA1D81" w:rsidRPr="00A03082" w:rsidRDefault="00CA1D81" w:rsidP="00AD5BFF">
            <w:pPr>
              <w:tabs>
                <w:tab w:val="left" w:pos="1152"/>
              </w:tabs>
              <w:spacing w:after="0" w:line="240" w:lineRule="auto"/>
              <w:rPr>
                <w:rFonts w:eastAsia="Times New Roman"/>
                <w:sz w:val="20"/>
                <w:szCs w:val="20"/>
                <w:lang w:val="sr-Cyrl-BA"/>
              </w:rPr>
            </w:pPr>
            <w:r w:rsidRPr="00A03082">
              <w:rPr>
                <w:rFonts w:eastAsia="Times New Roman"/>
                <w:sz w:val="20"/>
                <w:szCs w:val="20"/>
                <w:lang w:val="sr-Cyrl-BA"/>
              </w:rPr>
              <w:t xml:space="preserve">хрватске </w:t>
            </w:r>
          </w:p>
        </w:tc>
        <w:tc>
          <w:tcPr>
            <w:tcW w:w="1473" w:type="dxa"/>
            <w:tcBorders>
              <w:top w:val="single" w:sz="4" w:space="0" w:color="auto"/>
              <w:left w:val="single" w:sz="4" w:space="0" w:color="auto"/>
              <w:bottom w:val="single" w:sz="4" w:space="0" w:color="auto"/>
              <w:right w:val="single" w:sz="4" w:space="0" w:color="auto"/>
            </w:tcBorders>
            <w:hideMark/>
          </w:tcPr>
          <w:p w:rsidR="00CA1D81" w:rsidRPr="00C620DB" w:rsidRDefault="00CA1D81" w:rsidP="00CA1D81">
            <w:pPr>
              <w:spacing w:after="0" w:line="240" w:lineRule="auto"/>
              <w:jc w:val="right"/>
              <w:rPr>
                <w:sz w:val="20"/>
                <w:szCs w:val="20"/>
              </w:rPr>
            </w:pPr>
            <w:r w:rsidRPr="00C620DB">
              <w:rPr>
                <w:sz w:val="20"/>
                <w:szCs w:val="20"/>
              </w:rPr>
              <w:t>12.975.990,00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line="240" w:lineRule="auto"/>
              <w:jc w:val="right"/>
              <w:rPr>
                <w:sz w:val="20"/>
                <w:szCs w:val="20"/>
              </w:rPr>
            </w:pPr>
            <w:r w:rsidRPr="00C620DB">
              <w:rPr>
                <w:sz w:val="20"/>
                <w:szCs w:val="20"/>
              </w:rPr>
              <w:t>12.975.990,00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12.975.990,00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12.975.990,00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12.975.990,00</w:t>
            </w:r>
          </w:p>
        </w:tc>
      </w:tr>
      <w:tr w:rsidR="00CA1D81" w:rsidRPr="00A03082" w:rsidTr="00AD5BFF">
        <w:trPr>
          <w:trHeight w:val="268"/>
        </w:trPr>
        <w:tc>
          <w:tcPr>
            <w:tcW w:w="1752" w:type="dxa"/>
            <w:tcBorders>
              <w:top w:val="single" w:sz="4" w:space="0" w:color="auto"/>
              <w:left w:val="single" w:sz="4" w:space="0" w:color="auto"/>
              <w:bottom w:val="single" w:sz="4" w:space="0" w:color="auto"/>
              <w:right w:val="single" w:sz="4" w:space="0" w:color="auto"/>
            </w:tcBorders>
            <w:hideMark/>
          </w:tcPr>
          <w:p w:rsidR="00CA1D81" w:rsidRPr="00A03082" w:rsidRDefault="00CA1D81" w:rsidP="00AD5BFF">
            <w:pPr>
              <w:tabs>
                <w:tab w:val="left" w:pos="1152"/>
              </w:tabs>
              <w:spacing w:after="0" w:line="240" w:lineRule="auto"/>
              <w:rPr>
                <w:rFonts w:eastAsia="Times New Roman"/>
                <w:sz w:val="20"/>
                <w:szCs w:val="20"/>
                <w:lang w:val="sr-Cyrl-BA"/>
              </w:rPr>
            </w:pPr>
            <w:r w:rsidRPr="00A03082">
              <w:rPr>
                <w:rFonts w:eastAsia="Times New Roman"/>
                <w:sz w:val="20"/>
                <w:szCs w:val="20"/>
                <w:lang w:val="sr-Cyrl-BA"/>
              </w:rPr>
              <w:t xml:space="preserve">црногорске </w:t>
            </w:r>
          </w:p>
        </w:tc>
        <w:tc>
          <w:tcPr>
            <w:tcW w:w="1473" w:type="dxa"/>
            <w:tcBorders>
              <w:top w:val="single" w:sz="4" w:space="0" w:color="auto"/>
              <w:left w:val="single" w:sz="4" w:space="0" w:color="auto"/>
              <w:bottom w:val="single" w:sz="4" w:space="0" w:color="auto"/>
              <w:right w:val="single" w:sz="4" w:space="0" w:color="auto"/>
            </w:tcBorders>
            <w:hideMark/>
          </w:tcPr>
          <w:p w:rsidR="00CA1D81" w:rsidRPr="00C620DB" w:rsidRDefault="00CA1D81" w:rsidP="00CA1D81">
            <w:pPr>
              <w:spacing w:after="0" w:line="240" w:lineRule="auto"/>
              <w:jc w:val="right"/>
              <w:rPr>
                <w:sz w:val="20"/>
                <w:szCs w:val="20"/>
              </w:rPr>
            </w:pPr>
            <w:r w:rsidRPr="00C620DB">
              <w:rPr>
                <w:sz w:val="20"/>
                <w:szCs w:val="20"/>
              </w:rPr>
              <w:t>7.675.264,00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line="240" w:lineRule="auto"/>
              <w:jc w:val="right"/>
              <w:rPr>
                <w:sz w:val="20"/>
                <w:szCs w:val="20"/>
              </w:rPr>
            </w:pPr>
            <w:r w:rsidRPr="00C620DB">
              <w:rPr>
                <w:sz w:val="20"/>
                <w:szCs w:val="20"/>
              </w:rPr>
              <w:t>7.675.264,00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7.675.264,00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7.675.264,00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7.675.264,00</w:t>
            </w:r>
          </w:p>
        </w:tc>
      </w:tr>
      <w:tr w:rsidR="00CA1D81" w:rsidRPr="00A03082" w:rsidTr="00AD5BFF">
        <w:trPr>
          <w:trHeight w:val="268"/>
        </w:trPr>
        <w:tc>
          <w:tcPr>
            <w:tcW w:w="1752" w:type="dxa"/>
            <w:tcBorders>
              <w:top w:val="single" w:sz="4" w:space="0" w:color="auto"/>
              <w:left w:val="single" w:sz="4" w:space="0" w:color="auto"/>
              <w:bottom w:val="single" w:sz="4" w:space="0" w:color="auto"/>
              <w:right w:val="single" w:sz="4" w:space="0" w:color="auto"/>
            </w:tcBorders>
          </w:tcPr>
          <w:p w:rsidR="00CA1D81" w:rsidRPr="00A03082" w:rsidRDefault="00CA1D81" w:rsidP="00AD5BFF">
            <w:pPr>
              <w:tabs>
                <w:tab w:val="left" w:pos="1152"/>
              </w:tabs>
              <w:spacing w:after="0" w:line="240" w:lineRule="auto"/>
              <w:rPr>
                <w:rFonts w:eastAsia="Times New Roman"/>
                <w:sz w:val="20"/>
                <w:szCs w:val="20"/>
                <w:lang w:val="sr-Cyrl-BA"/>
              </w:rPr>
            </w:pPr>
            <w:r w:rsidRPr="00A03082">
              <w:rPr>
                <w:rFonts w:eastAsia="Times New Roman"/>
                <w:sz w:val="20"/>
                <w:szCs w:val="20"/>
                <w:lang w:val="sr-Cyrl-BA"/>
              </w:rPr>
              <w:t xml:space="preserve">чешке </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line="240" w:lineRule="auto"/>
              <w:jc w:val="right"/>
              <w:rPr>
                <w:sz w:val="20"/>
                <w:szCs w:val="20"/>
              </w:rPr>
            </w:pPr>
            <w:r w:rsidRPr="00C620DB">
              <w:rPr>
                <w:sz w:val="20"/>
                <w:szCs w:val="20"/>
              </w:rPr>
              <w:t>4.037.175,00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line="240" w:lineRule="auto"/>
              <w:jc w:val="right"/>
              <w:rPr>
                <w:sz w:val="20"/>
                <w:szCs w:val="20"/>
              </w:rPr>
            </w:pPr>
            <w:r w:rsidRPr="00C620DB">
              <w:rPr>
                <w:sz w:val="20"/>
                <w:szCs w:val="20"/>
              </w:rPr>
              <w:t>4.037.175,00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4.037.175,00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4.037.175,00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sz w:val="20"/>
                <w:szCs w:val="20"/>
              </w:rPr>
            </w:pPr>
            <w:r w:rsidRPr="00C620DB">
              <w:rPr>
                <w:sz w:val="20"/>
                <w:szCs w:val="20"/>
              </w:rPr>
              <w:t>4.037.175,00</w:t>
            </w:r>
          </w:p>
        </w:tc>
      </w:tr>
      <w:tr w:rsidR="00CA1D81" w:rsidRPr="00A03082" w:rsidTr="00AD5BFF">
        <w:trPr>
          <w:trHeight w:val="268"/>
        </w:trPr>
        <w:tc>
          <w:tcPr>
            <w:tcW w:w="1752" w:type="dxa"/>
            <w:tcBorders>
              <w:top w:val="single" w:sz="4" w:space="0" w:color="auto"/>
              <w:left w:val="single" w:sz="4" w:space="0" w:color="auto"/>
              <w:bottom w:val="single" w:sz="4" w:space="0" w:color="auto"/>
              <w:right w:val="single" w:sz="4" w:space="0" w:color="auto"/>
            </w:tcBorders>
          </w:tcPr>
          <w:p w:rsidR="00CA1D81" w:rsidRPr="00C620DB" w:rsidRDefault="00CA1D81" w:rsidP="00AD5BFF">
            <w:pPr>
              <w:tabs>
                <w:tab w:val="left" w:pos="1152"/>
              </w:tabs>
              <w:spacing w:after="0" w:line="240" w:lineRule="auto"/>
              <w:rPr>
                <w:rFonts w:eastAsia="Times New Roman"/>
                <w:b/>
                <w:sz w:val="20"/>
                <w:szCs w:val="20"/>
                <w:lang w:val="sr-Cyrl-BA"/>
              </w:rPr>
            </w:pPr>
            <w:r w:rsidRPr="00C620DB">
              <w:rPr>
                <w:rFonts w:eastAsia="Times New Roman"/>
                <w:b/>
                <w:sz w:val="20"/>
                <w:szCs w:val="20"/>
                <w:lang w:val="sr-Cyrl-BA"/>
              </w:rPr>
              <w:t>Укупн</w:t>
            </w:r>
            <w:r>
              <w:rPr>
                <w:rFonts w:eastAsia="Times New Roman"/>
                <w:b/>
                <w:sz w:val="20"/>
                <w:szCs w:val="20"/>
                <w:lang w:val="sr-Cyrl-BA"/>
              </w:rPr>
              <w:t>о</w:t>
            </w:r>
            <w:r w:rsidRPr="00C620DB">
              <w:rPr>
                <w:rFonts w:eastAsia="Times New Roman"/>
                <w:b/>
                <w:sz w:val="20"/>
                <w:szCs w:val="20"/>
                <w:lang w:val="sr-Cyrl-BA"/>
              </w:rPr>
              <w:t xml:space="preserve"> </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line="240" w:lineRule="auto"/>
              <w:jc w:val="right"/>
              <w:rPr>
                <w:b/>
                <w:sz w:val="20"/>
                <w:szCs w:val="20"/>
              </w:rPr>
            </w:pPr>
            <w:r w:rsidRPr="00C620DB">
              <w:rPr>
                <w:b/>
                <w:sz w:val="20"/>
                <w:szCs w:val="20"/>
              </w:rPr>
              <w:t>245.000.000,00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line="240" w:lineRule="auto"/>
              <w:jc w:val="right"/>
              <w:rPr>
                <w:b/>
                <w:sz w:val="20"/>
                <w:szCs w:val="20"/>
              </w:rPr>
            </w:pPr>
            <w:r w:rsidRPr="00C620DB">
              <w:rPr>
                <w:b/>
                <w:sz w:val="20"/>
                <w:szCs w:val="20"/>
              </w:rPr>
              <w:t>245.000.000,00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b/>
                <w:sz w:val="20"/>
                <w:szCs w:val="20"/>
                <w:lang w:val="sr-Cyrl-RS"/>
              </w:rPr>
            </w:pPr>
            <w:r>
              <w:rPr>
                <w:b/>
                <w:sz w:val="20"/>
                <w:szCs w:val="20"/>
              </w:rPr>
              <w:t>249.</w:t>
            </w:r>
            <w:r w:rsidRPr="00C620DB">
              <w:rPr>
                <w:b/>
                <w:sz w:val="20"/>
                <w:szCs w:val="20"/>
              </w:rPr>
              <w:t>804</w:t>
            </w:r>
            <w:r>
              <w:rPr>
                <w:b/>
                <w:sz w:val="20"/>
                <w:szCs w:val="20"/>
                <w:lang w:val="sr-Cyrl-RS"/>
              </w:rPr>
              <w:t>.</w:t>
            </w:r>
            <w:r w:rsidRPr="00C620DB">
              <w:rPr>
                <w:b/>
                <w:sz w:val="20"/>
                <w:szCs w:val="20"/>
              </w:rPr>
              <w:t>065</w:t>
            </w:r>
            <w:r>
              <w:rPr>
                <w:b/>
                <w:sz w:val="20"/>
                <w:szCs w:val="20"/>
                <w:lang w:val="sr-Cyrl-RS"/>
              </w:rPr>
              <w:t>,00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b/>
                <w:sz w:val="20"/>
                <w:szCs w:val="20"/>
                <w:lang w:val="sr-Cyrl-RS"/>
              </w:rPr>
            </w:pPr>
            <w:r w:rsidRPr="00C620DB">
              <w:rPr>
                <w:b/>
                <w:sz w:val="20"/>
                <w:szCs w:val="20"/>
              </w:rPr>
              <w:t>247</w:t>
            </w:r>
            <w:r>
              <w:rPr>
                <w:b/>
                <w:sz w:val="20"/>
                <w:szCs w:val="20"/>
                <w:lang w:val="sr-Cyrl-RS"/>
              </w:rPr>
              <w:t>.</w:t>
            </w:r>
            <w:r w:rsidRPr="00C620DB">
              <w:rPr>
                <w:b/>
                <w:sz w:val="20"/>
                <w:szCs w:val="20"/>
              </w:rPr>
              <w:t>955</w:t>
            </w:r>
            <w:r>
              <w:rPr>
                <w:b/>
                <w:sz w:val="20"/>
                <w:szCs w:val="20"/>
                <w:lang w:val="sr-Cyrl-RS"/>
              </w:rPr>
              <w:t>.</w:t>
            </w:r>
            <w:r w:rsidRPr="00C620DB">
              <w:rPr>
                <w:b/>
                <w:sz w:val="20"/>
                <w:szCs w:val="20"/>
              </w:rPr>
              <w:t>951</w:t>
            </w:r>
            <w:r>
              <w:rPr>
                <w:b/>
                <w:sz w:val="20"/>
                <w:szCs w:val="20"/>
                <w:lang w:val="sr-Cyrl-RS"/>
              </w:rPr>
              <w:t>,00</w:t>
            </w:r>
          </w:p>
        </w:tc>
        <w:tc>
          <w:tcPr>
            <w:tcW w:w="1473" w:type="dxa"/>
            <w:tcBorders>
              <w:top w:val="single" w:sz="4" w:space="0" w:color="auto"/>
              <w:left w:val="single" w:sz="4" w:space="0" w:color="auto"/>
              <w:bottom w:val="single" w:sz="4" w:space="0" w:color="auto"/>
              <w:right w:val="single" w:sz="4" w:space="0" w:color="auto"/>
            </w:tcBorders>
          </w:tcPr>
          <w:p w:rsidR="00CA1D81" w:rsidRPr="00C620DB" w:rsidRDefault="00CA1D81" w:rsidP="00CA1D81">
            <w:pPr>
              <w:spacing w:after="0"/>
              <w:jc w:val="right"/>
              <w:rPr>
                <w:b/>
                <w:sz w:val="20"/>
                <w:szCs w:val="20"/>
                <w:lang w:val="sr-Cyrl-RS"/>
              </w:rPr>
            </w:pPr>
            <w:r w:rsidRPr="00C620DB">
              <w:rPr>
                <w:b/>
                <w:sz w:val="20"/>
                <w:szCs w:val="20"/>
              </w:rPr>
              <w:t>251</w:t>
            </w:r>
            <w:r>
              <w:rPr>
                <w:b/>
                <w:sz w:val="20"/>
                <w:szCs w:val="20"/>
                <w:lang w:val="sr-Cyrl-RS"/>
              </w:rPr>
              <w:t>.</w:t>
            </w:r>
            <w:r w:rsidRPr="00C620DB">
              <w:rPr>
                <w:b/>
                <w:sz w:val="20"/>
                <w:szCs w:val="20"/>
              </w:rPr>
              <w:t>344</w:t>
            </w:r>
            <w:r>
              <w:rPr>
                <w:b/>
                <w:sz w:val="20"/>
                <w:szCs w:val="20"/>
                <w:lang w:val="sr-Cyrl-RS"/>
              </w:rPr>
              <w:t>.</w:t>
            </w:r>
            <w:r w:rsidRPr="00C620DB">
              <w:rPr>
                <w:b/>
                <w:sz w:val="20"/>
                <w:szCs w:val="20"/>
              </w:rPr>
              <w:t>160</w:t>
            </w:r>
            <w:r>
              <w:rPr>
                <w:b/>
                <w:sz w:val="20"/>
                <w:szCs w:val="20"/>
                <w:lang w:val="sr-Cyrl-RS"/>
              </w:rPr>
              <w:t>,00</w:t>
            </w:r>
          </w:p>
        </w:tc>
      </w:tr>
    </w:tbl>
    <w:p w:rsidR="00CA1D81" w:rsidRDefault="00CA1D81" w:rsidP="00C82FD1">
      <w:pPr>
        <w:spacing w:after="0"/>
        <w:jc w:val="both"/>
        <w:rPr>
          <w:sz w:val="24"/>
          <w:szCs w:val="24"/>
          <w:lang w:val="sr-Cyrl-RS"/>
        </w:rPr>
      </w:pPr>
    </w:p>
    <w:p w:rsidR="00CA1D81" w:rsidRPr="00CA1D81" w:rsidRDefault="00CA1D81" w:rsidP="00CA1D81">
      <w:pPr>
        <w:spacing w:after="0"/>
        <w:jc w:val="center"/>
        <w:rPr>
          <w:i/>
          <w:sz w:val="20"/>
          <w:szCs w:val="20"/>
          <w:lang w:val="sr-Cyrl-RS"/>
        </w:rPr>
      </w:pPr>
      <w:r w:rsidRPr="00CA1D81">
        <w:rPr>
          <w:i/>
          <w:sz w:val="20"/>
          <w:szCs w:val="20"/>
          <w:lang w:val="sr-Cyrl-RS"/>
        </w:rPr>
        <w:t>Финансирање из буџета АП Војводине</w:t>
      </w:r>
    </w:p>
    <w:tbl>
      <w:tblPr>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560"/>
        <w:gridCol w:w="1417"/>
        <w:gridCol w:w="1559"/>
        <w:gridCol w:w="1430"/>
        <w:gridCol w:w="1447"/>
      </w:tblGrid>
      <w:tr w:rsidR="00CA1D81" w:rsidRPr="00696515" w:rsidTr="00AD5BFF">
        <w:trPr>
          <w:trHeight w:val="144"/>
        </w:trPr>
        <w:tc>
          <w:tcPr>
            <w:tcW w:w="1696" w:type="dxa"/>
            <w:shd w:val="clear" w:color="auto" w:fill="auto"/>
          </w:tcPr>
          <w:p w:rsidR="00CA1D81" w:rsidRPr="00045161" w:rsidRDefault="00CA1D81" w:rsidP="00AD5BFF">
            <w:pPr>
              <w:tabs>
                <w:tab w:val="left" w:pos="1152"/>
              </w:tabs>
              <w:spacing w:after="0" w:line="240" w:lineRule="auto"/>
              <w:jc w:val="center"/>
              <w:rPr>
                <w:rFonts w:eastAsia="Times New Roman"/>
                <w:b/>
                <w:sz w:val="18"/>
                <w:szCs w:val="18"/>
                <w:lang w:val="sr-Cyrl-BA"/>
              </w:rPr>
            </w:pPr>
            <w:r w:rsidRPr="00045161">
              <w:rPr>
                <w:rFonts w:eastAsia="Times New Roman"/>
                <w:b/>
                <w:sz w:val="18"/>
                <w:szCs w:val="18"/>
                <w:lang w:val="sr-Cyrl-BA"/>
              </w:rPr>
              <w:t>НАЦИОНАЛНИ САВЕТ НАЦИОНАЛНЕ МАЊИНЕ</w:t>
            </w:r>
          </w:p>
        </w:tc>
        <w:tc>
          <w:tcPr>
            <w:tcW w:w="1560" w:type="dxa"/>
            <w:shd w:val="clear" w:color="auto" w:fill="auto"/>
          </w:tcPr>
          <w:p w:rsidR="00CA1D81" w:rsidRPr="00A03082" w:rsidRDefault="00CA1D81" w:rsidP="00AD5BFF">
            <w:pPr>
              <w:tabs>
                <w:tab w:val="left" w:pos="1152"/>
              </w:tabs>
              <w:spacing w:after="0" w:line="240" w:lineRule="auto"/>
              <w:jc w:val="center"/>
              <w:rPr>
                <w:rFonts w:eastAsia="Times New Roman"/>
                <w:b/>
                <w:sz w:val="20"/>
                <w:szCs w:val="20"/>
              </w:rPr>
            </w:pPr>
            <w:r w:rsidRPr="00A03082">
              <w:rPr>
                <w:rFonts w:eastAsia="Times New Roman"/>
                <w:b/>
                <w:sz w:val="20"/>
                <w:szCs w:val="20"/>
                <w:lang w:val="sr-Cyrl-BA"/>
              </w:rPr>
              <w:t>201</w:t>
            </w:r>
            <w:r w:rsidRPr="00A03082">
              <w:rPr>
                <w:rFonts w:eastAsia="Times New Roman"/>
                <w:b/>
                <w:sz w:val="20"/>
                <w:szCs w:val="20"/>
              </w:rPr>
              <w:t>7.</w:t>
            </w:r>
          </w:p>
        </w:tc>
        <w:tc>
          <w:tcPr>
            <w:tcW w:w="1417" w:type="dxa"/>
            <w:shd w:val="clear" w:color="auto" w:fill="auto"/>
          </w:tcPr>
          <w:p w:rsidR="00CA1D81" w:rsidRPr="00A03082" w:rsidRDefault="00CA1D81" w:rsidP="00AD5BFF">
            <w:pPr>
              <w:tabs>
                <w:tab w:val="left" w:pos="1152"/>
              </w:tabs>
              <w:spacing w:after="0" w:line="240" w:lineRule="auto"/>
              <w:jc w:val="center"/>
              <w:rPr>
                <w:rFonts w:eastAsia="Times New Roman"/>
                <w:b/>
                <w:sz w:val="20"/>
                <w:szCs w:val="20"/>
              </w:rPr>
            </w:pPr>
            <w:r w:rsidRPr="00A03082">
              <w:rPr>
                <w:rFonts w:eastAsia="Times New Roman"/>
                <w:b/>
                <w:sz w:val="20"/>
                <w:szCs w:val="20"/>
                <w:lang w:val="sr-Cyrl-BA"/>
              </w:rPr>
              <w:t>201</w:t>
            </w:r>
            <w:r w:rsidRPr="00A03082">
              <w:rPr>
                <w:rFonts w:eastAsia="Times New Roman"/>
                <w:b/>
                <w:sz w:val="20"/>
                <w:szCs w:val="20"/>
              </w:rPr>
              <w:t>8.</w:t>
            </w:r>
          </w:p>
        </w:tc>
        <w:tc>
          <w:tcPr>
            <w:tcW w:w="1559" w:type="dxa"/>
            <w:shd w:val="clear" w:color="auto" w:fill="auto"/>
          </w:tcPr>
          <w:p w:rsidR="00CA1D81" w:rsidRPr="00A03082" w:rsidRDefault="00CA1D81" w:rsidP="00AD5BFF">
            <w:pPr>
              <w:tabs>
                <w:tab w:val="left" w:pos="1152"/>
              </w:tabs>
              <w:spacing w:after="0" w:line="240" w:lineRule="auto"/>
              <w:jc w:val="center"/>
              <w:rPr>
                <w:rFonts w:eastAsia="Times New Roman"/>
                <w:b/>
                <w:sz w:val="20"/>
                <w:szCs w:val="20"/>
              </w:rPr>
            </w:pPr>
            <w:r w:rsidRPr="00A03082">
              <w:rPr>
                <w:rFonts w:eastAsia="Times New Roman"/>
                <w:b/>
                <w:sz w:val="20"/>
                <w:szCs w:val="20"/>
                <w:lang w:val="sr-Cyrl-BA"/>
              </w:rPr>
              <w:t>2019</w:t>
            </w:r>
            <w:r w:rsidRPr="00A03082">
              <w:rPr>
                <w:rFonts w:eastAsia="Times New Roman"/>
                <w:b/>
                <w:sz w:val="20"/>
                <w:szCs w:val="20"/>
              </w:rPr>
              <w:t>.</w:t>
            </w:r>
          </w:p>
        </w:tc>
        <w:tc>
          <w:tcPr>
            <w:tcW w:w="1430" w:type="dxa"/>
          </w:tcPr>
          <w:p w:rsidR="00CA1D81" w:rsidRPr="00A03082" w:rsidRDefault="00CA1D81" w:rsidP="00AD5BFF">
            <w:pPr>
              <w:tabs>
                <w:tab w:val="left" w:pos="1152"/>
              </w:tabs>
              <w:spacing w:after="0" w:line="240" w:lineRule="auto"/>
              <w:jc w:val="center"/>
              <w:rPr>
                <w:rFonts w:eastAsia="Times New Roman"/>
                <w:b/>
                <w:sz w:val="20"/>
                <w:szCs w:val="20"/>
              </w:rPr>
            </w:pPr>
            <w:r w:rsidRPr="00A03082">
              <w:rPr>
                <w:rFonts w:eastAsia="Times New Roman"/>
                <w:b/>
                <w:sz w:val="20"/>
                <w:szCs w:val="20"/>
              </w:rPr>
              <w:t>2020.</w:t>
            </w:r>
          </w:p>
        </w:tc>
        <w:tc>
          <w:tcPr>
            <w:tcW w:w="1447" w:type="dxa"/>
          </w:tcPr>
          <w:p w:rsidR="00CA1D81" w:rsidRPr="00A03082" w:rsidRDefault="00CA1D81" w:rsidP="00AD5BFF">
            <w:pPr>
              <w:tabs>
                <w:tab w:val="left" w:pos="1152"/>
              </w:tabs>
              <w:spacing w:after="0" w:line="240" w:lineRule="auto"/>
              <w:jc w:val="center"/>
              <w:rPr>
                <w:rFonts w:eastAsia="Times New Roman"/>
                <w:b/>
                <w:sz w:val="20"/>
                <w:szCs w:val="20"/>
              </w:rPr>
            </w:pPr>
            <w:r w:rsidRPr="00A03082">
              <w:rPr>
                <w:rFonts w:eastAsia="Times New Roman"/>
                <w:b/>
                <w:sz w:val="20"/>
                <w:szCs w:val="20"/>
              </w:rPr>
              <w:t>2021.</w:t>
            </w:r>
          </w:p>
        </w:tc>
      </w:tr>
      <w:tr w:rsidR="00CA1D81" w:rsidRPr="00696515" w:rsidTr="00AD5BFF">
        <w:trPr>
          <w:trHeight w:val="144"/>
        </w:trPr>
        <w:tc>
          <w:tcPr>
            <w:tcW w:w="1696" w:type="dxa"/>
            <w:shd w:val="clear" w:color="auto" w:fill="auto"/>
            <w:vAlign w:val="center"/>
          </w:tcPr>
          <w:p w:rsidR="00CA1D81" w:rsidRPr="00696515" w:rsidRDefault="00CA1D81" w:rsidP="00AD5BFF">
            <w:pPr>
              <w:spacing w:after="0" w:line="240" w:lineRule="auto"/>
              <w:rPr>
                <w:sz w:val="20"/>
                <w:szCs w:val="20"/>
              </w:rPr>
            </w:pPr>
            <w:r w:rsidRPr="00696515">
              <w:rPr>
                <w:sz w:val="20"/>
                <w:szCs w:val="20"/>
                <w:lang w:val="sr-Cyrl-ME"/>
              </w:rPr>
              <w:t xml:space="preserve">ашкалијске </w:t>
            </w:r>
          </w:p>
        </w:tc>
        <w:tc>
          <w:tcPr>
            <w:tcW w:w="1560" w:type="dxa"/>
            <w:shd w:val="clear" w:color="auto" w:fill="auto"/>
            <w:vAlign w:val="center"/>
          </w:tcPr>
          <w:p w:rsidR="00CA1D81" w:rsidRPr="00696515" w:rsidRDefault="00CA1D81" w:rsidP="00AD5BFF">
            <w:pPr>
              <w:spacing w:after="0" w:line="240" w:lineRule="auto"/>
              <w:ind w:left="-168" w:right="-77"/>
              <w:jc w:val="right"/>
              <w:rPr>
                <w:sz w:val="20"/>
                <w:szCs w:val="20"/>
                <w:lang w:val="sr-Cyrl-ME"/>
              </w:rPr>
            </w:pPr>
            <w:r w:rsidRPr="00696515">
              <w:rPr>
                <w:sz w:val="20"/>
                <w:szCs w:val="20"/>
                <w:lang w:val="sr-Cyrl-ME"/>
              </w:rPr>
              <w:t>100.000,00</w:t>
            </w:r>
          </w:p>
        </w:tc>
        <w:tc>
          <w:tcPr>
            <w:tcW w:w="1417" w:type="dxa"/>
            <w:vAlign w:val="center"/>
          </w:tcPr>
          <w:p w:rsidR="00CA1D81" w:rsidRPr="00696515" w:rsidRDefault="00CA1D81" w:rsidP="00AD5BFF">
            <w:pPr>
              <w:spacing w:after="0" w:line="240" w:lineRule="auto"/>
              <w:ind w:left="-139"/>
              <w:jc w:val="right"/>
              <w:rPr>
                <w:sz w:val="20"/>
                <w:szCs w:val="20"/>
              </w:rPr>
            </w:pPr>
            <w:r w:rsidRPr="00696515">
              <w:rPr>
                <w:sz w:val="20"/>
                <w:szCs w:val="20"/>
              </w:rPr>
              <w:t>100.000,00</w:t>
            </w:r>
          </w:p>
        </w:tc>
        <w:tc>
          <w:tcPr>
            <w:tcW w:w="1559" w:type="dxa"/>
            <w:vAlign w:val="center"/>
          </w:tcPr>
          <w:p w:rsidR="00CA1D81" w:rsidRPr="00696515" w:rsidRDefault="00CA1D81" w:rsidP="00AD5BFF">
            <w:pPr>
              <w:spacing w:after="0" w:line="240" w:lineRule="auto"/>
              <w:ind w:left="-139"/>
              <w:jc w:val="right"/>
              <w:rPr>
                <w:sz w:val="20"/>
                <w:szCs w:val="20"/>
              </w:rPr>
            </w:pPr>
            <w:r w:rsidRPr="00696515">
              <w:rPr>
                <w:sz w:val="20"/>
                <w:szCs w:val="20"/>
              </w:rPr>
              <w:t>100.000,00</w:t>
            </w:r>
          </w:p>
        </w:tc>
        <w:tc>
          <w:tcPr>
            <w:tcW w:w="1430" w:type="dxa"/>
            <w:vAlign w:val="center"/>
          </w:tcPr>
          <w:p w:rsidR="00CA1D81" w:rsidRPr="00696515" w:rsidRDefault="00CA1D81" w:rsidP="00AD5BFF">
            <w:pPr>
              <w:spacing w:after="0" w:line="240" w:lineRule="auto"/>
              <w:ind w:left="-139"/>
              <w:jc w:val="right"/>
              <w:rPr>
                <w:sz w:val="20"/>
                <w:szCs w:val="20"/>
              </w:rPr>
            </w:pPr>
            <w:r w:rsidRPr="00696515">
              <w:rPr>
                <w:sz w:val="20"/>
                <w:szCs w:val="20"/>
              </w:rPr>
              <w:t>100.000,00</w:t>
            </w:r>
          </w:p>
        </w:tc>
        <w:tc>
          <w:tcPr>
            <w:tcW w:w="1447" w:type="dxa"/>
          </w:tcPr>
          <w:p w:rsidR="00CA1D81" w:rsidRPr="00696515" w:rsidRDefault="00CA1D81" w:rsidP="00AD5BFF">
            <w:pPr>
              <w:spacing w:after="0" w:line="240" w:lineRule="auto"/>
              <w:ind w:left="-139"/>
              <w:jc w:val="right"/>
              <w:rPr>
                <w:sz w:val="20"/>
                <w:szCs w:val="20"/>
              </w:rPr>
            </w:pPr>
            <w:r w:rsidRPr="00696515">
              <w:rPr>
                <w:sz w:val="20"/>
                <w:szCs w:val="20"/>
              </w:rPr>
              <w:t>100.000,00</w:t>
            </w:r>
          </w:p>
        </w:tc>
      </w:tr>
      <w:tr w:rsidR="00CA1D81" w:rsidRPr="00696515" w:rsidTr="00AD5BFF">
        <w:trPr>
          <w:trHeight w:val="144"/>
        </w:trPr>
        <w:tc>
          <w:tcPr>
            <w:tcW w:w="1696" w:type="dxa"/>
            <w:shd w:val="clear" w:color="auto" w:fill="auto"/>
            <w:vAlign w:val="center"/>
          </w:tcPr>
          <w:p w:rsidR="00CA1D81" w:rsidRPr="00696515" w:rsidRDefault="00CA1D81" w:rsidP="00AD5BFF">
            <w:pPr>
              <w:spacing w:after="0" w:line="240" w:lineRule="auto"/>
              <w:rPr>
                <w:sz w:val="20"/>
                <w:szCs w:val="20"/>
              </w:rPr>
            </w:pPr>
            <w:r w:rsidRPr="00696515">
              <w:rPr>
                <w:sz w:val="20"/>
                <w:szCs w:val="20"/>
                <w:lang w:val="sr-Cyrl-ME"/>
              </w:rPr>
              <w:t xml:space="preserve">буњевачке </w:t>
            </w:r>
          </w:p>
        </w:tc>
        <w:tc>
          <w:tcPr>
            <w:tcW w:w="1560" w:type="dxa"/>
            <w:shd w:val="clear" w:color="auto" w:fill="auto"/>
            <w:vAlign w:val="center"/>
          </w:tcPr>
          <w:p w:rsidR="00CA1D81" w:rsidRPr="00696515" w:rsidRDefault="00CA1D81" w:rsidP="00AD5BFF">
            <w:pPr>
              <w:spacing w:after="0" w:line="240" w:lineRule="auto"/>
              <w:ind w:left="-168" w:right="-77"/>
              <w:jc w:val="right"/>
              <w:rPr>
                <w:sz w:val="20"/>
                <w:szCs w:val="20"/>
                <w:lang w:val="sr-Cyrl-ME"/>
              </w:rPr>
            </w:pPr>
            <w:r w:rsidRPr="00696515">
              <w:rPr>
                <w:sz w:val="20"/>
                <w:szCs w:val="20"/>
                <w:lang w:val="sr-Cyrl-ME"/>
              </w:rPr>
              <w:t>2.481.260,00</w:t>
            </w:r>
          </w:p>
        </w:tc>
        <w:tc>
          <w:tcPr>
            <w:tcW w:w="1417" w:type="dxa"/>
            <w:vAlign w:val="center"/>
          </w:tcPr>
          <w:p w:rsidR="00CA1D81" w:rsidRPr="00696515" w:rsidRDefault="00CA1D81" w:rsidP="00AD5BFF">
            <w:pPr>
              <w:spacing w:after="0" w:line="240" w:lineRule="auto"/>
              <w:ind w:left="-139"/>
              <w:jc w:val="right"/>
              <w:rPr>
                <w:sz w:val="20"/>
                <w:szCs w:val="20"/>
              </w:rPr>
            </w:pPr>
            <w:r w:rsidRPr="00696515">
              <w:rPr>
                <w:sz w:val="20"/>
                <w:szCs w:val="20"/>
              </w:rPr>
              <w:t>2.480.612,00</w:t>
            </w:r>
          </w:p>
        </w:tc>
        <w:tc>
          <w:tcPr>
            <w:tcW w:w="1559" w:type="dxa"/>
            <w:vAlign w:val="center"/>
          </w:tcPr>
          <w:p w:rsidR="00CA1D81" w:rsidRPr="00696515" w:rsidRDefault="00CA1D81" w:rsidP="00AD5BFF">
            <w:pPr>
              <w:spacing w:after="0" w:line="240" w:lineRule="auto"/>
              <w:ind w:left="-139"/>
              <w:jc w:val="right"/>
              <w:rPr>
                <w:sz w:val="20"/>
                <w:szCs w:val="20"/>
              </w:rPr>
            </w:pPr>
            <w:r w:rsidRPr="00696515">
              <w:rPr>
                <w:sz w:val="20"/>
                <w:szCs w:val="20"/>
              </w:rPr>
              <w:t>2.</w:t>
            </w:r>
            <w:r>
              <w:rPr>
                <w:sz w:val="20"/>
                <w:szCs w:val="20"/>
              </w:rPr>
              <w:t>569</w:t>
            </w:r>
            <w:r w:rsidRPr="00696515">
              <w:rPr>
                <w:sz w:val="20"/>
                <w:szCs w:val="20"/>
              </w:rPr>
              <w:t>.</w:t>
            </w:r>
            <w:r>
              <w:rPr>
                <w:sz w:val="20"/>
                <w:szCs w:val="20"/>
              </w:rPr>
              <w:t>240</w:t>
            </w:r>
            <w:r w:rsidRPr="00696515">
              <w:rPr>
                <w:sz w:val="20"/>
                <w:szCs w:val="20"/>
              </w:rPr>
              <w:t>,00</w:t>
            </w:r>
          </w:p>
        </w:tc>
        <w:tc>
          <w:tcPr>
            <w:tcW w:w="1430" w:type="dxa"/>
            <w:vAlign w:val="center"/>
          </w:tcPr>
          <w:p w:rsidR="00CA1D81" w:rsidRPr="00696515" w:rsidRDefault="00CA1D81" w:rsidP="00AD5BFF">
            <w:pPr>
              <w:spacing w:after="0" w:line="240" w:lineRule="auto"/>
              <w:ind w:left="-139"/>
              <w:jc w:val="right"/>
              <w:rPr>
                <w:sz w:val="20"/>
                <w:szCs w:val="20"/>
              </w:rPr>
            </w:pPr>
            <w:r w:rsidRPr="00696515">
              <w:rPr>
                <w:sz w:val="20"/>
                <w:szCs w:val="20"/>
              </w:rPr>
              <w:t>2.</w:t>
            </w:r>
            <w:r>
              <w:rPr>
                <w:sz w:val="20"/>
                <w:szCs w:val="20"/>
              </w:rPr>
              <w:t>540</w:t>
            </w:r>
            <w:r w:rsidRPr="00696515">
              <w:rPr>
                <w:sz w:val="20"/>
                <w:szCs w:val="20"/>
              </w:rPr>
              <w:t>.</w:t>
            </w:r>
            <w:r>
              <w:rPr>
                <w:sz w:val="20"/>
                <w:szCs w:val="20"/>
              </w:rPr>
              <w:t>920</w:t>
            </w:r>
            <w:r w:rsidRPr="00696515">
              <w:rPr>
                <w:sz w:val="20"/>
                <w:szCs w:val="20"/>
              </w:rPr>
              <w:t>,00</w:t>
            </w:r>
          </w:p>
        </w:tc>
        <w:tc>
          <w:tcPr>
            <w:tcW w:w="1447" w:type="dxa"/>
          </w:tcPr>
          <w:p w:rsidR="00CA1D81" w:rsidRPr="00696515" w:rsidRDefault="00CA1D81" w:rsidP="00AD5BFF">
            <w:pPr>
              <w:spacing w:after="0" w:line="240" w:lineRule="auto"/>
              <w:ind w:left="-139"/>
              <w:jc w:val="right"/>
              <w:rPr>
                <w:sz w:val="20"/>
                <w:szCs w:val="20"/>
              </w:rPr>
            </w:pPr>
            <w:r>
              <w:rPr>
                <w:sz w:val="20"/>
                <w:szCs w:val="20"/>
              </w:rPr>
              <w:t>2.</w:t>
            </w:r>
            <w:r w:rsidRPr="006A3C4B">
              <w:rPr>
                <w:sz w:val="20"/>
                <w:szCs w:val="20"/>
              </w:rPr>
              <w:t>533</w:t>
            </w:r>
            <w:r>
              <w:rPr>
                <w:sz w:val="20"/>
                <w:szCs w:val="20"/>
                <w:lang w:val="sr-Cyrl-RS"/>
              </w:rPr>
              <w:t>.</w:t>
            </w:r>
            <w:r w:rsidRPr="006A3C4B">
              <w:rPr>
                <w:sz w:val="20"/>
                <w:szCs w:val="20"/>
              </w:rPr>
              <w:t>200</w:t>
            </w:r>
            <w:r>
              <w:rPr>
                <w:sz w:val="20"/>
                <w:szCs w:val="20"/>
                <w:lang w:val="sr-Cyrl-RS"/>
              </w:rPr>
              <w:t>,</w:t>
            </w:r>
            <w:r w:rsidRPr="006A3C4B">
              <w:rPr>
                <w:sz w:val="20"/>
                <w:szCs w:val="20"/>
              </w:rPr>
              <w:t>00</w:t>
            </w:r>
          </w:p>
        </w:tc>
      </w:tr>
      <w:tr w:rsidR="00CA1D81" w:rsidRPr="00696515" w:rsidTr="00AD5BFF">
        <w:trPr>
          <w:trHeight w:val="144"/>
        </w:trPr>
        <w:tc>
          <w:tcPr>
            <w:tcW w:w="1696" w:type="dxa"/>
            <w:shd w:val="clear" w:color="auto" w:fill="auto"/>
            <w:vAlign w:val="center"/>
          </w:tcPr>
          <w:p w:rsidR="00CA1D81" w:rsidRPr="00696515" w:rsidRDefault="00CA1D81" w:rsidP="00AD5BFF">
            <w:pPr>
              <w:spacing w:after="0" w:line="240" w:lineRule="auto"/>
              <w:rPr>
                <w:sz w:val="20"/>
                <w:szCs w:val="20"/>
              </w:rPr>
            </w:pPr>
            <w:r w:rsidRPr="00696515">
              <w:rPr>
                <w:sz w:val="20"/>
                <w:szCs w:val="20"/>
                <w:lang w:val="sr-Cyrl-ME"/>
              </w:rPr>
              <w:t xml:space="preserve">грчке </w:t>
            </w:r>
          </w:p>
        </w:tc>
        <w:tc>
          <w:tcPr>
            <w:tcW w:w="1560" w:type="dxa"/>
            <w:shd w:val="clear" w:color="auto" w:fill="auto"/>
            <w:vAlign w:val="center"/>
          </w:tcPr>
          <w:p w:rsidR="00CA1D81" w:rsidRPr="00696515" w:rsidRDefault="00CA1D81" w:rsidP="00AD5BFF">
            <w:pPr>
              <w:spacing w:after="0" w:line="240" w:lineRule="auto"/>
              <w:ind w:left="-168" w:right="-77"/>
              <w:jc w:val="right"/>
              <w:rPr>
                <w:sz w:val="20"/>
                <w:szCs w:val="20"/>
              </w:rPr>
            </w:pPr>
            <w:r w:rsidRPr="00696515">
              <w:rPr>
                <w:sz w:val="20"/>
                <w:szCs w:val="20"/>
              </w:rPr>
              <w:t>50.000,00</w:t>
            </w:r>
          </w:p>
        </w:tc>
        <w:tc>
          <w:tcPr>
            <w:tcW w:w="1417" w:type="dxa"/>
            <w:vAlign w:val="center"/>
          </w:tcPr>
          <w:p w:rsidR="00CA1D81" w:rsidRPr="00696515" w:rsidRDefault="00CA1D81" w:rsidP="00AD5BFF">
            <w:pPr>
              <w:spacing w:after="0" w:line="240" w:lineRule="auto"/>
              <w:ind w:left="-139"/>
              <w:jc w:val="right"/>
              <w:rPr>
                <w:sz w:val="20"/>
                <w:szCs w:val="20"/>
              </w:rPr>
            </w:pPr>
            <w:r w:rsidRPr="00696515">
              <w:rPr>
                <w:sz w:val="20"/>
                <w:szCs w:val="20"/>
              </w:rPr>
              <w:t>50.0000,00</w:t>
            </w:r>
          </w:p>
        </w:tc>
        <w:tc>
          <w:tcPr>
            <w:tcW w:w="1559" w:type="dxa"/>
            <w:vAlign w:val="center"/>
          </w:tcPr>
          <w:p w:rsidR="00CA1D81" w:rsidRPr="00696515" w:rsidRDefault="00CA1D81" w:rsidP="00AD5BFF">
            <w:pPr>
              <w:spacing w:after="0" w:line="240" w:lineRule="auto"/>
              <w:ind w:left="-139"/>
              <w:jc w:val="right"/>
              <w:rPr>
                <w:sz w:val="20"/>
                <w:szCs w:val="20"/>
              </w:rPr>
            </w:pPr>
            <w:r>
              <w:rPr>
                <w:sz w:val="20"/>
                <w:szCs w:val="20"/>
              </w:rPr>
              <w:t>10</w:t>
            </w:r>
            <w:r w:rsidRPr="00696515">
              <w:rPr>
                <w:sz w:val="20"/>
                <w:szCs w:val="20"/>
              </w:rPr>
              <w:t>0.000,00</w:t>
            </w:r>
          </w:p>
        </w:tc>
        <w:tc>
          <w:tcPr>
            <w:tcW w:w="1430" w:type="dxa"/>
            <w:vAlign w:val="center"/>
          </w:tcPr>
          <w:p w:rsidR="00CA1D81" w:rsidRPr="00696515" w:rsidRDefault="00CA1D81" w:rsidP="00AD5BFF">
            <w:pPr>
              <w:spacing w:after="0" w:line="240" w:lineRule="auto"/>
              <w:ind w:left="-139"/>
              <w:jc w:val="right"/>
              <w:rPr>
                <w:sz w:val="20"/>
                <w:szCs w:val="20"/>
              </w:rPr>
            </w:pPr>
            <w:r>
              <w:rPr>
                <w:sz w:val="20"/>
                <w:szCs w:val="20"/>
              </w:rPr>
              <w:t>10</w:t>
            </w:r>
            <w:r w:rsidRPr="00696515">
              <w:rPr>
                <w:sz w:val="20"/>
                <w:szCs w:val="20"/>
              </w:rPr>
              <w:t>0.000,00</w:t>
            </w:r>
          </w:p>
        </w:tc>
        <w:tc>
          <w:tcPr>
            <w:tcW w:w="1447" w:type="dxa"/>
          </w:tcPr>
          <w:p w:rsidR="00CA1D81" w:rsidRPr="00696515" w:rsidRDefault="00CA1D81" w:rsidP="00AD5BFF">
            <w:pPr>
              <w:spacing w:after="0" w:line="240" w:lineRule="auto"/>
              <w:ind w:left="-139"/>
              <w:jc w:val="right"/>
              <w:rPr>
                <w:sz w:val="20"/>
                <w:szCs w:val="20"/>
              </w:rPr>
            </w:pPr>
            <w:r w:rsidRPr="00696515">
              <w:rPr>
                <w:sz w:val="20"/>
                <w:szCs w:val="20"/>
              </w:rPr>
              <w:t>100.000,00</w:t>
            </w:r>
          </w:p>
        </w:tc>
      </w:tr>
      <w:tr w:rsidR="00CA1D81" w:rsidRPr="00696515" w:rsidTr="00AD5BFF">
        <w:trPr>
          <w:trHeight w:val="233"/>
        </w:trPr>
        <w:tc>
          <w:tcPr>
            <w:tcW w:w="1696" w:type="dxa"/>
            <w:shd w:val="clear" w:color="auto" w:fill="auto"/>
            <w:vAlign w:val="center"/>
          </w:tcPr>
          <w:p w:rsidR="00CA1D81" w:rsidRPr="00696515" w:rsidRDefault="00CA1D81" w:rsidP="00AD5BFF">
            <w:pPr>
              <w:spacing w:after="0" w:line="240" w:lineRule="auto"/>
              <w:rPr>
                <w:sz w:val="20"/>
                <w:szCs w:val="20"/>
              </w:rPr>
            </w:pPr>
            <w:r w:rsidRPr="00696515">
              <w:rPr>
                <w:sz w:val="20"/>
                <w:szCs w:val="20"/>
                <w:lang w:val="sr-Cyrl-ME"/>
              </w:rPr>
              <w:t xml:space="preserve">египатске </w:t>
            </w:r>
          </w:p>
        </w:tc>
        <w:tc>
          <w:tcPr>
            <w:tcW w:w="1560" w:type="dxa"/>
            <w:shd w:val="clear" w:color="auto" w:fill="auto"/>
            <w:vAlign w:val="center"/>
          </w:tcPr>
          <w:p w:rsidR="00CA1D81" w:rsidRPr="00696515" w:rsidRDefault="00CA1D81" w:rsidP="00AD5BFF">
            <w:pPr>
              <w:spacing w:after="0" w:line="240" w:lineRule="auto"/>
              <w:ind w:left="-168" w:right="-77"/>
              <w:jc w:val="right"/>
              <w:rPr>
                <w:sz w:val="20"/>
                <w:szCs w:val="20"/>
              </w:rPr>
            </w:pPr>
            <w:r w:rsidRPr="00696515">
              <w:rPr>
                <w:sz w:val="20"/>
                <w:szCs w:val="20"/>
              </w:rPr>
              <w:t>100.000,00</w:t>
            </w:r>
          </w:p>
        </w:tc>
        <w:tc>
          <w:tcPr>
            <w:tcW w:w="1417" w:type="dxa"/>
            <w:vAlign w:val="center"/>
          </w:tcPr>
          <w:p w:rsidR="00CA1D81" w:rsidRPr="00696515" w:rsidRDefault="00CA1D81" w:rsidP="00AD5BFF">
            <w:pPr>
              <w:spacing w:after="0" w:line="240" w:lineRule="auto"/>
              <w:ind w:left="-139"/>
              <w:jc w:val="right"/>
              <w:rPr>
                <w:sz w:val="20"/>
                <w:szCs w:val="20"/>
              </w:rPr>
            </w:pPr>
            <w:r w:rsidRPr="00696515">
              <w:rPr>
                <w:sz w:val="20"/>
                <w:szCs w:val="20"/>
              </w:rPr>
              <w:t>100.000,00</w:t>
            </w:r>
          </w:p>
        </w:tc>
        <w:tc>
          <w:tcPr>
            <w:tcW w:w="1559" w:type="dxa"/>
            <w:vAlign w:val="center"/>
          </w:tcPr>
          <w:p w:rsidR="00CA1D81" w:rsidRPr="00696515" w:rsidRDefault="00CA1D81" w:rsidP="00AD5BFF">
            <w:pPr>
              <w:spacing w:after="0" w:line="240" w:lineRule="auto"/>
              <w:ind w:left="-139"/>
              <w:jc w:val="right"/>
              <w:rPr>
                <w:sz w:val="20"/>
                <w:szCs w:val="20"/>
              </w:rPr>
            </w:pPr>
            <w:r w:rsidRPr="00696515">
              <w:rPr>
                <w:sz w:val="20"/>
                <w:szCs w:val="20"/>
              </w:rPr>
              <w:t>100.000,00</w:t>
            </w:r>
          </w:p>
        </w:tc>
        <w:tc>
          <w:tcPr>
            <w:tcW w:w="1430" w:type="dxa"/>
            <w:vAlign w:val="center"/>
          </w:tcPr>
          <w:p w:rsidR="00CA1D81" w:rsidRPr="00696515" w:rsidRDefault="00CA1D81" w:rsidP="00AD5BFF">
            <w:pPr>
              <w:spacing w:after="0" w:line="240" w:lineRule="auto"/>
              <w:ind w:left="-139"/>
              <w:jc w:val="right"/>
              <w:rPr>
                <w:sz w:val="20"/>
                <w:szCs w:val="20"/>
              </w:rPr>
            </w:pPr>
            <w:r w:rsidRPr="00696515">
              <w:rPr>
                <w:sz w:val="20"/>
                <w:szCs w:val="20"/>
              </w:rPr>
              <w:t>100.000,00</w:t>
            </w:r>
          </w:p>
        </w:tc>
        <w:tc>
          <w:tcPr>
            <w:tcW w:w="1447" w:type="dxa"/>
          </w:tcPr>
          <w:p w:rsidR="00CA1D81" w:rsidRPr="00696515" w:rsidRDefault="00CA1D81" w:rsidP="00AD5BFF">
            <w:pPr>
              <w:spacing w:after="0" w:line="240" w:lineRule="auto"/>
              <w:ind w:left="-139"/>
              <w:jc w:val="right"/>
              <w:rPr>
                <w:sz w:val="20"/>
                <w:szCs w:val="20"/>
              </w:rPr>
            </w:pPr>
            <w:r w:rsidRPr="00696515">
              <w:rPr>
                <w:sz w:val="20"/>
                <w:szCs w:val="20"/>
              </w:rPr>
              <w:t>100.000,00</w:t>
            </w:r>
          </w:p>
        </w:tc>
      </w:tr>
      <w:tr w:rsidR="00CA1D81" w:rsidRPr="00696515" w:rsidTr="00AD5BFF">
        <w:trPr>
          <w:trHeight w:val="170"/>
        </w:trPr>
        <w:tc>
          <w:tcPr>
            <w:tcW w:w="1696" w:type="dxa"/>
            <w:shd w:val="clear" w:color="auto" w:fill="auto"/>
            <w:vAlign w:val="center"/>
          </w:tcPr>
          <w:p w:rsidR="00CA1D81" w:rsidRPr="00696515" w:rsidRDefault="00CA1D81" w:rsidP="00AD5BFF">
            <w:pPr>
              <w:spacing w:after="0" w:line="240" w:lineRule="auto"/>
              <w:rPr>
                <w:sz w:val="20"/>
                <w:szCs w:val="20"/>
                <w:lang w:val="sr-Cyrl-ME"/>
              </w:rPr>
            </w:pPr>
            <w:r w:rsidRPr="00696515">
              <w:rPr>
                <w:sz w:val="20"/>
                <w:szCs w:val="20"/>
                <w:lang w:val="sr-Cyrl-ME"/>
              </w:rPr>
              <w:t xml:space="preserve">мађарске </w:t>
            </w:r>
          </w:p>
        </w:tc>
        <w:tc>
          <w:tcPr>
            <w:tcW w:w="1560" w:type="dxa"/>
            <w:shd w:val="clear" w:color="auto" w:fill="auto"/>
            <w:vAlign w:val="center"/>
          </w:tcPr>
          <w:p w:rsidR="00CA1D81" w:rsidRPr="00696515" w:rsidRDefault="00CA1D81" w:rsidP="00AD5BFF">
            <w:pPr>
              <w:spacing w:after="0" w:line="240" w:lineRule="auto"/>
              <w:ind w:left="-168" w:right="-77"/>
              <w:jc w:val="right"/>
              <w:rPr>
                <w:sz w:val="20"/>
                <w:szCs w:val="20"/>
                <w:lang w:val="sr-Cyrl-ME"/>
              </w:rPr>
            </w:pPr>
            <w:r w:rsidRPr="00696515">
              <w:rPr>
                <w:sz w:val="20"/>
                <w:szCs w:val="20"/>
              </w:rPr>
              <w:t>24</w:t>
            </w:r>
            <w:r w:rsidRPr="00696515">
              <w:rPr>
                <w:sz w:val="20"/>
                <w:szCs w:val="20"/>
                <w:lang w:val="sr-Cyrl-ME"/>
              </w:rPr>
              <w:t>.</w:t>
            </w:r>
            <w:r w:rsidRPr="00696515">
              <w:rPr>
                <w:sz w:val="20"/>
                <w:szCs w:val="20"/>
              </w:rPr>
              <w:t>349</w:t>
            </w:r>
            <w:r w:rsidRPr="00696515">
              <w:rPr>
                <w:sz w:val="20"/>
                <w:szCs w:val="20"/>
                <w:lang w:val="sr-Cyrl-ME"/>
              </w:rPr>
              <w:t>.</w:t>
            </w:r>
            <w:r w:rsidRPr="00696515">
              <w:rPr>
                <w:sz w:val="20"/>
                <w:szCs w:val="20"/>
              </w:rPr>
              <w:t>004</w:t>
            </w:r>
            <w:r w:rsidRPr="00696515">
              <w:rPr>
                <w:sz w:val="20"/>
                <w:szCs w:val="20"/>
                <w:lang w:val="sr-Cyrl-ME"/>
              </w:rPr>
              <w:t>,00</w:t>
            </w:r>
          </w:p>
        </w:tc>
        <w:tc>
          <w:tcPr>
            <w:tcW w:w="1417" w:type="dxa"/>
            <w:vAlign w:val="center"/>
          </w:tcPr>
          <w:p w:rsidR="00CA1D81" w:rsidRPr="00696515" w:rsidRDefault="00CA1D81" w:rsidP="00AD5BFF">
            <w:pPr>
              <w:spacing w:after="0" w:line="240" w:lineRule="auto"/>
              <w:ind w:left="-139"/>
              <w:jc w:val="right"/>
              <w:rPr>
                <w:sz w:val="20"/>
                <w:szCs w:val="20"/>
              </w:rPr>
            </w:pPr>
            <w:r w:rsidRPr="00696515">
              <w:rPr>
                <w:sz w:val="20"/>
                <w:szCs w:val="20"/>
              </w:rPr>
              <w:t>24.423.964,00</w:t>
            </w:r>
          </w:p>
        </w:tc>
        <w:tc>
          <w:tcPr>
            <w:tcW w:w="1559" w:type="dxa"/>
            <w:vAlign w:val="center"/>
          </w:tcPr>
          <w:p w:rsidR="00CA1D81" w:rsidRPr="00696515" w:rsidRDefault="00CA1D81" w:rsidP="00AD5BFF">
            <w:pPr>
              <w:spacing w:after="0" w:line="240" w:lineRule="auto"/>
              <w:ind w:left="-139"/>
              <w:jc w:val="right"/>
              <w:rPr>
                <w:sz w:val="20"/>
                <w:szCs w:val="20"/>
              </w:rPr>
            </w:pPr>
            <w:r w:rsidRPr="00696515">
              <w:rPr>
                <w:sz w:val="20"/>
                <w:szCs w:val="20"/>
              </w:rPr>
              <w:t>24.</w:t>
            </w:r>
            <w:r>
              <w:rPr>
                <w:sz w:val="20"/>
                <w:szCs w:val="20"/>
              </w:rPr>
              <w:t>194</w:t>
            </w:r>
            <w:r w:rsidRPr="00696515">
              <w:rPr>
                <w:sz w:val="20"/>
                <w:szCs w:val="20"/>
              </w:rPr>
              <w:t>.</w:t>
            </w:r>
            <w:r>
              <w:rPr>
                <w:sz w:val="20"/>
                <w:szCs w:val="20"/>
              </w:rPr>
              <w:t>720</w:t>
            </w:r>
            <w:r w:rsidRPr="00696515">
              <w:rPr>
                <w:sz w:val="20"/>
                <w:szCs w:val="20"/>
              </w:rPr>
              <w:t>,00</w:t>
            </w:r>
          </w:p>
        </w:tc>
        <w:tc>
          <w:tcPr>
            <w:tcW w:w="1430" w:type="dxa"/>
            <w:vAlign w:val="center"/>
          </w:tcPr>
          <w:p w:rsidR="00CA1D81" w:rsidRPr="00696515" w:rsidRDefault="00CA1D81" w:rsidP="00AD5BFF">
            <w:pPr>
              <w:spacing w:after="0" w:line="240" w:lineRule="auto"/>
              <w:ind w:left="-139"/>
              <w:jc w:val="right"/>
              <w:rPr>
                <w:sz w:val="20"/>
                <w:szCs w:val="20"/>
              </w:rPr>
            </w:pPr>
            <w:r w:rsidRPr="00696515">
              <w:rPr>
                <w:sz w:val="20"/>
                <w:szCs w:val="20"/>
              </w:rPr>
              <w:t>24.</w:t>
            </w:r>
            <w:r>
              <w:rPr>
                <w:sz w:val="20"/>
                <w:szCs w:val="20"/>
              </w:rPr>
              <w:t>672</w:t>
            </w:r>
            <w:r w:rsidRPr="00696515">
              <w:rPr>
                <w:sz w:val="20"/>
                <w:szCs w:val="20"/>
              </w:rPr>
              <w:t>.</w:t>
            </w:r>
            <w:r>
              <w:rPr>
                <w:sz w:val="20"/>
                <w:szCs w:val="20"/>
              </w:rPr>
              <w:t>360</w:t>
            </w:r>
            <w:r w:rsidRPr="00696515">
              <w:rPr>
                <w:sz w:val="20"/>
                <w:szCs w:val="20"/>
              </w:rPr>
              <w:t>,00</w:t>
            </w:r>
          </w:p>
        </w:tc>
        <w:tc>
          <w:tcPr>
            <w:tcW w:w="1447" w:type="dxa"/>
          </w:tcPr>
          <w:p w:rsidR="00CA1D81" w:rsidRPr="00696515" w:rsidRDefault="00CA1D81" w:rsidP="00AD5BFF">
            <w:pPr>
              <w:spacing w:after="0" w:line="240" w:lineRule="auto"/>
              <w:ind w:left="-139"/>
              <w:jc w:val="right"/>
              <w:rPr>
                <w:sz w:val="20"/>
                <w:szCs w:val="20"/>
              </w:rPr>
            </w:pPr>
            <w:r w:rsidRPr="006A3C4B">
              <w:rPr>
                <w:sz w:val="20"/>
                <w:szCs w:val="20"/>
              </w:rPr>
              <w:t>24</w:t>
            </w:r>
            <w:r>
              <w:rPr>
                <w:sz w:val="20"/>
                <w:szCs w:val="20"/>
                <w:lang w:val="sr-Cyrl-RS"/>
              </w:rPr>
              <w:t>.</w:t>
            </w:r>
            <w:r w:rsidRPr="006A3C4B">
              <w:rPr>
                <w:sz w:val="20"/>
                <w:szCs w:val="20"/>
              </w:rPr>
              <w:t>417</w:t>
            </w:r>
            <w:r>
              <w:rPr>
                <w:sz w:val="20"/>
                <w:szCs w:val="20"/>
                <w:lang w:val="sr-Cyrl-RS"/>
              </w:rPr>
              <w:t>.</w:t>
            </w:r>
            <w:r w:rsidRPr="006A3C4B">
              <w:rPr>
                <w:sz w:val="20"/>
                <w:szCs w:val="20"/>
              </w:rPr>
              <w:t>200</w:t>
            </w:r>
            <w:r>
              <w:rPr>
                <w:sz w:val="20"/>
                <w:szCs w:val="20"/>
                <w:lang w:val="sr-Cyrl-RS"/>
              </w:rPr>
              <w:t>,</w:t>
            </w:r>
            <w:r w:rsidRPr="006A3C4B">
              <w:rPr>
                <w:sz w:val="20"/>
                <w:szCs w:val="20"/>
              </w:rPr>
              <w:t>00</w:t>
            </w:r>
          </w:p>
        </w:tc>
      </w:tr>
      <w:tr w:rsidR="00CA1D81" w:rsidRPr="00696515" w:rsidTr="00AD5BFF">
        <w:trPr>
          <w:trHeight w:val="107"/>
        </w:trPr>
        <w:tc>
          <w:tcPr>
            <w:tcW w:w="1696" w:type="dxa"/>
            <w:shd w:val="clear" w:color="auto" w:fill="auto"/>
            <w:vAlign w:val="center"/>
          </w:tcPr>
          <w:p w:rsidR="00CA1D81" w:rsidRPr="00696515" w:rsidRDefault="00CA1D81" w:rsidP="00AD5BFF">
            <w:pPr>
              <w:spacing w:after="0" w:line="240" w:lineRule="auto"/>
              <w:rPr>
                <w:sz w:val="20"/>
                <w:szCs w:val="20"/>
              </w:rPr>
            </w:pPr>
            <w:r w:rsidRPr="00696515">
              <w:rPr>
                <w:sz w:val="20"/>
                <w:szCs w:val="20"/>
                <w:lang w:val="sr-Cyrl-ME"/>
              </w:rPr>
              <w:t xml:space="preserve">македонске </w:t>
            </w:r>
          </w:p>
        </w:tc>
        <w:tc>
          <w:tcPr>
            <w:tcW w:w="1560" w:type="dxa"/>
            <w:shd w:val="clear" w:color="auto" w:fill="auto"/>
            <w:vAlign w:val="center"/>
          </w:tcPr>
          <w:p w:rsidR="00CA1D81" w:rsidRPr="00696515" w:rsidRDefault="00CA1D81" w:rsidP="00AD5BFF">
            <w:pPr>
              <w:spacing w:after="0" w:line="240" w:lineRule="auto"/>
              <w:ind w:left="-168" w:right="-77"/>
              <w:jc w:val="right"/>
              <w:rPr>
                <w:sz w:val="20"/>
                <w:szCs w:val="20"/>
              </w:rPr>
            </w:pPr>
            <w:r w:rsidRPr="00696515">
              <w:rPr>
                <w:sz w:val="20"/>
                <w:szCs w:val="20"/>
              </w:rPr>
              <w:t>2.438.340,00</w:t>
            </w:r>
          </w:p>
        </w:tc>
        <w:tc>
          <w:tcPr>
            <w:tcW w:w="1417" w:type="dxa"/>
            <w:vAlign w:val="center"/>
          </w:tcPr>
          <w:p w:rsidR="00CA1D81" w:rsidRPr="00696515" w:rsidRDefault="00CA1D81" w:rsidP="00AD5BFF">
            <w:pPr>
              <w:spacing w:after="0" w:line="240" w:lineRule="auto"/>
              <w:ind w:left="-139"/>
              <w:jc w:val="right"/>
              <w:rPr>
                <w:sz w:val="20"/>
                <w:szCs w:val="20"/>
              </w:rPr>
            </w:pPr>
            <w:r w:rsidRPr="00696515">
              <w:rPr>
                <w:sz w:val="20"/>
                <w:szCs w:val="20"/>
              </w:rPr>
              <w:t>2.456.220,00</w:t>
            </w:r>
          </w:p>
        </w:tc>
        <w:tc>
          <w:tcPr>
            <w:tcW w:w="1559" w:type="dxa"/>
            <w:vAlign w:val="center"/>
          </w:tcPr>
          <w:p w:rsidR="00CA1D81" w:rsidRPr="00696515" w:rsidRDefault="00CA1D81" w:rsidP="00AD5BFF">
            <w:pPr>
              <w:spacing w:after="0" w:line="240" w:lineRule="auto"/>
              <w:ind w:left="-139"/>
              <w:jc w:val="right"/>
              <w:rPr>
                <w:sz w:val="20"/>
                <w:szCs w:val="20"/>
              </w:rPr>
            </w:pPr>
            <w:r w:rsidRPr="00696515">
              <w:rPr>
                <w:sz w:val="20"/>
                <w:szCs w:val="20"/>
              </w:rPr>
              <w:t>2.6</w:t>
            </w:r>
            <w:r>
              <w:rPr>
                <w:sz w:val="20"/>
                <w:szCs w:val="20"/>
              </w:rPr>
              <w:t>65</w:t>
            </w:r>
            <w:r w:rsidRPr="00696515">
              <w:rPr>
                <w:sz w:val="20"/>
                <w:szCs w:val="20"/>
              </w:rPr>
              <w:t>.</w:t>
            </w:r>
            <w:r>
              <w:rPr>
                <w:sz w:val="20"/>
                <w:szCs w:val="20"/>
              </w:rPr>
              <w:t>64</w:t>
            </w:r>
            <w:r w:rsidRPr="00696515">
              <w:rPr>
                <w:sz w:val="20"/>
                <w:szCs w:val="20"/>
              </w:rPr>
              <w:t>0,00</w:t>
            </w:r>
          </w:p>
        </w:tc>
        <w:tc>
          <w:tcPr>
            <w:tcW w:w="1430" w:type="dxa"/>
            <w:vAlign w:val="center"/>
          </w:tcPr>
          <w:p w:rsidR="00CA1D81" w:rsidRPr="00696515" w:rsidRDefault="00CA1D81" w:rsidP="00AD5BFF">
            <w:pPr>
              <w:spacing w:after="0" w:line="240" w:lineRule="auto"/>
              <w:ind w:left="-139"/>
              <w:jc w:val="right"/>
              <w:rPr>
                <w:sz w:val="20"/>
                <w:szCs w:val="20"/>
              </w:rPr>
            </w:pPr>
            <w:r>
              <w:rPr>
                <w:sz w:val="20"/>
                <w:szCs w:val="20"/>
              </w:rPr>
              <w:t>2.790</w:t>
            </w:r>
            <w:r w:rsidRPr="00696515">
              <w:rPr>
                <w:sz w:val="20"/>
                <w:szCs w:val="20"/>
              </w:rPr>
              <w:t>.</w:t>
            </w:r>
            <w:r>
              <w:rPr>
                <w:sz w:val="20"/>
                <w:szCs w:val="20"/>
              </w:rPr>
              <w:t>44</w:t>
            </w:r>
            <w:r w:rsidRPr="00696515">
              <w:rPr>
                <w:sz w:val="20"/>
                <w:szCs w:val="20"/>
              </w:rPr>
              <w:t>0,00</w:t>
            </w:r>
          </w:p>
        </w:tc>
        <w:tc>
          <w:tcPr>
            <w:tcW w:w="1447" w:type="dxa"/>
          </w:tcPr>
          <w:p w:rsidR="00CA1D81" w:rsidRPr="00696515" w:rsidRDefault="00CA1D81" w:rsidP="00AD5BFF">
            <w:pPr>
              <w:spacing w:after="0" w:line="240" w:lineRule="auto"/>
              <w:ind w:left="-139"/>
              <w:jc w:val="right"/>
              <w:rPr>
                <w:sz w:val="20"/>
                <w:szCs w:val="20"/>
              </w:rPr>
            </w:pPr>
            <w:r w:rsidRPr="006A3C4B">
              <w:rPr>
                <w:sz w:val="20"/>
                <w:szCs w:val="20"/>
              </w:rPr>
              <w:t>2</w:t>
            </w:r>
            <w:r>
              <w:rPr>
                <w:sz w:val="20"/>
                <w:szCs w:val="20"/>
                <w:lang w:val="sr-Cyrl-RS"/>
              </w:rPr>
              <w:t>.</w:t>
            </w:r>
            <w:r w:rsidRPr="006A3C4B">
              <w:rPr>
                <w:sz w:val="20"/>
                <w:szCs w:val="20"/>
              </w:rPr>
              <w:t>729</w:t>
            </w:r>
            <w:r>
              <w:rPr>
                <w:sz w:val="20"/>
                <w:szCs w:val="20"/>
                <w:lang w:val="sr-Cyrl-RS"/>
              </w:rPr>
              <w:t>.</w:t>
            </w:r>
            <w:r w:rsidRPr="006A3C4B">
              <w:rPr>
                <w:sz w:val="20"/>
                <w:szCs w:val="20"/>
              </w:rPr>
              <w:t>600</w:t>
            </w:r>
            <w:r>
              <w:rPr>
                <w:sz w:val="20"/>
                <w:szCs w:val="20"/>
                <w:lang w:val="sr-Cyrl-RS"/>
              </w:rPr>
              <w:t>,</w:t>
            </w:r>
            <w:r w:rsidRPr="006A3C4B">
              <w:rPr>
                <w:sz w:val="20"/>
                <w:szCs w:val="20"/>
              </w:rPr>
              <w:t>00</w:t>
            </w:r>
          </w:p>
        </w:tc>
      </w:tr>
      <w:tr w:rsidR="00CA1D81" w:rsidRPr="00696515" w:rsidTr="00AD5BFF">
        <w:trPr>
          <w:trHeight w:val="233"/>
        </w:trPr>
        <w:tc>
          <w:tcPr>
            <w:tcW w:w="1696" w:type="dxa"/>
            <w:shd w:val="clear" w:color="auto" w:fill="auto"/>
            <w:vAlign w:val="center"/>
          </w:tcPr>
          <w:p w:rsidR="00CA1D81" w:rsidRPr="00696515" w:rsidRDefault="00CA1D81" w:rsidP="00AD5BFF">
            <w:pPr>
              <w:spacing w:after="0" w:line="240" w:lineRule="auto"/>
              <w:rPr>
                <w:sz w:val="20"/>
                <w:szCs w:val="20"/>
                <w:lang w:val="sr-Cyrl-ME"/>
              </w:rPr>
            </w:pPr>
            <w:r w:rsidRPr="00696515">
              <w:rPr>
                <w:sz w:val="20"/>
                <w:szCs w:val="20"/>
                <w:lang w:val="sr-Cyrl-ME"/>
              </w:rPr>
              <w:t xml:space="preserve">немачке </w:t>
            </w:r>
          </w:p>
        </w:tc>
        <w:tc>
          <w:tcPr>
            <w:tcW w:w="1560" w:type="dxa"/>
            <w:shd w:val="clear" w:color="auto" w:fill="auto"/>
            <w:vAlign w:val="center"/>
          </w:tcPr>
          <w:p w:rsidR="00CA1D81" w:rsidRPr="00696515" w:rsidRDefault="00CA1D81" w:rsidP="00AD5BFF">
            <w:pPr>
              <w:spacing w:after="0" w:line="240" w:lineRule="auto"/>
              <w:ind w:left="-168" w:right="-77"/>
              <w:jc w:val="right"/>
              <w:rPr>
                <w:sz w:val="20"/>
                <w:szCs w:val="20"/>
              </w:rPr>
            </w:pPr>
            <w:r w:rsidRPr="00696515">
              <w:rPr>
                <w:sz w:val="20"/>
                <w:szCs w:val="20"/>
              </w:rPr>
              <w:t>1.807.084,00</w:t>
            </w:r>
          </w:p>
        </w:tc>
        <w:tc>
          <w:tcPr>
            <w:tcW w:w="1417" w:type="dxa"/>
            <w:vAlign w:val="center"/>
          </w:tcPr>
          <w:p w:rsidR="00CA1D81" w:rsidRPr="00696515" w:rsidRDefault="00CA1D81" w:rsidP="00AD5BFF">
            <w:pPr>
              <w:spacing w:after="0" w:line="240" w:lineRule="auto"/>
              <w:ind w:left="-139"/>
              <w:jc w:val="right"/>
              <w:rPr>
                <w:sz w:val="20"/>
                <w:szCs w:val="20"/>
              </w:rPr>
            </w:pPr>
            <w:r w:rsidRPr="00696515">
              <w:rPr>
                <w:sz w:val="20"/>
                <w:szCs w:val="20"/>
              </w:rPr>
              <w:t>1.787.884,00</w:t>
            </w:r>
          </w:p>
        </w:tc>
        <w:tc>
          <w:tcPr>
            <w:tcW w:w="1559" w:type="dxa"/>
            <w:vAlign w:val="center"/>
          </w:tcPr>
          <w:p w:rsidR="00CA1D81" w:rsidRPr="00696515" w:rsidRDefault="00CA1D81" w:rsidP="00AD5BFF">
            <w:pPr>
              <w:spacing w:after="0" w:line="240" w:lineRule="auto"/>
              <w:ind w:left="-139"/>
              <w:jc w:val="right"/>
              <w:rPr>
                <w:sz w:val="20"/>
                <w:szCs w:val="20"/>
              </w:rPr>
            </w:pPr>
            <w:r w:rsidRPr="00696515">
              <w:rPr>
                <w:sz w:val="20"/>
                <w:szCs w:val="20"/>
              </w:rPr>
              <w:t>1.</w:t>
            </w:r>
            <w:r>
              <w:rPr>
                <w:sz w:val="20"/>
                <w:szCs w:val="20"/>
              </w:rPr>
              <w:t>593</w:t>
            </w:r>
            <w:r w:rsidRPr="00696515">
              <w:rPr>
                <w:sz w:val="20"/>
                <w:szCs w:val="20"/>
              </w:rPr>
              <w:t>.</w:t>
            </w:r>
            <w:r>
              <w:rPr>
                <w:sz w:val="20"/>
                <w:szCs w:val="20"/>
              </w:rPr>
              <w:t>560</w:t>
            </w:r>
            <w:r w:rsidRPr="00696515">
              <w:rPr>
                <w:sz w:val="20"/>
                <w:szCs w:val="20"/>
              </w:rPr>
              <w:t>,00</w:t>
            </w:r>
          </w:p>
        </w:tc>
        <w:tc>
          <w:tcPr>
            <w:tcW w:w="1430" w:type="dxa"/>
            <w:vAlign w:val="center"/>
          </w:tcPr>
          <w:p w:rsidR="00CA1D81" w:rsidRPr="00696515" w:rsidRDefault="00CA1D81" w:rsidP="00AD5BFF">
            <w:pPr>
              <w:spacing w:after="0" w:line="240" w:lineRule="auto"/>
              <w:ind w:left="-139"/>
              <w:jc w:val="right"/>
              <w:rPr>
                <w:sz w:val="20"/>
                <w:szCs w:val="20"/>
              </w:rPr>
            </w:pPr>
            <w:r w:rsidRPr="00696515">
              <w:rPr>
                <w:sz w:val="20"/>
                <w:szCs w:val="20"/>
              </w:rPr>
              <w:t>1.</w:t>
            </w:r>
            <w:r>
              <w:rPr>
                <w:sz w:val="20"/>
                <w:szCs w:val="20"/>
              </w:rPr>
              <w:t>764</w:t>
            </w:r>
            <w:r w:rsidRPr="00696515">
              <w:rPr>
                <w:sz w:val="20"/>
                <w:szCs w:val="20"/>
              </w:rPr>
              <w:t>.</w:t>
            </w:r>
            <w:r>
              <w:rPr>
                <w:sz w:val="20"/>
                <w:szCs w:val="20"/>
              </w:rPr>
              <w:t>360</w:t>
            </w:r>
            <w:r w:rsidRPr="00696515">
              <w:rPr>
                <w:sz w:val="20"/>
                <w:szCs w:val="20"/>
              </w:rPr>
              <w:t>,00</w:t>
            </w:r>
          </w:p>
        </w:tc>
        <w:tc>
          <w:tcPr>
            <w:tcW w:w="1447" w:type="dxa"/>
          </w:tcPr>
          <w:p w:rsidR="00CA1D81" w:rsidRPr="00696515" w:rsidRDefault="00CA1D81" w:rsidP="00AD5BFF">
            <w:pPr>
              <w:spacing w:after="0" w:line="240" w:lineRule="auto"/>
              <w:ind w:left="-139"/>
              <w:jc w:val="right"/>
              <w:rPr>
                <w:sz w:val="20"/>
                <w:szCs w:val="20"/>
              </w:rPr>
            </w:pPr>
            <w:r w:rsidRPr="006A3C4B">
              <w:rPr>
                <w:sz w:val="20"/>
                <w:szCs w:val="20"/>
              </w:rPr>
              <w:t>1</w:t>
            </w:r>
            <w:r>
              <w:rPr>
                <w:sz w:val="20"/>
                <w:szCs w:val="20"/>
                <w:lang w:val="sr-Cyrl-RS"/>
              </w:rPr>
              <w:t>.</w:t>
            </w:r>
            <w:r w:rsidRPr="006A3C4B">
              <w:rPr>
                <w:sz w:val="20"/>
                <w:szCs w:val="20"/>
              </w:rPr>
              <w:t>754</w:t>
            </w:r>
            <w:r>
              <w:rPr>
                <w:sz w:val="20"/>
                <w:szCs w:val="20"/>
                <w:lang w:val="sr-Cyrl-RS"/>
              </w:rPr>
              <w:t>.</w:t>
            </w:r>
            <w:r w:rsidRPr="006A3C4B">
              <w:rPr>
                <w:sz w:val="20"/>
                <w:szCs w:val="20"/>
              </w:rPr>
              <w:t>800</w:t>
            </w:r>
            <w:r>
              <w:rPr>
                <w:sz w:val="20"/>
                <w:szCs w:val="20"/>
                <w:lang w:val="sr-Cyrl-RS"/>
              </w:rPr>
              <w:t>,</w:t>
            </w:r>
            <w:r w:rsidRPr="006A3C4B">
              <w:rPr>
                <w:sz w:val="20"/>
                <w:szCs w:val="20"/>
              </w:rPr>
              <w:t>00</w:t>
            </w:r>
          </w:p>
        </w:tc>
      </w:tr>
      <w:tr w:rsidR="00CA1D81" w:rsidRPr="00696515" w:rsidTr="00AD5BFF">
        <w:trPr>
          <w:trHeight w:val="233"/>
        </w:trPr>
        <w:tc>
          <w:tcPr>
            <w:tcW w:w="1696" w:type="dxa"/>
            <w:shd w:val="clear" w:color="auto" w:fill="auto"/>
            <w:vAlign w:val="center"/>
          </w:tcPr>
          <w:p w:rsidR="00CA1D81" w:rsidRPr="00696515" w:rsidRDefault="00CA1D81" w:rsidP="00AD5BFF">
            <w:pPr>
              <w:spacing w:after="0" w:line="240" w:lineRule="auto"/>
              <w:rPr>
                <w:sz w:val="20"/>
                <w:szCs w:val="20"/>
                <w:lang w:val="sr-Cyrl-ME"/>
              </w:rPr>
            </w:pPr>
            <w:r>
              <w:rPr>
                <w:sz w:val="20"/>
                <w:szCs w:val="20"/>
                <w:lang w:val="sr-Cyrl-ME"/>
              </w:rPr>
              <w:t>пољске</w:t>
            </w:r>
          </w:p>
        </w:tc>
        <w:tc>
          <w:tcPr>
            <w:tcW w:w="1560" w:type="dxa"/>
            <w:shd w:val="clear" w:color="auto" w:fill="auto"/>
            <w:vAlign w:val="center"/>
          </w:tcPr>
          <w:p w:rsidR="00CA1D81" w:rsidRPr="00696515" w:rsidRDefault="00CA1D81" w:rsidP="00AD5BFF">
            <w:pPr>
              <w:spacing w:after="0" w:line="240" w:lineRule="auto"/>
              <w:ind w:left="-168" w:right="-77"/>
              <w:jc w:val="right"/>
              <w:rPr>
                <w:sz w:val="20"/>
                <w:szCs w:val="20"/>
              </w:rPr>
            </w:pPr>
          </w:p>
        </w:tc>
        <w:tc>
          <w:tcPr>
            <w:tcW w:w="1417" w:type="dxa"/>
            <w:vAlign w:val="center"/>
          </w:tcPr>
          <w:p w:rsidR="00CA1D81" w:rsidRPr="00696515" w:rsidRDefault="00CA1D81" w:rsidP="00AD5BFF">
            <w:pPr>
              <w:spacing w:after="0" w:line="240" w:lineRule="auto"/>
              <w:ind w:left="-139"/>
              <w:jc w:val="right"/>
              <w:rPr>
                <w:sz w:val="20"/>
                <w:szCs w:val="20"/>
              </w:rPr>
            </w:pPr>
          </w:p>
        </w:tc>
        <w:tc>
          <w:tcPr>
            <w:tcW w:w="1559" w:type="dxa"/>
            <w:vAlign w:val="center"/>
          </w:tcPr>
          <w:p w:rsidR="00CA1D81" w:rsidRPr="00200BF6" w:rsidRDefault="00CA1D81" w:rsidP="00AD5BFF">
            <w:pPr>
              <w:spacing w:after="0" w:line="240" w:lineRule="auto"/>
              <w:ind w:left="-139"/>
              <w:jc w:val="right"/>
              <w:rPr>
                <w:sz w:val="20"/>
                <w:szCs w:val="20"/>
              </w:rPr>
            </w:pPr>
            <w:r>
              <w:rPr>
                <w:sz w:val="20"/>
                <w:szCs w:val="20"/>
              </w:rPr>
              <w:t>1.282.920,00</w:t>
            </w:r>
          </w:p>
        </w:tc>
        <w:tc>
          <w:tcPr>
            <w:tcW w:w="1430" w:type="dxa"/>
            <w:vAlign w:val="center"/>
          </w:tcPr>
          <w:p w:rsidR="00CA1D81" w:rsidRPr="00200BF6" w:rsidRDefault="00CA1D81" w:rsidP="00AD5BFF">
            <w:pPr>
              <w:spacing w:after="0" w:line="240" w:lineRule="auto"/>
              <w:ind w:left="-139"/>
              <w:jc w:val="right"/>
              <w:rPr>
                <w:sz w:val="20"/>
                <w:szCs w:val="20"/>
              </w:rPr>
            </w:pPr>
            <w:r>
              <w:rPr>
                <w:sz w:val="20"/>
                <w:szCs w:val="20"/>
              </w:rPr>
              <w:t>1.315.160,00</w:t>
            </w:r>
          </w:p>
        </w:tc>
        <w:tc>
          <w:tcPr>
            <w:tcW w:w="1447" w:type="dxa"/>
          </w:tcPr>
          <w:p w:rsidR="00CA1D81" w:rsidRPr="00696515" w:rsidRDefault="00CA1D81" w:rsidP="00AD5BFF">
            <w:pPr>
              <w:spacing w:after="0" w:line="240" w:lineRule="auto"/>
              <w:ind w:left="-139"/>
              <w:jc w:val="right"/>
              <w:rPr>
                <w:sz w:val="20"/>
                <w:szCs w:val="20"/>
              </w:rPr>
            </w:pPr>
            <w:r w:rsidRPr="006A3C4B">
              <w:rPr>
                <w:sz w:val="20"/>
                <w:szCs w:val="20"/>
              </w:rPr>
              <w:t>1</w:t>
            </w:r>
            <w:r>
              <w:rPr>
                <w:sz w:val="20"/>
                <w:szCs w:val="20"/>
                <w:lang w:val="sr-Cyrl-RS"/>
              </w:rPr>
              <w:t>.</w:t>
            </w:r>
            <w:r w:rsidRPr="006A3C4B">
              <w:rPr>
                <w:sz w:val="20"/>
                <w:szCs w:val="20"/>
              </w:rPr>
              <w:t>315</w:t>
            </w:r>
            <w:r>
              <w:rPr>
                <w:sz w:val="20"/>
                <w:szCs w:val="20"/>
                <w:lang w:val="sr-Cyrl-RS"/>
              </w:rPr>
              <w:t>.</w:t>
            </w:r>
            <w:r w:rsidRPr="006A3C4B">
              <w:rPr>
                <w:sz w:val="20"/>
                <w:szCs w:val="20"/>
              </w:rPr>
              <w:t>200</w:t>
            </w:r>
            <w:r>
              <w:rPr>
                <w:sz w:val="20"/>
                <w:szCs w:val="20"/>
                <w:lang w:val="sr-Cyrl-RS"/>
              </w:rPr>
              <w:t>,</w:t>
            </w:r>
            <w:r w:rsidRPr="006A3C4B">
              <w:rPr>
                <w:sz w:val="20"/>
                <w:szCs w:val="20"/>
              </w:rPr>
              <w:t>00</w:t>
            </w:r>
          </w:p>
        </w:tc>
      </w:tr>
      <w:tr w:rsidR="00CA1D81" w:rsidRPr="00696515" w:rsidTr="00AD5BFF">
        <w:trPr>
          <w:trHeight w:val="161"/>
        </w:trPr>
        <w:tc>
          <w:tcPr>
            <w:tcW w:w="1696" w:type="dxa"/>
            <w:shd w:val="clear" w:color="auto" w:fill="auto"/>
            <w:vAlign w:val="center"/>
          </w:tcPr>
          <w:p w:rsidR="00CA1D81" w:rsidRPr="00696515" w:rsidRDefault="00CA1D81" w:rsidP="00AD5BFF">
            <w:pPr>
              <w:spacing w:after="0" w:line="240" w:lineRule="auto"/>
              <w:rPr>
                <w:sz w:val="20"/>
                <w:szCs w:val="20"/>
                <w:lang w:val="sr-Cyrl-ME"/>
              </w:rPr>
            </w:pPr>
            <w:r w:rsidRPr="00696515">
              <w:rPr>
                <w:sz w:val="20"/>
                <w:szCs w:val="20"/>
                <w:lang w:val="sr-Cyrl-ME"/>
              </w:rPr>
              <w:t xml:space="preserve">ромске </w:t>
            </w:r>
          </w:p>
        </w:tc>
        <w:tc>
          <w:tcPr>
            <w:tcW w:w="1560" w:type="dxa"/>
            <w:shd w:val="clear" w:color="auto" w:fill="auto"/>
            <w:vAlign w:val="center"/>
          </w:tcPr>
          <w:p w:rsidR="00CA1D81" w:rsidRPr="00696515" w:rsidRDefault="00CA1D81" w:rsidP="00AD5BFF">
            <w:pPr>
              <w:spacing w:after="0" w:line="240" w:lineRule="auto"/>
              <w:ind w:left="-168" w:right="-77"/>
              <w:jc w:val="right"/>
              <w:rPr>
                <w:sz w:val="20"/>
                <w:szCs w:val="20"/>
              </w:rPr>
            </w:pPr>
            <w:r w:rsidRPr="00696515">
              <w:rPr>
                <w:sz w:val="20"/>
                <w:szCs w:val="20"/>
              </w:rPr>
              <w:t>3.719.928,00</w:t>
            </w:r>
          </w:p>
        </w:tc>
        <w:tc>
          <w:tcPr>
            <w:tcW w:w="1417" w:type="dxa"/>
            <w:vAlign w:val="center"/>
          </w:tcPr>
          <w:p w:rsidR="00CA1D81" w:rsidRPr="00696515" w:rsidRDefault="00CA1D81" w:rsidP="00AD5BFF">
            <w:pPr>
              <w:spacing w:after="0" w:line="240" w:lineRule="auto"/>
              <w:ind w:left="-139"/>
              <w:jc w:val="right"/>
              <w:rPr>
                <w:sz w:val="20"/>
                <w:szCs w:val="20"/>
              </w:rPr>
            </w:pPr>
            <w:r w:rsidRPr="00696515">
              <w:rPr>
                <w:sz w:val="20"/>
                <w:szCs w:val="20"/>
              </w:rPr>
              <w:t>3.802.832,00</w:t>
            </w:r>
          </w:p>
        </w:tc>
        <w:tc>
          <w:tcPr>
            <w:tcW w:w="1559" w:type="dxa"/>
            <w:vAlign w:val="center"/>
          </w:tcPr>
          <w:p w:rsidR="00CA1D81" w:rsidRPr="00696515" w:rsidRDefault="00CA1D81" w:rsidP="00AD5BFF">
            <w:pPr>
              <w:spacing w:after="0" w:line="240" w:lineRule="auto"/>
              <w:ind w:left="-139"/>
              <w:jc w:val="right"/>
              <w:rPr>
                <w:sz w:val="20"/>
                <w:szCs w:val="20"/>
              </w:rPr>
            </w:pPr>
            <w:r w:rsidRPr="00696515">
              <w:rPr>
                <w:sz w:val="20"/>
                <w:szCs w:val="20"/>
              </w:rPr>
              <w:t>3.</w:t>
            </w:r>
            <w:r>
              <w:rPr>
                <w:sz w:val="20"/>
                <w:szCs w:val="20"/>
              </w:rPr>
              <w:t>584.560</w:t>
            </w:r>
            <w:r w:rsidRPr="00696515">
              <w:rPr>
                <w:sz w:val="20"/>
                <w:szCs w:val="20"/>
              </w:rPr>
              <w:t>,00</w:t>
            </w:r>
          </w:p>
        </w:tc>
        <w:tc>
          <w:tcPr>
            <w:tcW w:w="1430" w:type="dxa"/>
            <w:vAlign w:val="center"/>
          </w:tcPr>
          <w:p w:rsidR="00CA1D81" w:rsidRPr="00696515" w:rsidRDefault="00CA1D81" w:rsidP="00AD5BFF">
            <w:pPr>
              <w:spacing w:after="0" w:line="240" w:lineRule="auto"/>
              <w:ind w:left="-139"/>
              <w:jc w:val="right"/>
              <w:rPr>
                <w:sz w:val="20"/>
                <w:szCs w:val="20"/>
              </w:rPr>
            </w:pPr>
            <w:r w:rsidRPr="00696515">
              <w:rPr>
                <w:sz w:val="20"/>
                <w:szCs w:val="20"/>
              </w:rPr>
              <w:t>3.</w:t>
            </w:r>
            <w:r>
              <w:rPr>
                <w:sz w:val="20"/>
                <w:szCs w:val="20"/>
              </w:rPr>
              <w:t>782.080</w:t>
            </w:r>
            <w:r w:rsidRPr="00696515">
              <w:rPr>
                <w:sz w:val="20"/>
                <w:szCs w:val="20"/>
              </w:rPr>
              <w:t>,00</w:t>
            </w:r>
          </w:p>
        </w:tc>
        <w:tc>
          <w:tcPr>
            <w:tcW w:w="1447" w:type="dxa"/>
          </w:tcPr>
          <w:p w:rsidR="00CA1D81" w:rsidRPr="00696515" w:rsidRDefault="00CA1D81" w:rsidP="00AD5BFF">
            <w:pPr>
              <w:spacing w:after="0" w:line="240" w:lineRule="auto"/>
              <w:ind w:left="-139"/>
              <w:jc w:val="right"/>
              <w:rPr>
                <w:sz w:val="20"/>
                <w:szCs w:val="20"/>
              </w:rPr>
            </w:pPr>
            <w:r w:rsidRPr="006A3C4B">
              <w:rPr>
                <w:sz w:val="20"/>
                <w:szCs w:val="20"/>
              </w:rPr>
              <w:t>3</w:t>
            </w:r>
            <w:r>
              <w:rPr>
                <w:sz w:val="20"/>
                <w:szCs w:val="20"/>
                <w:lang w:val="sr-Cyrl-RS"/>
              </w:rPr>
              <w:t>.</w:t>
            </w:r>
            <w:r w:rsidRPr="006A3C4B">
              <w:rPr>
                <w:sz w:val="20"/>
                <w:szCs w:val="20"/>
              </w:rPr>
              <w:t>771</w:t>
            </w:r>
            <w:r>
              <w:rPr>
                <w:sz w:val="20"/>
                <w:szCs w:val="20"/>
                <w:lang w:val="sr-Cyrl-RS"/>
              </w:rPr>
              <w:t>.</w:t>
            </w:r>
            <w:r w:rsidRPr="006A3C4B">
              <w:rPr>
                <w:sz w:val="20"/>
                <w:szCs w:val="20"/>
              </w:rPr>
              <w:t>600</w:t>
            </w:r>
            <w:r>
              <w:rPr>
                <w:sz w:val="20"/>
                <w:szCs w:val="20"/>
                <w:lang w:val="sr-Cyrl-RS"/>
              </w:rPr>
              <w:t>,</w:t>
            </w:r>
            <w:r w:rsidRPr="006A3C4B">
              <w:rPr>
                <w:sz w:val="20"/>
                <w:szCs w:val="20"/>
              </w:rPr>
              <w:t>00</w:t>
            </w:r>
          </w:p>
        </w:tc>
      </w:tr>
      <w:tr w:rsidR="00CA1D81" w:rsidRPr="00696515" w:rsidTr="00AD5BFF">
        <w:trPr>
          <w:trHeight w:val="98"/>
        </w:trPr>
        <w:tc>
          <w:tcPr>
            <w:tcW w:w="1696" w:type="dxa"/>
            <w:shd w:val="clear" w:color="auto" w:fill="auto"/>
            <w:vAlign w:val="center"/>
          </w:tcPr>
          <w:p w:rsidR="00CA1D81" w:rsidRPr="00696515" w:rsidRDefault="00CA1D81" w:rsidP="00AD5BFF">
            <w:pPr>
              <w:spacing w:after="0" w:line="240" w:lineRule="auto"/>
              <w:rPr>
                <w:sz w:val="20"/>
                <w:szCs w:val="20"/>
              </w:rPr>
            </w:pPr>
            <w:r w:rsidRPr="00696515">
              <w:rPr>
                <w:sz w:val="20"/>
                <w:szCs w:val="20"/>
                <w:lang w:val="sr-Cyrl-ME"/>
              </w:rPr>
              <w:t xml:space="preserve">румунске </w:t>
            </w:r>
          </w:p>
        </w:tc>
        <w:tc>
          <w:tcPr>
            <w:tcW w:w="1560" w:type="dxa"/>
            <w:shd w:val="clear" w:color="auto" w:fill="auto"/>
            <w:vAlign w:val="center"/>
          </w:tcPr>
          <w:p w:rsidR="00CA1D81" w:rsidRPr="00696515" w:rsidRDefault="00CA1D81" w:rsidP="00AD5BFF">
            <w:pPr>
              <w:spacing w:after="0" w:line="240" w:lineRule="auto"/>
              <w:ind w:left="-168" w:right="-77"/>
              <w:jc w:val="right"/>
              <w:rPr>
                <w:sz w:val="20"/>
                <w:szCs w:val="20"/>
                <w:lang w:val="sr-Latn-ME"/>
              </w:rPr>
            </w:pPr>
            <w:r w:rsidRPr="00696515">
              <w:rPr>
                <w:sz w:val="20"/>
                <w:szCs w:val="20"/>
                <w:lang w:val="sr-Cyrl-ME"/>
              </w:rPr>
              <w:t>4.942.824,00</w:t>
            </w:r>
          </w:p>
        </w:tc>
        <w:tc>
          <w:tcPr>
            <w:tcW w:w="1417" w:type="dxa"/>
            <w:vAlign w:val="center"/>
          </w:tcPr>
          <w:p w:rsidR="00CA1D81" w:rsidRPr="00696515" w:rsidRDefault="00CA1D81" w:rsidP="00AD5BFF">
            <w:pPr>
              <w:spacing w:after="0" w:line="240" w:lineRule="auto"/>
              <w:ind w:left="-139"/>
              <w:jc w:val="right"/>
              <w:rPr>
                <w:sz w:val="20"/>
                <w:szCs w:val="20"/>
              </w:rPr>
            </w:pPr>
            <w:r w:rsidRPr="00696515">
              <w:rPr>
                <w:sz w:val="20"/>
                <w:szCs w:val="20"/>
              </w:rPr>
              <w:t>4.636.376,00</w:t>
            </w:r>
          </w:p>
        </w:tc>
        <w:tc>
          <w:tcPr>
            <w:tcW w:w="1559" w:type="dxa"/>
            <w:vAlign w:val="center"/>
          </w:tcPr>
          <w:p w:rsidR="00CA1D81" w:rsidRPr="00696515" w:rsidRDefault="00CA1D81" w:rsidP="00AD5BFF">
            <w:pPr>
              <w:spacing w:after="0" w:line="240" w:lineRule="auto"/>
              <w:ind w:left="-139"/>
              <w:jc w:val="right"/>
              <w:rPr>
                <w:sz w:val="20"/>
                <w:szCs w:val="20"/>
              </w:rPr>
            </w:pPr>
            <w:r w:rsidRPr="00696515">
              <w:rPr>
                <w:sz w:val="20"/>
                <w:szCs w:val="20"/>
              </w:rPr>
              <w:t>4.</w:t>
            </w:r>
            <w:r>
              <w:rPr>
                <w:sz w:val="20"/>
                <w:szCs w:val="20"/>
              </w:rPr>
              <w:t>174</w:t>
            </w:r>
            <w:r w:rsidRPr="00696515">
              <w:rPr>
                <w:sz w:val="20"/>
                <w:szCs w:val="20"/>
              </w:rPr>
              <w:t>.36</w:t>
            </w:r>
            <w:r>
              <w:rPr>
                <w:sz w:val="20"/>
                <w:szCs w:val="20"/>
              </w:rPr>
              <w:t>0</w:t>
            </w:r>
            <w:r w:rsidRPr="00696515">
              <w:rPr>
                <w:sz w:val="20"/>
                <w:szCs w:val="20"/>
              </w:rPr>
              <w:t>,00</w:t>
            </w:r>
          </w:p>
        </w:tc>
        <w:tc>
          <w:tcPr>
            <w:tcW w:w="1430" w:type="dxa"/>
            <w:vAlign w:val="center"/>
          </w:tcPr>
          <w:p w:rsidR="00CA1D81" w:rsidRPr="00696515" w:rsidRDefault="00CA1D81" w:rsidP="00AD5BFF">
            <w:pPr>
              <w:spacing w:after="0" w:line="240" w:lineRule="auto"/>
              <w:ind w:left="-139"/>
              <w:jc w:val="right"/>
              <w:rPr>
                <w:sz w:val="20"/>
                <w:szCs w:val="20"/>
              </w:rPr>
            </w:pPr>
            <w:r w:rsidRPr="00696515">
              <w:rPr>
                <w:sz w:val="20"/>
                <w:szCs w:val="20"/>
              </w:rPr>
              <w:t>4.</w:t>
            </w:r>
            <w:r>
              <w:rPr>
                <w:sz w:val="20"/>
                <w:szCs w:val="20"/>
              </w:rPr>
              <w:t>238</w:t>
            </w:r>
            <w:r w:rsidRPr="00696515">
              <w:rPr>
                <w:sz w:val="20"/>
                <w:szCs w:val="20"/>
              </w:rPr>
              <w:t>.6</w:t>
            </w:r>
            <w:r>
              <w:rPr>
                <w:sz w:val="20"/>
                <w:szCs w:val="20"/>
              </w:rPr>
              <w:t>00</w:t>
            </w:r>
            <w:r w:rsidRPr="00696515">
              <w:rPr>
                <w:sz w:val="20"/>
                <w:szCs w:val="20"/>
              </w:rPr>
              <w:t>,00</w:t>
            </w:r>
          </w:p>
        </w:tc>
        <w:tc>
          <w:tcPr>
            <w:tcW w:w="1447" w:type="dxa"/>
          </w:tcPr>
          <w:p w:rsidR="00CA1D81" w:rsidRPr="00696515" w:rsidRDefault="00CA1D81" w:rsidP="00AD5BFF">
            <w:pPr>
              <w:spacing w:after="0" w:line="240" w:lineRule="auto"/>
              <w:ind w:left="-139"/>
              <w:jc w:val="right"/>
              <w:rPr>
                <w:sz w:val="20"/>
                <w:szCs w:val="20"/>
              </w:rPr>
            </w:pPr>
            <w:r w:rsidRPr="006A3C4B">
              <w:rPr>
                <w:sz w:val="20"/>
                <w:szCs w:val="20"/>
              </w:rPr>
              <w:t>4</w:t>
            </w:r>
            <w:r>
              <w:rPr>
                <w:sz w:val="20"/>
                <w:szCs w:val="20"/>
                <w:lang w:val="sr-Cyrl-RS"/>
              </w:rPr>
              <w:t>.</w:t>
            </w:r>
            <w:r w:rsidRPr="006A3C4B">
              <w:rPr>
                <w:sz w:val="20"/>
                <w:szCs w:val="20"/>
              </w:rPr>
              <w:t>314</w:t>
            </w:r>
            <w:r>
              <w:rPr>
                <w:sz w:val="20"/>
                <w:szCs w:val="20"/>
                <w:lang w:val="sr-Cyrl-RS"/>
              </w:rPr>
              <w:t>.</w:t>
            </w:r>
            <w:r w:rsidRPr="006A3C4B">
              <w:rPr>
                <w:sz w:val="20"/>
                <w:szCs w:val="20"/>
              </w:rPr>
              <w:t>400</w:t>
            </w:r>
            <w:r>
              <w:rPr>
                <w:sz w:val="20"/>
                <w:szCs w:val="20"/>
                <w:lang w:val="sr-Cyrl-RS"/>
              </w:rPr>
              <w:t>,</w:t>
            </w:r>
            <w:r w:rsidRPr="006A3C4B">
              <w:rPr>
                <w:sz w:val="20"/>
                <w:szCs w:val="20"/>
              </w:rPr>
              <w:t>00</w:t>
            </w:r>
          </w:p>
        </w:tc>
      </w:tr>
      <w:tr w:rsidR="00CA1D81" w:rsidRPr="00696515" w:rsidTr="00AD5BFF">
        <w:trPr>
          <w:trHeight w:val="134"/>
        </w:trPr>
        <w:tc>
          <w:tcPr>
            <w:tcW w:w="1696" w:type="dxa"/>
            <w:shd w:val="clear" w:color="auto" w:fill="auto"/>
            <w:vAlign w:val="center"/>
          </w:tcPr>
          <w:p w:rsidR="00CA1D81" w:rsidRPr="00696515" w:rsidRDefault="00CA1D81" w:rsidP="00AD5BFF">
            <w:pPr>
              <w:spacing w:after="0" w:line="240" w:lineRule="auto"/>
              <w:rPr>
                <w:sz w:val="20"/>
                <w:szCs w:val="20"/>
              </w:rPr>
            </w:pPr>
            <w:r w:rsidRPr="00696515">
              <w:rPr>
                <w:sz w:val="20"/>
                <w:szCs w:val="20"/>
                <w:lang w:val="sr-Cyrl-ME"/>
              </w:rPr>
              <w:t xml:space="preserve">русинске </w:t>
            </w:r>
          </w:p>
        </w:tc>
        <w:tc>
          <w:tcPr>
            <w:tcW w:w="1560" w:type="dxa"/>
            <w:shd w:val="clear" w:color="auto" w:fill="auto"/>
            <w:vAlign w:val="center"/>
          </w:tcPr>
          <w:p w:rsidR="00CA1D81" w:rsidRPr="00696515" w:rsidRDefault="00CA1D81" w:rsidP="00AD5BFF">
            <w:pPr>
              <w:spacing w:after="0" w:line="240" w:lineRule="auto"/>
              <w:ind w:left="-168" w:right="-77"/>
              <w:jc w:val="right"/>
              <w:rPr>
                <w:sz w:val="20"/>
                <w:szCs w:val="20"/>
                <w:lang w:val="sr-Cyrl-ME"/>
              </w:rPr>
            </w:pPr>
            <w:r w:rsidRPr="00696515">
              <w:rPr>
                <w:sz w:val="20"/>
                <w:szCs w:val="20"/>
                <w:lang w:val="sr-Cyrl-ME"/>
              </w:rPr>
              <w:t>3.185.804,00</w:t>
            </w:r>
          </w:p>
        </w:tc>
        <w:tc>
          <w:tcPr>
            <w:tcW w:w="1417" w:type="dxa"/>
            <w:vAlign w:val="center"/>
          </w:tcPr>
          <w:p w:rsidR="00CA1D81" w:rsidRPr="00696515" w:rsidRDefault="00CA1D81" w:rsidP="00AD5BFF">
            <w:pPr>
              <w:spacing w:after="0" w:line="240" w:lineRule="auto"/>
              <w:ind w:left="-139"/>
              <w:jc w:val="right"/>
              <w:rPr>
                <w:sz w:val="20"/>
                <w:szCs w:val="20"/>
              </w:rPr>
            </w:pPr>
            <w:r w:rsidRPr="00696515">
              <w:rPr>
                <w:sz w:val="20"/>
                <w:szCs w:val="20"/>
              </w:rPr>
              <w:t>3.244.592,00</w:t>
            </w:r>
          </w:p>
        </w:tc>
        <w:tc>
          <w:tcPr>
            <w:tcW w:w="1559" w:type="dxa"/>
            <w:vAlign w:val="center"/>
          </w:tcPr>
          <w:p w:rsidR="00CA1D81" w:rsidRPr="00696515" w:rsidRDefault="00CA1D81" w:rsidP="00AD5BFF">
            <w:pPr>
              <w:spacing w:after="0" w:line="240" w:lineRule="auto"/>
              <w:ind w:left="-139"/>
              <w:jc w:val="right"/>
              <w:rPr>
                <w:sz w:val="20"/>
                <w:szCs w:val="20"/>
              </w:rPr>
            </w:pPr>
            <w:r>
              <w:rPr>
                <w:sz w:val="20"/>
                <w:szCs w:val="20"/>
              </w:rPr>
              <w:t>3.073</w:t>
            </w:r>
            <w:r w:rsidRPr="00696515">
              <w:rPr>
                <w:sz w:val="20"/>
                <w:szCs w:val="20"/>
              </w:rPr>
              <w:t>.</w:t>
            </w:r>
            <w:r>
              <w:rPr>
                <w:sz w:val="20"/>
                <w:szCs w:val="20"/>
              </w:rPr>
              <w:t>000</w:t>
            </w:r>
            <w:r w:rsidRPr="00696515">
              <w:rPr>
                <w:sz w:val="20"/>
                <w:szCs w:val="20"/>
              </w:rPr>
              <w:t>,00</w:t>
            </w:r>
          </w:p>
        </w:tc>
        <w:tc>
          <w:tcPr>
            <w:tcW w:w="1430" w:type="dxa"/>
          </w:tcPr>
          <w:p w:rsidR="00CA1D81" w:rsidRPr="00696515" w:rsidRDefault="00CA1D81" w:rsidP="00AD5BFF">
            <w:pPr>
              <w:spacing w:after="0" w:line="240" w:lineRule="auto"/>
              <w:ind w:left="-139"/>
              <w:jc w:val="right"/>
              <w:rPr>
                <w:sz w:val="20"/>
                <w:szCs w:val="20"/>
              </w:rPr>
            </w:pPr>
            <w:r>
              <w:rPr>
                <w:sz w:val="20"/>
                <w:szCs w:val="20"/>
              </w:rPr>
              <w:t>3.114</w:t>
            </w:r>
            <w:r w:rsidRPr="00696515">
              <w:rPr>
                <w:sz w:val="20"/>
                <w:szCs w:val="20"/>
              </w:rPr>
              <w:t>.</w:t>
            </w:r>
            <w:r>
              <w:rPr>
                <w:sz w:val="20"/>
                <w:szCs w:val="20"/>
              </w:rPr>
              <w:t>200</w:t>
            </w:r>
            <w:r w:rsidRPr="00696515">
              <w:rPr>
                <w:sz w:val="20"/>
                <w:szCs w:val="20"/>
              </w:rPr>
              <w:t>,00</w:t>
            </w:r>
          </w:p>
        </w:tc>
        <w:tc>
          <w:tcPr>
            <w:tcW w:w="1447" w:type="dxa"/>
          </w:tcPr>
          <w:p w:rsidR="00CA1D81" w:rsidRPr="00696515" w:rsidRDefault="00CA1D81" w:rsidP="00AD5BFF">
            <w:pPr>
              <w:spacing w:after="0" w:line="240" w:lineRule="auto"/>
              <w:ind w:left="-139"/>
              <w:jc w:val="right"/>
              <w:rPr>
                <w:sz w:val="20"/>
                <w:szCs w:val="20"/>
              </w:rPr>
            </w:pPr>
            <w:r w:rsidRPr="006A3C4B">
              <w:rPr>
                <w:sz w:val="20"/>
                <w:szCs w:val="20"/>
              </w:rPr>
              <w:t>3</w:t>
            </w:r>
            <w:r>
              <w:rPr>
                <w:sz w:val="20"/>
                <w:szCs w:val="20"/>
                <w:lang w:val="sr-Cyrl-RS"/>
              </w:rPr>
              <w:t>.</w:t>
            </w:r>
            <w:r w:rsidRPr="006A3C4B">
              <w:rPr>
                <w:sz w:val="20"/>
                <w:szCs w:val="20"/>
              </w:rPr>
              <w:t>071</w:t>
            </w:r>
            <w:r>
              <w:rPr>
                <w:sz w:val="20"/>
                <w:szCs w:val="20"/>
                <w:lang w:val="sr-Cyrl-RS"/>
              </w:rPr>
              <w:t>.</w:t>
            </w:r>
            <w:r w:rsidRPr="006A3C4B">
              <w:rPr>
                <w:sz w:val="20"/>
                <w:szCs w:val="20"/>
              </w:rPr>
              <w:t>600</w:t>
            </w:r>
            <w:r>
              <w:rPr>
                <w:sz w:val="20"/>
                <w:szCs w:val="20"/>
                <w:lang w:val="sr-Cyrl-RS"/>
              </w:rPr>
              <w:t>,</w:t>
            </w:r>
            <w:r w:rsidRPr="006A3C4B">
              <w:rPr>
                <w:sz w:val="20"/>
                <w:szCs w:val="20"/>
              </w:rPr>
              <w:t>00</w:t>
            </w:r>
          </w:p>
        </w:tc>
      </w:tr>
      <w:tr w:rsidR="00CA1D81" w:rsidRPr="00696515" w:rsidTr="00AD5BFF">
        <w:trPr>
          <w:trHeight w:val="134"/>
        </w:trPr>
        <w:tc>
          <w:tcPr>
            <w:tcW w:w="1696" w:type="dxa"/>
            <w:shd w:val="clear" w:color="auto" w:fill="auto"/>
            <w:vAlign w:val="center"/>
          </w:tcPr>
          <w:p w:rsidR="00CA1D81" w:rsidRPr="00696515" w:rsidRDefault="00CA1D81" w:rsidP="00AD5BFF">
            <w:pPr>
              <w:spacing w:after="0" w:line="240" w:lineRule="auto"/>
              <w:rPr>
                <w:sz w:val="20"/>
                <w:szCs w:val="20"/>
                <w:lang w:val="sr-Cyrl-ME"/>
              </w:rPr>
            </w:pPr>
            <w:r>
              <w:rPr>
                <w:sz w:val="20"/>
                <w:szCs w:val="20"/>
                <w:lang w:val="sr-Cyrl-ME"/>
              </w:rPr>
              <w:t>руске</w:t>
            </w:r>
          </w:p>
        </w:tc>
        <w:tc>
          <w:tcPr>
            <w:tcW w:w="1560" w:type="dxa"/>
            <w:shd w:val="clear" w:color="auto" w:fill="auto"/>
            <w:vAlign w:val="center"/>
          </w:tcPr>
          <w:p w:rsidR="00CA1D81" w:rsidRPr="00696515" w:rsidRDefault="00CA1D81" w:rsidP="00AD5BFF">
            <w:pPr>
              <w:spacing w:after="0" w:line="240" w:lineRule="auto"/>
              <w:ind w:left="-168" w:right="-77"/>
              <w:jc w:val="right"/>
              <w:rPr>
                <w:sz w:val="20"/>
                <w:szCs w:val="20"/>
                <w:lang w:val="sr-Cyrl-ME"/>
              </w:rPr>
            </w:pPr>
          </w:p>
        </w:tc>
        <w:tc>
          <w:tcPr>
            <w:tcW w:w="1417" w:type="dxa"/>
            <w:vAlign w:val="center"/>
          </w:tcPr>
          <w:p w:rsidR="00CA1D81" w:rsidRPr="00696515" w:rsidRDefault="00CA1D81" w:rsidP="00AD5BFF">
            <w:pPr>
              <w:spacing w:after="0" w:line="240" w:lineRule="auto"/>
              <w:ind w:left="-139"/>
              <w:jc w:val="right"/>
              <w:rPr>
                <w:sz w:val="20"/>
                <w:szCs w:val="20"/>
              </w:rPr>
            </w:pPr>
          </w:p>
        </w:tc>
        <w:tc>
          <w:tcPr>
            <w:tcW w:w="1559" w:type="dxa"/>
            <w:vAlign w:val="center"/>
          </w:tcPr>
          <w:p w:rsidR="00CA1D81" w:rsidRPr="00696515" w:rsidRDefault="00CA1D81" w:rsidP="00AD5BFF">
            <w:pPr>
              <w:spacing w:after="0" w:line="240" w:lineRule="auto"/>
              <w:ind w:left="-139"/>
              <w:jc w:val="right"/>
              <w:rPr>
                <w:sz w:val="20"/>
                <w:szCs w:val="20"/>
              </w:rPr>
            </w:pPr>
            <w:r>
              <w:rPr>
                <w:sz w:val="20"/>
                <w:szCs w:val="20"/>
              </w:rPr>
              <w:t>100.000,00</w:t>
            </w:r>
          </w:p>
        </w:tc>
        <w:tc>
          <w:tcPr>
            <w:tcW w:w="1430" w:type="dxa"/>
          </w:tcPr>
          <w:p w:rsidR="00CA1D81" w:rsidRPr="00696515" w:rsidRDefault="00CA1D81" w:rsidP="00AD5BFF">
            <w:pPr>
              <w:spacing w:after="0" w:line="240" w:lineRule="auto"/>
              <w:ind w:left="-139"/>
              <w:jc w:val="right"/>
              <w:rPr>
                <w:sz w:val="20"/>
                <w:szCs w:val="20"/>
              </w:rPr>
            </w:pPr>
            <w:r>
              <w:rPr>
                <w:sz w:val="20"/>
                <w:szCs w:val="20"/>
              </w:rPr>
              <w:t>100.000,00</w:t>
            </w:r>
          </w:p>
        </w:tc>
        <w:tc>
          <w:tcPr>
            <w:tcW w:w="1447" w:type="dxa"/>
          </w:tcPr>
          <w:p w:rsidR="00CA1D81" w:rsidRPr="00696515" w:rsidRDefault="00CA1D81" w:rsidP="00AD5BFF">
            <w:pPr>
              <w:spacing w:after="0" w:line="240" w:lineRule="auto"/>
              <w:ind w:left="-139"/>
              <w:jc w:val="right"/>
              <w:rPr>
                <w:sz w:val="20"/>
                <w:szCs w:val="20"/>
              </w:rPr>
            </w:pPr>
            <w:r w:rsidRPr="00696515">
              <w:rPr>
                <w:sz w:val="20"/>
                <w:szCs w:val="20"/>
              </w:rPr>
              <w:t>100.000,00</w:t>
            </w:r>
          </w:p>
        </w:tc>
      </w:tr>
      <w:tr w:rsidR="00CA1D81" w:rsidRPr="00696515" w:rsidTr="00AD5BFF">
        <w:trPr>
          <w:trHeight w:val="161"/>
        </w:trPr>
        <w:tc>
          <w:tcPr>
            <w:tcW w:w="1696" w:type="dxa"/>
            <w:shd w:val="clear" w:color="auto" w:fill="auto"/>
            <w:vAlign w:val="center"/>
          </w:tcPr>
          <w:p w:rsidR="00CA1D81" w:rsidRPr="00696515" w:rsidRDefault="00CA1D81" w:rsidP="00AD5BFF">
            <w:pPr>
              <w:spacing w:after="0" w:line="240" w:lineRule="auto"/>
              <w:rPr>
                <w:sz w:val="20"/>
                <w:szCs w:val="20"/>
              </w:rPr>
            </w:pPr>
            <w:r w:rsidRPr="00696515">
              <w:rPr>
                <w:sz w:val="20"/>
                <w:szCs w:val="20"/>
                <w:lang w:val="sr-Cyrl-ME"/>
              </w:rPr>
              <w:t xml:space="preserve">словачке </w:t>
            </w:r>
          </w:p>
        </w:tc>
        <w:tc>
          <w:tcPr>
            <w:tcW w:w="1560" w:type="dxa"/>
            <w:shd w:val="clear" w:color="auto" w:fill="auto"/>
            <w:vAlign w:val="center"/>
          </w:tcPr>
          <w:p w:rsidR="00CA1D81" w:rsidRPr="00696515" w:rsidRDefault="00CA1D81" w:rsidP="00AD5BFF">
            <w:pPr>
              <w:spacing w:after="0" w:line="240" w:lineRule="auto"/>
              <w:ind w:left="-168" w:right="-77"/>
              <w:jc w:val="right"/>
              <w:rPr>
                <w:sz w:val="20"/>
                <w:szCs w:val="20"/>
                <w:lang w:val="sr-Cyrl-ME"/>
              </w:rPr>
            </w:pPr>
            <w:r w:rsidRPr="00696515">
              <w:rPr>
                <w:sz w:val="20"/>
                <w:szCs w:val="20"/>
                <w:lang w:val="sr-Cyrl-ME"/>
              </w:rPr>
              <w:t>6.635.876,00</w:t>
            </w:r>
          </w:p>
        </w:tc>
        <w:tc>
          <w:tcPr>
            <w:tcW w:w="1417" w:type="dxa"/>
            <w:vAlign w:val="center"/>
          </w:tcPr>
          <w:p w:rsidR="00CA1D81" w:rsidRPr="00696515" w:rsidRDefault="00CA1D81" w:rsidP="00AD5BFF">
            <w:pPr>
              <w:spacing w:after="0" w:line="240" w:lineRule="auto"/>
              <w:ind w:left="-139"/>
              <w:jc w:val="right"/>
              <w:rPr>
                <w:sz w:val="20"/>
                <w:szCs w:val="20"/>
              </w:rPr>
            </w:pPr>
            <w:r w:rsidRPr="00696515">
              <w:rPr>
                <w:sz w:val="20"/>
                <w:szCs w:val="20"/>
              </w:rPr>
              <w:t>6.779.072,00</w:t>
            </w:r>
          </w:p>
        </w:tc>
        <w:tc>
          <w:tcPr>
            <w:tcW w:w="1559" w:type="dxa"/>
            <w:vAlign w:val="center"/>
          </w:tcPr>
          <w:p w:rsidR="00CA1D81" w:rsidRPr="00696515" w:rsidRDefault="00CA1D81" w:rsidP="00AD5BFF">
            <w:pPr>
              <w:spacing w:after="0" w:line="240" w:lineRule="auto"/>
              <w:ind w:left="-139"/>
              <w:jc w:val="right"/>
              <w:rPr>
                <w:sz w:val="20"/>
                <w:szCs w:val="20"/>
              </w:rPr>
            </w:pPr>
            <w:r>
              <w:rPr>
                <w:sz w:val="20"/>
                <w:szCs w:val="20"/>
              </w:rPr>
              <w:t>6.430</w:t>
            </w:r>
            <w:r w:rsidRPr="00696515">
              <w:rPr>
                <w:sz w:val="20"/>
                <w:szCs w:val="20"/>
              </w:rPr>
              <w:t>.</w:t>
            </w:r>
            <w:r>
              <w:rPr>
                <w:sz w:val="20"/>
                <w:szCs w:val="20"/>
              </w:rPr>
              <w:t>760</w:t>
            </w:r>
            <w:r w:rsidRPr="00696515">
              <w:rPr>
                <w:sz w:val="20"/>
                <w:szCs w:val="20"/>
              </w:rPr>
              <w:t>,00</w:t>
            </w:r>
          </w:p>
        </w:tc>
        <w:tc>
          <w:tcPr>
            <w:tcW w:w="1430" w:type="dxa"/>
            <w:vAlign w:val="center"/>
          </w:tcPr>
          <w:p w:rsidR="00CA1D81" w:rsidRPr="00696515" w:rsidRDefault="00CA1D81" w:rsidP="00AD5BFF">
            <w:pPr>
              <w:spacing w:after="0" w:line="240" w:lineRule="auto"/>
              <w:ind w:left="-139"/>
              <w:jc w:val="right"/>
              <w:rPr>
                <w:sz w:val="20"/>
                <w:szCs w:val="20"/>
              </w:rPr>
            </w:pPr>
            <w:r>
              <w:rPr>
                <w:sz w:val="20"/>
                <w:szCs w:val="20"/>
              </w:rPr>
              <w:t>6.445</w:t>
            </w:r>
            <w:r w:rsidRPr="00696515">
              <w:rPr>
                <w:sz w:val="20"/>
                <w:szCs w:val="20"/>
              </w:rPr>
              <w:t>.</w:t>
            </w:r>
            <w:r>
              <w:rPr>
                <w:sz w:val="20"/>
                <w:szCs w:val="20"/>
              </w:rPr>
              <w:t>960</w:t>
            </w:r>
            <w:r w:rsidRPr="00696515">
              <w:rPr>
                <w:sz w:val="20"/>
                <w:szCs w:val="20"/>
              </w:rPr>
              <w:t>,00</w:t>
            </w:r>
          </w:p>
        </w:tc>
        <w:tc>
          <w:tcPr>
            <w:tcW w:w="1447" w:type="dxa"/>
          </w:tcPr>
          <w:p w:rsidR="00CA1D81" w:rsidRPr="00696515" w:rsidRDefault="00CA1D81" w:rsidP="00AD5BFF">
            <w:pPr>
              <w:spacing w:after="0" w:line="240" w:lineRule="auto"/>
              <w:ind w:left="-139"/>
              <w:jc w:val="right"/>
              <w:rPr>
                <w:sz w:val="20"/>
                <w:szCs w:val="20"/>
              </w:rPr>
            </w:pPr>
            <w:r w:rsidRPr="006A3C4B">
              <w:rPr>
                <w:sz w:val="20"/>
                <w:szCs w:val="20"/>
              </w:rPr>
              <w:t>6</w:t>
            </w:r>
            <w:r>
              <w:rPr>
                <w:sz w:val="20"/>
                <w:szCs w:val="20"/>
                <w:lang w:val="sr-Cyrl-RS"/>
              </w:rPr>
              <w:t>.</w:t>
            </w:r>
            <w:r w:rsidRPr="006A3C4B">
              <w:rPr>
                <w:sz w:val="20"/>
                <w:szCs w:val="20"/>
              </w:rPr>
              <w:t>391</w:t>
            </w:r>
            <w:r>
              <w:rPr>
                <w:sz w:val="20"/>
                <w:szCs w:val="20"/>
                <w:lang w:val="sr-Cyrl-RS"/>
              </w:rPr>
              <w:t>.</w:t>
            </w:r>
            <w:r w:rsidRPr="006A3C4B">
              <w:rPr>
                <w:sz w:val="20"/>
                <w:szCs w:val="20"/>
              </w:rPr>
              <w:t>600</w:t>
            </w:r>
            <w:r>
              <w:rPr>
                <w:sz w:val="20"/>
                <w:szCs w:val="20"/>
                <w:lang w:val="sr-Cyrl-RS"/>
              </w:rPr>
              <w:t>,</w:t>
            </w:r>
            <w:r w:rsidRPr="006A3C4B">
              <w:rPr>
                <w:sz w:val="20"/>
                <w:szCs w:val="20"/>
              </w:rPr>
              <w:t>00</w:t>
            </w:r>
          </w:p>
        </w:tc>
      </w:tr>
      <w:tr w:rsidR="00CA1D81" w:rsidRPr="00696515" w:rsidTr="00AD5BFF">
        <w:trPr>
          <w:trHeight w:val="260"/>
        </w:trPr>
        <w:tc>
          <w:tcPr>
            <w:tcW w:w="1696" w:type="dxa"/>
            <w:shd w:val="clear" w:color="auto" w:fill="auto"/>
            <w:vAlign w:val="center"/>
          </w:tcPr>
          <w:p w:rsidR="00CA1D81" w:rsidRPr="00696515" w:rsidRDefault="00CA1D81" w:rsidP="00AD5BFF">
            <w:pPr>
              <w:spacing w:after="0" w:line="240" w:lineRule="auto"/>
              <w:rPr>
                <w:sz w:val="20"/>
                <w:szCs w:val="20"/>
              </w:rPr>
            </w:pPr>
            <w:r w:rsidRPr="00696515">
              <w:rPr>
                <w:sz w:val="20"/>
                <w:szCs w:val="20"/>
                <w:lang w:val="sr-Cyrl-ME"/>
              </w:rPr>
              <w:t xml:space="preserve">украјинске </w:t>
            </w:r>
          </w:p>
        </w:tc>
        <w:tc>
          <w:tcPr>
            <w:tcW w:w="1560" w:type="dxa"/>
            <w:shd w:val="clear" w:color="auto" w:fill="auto"/>
            <w:vAlign w:val="center"/>
          </w:tcPr>
          <w:p w:rsidR="00CA1D81" w:rsidRPr="00696515" w:rsidRDefault="00CA1D81" w:rsidP="00AD5BFF">
            <w:pPr>
              <w:spacing w:after="0" w:line="240" w:lineRule="auto"/>
              <w:ind w:left="-168" w:right="-77"/>
              <w:jc w:val="right"/>
              <w:rPr>
                <w:sz w:val="20"/>
                <w:szCs w:val="20"/>
                <w:lang w:val="sr-Cyrl-ME"/>
              </w:rPr>
            </w:pPr>
            <w:r w:rsidRPr="00696515">
              <w:rPr>
                <w:sz w:val="20"/>
                <w:szCs w:val="20"/>
                <w:lang w:val="sr-Cyrl-ME"/>
              </w:rPr>
              <w:t>1.821.564,00</w:t>
            </w:r>
          </w:p>
        </w:tc>
        <w:tc>
          <w:tcPr>
            <w:tcW w:w="1417" w:type="dxa"/>
            <w:vAlign w:val="center"/>
          </w:tcPr>
          <w:p w:rsidR="00CA1D81" w:rsidRPr="00696515" w:rsidRDefault="00CA1D81" w:rsidP="00AD5BFF">
            <w:pPr>
              <w:spacing w:after="0" w:line="240" w:lineRule="auto"/>
              <w:ind w:left="-139"/>
              <w:jc w:val="right"/>
              <w:rPr>
                <w:sz w:val="20"/>
                <w:szCs w:val="20"/>
              </w:rPr>
            </w:pPr>
            <w:r w:rsidRPr="00696515">
              <w:rPr>
                <w:sz w:val="20"/>
                <w:szCs w:val="20"/>
              </w:rPr>
              <w:t>1.823.120,00</w:t>
            </w:r>
          </w:p>
        </w:tc>
        <w:tc>
          <w:tcPr>
            <w:tcW w:w="1559" w:type="dxa"/>
            <w:vAlign w:val="center"/>
          </w:tcPr>
          <w:p w:rsidR="00CA1D81" w:rsidRPr="00696515" w:rsidRDefault="00CA1D81" w:rsidP="00AD5BFF">
            <w:pPr>
              <w:spacing w:after="0" w:line="240" w:lineRule="auto"/>
              <w:ind w:left="-139"/>
              <w:jc w:val="right"/>
              <w:rPr>
                <w:sz w:val="20"/>
                <w:szCs w:val="20"/>
              </w:rPr>
            </w:pPr>
            <w:r w:rsidRPr="00696515">
              <w:rPr>
                <w:sz w:val="20"/>
                <w:szCs w:val="20"/>
              </w:rPr>
              <w:t>1.</w:t>
            </w:r>
            <w:r>
              <w:rPr>
                <w:sz w:val="20"/>
                <w:szCs w:val="20"/>
              </w:rPr>
              <w:t>653</w:t>
            </w:r>
            <w:r w:rsidRPr="00696515">
              <w:rPr>
                <w:sz w:val="20"/>
                <w:szCs w:val="20"/>
              </w:rPr>
              <w:t>.</w:t>
            </w:r>
            <w:r>
              <w:rPr>
                <w:sz w:val="20"/>
                <w:szCs w:val="20"/>
              </w:rPr>
              <w:t>640</w:t>
            </w:r>
            <w:r w:rsidRPr="00696515">
              <w:rPr>
                <w:sz w:val="20"/>
                <w:szCs w:val="20"/>
              </w:rPr>
              <w:t>,00</w:t>
            </w:r>
          </w:p>
        </w:tc>
        <w:tc>
          <w:tcPr>
            <w:tcW w:w="1430" w:type="dxa"/>
            <w:vAlign w:val="center"/>
          </w:tcPr>
          <w:p w:rsidR="00CA1D81" w:rsidRPr="00696515" w:rsidRDefault="00CA1D81" w:rsidP="00AD5BFF">
            <w:pPr>
              <w:spacing w:after="0" w:line="240" w:lineRule="auto"/>
              <w:ind w:left="-139"/>
              <w:jc w:val="right"/>
              <w:rPr>
                <w:sz w:val="20"/>
                <w:szCs w:val="20"/>
              </w:rPr>
            </w:pPr>
            <w:r w:rsidRPr="00696515">
              <w:rPr>
                <w:sz w:val="20"/>
                <w:szCs w:val="20"/>
              </w:rPr>
              <w:t>1.</w:t>
            </w:r>
            <w:r>
              <w:rPr>
                <w:sz w:val="20"/>
                <w:szCs w:val="20"/>
              </w:rPr>
              <w:t>683</w:t>
            </w:r>
            <w:r w:rsidRPr="00696515">
              <w:rPr>
                <w:sz w:val="20"/>
                <w:szCs w:val="20"/>
              </w:rPr>
              <w:t>.</w:t>
            </w:r>
            <w:r>
              <w:rPr>
                <w:sz w:val="20"/>
                <w:szCs w:val="20"/>
              </w:rPr>
              <w:t>840</w:t>
            </w:r>
            <w:r w:rsidRPr="00696515">
              <w:rPr>
                <w:sz w:val="20"/>
                <w:szCs w:val="20"/>
              </w:rPr>
              <w:t>,00</w:t>
            </w:r>
          </w:p>
        </w:tc>
        <w:tc>
          <w:tcPr>
            <w:tcW w:w="1447" w:type="dxa"/>
          </w:tcPr>
          <w:p w:rsidR="00CA1D81" w:rsidRPr="00696515" w:rsidRDefault="00CA1D81" w:rsidP="00AD5BFF">
            <w:pPr>
              <w:spacing w:after="0" w:line="240" w:lineRule="auto"/>
              <w:ind w:left="-139"/>
              <w:jc w:val="right"/>
              <w:rPr>
                <w:sz w:val="20"/>
                <w:szCs w:val="20"/>
              </w:rPr>
            </w:pPr>
            <w:r w:rsidRPr="006A3C4B">
              <w:rPr>
                <w:sz w:val="20"/>
                <w:szCs w:val="20"/>
              </w:rPr>
              <w:t>1</w:t>
            </w:r>
            <w:r>
              <w:rPr>
                <w:sz w:val="20"/>
                <w:szCs w:val="20"/>
                <w:lang w:val="sr-Cyrl-RS"/>
              </w:rPr>
              <w:t>.</w:t>
            </w:r>
            <w:r w:rsidRPr="006A3C4B">
              <w:rPr>
                <w:sz w:val="20"/>
                <w:szCs w:val="20"/>
              </w:rPr>
              <w:t>674</w:t>
            </w:r>
            <w:r>
              <w:rPr>
                <w:sz w:val="20"/>
                <w:szCs w:val="20"/>
                <w:lang w:val="sr-Cyrl-RS"/>
              </w:rPr>
              <w:t>.</w:t>
            </w:r>
            <w:r w:rsidRPr="006A3C4B">
              <w:rPr>
                <w:sz w:val="20"/>
                <w:szCs w:val="20"/>
              </w:rPr>
              <w:t>400</w:t>
            </w:r>
            <w:r>
              <w:rPr>
                <w:sz w:val="20"/>
                <w:szCs w:val="20"/>
                <w:lang w:val="sr-Cyrl-RS"/>
              </w:rPr>
              <w:t>,</w:t>
            </w:r>
            <w:r w:rsidRPr="006A3C4B">
              <w:rPr>
                <w:sz w:val="20"/>
                <w:szCs w:val="20"/>
              </w:rPr>
              <w:t>00</w:t>
            </w:r>
          </w:p>
        </w:tc>
      </w:tr>
      <w:tr w:rsidR="00CA1D81" w:rsidRPr="00696515" w:rsidTr="00AD5BFF">
        <w:trPr>
          <w:trHeight w:val="260"/>
        </w:trPr>
        <w:tc>
          <w:tcPr>
            <w:tcW w:w="1696" w:type="dxa"/>
            <w:shd w:val="clear" w:color="auto" w:fill="auto"/>
            <w:vAlign w:val="center"/>
          </w:tcPr>
          <w:p w:rsidR="00CA1D81" w:rsidRPr="00696515" w:rsidRDefault="00CA1D81" w:rsidP="00AD5BFF">
            <w:pPr>
              <w:spacing w:after="0" w:line="240" w:lineRule="auto"/>
              <w:rPr>
                <w:sz w:val="20"/>
                <w:szCs w:val="20"/>
              </w:rPr>
            </w:pPr>
            <w:r w:rsidRPr="00696515">
              <w:rPr>
                <w:sz w:val="20"/>
                <w:szCs w:val="20"/>
                <w:lang w:val="sr-Cyrl-ME"/>
              </w:rPr>
              <w:t xml:space="preserve">хрватске </w:t>
            </w:r>
          </w:p>
        </w:tc>
        <w:tc>
          <w:tcPr>
            <w:tcW w:w="1560" w:type="dxa"/>
            <w:shd w:val="clear" w:color="auto" w:fill="auto"/>
            <w:vAlign w:val="center"/>
          </w:tcPr>
          <w:p w:rsidR="00CA1D81" w:rsidRPr="00696515" w:rsidRDefault="00CA1D81" w:rsidP="00AD5BFF">
            <w:pPr>
              <w:spacing w:after="0" w:line="240" w:lineRule="auto"/>
              <w:ind w:left="-168" w:right="-77"/>
              <w:jc w:val="right"/>
              <w:rPr>
                <w:sz w:val="20"/>
                <w:szCs w:val="20"/>
                <w:lang w:val="sr-Cyrl-ME"/>
              </w:rPr>
            </w:pPr>
            <w:r w:rsidRPr="00696515">
              <w:rPr>
                <w:sz w:val="20"/>
                <w:szCs w:val="20"/>
                <w:lang w:val="sr-Cyrl-ME"/>
              </w:rPr>
              <w:t>4.151.996,00</w:t>
            </w:r>
          </w:p>
        </w:tc>
        <w:tc>
          <w:tcPr>
            <w:tcW w:w="1417" w:type="dxa"/>
            <w:vAlign w:val="center"/>
          </w:tcPr>
          <w:p w:rsidR="00CA1D81" w:rsidRPr="00696515" w:rsidRDefault="00CA1D81" w:rsidP="00AD5BFF">
            <w:pPr>
              <w:spacing w:after="0" w:line="240" w:lineRule="auto"/>
              <w:ind w:left="-139"/>
              <w:jc w:val="right"/>
              <w:rPr>
                <w:sz w:val="20"/>
                <w:szCs w:val="20"/>
              </w:rPr>
            </w:pPr>
            <w:r w:rsidRPr="00696515">
              <w:rPr>
                <w:sz w:val="20"/>
                <w:szCs w:val="20"/>
              </w:rPr>
              <w:t>4.124.264,00</w:t>
            </w:r>
          </w:p>
        </w:tc>
        <w:tc>
          <w:tcPr>
            <w:tcW w:w="1559" w:type="dxa"/>
            <w:vAlign w:val="center"/>
          </w:tcPr>
          <w:p w:rsidR="00CA1D81" w:rsidRPr="00696515" w:rsidRDefault="00CA1D81" w:rsidP="00AD5BFF">
            <w:pPr>
              <w:spacing w:after="0" w:line="240" w:lineRule="auto"/>
              <w:ind w:left="-139"/>
              <w:jc w:val="right"/>
              <w:rPr>
                <w:sz w:val="20"/>
                <w:szCs w:val="20"/>
              </w:rPr>
            </w:pPr>
            <w:r w:rsidRPr="00696515">
              <w:rPr>
                <w:sz w:val="20"/>
                <w:szCs w:val="20"/>
              </w:rPr>
              <w:t>4.14</w:t>
            </w:r>
            <w:r>
              <w:rPr>
                <w:sz w:val="20"/>
                <w:szCs w:val="20"/>
              </w:rPr>
              <w:t>5</w:t>
            </w:r>
            <w:r w:rsidRPr="00696515">
              <w:rPr>
                <w:sz w:val="20"/>
                <w:szCs w:val="20"/>
              </w:rPr>
              <w:t>.</w:t>
            </w:r>
            <w:r>
              <w:rPr>
                <w:sz w:val="20"/>
                <w:szCs w:val="20"/>
              </w:rPr>
              <w:t>800</w:t>
            </w:r>
            <w:r w:rsidRPr="00696515">
              <w:rPr>
                <w:sz w:val="20"/>
                <w:szCs w:val="20"/>
              </w:rPr>
              <w:t>,00</w:t>
            </w:r>
          </w:p>
        </w:tc>
        <w:tc>
          <w:tcPr>
            <w:tcW w:w="1430" w:type="dxa"/>
            <w:vAlign w:val="center"/>
          </w:tcPr>
          <w:p w:rsidR="00CA1D81" w:rsidRPr="00696515" w:rsidRDefault="00CA1D81" w:rsidP="00AD5BFF">
            <w:pPr>
              <w:spacing w:after="0" w:line="240" w:lineRule="auto"/>
              <w:ind w:left="-139"/>
              <w:jc w:val="right"/>
              <w:rPr>
                <w:sz w:val="20"/>
                <w:szCs w:val="20"/>
              </w:rPr>
            </w:pPr>
            <w:r>
              <w:rPr>
                <w:sz w:val="20"/>
                <w:szCs w:val="20"/>
              </w:rPr>
              <w:t>4.437</w:t>
            </w:r>
            <w:r w:rsidRPr="00696515">
              <w:rPr>
                <w:sz w:val="20"/>
                <w:szCs w:val="20"/>
              </w:rPr>
              <w:t>.</w:t>
            </w:r>
            <w:r>
              <w:rPr>
                <w:sz w:val="20"/>
                <w:szCs w:val="20"/>
              </w:rPr>
              <w:t>000</w:t>
            </w:r>
            <w:r w:rsidRPr="00696515">
              <w:rPr>
                <w:sz w:val="20"/>
                <w:szCs w:val="20"/>
              </w:rPr>
              <w:t>,00</w:t>
            </w:r>
          </w:p>
        </w:tc>
        <w:tc>
          <w:tcPr>
            <w:tcW w:w="1447" w:type="dxa"/>
          </w:tcPr>
          <w:p w:rsidR="00CA1D81" w:rsidRPr="00696515" w:rsidRDefault="00CA1D81" w:rsidP="00AD5BFF">
            <w:pPr>
              <w:spacing w:after="0" w:line="240" w:lineRule="auto"/>
              <w:ind w:left="-139"/>
              <w:jc w:val="right"/>
              <w:rPr>
                <w:sz w:val="20"/>
                <w:szCs w:val="20"/>
              </w:rPr>
            </w:pPr>
            <w:r w:rsidRPr="006A3C4B">
              <w:rPr>
                <w:sz w:val="20"/>
                <w:szCs w:val="20"/>
              </w:rPr>
              <w:t>4</w:t>
            </w:r>
            <w:r>
              <w:rPr>
                <w:sz w:val="20"/>
                <w:szCs w:val="20"/>
                <w:lang w:val="sr-Cyrl-RS"/>
              </w:rPr>
              <w:t>.</w:t>
            </w:r>
            <w:r w:rsidRPr="006A3C4B">
              <w:rPr>
                <w:sz w:val="20"/>
                <w:szCs w:val="20"/>
              </w:rPr>
              <w:t>741</w:t>
            </w:r>
            <w:r>
              <w:rPr>
                <w:sz w:val="20"/>
                <w:szCs w:val="20"/>
                <w:lang w:val="sr-Cyrl-RS"/>
              </w:rPr>
              <w:t>.</w:t>
            </w:r>
            <w:r w:rsidRPr="006A3C4B">
              <w:rPr>
                <w:sz w:val="20"/>
                <w:szCs w:val="20"/>
              </w:rPr>
              <w:t>600</w:t>
            </w:r>
            <w:r>
              <w:rPr>
                <w:sz w:val="20"/>
                <w:szCs w:val="20"/>
                <w:lang w:val="sr-Cyrl-RS"/>
              </w:rPr>
              <w:t>,</w:t>
            </w:r>
            <w:r w:rsidRPr="006A3C4B">
              <w:rPr>
                <w:sz w:val="20"/>
                <w:szCs w:val="20"/>
              </w:rPr>
              <w:t>00</w:t>
            </w:r>
          </w:p>
        </w:tc>
      </w:tr>
      <w:tr w:rsidR="00CA1D81" w:rsidRPr="00696515" w:rsidTr="00AD5BFF">
        <w:trPr>
          <w:trHeight w:val="170"/>
        </w:trPr>
        <w:tc>
          <w:tcPr>
            <w:tcW w:w="1696" w:type="dxa"/>
            <w:shd w:val="clear" w:color="auto" w:fill="auto"/>
            <w:vAlign w:val="center"/>
          </w:tcPr>
          <w:p w:rsidR="00CA1D81" w:rsidRPr="00696515" w:rsidRDefault="00CA1D81" w:rsidP="00AD5BFF">
            <w:pPr>
              <w:spacing w:after="0" w:line="240" w:lineRule="auto"/>
              <w:rPr>
                <w:sz w:val="20"/>
                <w:szCs w:val="20"/>
                <w:lang w:val="sr-Cyrl-ME"/>
              </w:rPr>
            </w:pPr>
            <w:r w:rsidRPr="00696515">
              <w:rPr>
                <w:sz w:val="20"/>
                <w:szCs w:val="20"/>
                <w:lang w:val="sr-Cyrl-ME"/>
              </w:rPr>
              <w:t xml:space="preserve">црногорске </w:t>
            </w:r>
          </w:p>
        </w:tc>
        <w:tc>
          <w:tcPr>
            <w:tcW w:w="1560" w:type="dxa"/>
            <w:shd w:val="clear" w:color="auto" w:fill="auto"/>
            <w:vAlign w:val="center"/>
          </w:tcPr>
          <w:p w:rsidR="00CA1D81" w:rsidRPr="00696515" w:rsidRDefault="00CA1D81" w:rsidP="00AD5BFF">
            <w:pPr>
              <w:spacing w:after="0" w:line="240" w:lineRule="auto"/>
              <w:ind w:left="-168" w:right="-77"/>
              <w:jc w:val="right"/>
              <w:rPr>
                <w:sz w:val="20"/>
                <w:szCs w:val="20"/>
              </w:rPr>
            </w:pPr>
            <w:r w:rsidRPr="00696515">
              <w:rPr>
                <w:sz w:val="20"/>
                <w:szCs w:val="20"/>
              </w:rPr>
              <w:t>2.502.840,00</w:t>
            </w:r>
          </w:p>
        </w:tc>
        <w:tc>
          <w:tcPr>
            <w:tcW w:w="1417" w:type="dxa"/>
            <w:vAlign w:val="center"/>
          </w:tcPr>
          <w:p w:rsidR="00CA1D81" w:rsidRPr="00696515" w:rsidRDefault="00CA1D81" w:rsidP="00AD5BFF">
            <w:pPr>
              <w:spacing w:after="0" w:line="240" w:lineRule="auto"/>
              <w:ind w:left="-139"/>
              <w:jc w:val="right"/>
              <w:rPr>
                <w:sz w:val="20"/>
                <w:szCs w:val="20"/>
              </w:rPr>
            </w:pPr>
            <w:r w:rsidRPr="00696515">
              <w:rPr>
                <w:sz w:val="20"/>
                <w:szCs w:val="20"/>
              </w:rPr>
              <w:t>2.490.132,00</w:t>
            </w:r>
          </w:p>
        </w:tc>
        <w:tc>
          <w:tcPr>
            <w:tcW w:w="1559" w:type="dxa"/>
            <w:vAlign w:val="center"/>
          </w:tcPr>
          <w:p w:rsidR="00CA1D81" w:rsidRPr="00696515" w:rsidRDefault="00CA1D81" w:rsidP="00AD5BFF">
            <w:pPr>
              <w:spacing w:after="0" w:line="240" w:lineRule="auto"/>
              <w:ind w:left="-139"/>
              <w:jc w:val="right"/>
              <w:rPr>
                <w:sz w:val="20"/>
                <w:szCs w:val="20"/>
              </w:rPr>
            </w:pPr>
            <w:r w:rsidRPr="00696515">
              <w:rPr>
                <w:sz w:val="20"/>
                <w:szCs w:val="20"/>
              </w:rPr>
              <w:t>2.</w:t>
            </w:r>
            <w:r>
              <w:rPr>
                <w:sz w:val="20"/>
                <w:szCs w:val="20"/>
              </w:rPr>
              <w:t>601</w:t>
            </w:r>
            <w:r w:rsidRPr="00696515">
              <w:rPr>
                <w:sz w:val="20"/>
                <w:szCs w:val="20"/>
              </w:rPr>
              <w:t>.</w:t>
            </w:r>
            <w:r>
              <w:rPr>
                <w:sz w:val="20"/>
                <w:szCs w:val="20"/>
              </w:rPr>
              <w:t>680</w:t>
            </w:r>
            <w:r w:rsidRPr="00696515">
              <w:rPr>
                <w:sz w:val="20"/>
                <w:szCs w:val="20"/>
              </w:rPr>
              <w:t>,00</w:t>
            </w:r>
          </w:p>
        </w:tc>
        <w:tc>
          <w:tcPr>
            <w:tcW w:w="1430" w:type="dxa"/>
            <w:vAlign w:val="center"/>
          </w:tcPr>
          <w:p w:rsidR="00CA1D81" w:rsidRPr="00696515" w:rsidRDefault="00CA1D81" w:rsidP="00AD5BFF">
            <w:pPr>
              <w:spacing w:after="0" w:line="240" w:lineRule="auto"/>
              <w:ind w:left="-139"/>
              <w:jc w:val="right"/>
              <w:rPr>
                <w:sz w:val="20"/>
                <w:szCs w:val="20"/>
              </w:rPr>
            </w:pPr>
            <w:r w:rsidRPr="00696515">
              <w:rPr>
                <w:sz w:val="20"/>
                <w:szCs w:val="20"/>
              </w:rPr>
              <w:t>2.</w:t>
            </w:r>
            <w:r>
              <w:rPr>
                <w:sz w:val="20"/>
                <w:szCs w:val="20"/>
              </w:rPr>
              <w:t>645</w:t>
            </w:r>
            <w:r w:rsidRPr="00696515">
              <w:rPr>
                <w:sz w:val="20"/>
                <w:szCs w:val="20"/>
              </w:rPr>
              <w:t>.</w:t>
            </w:r>
            <w:r>
              <w:rPr>
                <w:sz w:val="20"/>
                <w:szCs w:val="20"/>
              </w:rPr>
              <w:t>680</w:t>
            </w:r>
            <w:r w:rsidRPr="00696515">
              <w:rPr>
                <w:sz w:val="20"/>
                <w:szCs w:val="20"/>
              </w:rPr>
              <w:t>,00</w:t>
            </w:r>
          </w:p>
        </w:tc>
        <w:tc>
          <w:tcPr>
            <w:tcW w:w="1447" w:type="dxa"/>
          </w:tcPr>
          <w:p w:rsidR="00CA1D81" w:rsidRPr="00696515" w:rsidRDefault="00CA1D81" w:rsidP="00AD5BFF">
            <w:pPr>
              <w:spacing w:after="0" w:line="240" w:lineRule="auto"/>
              <w:ind w:left="-139"/>
              <w:jc w:val="right"/>
              <w:rPr>
                <w:sz w:val="20"/>
                <w:szCs w:val="20"/>
              </w:rPr>
            </w:pPr>
            <w:r w:rsidRPr="006A3C4B">
              <w:rPr>
                <w:sz w:val="20"/>
                <w:szCs w:val="20"/>
              </w:rPr>
              <w:t>2</w:t>
            </w:r>
            <w:r>
              <w:rPr>
                <w:sz w:val="20"/>
                <w:szCs w:val="20"/>
                <w:lang w:val="sr-Cyrl-RS"/>
              </w:rPr>
              <w:t>.</w:t>
            </w:r>
            <w:r w:rsidRPr="006A3C4B">
              <w:rPr>
                <w:sz w:val="20"/>
                <w:szCs w:val="20"/>
              </w:rPr>
              <w:t>731</w:t>
            </w:r>
            <w:r>
              <w:rPr>
                <w:sz w:val="20"/>
                <w:szCs w:val="20"/>
                <w:lang w:val="sr-Cyrl-RS"/>
              </w:rPr>
              <w:t>.</w:t>
            </w:r>
            <w:r w:rsidRPr="006A3C4B">
              <w:rPr>
                <w:sz w:val="20"/>
                <w:szCs w:val="20"/>
              </w:rPr>
              <w:t>200</w:t>
            </w:r>
            <w:r>
              <w:rPr>
                <w:sz w:val="20"/>
                <w:szCs w:val="20"/>
                <w:lang w:val="sr-Cyrl-RS"/>
              </w:rPr>
              <w:t>,</w:t>
            </w:r>
            <w:r w:rsidRPr="006A3C4B">
              <w:rPr>
                <w:sz w:val="20"/>
                <w:szCs w:val="20"/>
              </w:rPr>
              <w:t>00</w:t>
            </w:r>
          </w:p>
        </w:tc>
      </w:tr>
      <w:tr w:rsidR="00CA1D81" w:rsidRPr="00696515" w:rsidTr="00AD5BFF">
        <w:trPr>
          <w:trHeight w:val="170"/>
        </w:trPr>
        <w:tc>
          <w:tcPr>
            <w:tcW w:w="1696" w:type="dxa"/>
            <w:shd w:val="clear" w:color="auto" w:fill="auto"/>
            <w:vAlign w:val="center"/>
          </w:tcPr>
          <w:p w:rsidR="00CA1D81" w:rsidRPr="00696515" w:rsidRDefault="00CA1D81" w:rsidP="00AD5BFF">
            <w:pPr>
              <w:spacing w:after="0" w:line="240" w:lineRule="auto"/>
              <w:rPr>
                <w:sz w:val="20"/>
                <w:szCs w:val="20"/>
              </w:rPr>
            </w:pPr>
            <w:r w:rsidRPr="00696515">
              <w:rPr>
                <w:sz w:val="20"/>
                <w:szCs w:val="20"/>
                <w:lang w:val="sr-Cyrl-ME"/>
              </w:rPr>
              <w:t xml:space="preserve">чешке </w:t>
            </w:r>
          </w:p>
        </w:tc>
        <w:tc>
          <w:tcPr>
            <w:tcW w:w="1560" w:type="dxa"/>
            <w:shd w:val="clear" w:color="auto" w:fill="auto"/>
            <w:vAlign w:val="center"/>
          </w:tcPr>
          <w:p w:rsidR="00CA1D81" w:rsidRPr="00696515" w:rsidRDefault="00CA1D81" w:rsidP="00AD5BFF">
            <w:pPr>
              <w:spacing w:after="0" w:line="240" w:lineRule="auto"/>
              <w:ind w:left="-168" w:right="-77"/>
              <w:jc w:val="right"/>
              <w:rPr>
                <w:sz w:val="20"/>
                <w:szCs w:val="20"/>
              </w:rPr>
            </w:pPr>
            <w:r w:rsidRPr="00696515">
              <w:rPr>
                <w:sz w:val="20"/>
                <w:szCs w:val="20"/>
              </w:rPr>
              <w:t>1.813.480,00</w:t>
            </w:r>
          </w:p>
        </w:tc>
        <w:tc>
          <w:tcPr>
            <w:tcW w:w="1417" w:type="dxa"/>
            <w:vAlign w:val="center"/>
          </w:tcPr>
          <w:p w:rsidR="00CA1D81" w:rsidRPr="00696515" w:rsidRDefault="00CA1D81" w:rsidP="00AD5BFF">
            <w:pPr>
              <w:spacing w:after="0" w:line="240" w:lineRule="auto"/>
              <w:ind w:left="-139"/>
              <w:jc w:val="right"/>
              <w:rPr>
                <w:sz w:val="20"/>
                <w:szCs w:val="20"/>
              </w:rPr>
            </w:pPr>
            <w:r w:rsidRPr="00696515">
              <w:rPr>
                <w:sz w:val="20"/>
                <w:szCs w:val="20"/>
              </w:rPr>
              <w:t>1.800.932,00</w:t>
            </w:r>
          </w:p>
        </w:tc>
        <w:tc>
          <w:tcPr>
            <w:tcW w:w="1559" w:type="dxa"/>
            <w:vAlign w:val="center"/>
          </w:tcPr>
          <w:p w:rsidR="00CA1D81" w:rsidRPr="00696515" w:rsidRDefault="00CA1D81" w:rsidP="00AD5BFF">
            <w:pPr>
              <w:spacing w:after="0" w:line="240" w:lineRule="auto"/>
              <w:ind w:left="-139"/>
              <w:jc w:val="right"/>
              <w:rPr>
                <w:sz w:val="20"/>
                <w:szCs w:val="20"/>
              </w:rPr>
            </w:pPr>
            <w:r w:rsidRPr="00696515">
              <w:rPr>
                <w:sz w:val="20"/>
                <w:szCs w:val="20"/>
              </w:rPr>
              <w:t>1.</w:t>
            </w:r>
            <w:r>
              <w:rPr>
                <w:sz w:val="20"/>
                <w:szCs w:val="20"/>
              </w:rPr>
              <w:t>730</w:t>
            </w:r>
            <w:r w:rsidRPr="00696515">
              <w:rPr>
                <w:sz w:val="20"/>
                <w:szCs w:val="20"/>
              </w:rPr>
              <w:t>.</w:t>
            </w:r>
            <w:r>
              <w:rPr>
                <w:sz w:val="20"/>
                <w:szCs w:val="20"/>
              </w:rPr>
              <w:t>080</w:t>
            </w:r>
            <w:r w:rsidRPr="00696515">
              <w:rPr>
                <w:sz w:val="20"/>
                <w:szCs w:val="20"/>
              </w:rPr>
              <w:t>,00</w:t>
            </w:r>
          </w:p>
        </w:tc>
        <w:tc>
          <w:tcPr>
            <w:tcW w:w="1430" w:type="dxa"/>
            <w:vAlign w:val="center"/>
          </w:tcPr>
          <w:p w:rsidR="00CA1D81" w:rsidRPr="00696515" w:rsidRDefault="00CA1D81" w:rsidP="00AD5BFF">
            <w:pPr>
              <w:spacing w:after="0" w:line="240" w:lineRule="auto"/>
              <w:ind w:left="-139"/>
              <w:jc w:val="right"/>
              <w:rPr>
                <w:sz w:val="20"/>
                <w:szCs w:val="20"/>
              </w:rPr>
            </w:pPr>
            <w:r w:rsidRPr="00696515">
              <w:rPr>
                <w:sz w:val="20"/>
                <w:szCs w:val="20"/>
              </w:rPr>
              <w:t>1.</w:t>
            </w:r>
            <w:r>
              <w:rPr>
                <w:sz w:val="20"/>
                <w:szCs w:val="20"/>
              </w:rPr>
              <w:t>769</w:t>
            </w:r>
            <w:r w:rsidRPr="00696515">
              <w:rPr>
                <w:sz w:val="20"/>
                <w:szCs w:val="20"/>
              </w:rPr>
              <w:t>.</w:t>
            </w:r>
            <w:r>
              <w:rPr>
                <w:sz w:val="20"/>
                <w:szCs w:val="20"/>
              </w:rPr>
              <w:t>400</w:t>
            </w:r>
            <w:r w:rsidRPr="00696515">
              <w:rPr>
                <w:sz w:val="20"/>
                <w:szCs w:val="20"/>
              </w:rPr>
              <w:t>,00</w:t>
            </w:r>
          </w:p>
        </w:tc>
        <w:tc>
          <w:tcPr>
            <w:tcW w:w="1447" w:type="dxa"/>
          </w:tcPr>
          <w:p w:rsidR="00CA1D81" w:rsidRPr="00696515" w:rsidRDefault="00CA1D81" w:rsidP="00AD5BFF">
            <w:pPr>
              <w:spacing w:after="0" w:line="240" w:lineRule="auto"/>
              <w:ind w:left="-139"/>
              <w:jc w:val="right"/>
              <w:rPr>
                <w:sz w:val="20"/>
                <w:szCs w:val="20"/>
              </w:rPr>
            </w:pPr>
            <w:r w:rsidRPr="006A3C4B">
              <w:rPr>
                <w:sz w:val="20"/>
                <w:szCs w:val="20"/>
              </w:rPr>
              <w:t>1</w:t>
            </w:r>
            <w:r>
              <w:rPr>
                <w:sz w:val="20"/>
                <w:szCs w:val="20"/>
                <w:lang w:val="sr-Cyrl-RS"/>
              </w:rPr>
              <w:t>.</w:t>
            </w:r>
            <w:r w:rsidRPr="006A3C4B">
              <w:rPr>
                <w:sz w:val="20"/>
                <w:szCs w:val="20"/>
              </w:rPr>
              <w:t>753</w:t>
            </w:r>
            <w:r>
              <w:rPr>
                <w:sz w:val="20"/>
                <w:szCs w:val="20"/>
                <w:lang w:val="sr-Cyrl-RS"/>
              </w:rPr>
              <w:t>.</w:t>
            </w:r>
            <w:r w:rsidRPr="006A3C4B">
              <w:rPr>
                <w:sz w:val="20"/>
                <w:szCs w:val="20"/>
              </w:rPr>
              <w:t>600</w:t>
            </w:r>
            <w:r>
              <w:rPr>
                <w:sz w:val="20"/>
                <w:szCs w:val="20"/>
                <w:lang w:val="sr-Cyrl-RS"/>
              </w:rPr>
              <w:t>,</w:t>
            </w:r>
            <w:r w:rsidRPr="006A3C4B">
              <w:rPr>
                <w:sz w:val="20"/>
                <w:szCs w:val="20"/>
              </w:rPr>
              <w:t>00</w:t>
            </w:r>
          </w:p>
        </w:tc>
      </w:tr>
      <w:tr w:rsidR="00CA1D81" w:rsidRPr="00696515" w:rsidTr="00AD5BFF">
        <w:trPr>
          <w:trHeight w:val="80"/>
        </w:trPr>
        <w:tc>
          <w:tcPr>
            <w:tcW w:w="1696" w:type="dxa"/>
            <w:shd w:val="clear" w:color="auto" w:fill="auto"/>
            <w:vAlign w:val="center"/>
          </w:tcPr>
          <w:p w:rsidR="00CA1D81" w:rsidRPr="00696515" w:rsidRDefault="00CA1D81" w:rsidP="00AD5BFF">
            <w:pPr>
              <w:spacing w:after="0" w:line="240" w:lineRule="auto"/>
              <w:rPr>
                <w:b/>
                <w:sz w:val="20"/>
                <w:szCs w:val="20"/>
                <w:lang w:val="sr-Cyrl-ME"/>
              </w:rPr>
            </w:pPr>
            <w:r w:rsidRPr="00696515">
              <w:rPr>
                <w:b/>
                <w:sz w:val="20"/>
                <w:szCs w:val="20"/>
                <w:lang w:val="sr-Cyrl-ME"/>
              </w:rPr>
              <w:t>Укупн</w:t>
            </w:r>
            <w:r>
              <w:rPr>
                <w:b/>
                <w:sz w:val="20"/>
                <w:szCs w:val="20"/>
                <w:lang w:val="sr-Cyrl-ME"/>
              </w:rPr>
              <w:t>о</w:t>
            </w:r>
          </w:p>
        </w:tc>
        <w:tc>
          <w:tcPr>
            <w:tcW w:w="1560" w:type="dxa"/>
            <w:shd w:val="clear" w:color="auto" w:fill="auto"/>
            <w:vAlign w:val="center"/>
          </w:tcPr>
          <w:p w:rsidR="00CA1D81" w:rsidRPr="00696515" w:rsidRDefault="00CA1D81" w:rsidP="00AD5BFF">
            <w:pPr>
              <w:spacing w:after="0" w:line="240" w:lineRule="auto"/>
              <w:ind w:left="-168" w:right="-77"/>
              <w:jc w:val="right"/>
              <w:rPr>
                <w:b/>
                <w:sz w:val="20"/>
                <w:szCs w:val="20"/>
                <w:lang w:val="sr-Latn-ME"/>
              </w:rPr>
            </w:pPr>
            <w:r w:rsidRPr="00696515">
              <w:rPr>
                <w:b/>
                <w:sz w:val="20"/>
                <w:szCs w:val="20"/>
                <w:lang w:val="sr-Latn-ME"/>
              </w:rPr>
              <w:t>60.100.000,00</w:t>
            </w:r>
          </w:p>
        </w:tc>
        <w:tc>
          <w:tcPr>
            <w:tcW w:w="1417" w:type="dxa"/>
            <w:vAlign w:val="center"/>
          </w:tcPr>
          <w:p w:rsidR="00CA1D81" w:rsidRPr="00696515" w:rsidRDefault="00CA1D81" w:rsidP="00AD5BFF">
            <w:pPr>
              <w:spacing w:after="0" w:line="240" w:lineRule="auto"/>
              <w:ind w:left="-139"/>
              <w:jc w:val="right"/>
              <w:rPr>
                <w:b/>
                <w:sz w:val="20"/>
                <w:szCs w:val="20"/>
                <w:lang w:val="sr-Cyrl-ME"/>
              </w:rPr>
            </w:pPr>
            <w:r w:rsidRPr="00696515">
              <w:rPr>
                <w:b/>
                <w:sz w:val="20"/>
                <w:szCs w:val="20"/>
                <w:lang w:val="sr-Cyrl-ME"/>
              </w:rPr>
              <w:t>60.100.000,00</w:t>
            </w:r>
          </w:p>
        </w:tc>
        <w:tc>
          <w:tcPr>
            <w:tcW w:w="1559" w:type="dxa"/>
            <w:vAlign w:val="center"/>
          </w:tcPr>
          <w:p w:rsidR="00CA1D81" w:rsidRPr="00E727F4" w:rsidRDefault="00CA1D81" w:rsidP="00AD5BFF">
            <w:pPr>
              <w:spacing w:after="0" w:line="240" w:lineRule="auto"/>
              <w:ind w:left="-139"/>
              <w:jc w:val="right"/>
              <w:rPr>
                <w:b/>
                <w:sz w:val="20"/>
                <w:szCs w:val="20"/>
              </w:rPr>
            </w:pPr>
            <w:r w:rsidRPr="00E727F4">
              <w:rPr>
                <w:b/>
                <w:sz w:val="20"/>
                <w:szCs w:val="20"/>
              </w:rPr>
              <w:t>60.100.000,00</w:t>
            </w:r>
          </w:p>
        </w:tc>
        <w:tc>
          <w:tcPr>
            <w:tcW w:w="1430" w:type="dxa"/>
            <w:vAlign w:val="center"/>
          </w:tcPr>
          <w:p w:rsidR="00CA1D81" w:rsidRPr="00B2512C" w:rsidRDefault="00CA1D81" w:rsidP="00AD5BFF">
            <w:pPr>
              <w:spacing w:after="0" w:line="240" w:lineRule="auto"/>
              <w:ind w:left="-139"/>
              <w:jc w:val="right"/>
              <w:rPr>
                <w:b/>
                <w:sz w:val="20"/>
                <w:szCs w:val="20"/>
              </w:rPr>
            </w:pPr>
            <w:r w:rsidRPr="00B2512C">
              <w:rPr>
                <w:b/>
                <w:sz w:val="20"/>
                <w:szCs w:val="20"/>
              </w:rPr>
              <w:t>61.600.000,00</w:t>
            </w:r>
          </w:p>
        </w:tc>
        <w:tc>
          <w:tcPr>
            <w:tcW w:w="1447" w:type="dxa"/>
          </w:tcPr>
          <w:p w:rsidR="00CA1D81" w:rsidRPr="00696515" w:rsidRDefault="00CA1D81" w:rsidP="00AD5BFF">
            <w:pPr>
              <w:spacing w:after="0" w:line="240" w:lineRule="auto"/>
              <w:ind w:left="-139"/>
              <w:jc w:val="right"/>
              <w:rPr>
                <w:b/>
                <w:sz w:val="20"/>
                <w:szCs w:val="20"/>
                <w:lang w:val="sr-Cyrl-ME"/>
              </w:rPr>
            </w:pPr>
            <w:r>
              <w:rPr>
                <w:b/>
                <w:sz w:val="20"/>
                <w:szCs w:val="20"/>
                <w:lang w:val="sr-Cyrl-ME"/>
              </w:rPr>
              <w:t>61.6</w:t>
            </w:r>
            <w:r w:rsidRPr="006A3C4B">
              <w:rPr>
                <w:b/>
                <w:sz w:val="20"/>
                <w:szCs w:val="20"/>
                <w:lang w:val="sr-Cyrl-ME"/>
              </w:rPr>
              <w:t>00</w:t>
            </w:r>
            <w:r>
              <w:rPr>
                <w:b/>
                <w:sz w:val="20"/>
                <w:szCs w:val="20"/>
                <w:lang w:val="sr-Cyrl-ME"/>
              </w:rPr>
              <w:t>.000,</w:t>
            </w:r>
            <w:r w:rsidRPr="006A3C4B">
              <w:rPr>
                <w:b/>
                <w:sz w:val="20"/>
                <w:szCs w:val="20"/>
                <w:lang w:val="sr-Cyrl-ME"/>
              </w:rPr>
              <w:t>00</w:t>
            </w:r>
          </w:p>
        </w:tc>
      </w:tr>
    </w:tbl>
    <w:p w:rsidR="00741176" w:rsidRDefault="00741176" w:rsidP="00A475C5">
      <w:pPr>
        <w:spacing w:after="0"/>
        <w:jc w:val="both"/>
        <w:rPr>
          <w:sz w:val="24"/>
          <w:szCs w:val="24"/>
          <w:lang w:val="sr-Cyrl-RS"/>
        </w:rPr>
      </w:pPr>
    </w:p>
    <w:p w:rsidR="005A6E59" w:rsidRPr="00F333CD" w:rsidRDefault="005A6E59" w:rsidP="00F333CD">
      <w:pPr>
        <w:pStyle w:val="Heading2"/>
        <w:jc w:val="center"/>
        <w:rPr>
          <w:rFonts w:ascii="Times New Roman" w:hAnsi="Times New Roman" w:cs="Times New Roman"/>
          <w:b/>
          <w:sz w:val="24"/>
          <w:szCs w:val="24"/>
          <w:lang w:val="sr-Cyrl-RS"/>
        </w:rPr>
      </w:pPr>
      <w:bookmarkStart w:id="18" w:name="_Toc111191333"/>
      <w:r w:rsidRPr="00F333CD">
        <w:rPr>
          <w:rFonts w:ascii="Times New Roman" w:hAnsi="Times New Roman" w:cs="Times New Roman"/>
          <w:b/>
          <w:color w:val="auto"/>
          <w:sz w:val="24"/>
          <w:szCs w:val="24"/>
          <w:lang w:val="sr-Cyrl-RS"/>
        </w:rPr>
        <w:t>Члан 6. Оквирне конвенције</w:t>
      </w:r>
      <w:bookmarkEnd w:id="18"/>
    </w:p>
    <w:p w:rsidR="005A6E59" w:rsidRPr="00F333CD" w:rsidRDefault="005A6E59" w:rsidP="00F333CD">
      <w:pPr>
        <w:pStyle w:val="Heading3"/>
        <w:jc w:val="center"/>
        <w:rPr>
          <w:rFonts w:ascii="Times New Roman" w:hAnsi="Times New Roman" w:cs="Times New Roman"/>
          <w:b/>
          <w:lang w:val="sr-Cyrl-RS"/>
        </w:rPr>
      </w:pPr>
      <w:bookmarkStart w:id="19" w:name="_Toc111191334"/>
      <w:r w:rsidRPr="00F333CD">
        <w:rPr>
          <w:rFonts w:ascii="Times New Roman" w:hAnsi="Times New Roman" w:cs="Times New Roman"/>
          <w:b/>
          <w:color w:val="auto"/>
          <w:lang w:val="sr-Cyrl-RS"/>
        </w:rPr>
        <w:t>Толеранција и интеркултурални дијалог</w:t>
      </w:r>
      <w:bookmarkEnd w:id="19"/>
    </w:p>
    <w:p w:rsidR="005A6E59" w:rsidRDefault="005A6E59" w:rsidP="00A475C5">
      <w:pPr>
        <w:spacing w:after="0"/>
        <w:jc w:val="both"/>
        <w:rPr>
          <w:sz w:val="24"/>
          <w:szCs w:val="24"/>
          <w:lang w:val="sr-Cyrl-RS"/>
        </w:rPr>
      </w:pPr>
    </w:p>
    <w:p w:rsidR="005A6E59" w:rsidRPr="005A6E59" w:rsidRDefault="005A6E59" w:rsidP="00A475C5">
      <w:pPr>
        <w:spacing w:after="0"/>
        <w:jc w:val="both"/>
        <w:rPr>
          <w:i/>
          <w:sz w:val="24"/>
          <w:szCs w:val="24"/>
          <w:lang w:val="sr-Cyrl-RS"/>
        </w:rPr>
      </w:pPr>
      <w:r w:rsidRPr="005A6E59">
        <w:rPr>
          <w:i/>
          <w:sz w:val="24"/>
          <w:szCs w:val="24"/>
          <w:lang w:val="sr-Cyrl-RS"/>
        </w:rPr>
        <w:t xml:space="preserve">57. Саветодавни комитет позива власти да снажно подрже развој независних квалитативних и квантитативних истраживања која показују ниво и природу </w:t>
      </w:r>
      <w:r w:rsidRPr="005A6E59">
        <w:rPr>
          <w:i/>
          <w:sz w:val="24"/>
          <w:szCs w:val="24"/>
          <w:lang w:val="sr-Cyrl-RS"/>
        </w:rPr>
        <w:lastRenderedPageBreak/>
        <w:t>међунационалних односа, укључујући односе између припадника националних мањина и припадника већине.</w:t>
      </w:r>
    </w:p>
    <w:p w:rsidR="005A6E59" w:rsidRPr="005A6E59" w:rsidRDefault="005A6E59" w:rsidP="00A475C5">
      <w:pPr>
        <w:spacing w:after="0"/>
        <w:jc w:val="both"/>
        <w:rPr>
          <w:i/>
          <w:sz w:val="24"/>
          <w:szCs w:val="24"/>
          <w:lang w:val="sr-Cyrl-RS"/>
        </w:rPr>
      </w:pPr>
    </w:p>
    <w:p w:rsidR="005A6E59" w:rsidRDefault="005A6E59" w:rsidP="00A475C5">
      <w:pPr>
        <w:spacing w:after="0"/>
        <w:jc w:val="both"/>
        <w:rPr>
          <w:i/>
          <w:sz w:val="24"/>
          <w:szCs w:val="24"/>
          <w:lang w:val="sr-Cyrl-RS"/>
        </w:rPr>
      </w:pPr>
      <w:r>
        <w:rPr>
          <w:i/>
          <w:sz w:val="24"/>
          <w:szCs w:val="24"/>
          <w:lang w:val="sr-Cyrl-RS"/>
        </w:rPr>
        <w:t xml:space="preserve">58. </w:t>
      </w:r>
      <w:r w:rsidRPr="005A6E59">
        <w:rPr>
          <w:i/>
          <w:sz w:val="24"/>
          <w:szCs w:val="24"/>
          <w:lang w:val="sr-Cyrl-RS"/>
        </w:rPr>
        <w:t>Саветодавни комитет позива власти да, на основу таквих истраживања, успоставе, спроводе, прате и периодично преиспитују свеобухватну стратегију која има за циљ ревитализацију међунационалних односа, у консултацији са припадницима националних мањина и јединицама локалне самоуправе. Овом стратегијом би требало јасно узети у обзир потребу за укључивањем већине у интеграцију и укључивање националних мањина у српско друштво.</w:t>
      </w:r>
    </w:p>
    <w:p w:rsidR="005A6E59" w:rsidRDefault="005A6E59" w:rsidP="00A475C5">
      <w:pPr>
        <w:spacing w:after="0"/>
        <w:jc w:val="both"/>
        <w:rPr>
          <w:i/>
          <w:sz w:val="24"/>
          <w:szCs w:val="24"/>
          <w:lang w:val="sr-Cyrl-RS"/>
        </w:rPr>
      </w:pPr>
    </w:p>
    <w:p w:rsidR="00D54FE5" w:rsidRDefault="00D54FE5" w:rsidP="00C623CC">
      <w:pPr>
        <w:spacing w:after="0"/>
        <w:jc w:val="both"/>
        <w:rPr>
          <w:sz w:val="24"/>
          <w:szCs w:val="24"/>
          <w:lang w:val="sr-Cyrl-RS"/>
        </w:rPr>
      </w:pPr>
      <w:r>
        <w:rPr>
          <w:sz w:val="24"/>
          <w:szCs w:val="24"/>
          <w:lang w:val="sr-Cyrl-RS"/>
        </w:rPr>
        <w:tab/>
        <w:t xml:space="preserve">Осим истраживања која су поменута у вези са реализацијом препоруке 3. </w:t>
      </w:r>
      <w:r w:rsidR="001901A4">
        <w:rPr>
          <w:sz w:val="24"/>
          <w:szCs w:val="24"/>
          <w:lang w:val="sr-Cyrl-RS"/>
        </w:rPr>
        <w:t xml:space="preserve">из Резолуције </w:t>
      </w:r>
      <w:r>
        <w:rPr>
          <w:sz w:val="24"/>
          <w:szCs w:val="24"/>
          <w:lang w:val="sr-Cyrl-RS"/>
        </w:rPr>
        <w:t xml:space="preserve">Комитета министара, за сагледавање извршавања ових препорука Саветодавног комитета од значаја је истаћи да су у извештајном периоду подржана и спроведена различита истраживања. Свакако најважније истраживање у контексту ових препорука је </w:t>
      </w:r>
      <w:r w:rsidRPr="00D54FE5">
        <w:rPr>
          <w:sz w:val="24"/>
          <w:szCs w:val="24"/>
          <w:lang w:val="sr-Cyrl-RS"/>
        </w:rPr>
        <w:t>истраживање „Социјални односи између етничких заједница у Србији“</w:t>
      </w:r>
      <w:r>
        <w:rPr>
          <w:sz w:val="24"/>
          <w:szCs w:val="24"/>
          <w:lang w:val="sr-Cyrl-RS"/>
        </w:rPr>
        <w:t xml:space="preserve"> </w:t>
      </w:r>
      <w:r w:rsidRPr="00D54FE5">
        <w:rPr>
          <w:sz w:val="24"/>
          <w:szCs w:val="24"/>
          <w:lang w:val="sr-Cyrl-RS"/>
        </w:rPr>
        <w:t>Центр</w:t>
      </w:r>
      <w:r>
        <w:rPr>
          <w:sz w:val="24"/>
          <w:szCs w:val="24"/>
          <w:lang w:val="sr-Cyrl-RS"/>
        </w:rPr>
        <w:t>а</w:t>
      </w:r>
      <w:r w:rsidRPr="00D54FE5">
        <w:rPr>
          <w:sz w:val="24"/>
          <w:szCs w:val="24"/>
          <w:lang w:val="sr-Cyrl-RS"/>
        </w:rPr>
        <w:t xml:space="preserve"> за истраживање етницитета и </w:t>
      </w:r>
      <w:r>
        <w:rPr>
          <w:sz w:val="24"/>
          <w:szCs w:val="24"/>
          <w:lang w:val="sr-Cyrl-RS"/>
        </w:rPr>
        <w:t xml:space="preserve">државног научног </w:t>
      </w:r>
      <w:r w:rsidRPr="00D54FE5">
        <w:rPr>
          <w:sz w:val="24"/>
          <w:szCs w:val="24"/>
          <w:lang w:val="sr-Cyrl-RS"/>
        </w:rPr>
        <w:t>Институт</w:t>
      </w:r>
      <w:r>
        <w:rPr>
          <w:sz w:val="24"/>
          <w:szCs w:val="24"/>
          <w:lang w:val="sr-Cyrl-RS"/>
        </w:rPr>
        <w:t>а</w:t>
      </w:r>
      <w:r w:rsidRPr="00D54FE5">
        <w:rPr>
          <w:sz w:val="24"/>
          <w:szCs w:val="24"/>
          <w:lang w:val="sr-Cyrl-RS"/>
        </w:rPr>
        <w:t xml:space="preserve"> друштвених наука</w:t>
      </w:r>
      <w:r>
        <w:rPr>
          <w:sz w:val="24"/>
          <w:szCs w:val="24"/>
          <w:lang w:val="sr-Cyrl-RS"/>
        </w:rPr>
        <w:t xml:space="preserve">, уз </w:t>
      </w:r>
      <w:r w:rsidRPr="00D54FE5">
        <w:rPr>
          <w:sz w:val="24"/>
          <w:szCs w:val="24"/>
          <w:lang w:val="sr-Cyrl-RS"/>
        </w:rPr>
        <w:t>подрш</w:t>
      </w:r>
      <w:r>
        <w:rPr>
          <w:sz w:val="24"/>
          <w:szCs w:val="24"/>
          <w:lang w:val="sr-Cyrl-RS"/>
        </w:rPr>
        <w:t>ку</w:t>
      </w:r>
      <w:r w:rsidRPr="00D54FE5">
        <w:rPr>
          <w:sz w:val="24"/>
          <w:szCs w:val="24"/>
          <w:lang w:val="sr-Cyrl-RS"/>
        </w:rPr>
        <w:t xml:space="preserve"> Фондације за отворено друштво</w:t>
      </w:r>
      <w:r>
        <w:rPr>
          <w:sz w:val="24"/>
          <w:szCs w:val="24"/>
          <w:lang w:val="sr-Cyrl-RS"/>
        </w:rPr>
        <w:t xml:space="preserve">. Такође, </w:t>
      </w:r>
      <w:r w:rsidR="00DB226F">
        <w:rPr>
          <w:sz w:val="24"/>
          <w:szCs w:val="24"/>
          <w:lang w:val="sr-Cyrl-RS"/>
        </w:rPr>
        <w:t>п</w:t>
      </w:r>
      <w:r w:rsidR="00DB226F" w:rsidRPr="00DB226F">
        <w:rPr>
          <w:sz w:val="24"/>
          <w:szCs w:val="24"/>
          <w:lang w:val="sr-Cyrl-RS"/>
        </w:rPr>
        <w:t xml:space="preserve">о захтеву Фондације за слободу штампе која издаје недељни лист „Чалади Кер” (Családi Kör) и новински портал „Сабад Мађар Со” (Szabad Magyar Szó), сенћанска Радионица за истраживање идентитета мањина </w:t>
      </w:r>
      <w:r w:rsidR="00DB226F">
        <w:rPr>
          <w:sz w:val="24"/>
          <w:szCs w:val="24"/>
          <w:lang w:val="sr-Cyrl-RS"/>
        </w:rPr>
        <w:t>сачинил</w:t>
      </w:r>
      <w:r w:rsidR="00DB226F" w:rsidRPr="00DB226F">
        <w:rPr>
          <w:sz w:val="24"/>
          <w:szCs w:val="24"/>
          <w:lang w:val="sr-Cyrl-RS"/>
        </w:rPr>
        <w:t xml:space="preserve">а је </w:t>
      </w:r>
      <w:r w:rsidR="00DB226F">
        <w:rPr>
          <w:sz w:val="24"/>
          <w:szCs w:val="24"/>
          <w:lang w:val="sr-Cyrl-RS"/>
        </w:rPr>
        <w:t xml:space="preserve">истраживање јавног мњења о </w:t>
      </w:r>
      <w:r w:rsidR="00DB226F" w:rsidRPr="00DB226F">
        <w:rPr>
          <w:sz w:val="24"/>
          <w:szCs w:val="24"/>
          <w:lang w:val="sr-Cyrl-RS"/>
        </w:rPr>
        <w:t>српско–мађарск</w:t>
      </w:r>
      <w:r w:rsidR="00DB226F">
        <w:rPr>
          <w:sz w:val="24"/>
          <w:szCs w:val="24"/>
          <w:lang w:val="sr-Cyrl-RS"/>
        </w:rPr>
        <w:t>им</w:t>
      </w:r>
      <w:r w:rsidR="00DB226F" w:rsidRPr="00DB226F">
        <w:rPr>
          <w:sz w:val="24"/>
          <w:szCs w:val="24"/>
          <w:lang w:val="sr-Cyrl-RS"/>
        </w:rPr>
        <w:t xml:space="preserve"> однос</w:t>
      </w:r>
      <w:r w:rsidR="00DB226F">
        <w:rPr>
          <w:sz w:val="24"/>
          <w:szCs w:val="24"/>
          <w:lang w:val="sr-Cyrl-RS"/>
        </w:rPr>
        <w:t>има,</w:t>
      </w:r>
      <w:r w:rsidR="00DB226F" w:rsidRPr="00DB226F">
        <w:rPr>
          <w:sz w:val="24"/>
          <w:szCs w:val="24"/>
          <w:lang w:val="sr-Cyrl-RS"/>
        </w:rPr>
        <w:t xml:space="preserve"> као и </w:t>
      </w:r>
      <w:r w:rsidR="00DB226F">
        <w:rPr>
          <w:sz w:val="24"/>
          <w:szCs w:val="24"/>
          <w:lang w:val="sr-Cyrl-RS"/>
        </w:rPr>
        <w:t xml:space="preserve">о </w:t>
      </w:r>
      <w:r w:rsidR="00DB226F" w:rsidRPr="00DB226F">
        <w:rPr>
          <w:sz w:val="24"/>
          <w:szCs w:val="24"/>
          <w:lang w:val="sr-Cyrl-RS"/>
        </w:rPr>
        <w:t>пријатељск</w:t>
      </w:r>
      <w:r w:rsidR="00DB226F">
        <w:rPr>
          <w:sz w:val="24"/>
          <w:szCs w:val="24"/>
          <w:lang w:val="sr-Cyrl-RS"/>
        </w:rPr>
        <w:t>им</w:t>
      </w:r>
      <w:r w:rsidR="00DB226F" w:rsidRPr="00DB226F">
        <w:rPr>
          <w:sz w:val="24"/>
          <w:szCs w:val="24"/>
          <w:lang w:val="sr-Cyrl-RS"/>
        </w:rPr>
        <w:t xml:space="preserve"> и ро</w:t>
      </w:r>
      <w:r w:rsidR="003417CD">
        <w:rPr>
          <w:sz w:val="24"/>
          <w:szCs w:val="24"/>
          <w:lang w:val="sr-Cyrl-RS"/>
        </w:rPr>
        <w:t>д</w:t>
      </w:r>
      <w:r w:rsidR="00DB226F" w:rsidRPr="00DB226F">
        <w:rPr>
          <w:sz w:val="24"/>
          <w:szCs w:val="24"/>
          <w:lang w:val="sr-Cyrl-RS"/>
        </w:rPr>
        <w:t>бинск</w:t>
      </w:r>
      <w:r w:rsidR="00DB226F">
        <w:rPr>
          <w:sz w:val="24"/>
          <w:szCs w:val="24"/>
          <w:lang w:val="sr-Cyrl-RS"/>
        </w:rPr>
        <w:t>им</w:t>
      </w:r>
      <w:r w:rsidR="00DB226F" w:rsidRPr="00DB226F">
        <w:rPr>
          <w:sz w:val="24"/>
          <w:szCs w:val="24"/>
          <w:lang w:val="sr-Cyrl-RS"/>
        </w:rPr>
        <w:t xml:space="preserve"> вез</w:t>
      </w:r>
      <w:r w:rsidR="00DB226F">
        <w:rPr>
          <w:sz w:val="24"/>
          <w:szCs w:val="24"/>
          <w:lang w:val="sr-Cyrl-RS"/>
        </w:rPr>
        <w:t>ама између припадника различитих заједница.</w:t>
      </w:r>
      <w:r w:rsidR="008A7FB0">
        <w:rPr>
          <w:rStyle w:val="FootnoteReference"/>
          <w:sz w:val="24"/>
          <w:szCs w:val="24"/>
          <w:lang w:val="sr-Cyrl-RS"/>
        </w:rPr>
        <w:footnoteReference w:id="88"/>
      </w:r>
      <w:r w:rsidR="00DB226F">
        <w:rPr>
          <w:sz w:val="24"/>
          <w:szCs w:val="24"/>
          <w:lang w:val="sr-Cyrl-RS"/>
        </w:rPr>
        <w:t xml:space="preserve"> Осим наведених истраживања која су у целини била посвећена међуетничким односима, у извештајном периоду обављена су и истраживања </w:t>
      </w:r>
      <w:r w:rsidR="00C623CC">
        <w:rPr>
          <w:sz w:val="24"/>
          <w:szCs w:val="24"/>
        </w:rPr>
        <w:t xml:space="preserve">o </w:t>
      </w:r>
      <w:r w:rsidR="00C623CC">
        <w:rPr>
          <w:sz w:val="24"/>
          <w:szCs w:val="24"/>
          <w:lang w:val="sr-Cyrl-RS"/>
        </w:rPr>
        <w:t>националистичкој оријентацији становништва у оквиру ширег истраживања „</w:t>
      </w:r>
      <w:r w:rsidR="00C623CC" w:rsidRPr="00C623CC">
        <w:rPr>
          <w:sz w:val="24"/>
          <w:szCs w:val="24"/>
          <w:lang w:val="sr-Cyrl-RS"/>
        </w:rPr>
        <w:t>Стратификацијске промене</w:t>
      </w:r>
      <w:r w:rsidR="00C623CC">
        <w:rPr>
          <w:sz w:val="24"/>
          <w:szCs w:val="24"/>
          <w:lang w:val="sr-Cyrl-RS"/>
        </w:rPr>
        <w:t xml:space="preserve"> </w:t>
      </w:r>
      <w:r w:rsidR="00C623CC" w:rsidRPr="00C623CC">
        <w:rPr>
          <w:sz w:val="24"/>
          <w:szCs w:val="24"/>
          <w:lang w:val="sr-Cyrl-RS"/>
        </w:rPr>
        <w:t>у периоду консолидације капитализма у Србији</w:t>
      </w:r>
      <w:r w:rsidR="00C623CC">
        <w:rPr>
          <w:sz w:val="24"/>
          <w:szCs w:val="24"/>
          <w:lang w:val="sr-Cyrl-RS"/>
        </w:rPr>
        <w:t>“</w:t>
      </w:r>
      <w:r w:rsidR="00277799">
        <w:rPr>
          <w:rStyle w:val="FootnoteReference"/>
          <w:sz w:val="24"/>
          <w:szCs w:val="24"/>
          <w:lang w:val="sr-Cyrl-RS"/>
        </w:rPr>
        <w:footnoteReference w:id="89"/>
      </w:r>
      <w:r w:rsidR="00C623CC">
        <w:rPr>
          <w:sz w:val="24"/>
          <w:szCs w:val="24"/>
          <w:lang w:val="sr-Cyrl-RS"/>
        </w:rPr>
        <w:t xml:space="preserve"> коју је спровео Институт за социолошка истраживања Филозофског факултета Универзитета у Београду, а које се наставља на слична истраживања спроведена 2003. и 2012. године. </w:t>
      </w:r>
    </w:p>
    <w:p w:rsidR="009909AB" w:rsidRPr="009909AB" w:rsidRDefault="00C623CC" w:rsidP="009909AB">
      <w:pPr>
        <w:spacing w:after="0"/>
        <w:jc w:val="both"/>
        <w:rPr>
          <w:sz w:val="24"/>
          <w:szCs w:val="24"/>
          <w:lang w:val="sr-Cyrl-RS"/>
        </w:rPr>
      </w:pPr>
      <w:r>
        <w:rPr>
          <w:sz w:val="24"/>
          <w:szCs w:val="24"/>
          <w:lang w:val="sr-Cyrl-RS"/>
        </w:rPr>
        <w:tab/>
        <w:t>У истраживању</w:t>
      </w:r>
      <w:r w:rsidRPr="00C623CC">
        <w:t xml:space="preserve"> </w:t>
      </w:r>
      <w:r w:rsidRPr="00C623CC">
        <w:rPr>
          <w:sz w:val="24"/>
          <w:szCs w:val="24"/>
          <w:lang w:val="sr-Cyrl-RS"/>
        </w:rPr>
        <w:t>Центра за истраживање етницитета и Института друштвених наука</w:t>
      </w:r>
      <w:r w:rsidRPr="00C623CC">
        <w:t xml:space="preserve"> </w:t>
      </w:r>
      <w:r>
        <w:rPr>
          <w:lang w:val="sr-Cyrl-RS"/>
        </w:rPr>
        <w:t>с</w:t>
      </w:r>
      <w:r w:rsidRPr="00C623CC">
        <w:rPr>
          <w:sz w:val="24"/>
          <w:szCs w:val="24"/>
          <w:lang w:val="sr-Cyrl-RS"/>
        </w:rPr>
        <w:t>оцијална дистанца између етничких заједница у Србији је мерена на основу исказаних ставова испитаника српске националности и испитаника припадника алб</w:t>
      </w:r>
      <w:r>
        <w:rPr>
          <w:sz w:val="24"/>
          <w:szCs w:val="24"/>
          <w:lang w:val="sr-Cyrl-RS"/>
        </w:rPr>
        <w:t>анске, бошњачке, хрватске, мађар</w:t>
      </w:r>
      <w:r w:rsidRPr="00C623CC">
        <w:rPr>
          <w:sz w:val="24"/>
          <w:szCs w:val="24"/>
          <w:lang w:val="sr-Cyrl-RS"/>
        </w:rPr>
        <w:t>ске, ромске, румунске и словачке националне мањине. Социјална дистанца је мерена на основу три групе питања. Прва група питања се односила на остварене међусобне социјалне контакте, односно постојеће друштвене и родбинске везе између припадника различитих националности. Друга група питања се односила на личне и претпостављене ставове блиских чланова сопствене етничке групе о „другима“ – суживоту у заједничкој држави и суседству, прихватању познанства и пријатељства, радне колегијалности и, најзад, брачних веза. Напослетку, трећа група питања се односила на поверење испитаника у припаднике других етничких група за обављање друштвених улога – председника државе, премијера, министра, председника општине, наставника и изабраног лекара.</w:t>
      </w:r>
      <w:r w:rsidR="009909AB">
        <w:rPr>
          <w:sz w:val="24"/>
          <w:szCs w:val="24"/>
          <w:lang w:val="sr-Cyrl-RS"/>
        </w:rPr>
        <w:t xml:space="preserve"> Према резултатима тог истраживања, н</w:t>
      </w:r>
      <w:r w:rsidR="009909AB" w:rsidRPr="009909AB">
        <w:rPr>
          <w:sz w:val="24"/>
          <w:szCs w:val="24"/>
          <w:lang w:val="sr-Cyrl-RS"/>
        </w:rPr>
        <w:t xml:space="preserve">ајснажније пријатељске везе припадници националних мањина имају са Србима </w:t>
      </w:r>
      <w:r w:rsidR="009909AB" w:rsidRPr="009909AB">
        <w:rPr>
          <w:sz w:val="24"/>
          <w:szCs w:val="24"/>
          <w:lang w:val="sr-Cyrl-RS"/>
        </w:rPr>
        <w:lastRenderedPageBreak/>
        <w:t>(Албанци 77,6%; Бошњаци 96,2%; Мађари 97,2%; Хрвати 89,6%; Роми 97,7%; Румуни 98%; Словаци 99,1%), али припадници српске националности имају нижи степен пријатељских односа са припадницима истих националних мањина (Албанци 39,6%; Бошњаци 71,8; Хрвати 80,7; Мађари 65,4%; Роми 67,4%; Румуни 41,3%; Словаци 50,9%).</w:t>
      </w:r>
    </w:p>
    <w:p w:rsidR="00C623CC" w:rsidRDefault="009909AB" w:rsidP="000B1337">
      <w:pPr>
        <w:spacing w:after="0"/>
        <w:ind w:firstLine="720"/>
        <w:jc w:val="both"/>
        <w:rPr>
          <w:sz w:val="24"/>
          <w:szCs w:val="24"/>
          <w:lang w:val="sr-Cyrl-RS"/>
        </w:rPr>
      </w:pPr>
      <w:r w:rsidRPr="009909AB">
        <w:rPr>
          <w:sz w:val="24"/>
          <w:szCs w:val="24"/>
          <w:lang w:val="sr-Cyrl-RS"/>
        </w:rPr>
        <w:t>Подаци о међусобним пријатељствима између припадника националних мањина указују на затвореност према припадницима албанске и ромске заједнице. Са припадницима хрватске заједнице 53,1% Албанаца има пријатељске односе, са Ромима пријатељство одржава 56,7%, а са Хрватима 30,4%, Мађарима 17%, Румунима 15</w:t>
      </w:r>
      <w:r w:rsidR="001E18BB">
        <w:rPr>
          <w:sz w:val="24"/>
          <w:szCs w:val="24"/>
          <w:lang w:val="sr-Cyrl-RS"/>
        </w:rPr>
        <w:t>,8% и са Словацима 9,5%. Најчешћ</w:t>
      </w:r>
      <w:r w:rsidRPr="009909AB">
        <w:rPr>
          <w:sz w:val="24"/>
          <w:szCs w:val="24"/>
          <w:lang w:val="sr-Cyrl-RS"/>
        </w:rPr>
        <w:t xml:space="preserve">е пријатељство Роми, њих 57,4%, остварују са Бошњацима и Хрватима – 53,6%; </w:t>
      </w:r>
      <w:r w:rsidR="001E18BB">
        <w:rPr>
          <w:sz w:val="24"/>
          <w:szCs w:val="24"/>
          <w:lang w:val="sr-Cyrl-RS"/>
        </w:rPr>
        <w:t xml:space="preserve">Половина </w:t>
      </w:r>
      <w:r w:rsidRPr="009909AB">
        <w:rPr>
          <w:sz w:val="24"/>
          <w:szCs w:val="24"/>
          <w:lang w:val="sr-Cyrl-RS"/>
        </w:rPr>
        <w:t>50% испитаника ромске националности има пријатељства са Албанцима, 45% са Румунима, 40,8% са Мађарима и 27,1% са Словацима.</w:t>
      </w:r>
      <w:r>
        <w:rPr>
          <w:sz w:val="24"/>
          <w:szCs w:val="24"/>
          <w:lang w:val="sr-Cyrl-RS"/>
        </w:rPr>
        <w:t xml:space="preserve"> </w:t>
      </w:r>
      <w:r w:rsidRPr="009909AB">
        <w:rPr>
          <w:sz w:val="24"/>
          <w:szCs w:val="24"/>
          <w:lang w:val="sr-Cyrl-RS"/>
        </w:rPr>
        <w:t>Између припадника осталих национа</w:t>
      </w:r>
      <w:r>
        <w:rPr>
          <w:sz w:val="24"/>
          <w:szCs w:val="24"/>
          <w:lang w:val="sr-Cyrl-RS"/>
        </w:rPr>
        <w:t>лних мањина пријатељства су чешћ</w:t>
      </w:r>
      <w:r w:rsidRPr="009909AB">
        <w:rPr>
          <w:sz w:val="24"/>
          <w:szCs w:val="24"/>
          <w:lang w:val="sr-Cyrl-RS"/>
        </w:rPr>
        <w:t>а и обухватају између 70 и 80 процената испитаника.</w:t>
      </w:r>
      <w:r>
        <w:rPr>
          <w:sz w:val="24"/>
          <w:szCs w:val="24"/>
          <w:lang w:val="sr-Cyrl-RS"/>
        </w:rPr>
        <w:t xml:space="preserve"> </w:t>
      </w:r>
      <w:r w:rsidRPr="009909AB">
        <w:rPr>
          <w:sz w:val="24"/>
          <w:szCs w:val="24"/>
          <w:lang w:val="sr-Cyrl-RS"/>
        </w:rPr>
        <w:t>Родбинске везе су још ређе, мада је 28% испитаника српске националности одговорило да, поред тога што им је етнички идентитет српски, припадају бар још једном „мањинском“ идентитету. Према исказима испитаника српске националности, они најчешће родбинске везе имају са припадницима хрватске националне мањине 33,8%, затим са припадницима мађарске (17,4%) и бошњачке (14,6%) националне мањине; 5,5% Срба је у родбинским везама са Румунима, 4,8% са Словацима, 3,3% са Ромима, а 1,8% са Албанцима. С друге стране, 8,7% испитаника албанске</w:t>
      </w:r>
      <w:r w:rsidRPr="009909AB">
        <w:t xml:space="preserve"> </w:t>
      </w:r>
      <w:r w:rsidRPr="009909AB">
        <w:rPr>
          <w:sz w:val="24"/>
          <w:szCs w:val="24"/>
          <w:lang w:val="sr-Cyrl-RS"/>
        </w:rPr>
        <w:t>националности има родбинске везе са припадницима српског народа, као и 42,8% припадника ромске и 80% хрватске националне мањине.</w:t>
      </w:r>
      <w:r>
        <w:rPr>
          <w:sz w:val="24"/>
          <w:szCs w:val="24"/>
          <w:lang w:val="sr-Cyrl-RS"/>
        </w:rPr>
        <w:t xml:space="preserve"> </w:t>
      </w:r>
      <w:r w:rsidRPr="009909AB">
        <w:rPr>
          <w:sz w:val="24"/>
          <w:szCs w:val="24"/>
          <w:lang w:val="sr-Cyrl-RS"/>
        </w:rPr>
        <w:t xml:space="preserve">Албанци осим са припадницима бошњачке националне мањине, са којима је у родбинским везама 12,2% испитаника, немају бројну родбину међу припадницима других </w:t>
      </w:r>
      <w:r>
        <w:rPr>
          <w:sz w:val="24"/>
          <w:szCs w:val="24"/>
          <w:lang w:val="sr-Cyrl-RS"/>
        </w:rPr>
        <w:t>националних мањина</w:t>
      </w:r>
      <w:r w:rsidRPr="009909AB">
        <w:rPr>
          <w:sz w:val="24"/>
          <w:szCs w:val="24"/>
          <w:lang w:val="sr-Cyrl-RS"/>
        </w:rPr>
        <w:t>. Слична је ситуација и у вези са родбинским везама Рома са припадницима других</w:t>
      </w:r>
      <w:r>
        <w:rPr>
          <w:sz w:val="24"/>
          <w:szCs w:val="24"/>
          <w:lang w:val="sr-Cyrl-RS"/>
        </w:rPr>
        <w:t xml:space="preserve"> етничких група</w:t>
      </w:r>
      <w:r w:rsidRPr="009909AB">
        <w:rPr>
          <w:sz w:val="24"/>
          <w:szCs w:val="24"/>
          <w:lang w:val="sr-Cyrl-RS"/>
        </w:rPr>
        <w:t>.</w:t>
      </w:r>
      <w:r>
        <w:rPr>
          <w:sz w:val="24"/>
          <w:szCs w:val="24"/>
          <w:lang w:val="sr-Cyrl-RS"/>
        </w:rPr>
        <w:t xml:space="preserve"> </w:t>
      </w:r>
      <w:r w:rsidRPr="009909AB">
        <w:rPr>
          <w:sz w:val="24"/>
          <w:szCs w:val="24"/>
          <w:lang w:val="sr-Cyrl-RS"/>
        </w:rPr>
        <w:t>Између припадника осталих етничких група родбинске везе су учесталије, али са ретким изузецима њихов проценат не прелази 30</w:t>
      </w:r>
      <w:r>
        <w:rPr>
          <w:sz w:val="24"/>
          <w:szCs w:val="24"/>
          <w:lang w:val="sr-Cyrl-RS"/>
        </w:rPr>
        <w:t>%</w:t>
      </w:r>
      <w:r w:rsidRPr="009909AB">
        <w:rPr>
          <w:sz w:val="24"/>
          <w:szCs w:val="24"/>
          <w:lang w:val="sr-Cyrl-RS"/>
        </w:rPr>
        <w:t>.</w:t>
      </w:r>
      <w:r>
        <w:rPr>
          <w:sz w:val="24"/>
          <w:szCs w:val="24"/>
          <w:lang w:val="sr-Cyrl-RS"/>
        </w:rPr>
        <w:t xml:space="preserve"> З</w:t>
      </w:r>
      <w:r w:rsidRPr="009909AB">
        <w:rPr>
          <w:sz w:val="24"/>
          <w:szCs w:val="24"/>
          <w:lang w:val="sr-Cyrl-RS"/>
        </w:rPr>
        <w:t>а 63,9% испитаника српске националности суживот у истој држави са Албанцима је прихватљив</w:t>
      </w:r>
      <w:r>
        <w:rPr>
          <w:sz w:val="24"/>
          <w:szCs w:val="24"/>
          <w:lang w:val="sr-Cyrl-RS"/>
        </w:rPr>
        <w:t>.</w:t>
      </w:r>
      <w:r w:rsidRPr="009909AB">
        <w:rPr>
          <w:sz w:val="24"/>
          <w:szCs w:val="24"/>
          <w:lang w:val="sr-Cyrl-RS"/>
        </w:rPr>
        <w:t xml:space="preserve"> Брак са припадницима албанске националности прихватљив је за 31,1% испитаника српске националности</w:t>
      </w:r>
      <w:r>
        <w:rPr>
          <w:sz w:val="24"/>
          <w:szCs w:val="24"/>
          <w:lang w:val="sr-Cyrl-RS"/>
        </w:rPr>
        <w:t xml:space="preserve">. </w:t>
      </w:r>
      <w:r w:rsidRPr="009909AB">
        <w:rPr>
          <w:sz w:val="24"/>
          <w:szCs w:val="24"/>
          <w:lang w:val="sr-Cyrl-RS"/>
        </w:rPr>
        <w:t>У суседству са Ромима живело би 65,5% испитаника српске националности</w:t>
      </w:r>
      <w:r>
        <w:rPr>
          <w:sz w:val="24"/>
          <w:szCs w:val="24"/>
          <w:lang w:val="sr-Cyrl-RS"/>
        </w:rPr>
        <w:t>. Б</w:t>
      </w:r>
      <w:r w:rsidRPr="009909AB">
        <w:rPr>
          <w:sz w:val="24"/>
          <w:szCs w:val="24"/>
          <w:lang w:val="sr-Cyrl-RS"/>
        </w:rPr>
        <w:t>рак са припадником/цом хрватске националности склопило би 54,9% српских испитаника</w:t>
      </w:r>
      <w:r>
        <w:rPr>
          <w:sz w:val="24"/>
          <w:szCs w:val="24"/>
          <w:lang w:val="sr-Cyrl-RS"/>
        </w:rPr>
        <w:t>.</w:t>
      </w:r>
      <w:r w:rsidRPr="009909AB">
        <w:rPr>
          <w:sz w:val="24"/>
          <w:szCs w:val="24"/>
          <w:lang w:val="sr-Cyrl-RS"/>
        </w:rPr>
        <w:t xml:space="preserve"> Брак са припадницима српске националности склопило би 26,4% припадника албанске националне мањине</w:t>
      </w:r>
      <w:r>
        <w:rPr>
          <w:sz w:val="24"/>
          <w:szCs w:val="24"/>
          <w:lang w:val="sr-Cyrl-RS"/>
        </w:rPr>
        <w:t>.</w:t>
      </w:r>
      <w:r w:rsidRPr="009909AB">
        <w:rPr>
          <w:sz w:val="24"/>
          <w:szCs w:val="24"/>
          <w:lang w:val="sr-Cyrl-RS"/>
        </w:rPr>
        <w:t xml:space="preserve"> Пријатељство са припадницима словачке националне мањине склопило би, према личном исказу, 80,6% Бошњака</w:t>
      </w:r>
      <w:r>
        <w:rPr>
          <w:sz w:val="24"/>
          <w:szCs w:val="24"/>
          <w:lang w:val="sr-Cyrl-RS"/>
        </w:rPr>
        <w:t xml:space="preserve">. </w:t>
      </w:r>
      <w:r w:rsidRPr="009909AB">
        <w:rPr>
          <w:sz w:val="24"/>
          <w:szCs w:val="24"/>
          <w:lang w:val="sr-Cyrl-RS"/>
        </w:rPr>
        <w:t>Бошњака би у суседство прихватило 69,7% Рома</w:t>
      </w:r>
      <w:r>
        <w:rPr>
          <w:sz w:val="24"/>
          <w:szCs w:val="24"/>
          <w:lang w:val="sr-Cyrl-RS"/>
        </w:rPr>
        <w:t>. Више од половине испитаних (</w:t>
      </w:r>
      <w:r w:rsidRPr="009909AB">
        <w:rPr>
          <w:sz w:val="24"/>
          <w:szCs w:val="24"/>
          <w:lang w:val="sr-Cyrl-RS"/>
        </w:rPr>
        <w:t>50,5%</w:t>
      </w:r>
      <w:r>
        <w:rPr>
          <w:sz w:val="24"/>
          <w:szCs w:val="24"/>
          <w:lang w:val="sr-Cyrl-RS"/>
        </w:rPr>
        <w:t>)</w:t>
      </w:r>
      <w:r w:rsidRPr="009909AB">
        <w:rPr>
          <w:sz w:val="24"/>
          <w:szCs w:val="24"/>
          <w:lang w:val="sr-Cyrl-RS"/>
        </w:rPr>
        <w:t xml:space="preserve"> Словака би засновало брачну заједницу са припадницима румунске националности</w:t>
      </w:r>
      <w:r>
        <w:rPr>
          <w:sz w:val="24"/>
          <w:szCs w:val="24"/>
          <w:lang w:val="sr-Cyrl-RS"/>
        </w:rPr>
        <w:t>.</w:t>
      </w:r>
      <w:r w:rsidRPr="009909AB">
        <w:t xml:space="preserve"> </w:t>
      </w:r>
      <w:r>
        <w:rPr>
          <w:lang w:val="sr-Cyrl-RS"/>
        </w:rPr>
        <w:t xml:space="preserve">Резултати </w:t>
      </w:r>
      <w:r w:rsidRPr="009909AB">
        <w:rPr>
          <w:sz w:val="24"/>
          <w:szCs w:val="24"/>
          <w:lang w:val="sr-Cyrl-RS"/>
        </w:rPr>
        <w:t>указују на социјалну дистанцу између етничких група у Србији</w:t>
      </w:r>
      <w:r>
        <w:rPr>
          <w:sz w:val="24"/>
          <w:szCs w:val="24"/>
          <w:lang w:val="sr-Cyrl-RS"/>
        </w:rPr>
        <w:t>.</w:t>
      </w:r>
      <w:r w:rsidRPr="009909AB">
        <w:rPr>
          <w:sz w:val="24"/>
          <w:szCs w:val="24"/>
          <w:lang w:val="sr-Cyrl-RS"/>
        </w:rPr>
        <w:t xml:space="preserve"> Социјална дистанца је највећа у личним односима – брак и суседство, али је изражена и у другим социјалним односима. Највећа је социјална дистанца према Албанцима и Ромима, а између припадника других националности је променљива. Стабилније социјалне односе имају припадници националних мањина који су традиционално настањени на подручју Војводине.</w:t>
      </w:r>
    </w:p>
    <w:p w:rsidR="009909AB" w:rsidRDefault="009909AB" w:rsidP="009909AB">
      <w:pPr>
        <w:spacing w:after="0"/>
        <w:jc w:val="both"/>
        <w:rPr>
          <w:sz w:val="24"/>
          <w:szCs w:val="24"/>
          <w:lang w:val="sr-Cyrl-RS"/>
        </w:rPr>
      </w:pPr>
      <w:r>
        <w:rPr>
          <w:sz w:val="24"/>
          <w:szCs w:val="24"/>
          <w:lang w:val="sr-Cyrl-RS"/>
        </w:rPr>
        <w:tab/>
        <w:t xml:space="preserve">Слични су резултати истраживања и </w:t>
      </w:r>
      <w:r w:rsidR="001E18BB">
        <w:rPr>
          <w:sz w:val="24"/>
          <w:szCs w:val="24"/>
          <w:lang w:val="sr-Cyrl-RS"/>
        </w:rPr>
        <w:t>Радионице</w:t>
      </w:r>
      <w:r w:rsidR="001E18BB" w:rsidRPr="001E18BB">
        <w:rPr>
          <w:sz w:val="24"/>
          <w:szCs w:val="24"/>
          <w:lang w:val="sr-Cyrl-RS"/>
        </w:rPr>
        <w:t xml:space="preserve"> за истраживање идентитета мањина</w:t>
      </w:r>
      <w:r w:rsidR="001E18BB">
        <w:rPr>
          <w:sz w:val="24"/>
          <w:szCs w:val="24"/>
          <w:lang w:val="sr-Cyrl-RS"/>
        </w:rPr>
        <w:t xml:space="preserve">. Према тим резултатима </w:t>
      </w:r>
      <w:r w:rsidR="001E18BB" w:rsidRPr="001E18BB">
        <w:rPr>
          <w:sz w:val="24"/>
          <w:szCs w:val="24"/>
          <w:lang w:val="sr-Cyrl-RS"/>
        </w:rPr>
        <w:t>35,2</w:t>
      </w:r>
      <w:r w:rsidR="001E18BB">
        <w:rPr>
          <w:sz w:val="24"/>
          <w:szCs w:val="24"/>
          <w:lang w:val="sr-Cyrl-RS"/>
        </w:rPr>
        <w:t>% испитаних припадника мађарске националне мањине сматра да је</w:t>
      </w:r>
      <w:r w:rsidR="001E18BB" w:rsidRPr="001E18BB">
        <w:rPr>
          <w:sz w:val="24"/>
          <w:szCs w:val="24"/>
          <w:lang w:val="sr-Cyrl-RS"/>
        </w:rPr>
        <w:t xml:space="preserve"> </w:t>
      </w:r>
      <w:r w:rsidR="001E18BB">
        <w:rPr>
          <w:sz w:val="24"/>
          <w:szCs w:val="24"/>
          <w:lang w:val="sr-Cyrl-RS"/>
        </w:rPr>
        <w:t xml:space="preserve">њихов </w:t>
      </w:r>
      <w:r w:rsidR="001E18BB" w:rsidRPr="001E18BB">
        <w:rPr>
          <w:sz w:val="24"/>
          <w:szCs w:val="24"/>
          <w:lang w:val="sr-Cyrl-RS"/>
        </w:rPr>
        <w:t xml:space="preserve">однос </w:t>
      </w:r>
      <w:r w:rsidR="001E18BB">
        <w:rPr>
          <w:sz w:val="24"/>
          <w:szCs w:val="24"/>
          <w:lang w:val="sr-Cyrl-RS"/>
        </w:rPr>
        <w:t xml:space="preserve">према припадницима других националности </w:t>
      </w:r>
      <w:r w:rsidR="001E18BB" w:rsidRPr="001E18BB">
        <w:rPr>
          <w:sz w:val="24"/>
          <w:szCs w:val="24"/>
          <w:lang w:val="sr-Cyrl-RS"/>
        </w:rPr>
        <w:t xml:space="preserve">у </w:t>
      </w:r>
      <w:r w:rsidR="001E18BB" w:rsidRPr="001E18BB">
        <w:rPr>
          <w:sz w:val="24"/>
          <w:szCs w:val="24"/>
          <w:lang w:val="sr-Cyrl-RS"/>
        </w:rPr>
        <w:lastRenderedPageBreak/>
        <w:t xml:space="preserve">протеклих десет година побољшан, а само њих 7,6 </w:t>
      </w:r>
      <w:r w:rsidR="001E18BB">
        <w:rPr>
          <w:sz w:val="24"/>
          <w:szCs w:val="24"/>
          <w:lang w:val="sr-Cyrl-RS"/>
        </w:rPr>
        <w:t>%</w:t>
      </w:r>
      <w:r w:rsidR="001E18BB" w:rsidRPr="001E18BB">
        <w:rPr>
          <w:sz w:val="24"/>
          <w:szCs w:val="24"/>
          <w:lang w:val="sr-Cyrl-RS"/>
        </w:rPr>
        <w:t xml:space="preserve"> сматра да се погоршао. Испитаници односе између Срба и Мађара доживљавају као стабилне и не виде да је однос два народа у опасности: њих 5,3</w:t>
      </w:r>
      <w:r w:rsidR="008A7FB0">
        <w:rPr>
          <w:sz w:val="24"/>
          <w:szCs w:val="24"/>
          <w:lang w:val="sr-Cyrl-RS"/>
        </w:rPr>
        <w:t>%</w:t>
      </w:r>
      <w:r w:rsidR="001E18BB" w:rsidRPr="001E18BB">
        <w:rPr>
          <w:sz w:val="24"/>
          <w:szCs w:val="24"/>
          <w:lang w:val="sr-Cyrl-RS"/>
        </w:rPr>
        <w:t xml:space="preserve"> мисли да ће се </w:t>
      </w:r>
      <w:r w:rsidR="008A7FB0">
        <w:rPr>
          <w:sz w:val="24"/>
          <w:szCs w:val="24"/>
          <w:lang w:val="sr-Cyrl-RS"/>
        </w:rPr>
        <w:t>односи</w:t>
      </w:r>
      <w:r w:rsidR="001E18BB" w:rsidRPr="001E18BB">
        <w:rPr>
          <w:sz w:val="24"/>
          <w:szCs w:val="24"/>
          <w:lang w:val="sr-Cyrl-RS"/>
        </w:rPr>
        <w:t xml:space="preserve"> погоршати, 23,3</w:t>
      </w:r>
      <w:r w:rsidR="008A7FB0">
        <w:rPr>
          <w:sz w:val="24"/>
          <w:szCs w:val="24"/>
          <w:lang w:val="sr-Cyrl-RS"/>
        </w:rPr>
        <w:t>%</w:t>
      </w:r>
      <w:r w:rsidR="001E18BB" w:rsidRPr="001E18BB">
        <w:rPr>
          <w:sz w:val="24"/>
          <w:szCs w:val="24"/>
          <w:lang w:val="sr-Cyrl-RS"/>
        </w:rPr>
        <w:t xml:space="preserve"> мисли да ће се побољшати, а 61,1</w:t>
      </w:r>
      <w:r w:rsidR="008A7FB0">
        <w:rPr>
          <w:sz w:val="24"/>
          <w:szCs w:val="24"/>
          <w:lang w:val="sr-Cyrl-RS"/>
        </w:rPr>
        <w:t>%</w:t>
      </w:r>
      <w:r w:rsidR="001E18BB" w:rsidRPr="001E18BB">
        <w:rPr>
          <w:sz w:val="24"/>
          <w:szCs w:val="24"/>
          <w:lang w:val="sr-Cyrl-RS"/>
        </w:rPr>
        <w:t xml:space="preserve"> мисли да ће остати непроме</w:t>
      </w:r>
      <w:r w:rsidR="000B1337">
        <w:rPr>
          <w:sz w:val="24"/>
          <w:szCs w:val="24"/>
          <w:lang w:val="sr-Cyrl-RS"/>
        </w:rPr>
        <w:t>њ</w:t>
      </w:r>
      <w:r w:rsidR="001E18BB" w:rsidRPr="001E18BB">
        <w:rPr>
          <w:sz w:val="24"/>
          <w:szCs w:val="24"/>
          <w:lang w:val="sr-Cyrl-RS"/>
        </w:rPr>
        <w:t>ен у наредних десет година.</w:t>
      </w:r>
    </w:p>
    <w:p w:rsidR="00DB226F" w:rsidRDefault="001E18BB" w:rsidP="00D31776">
      <w:pPr>
        <w:spacing w:after="0"/>
        <w:jc w:val="both"/>
        <w:rPr>
          <w:sz w:val="24"/>
          <w:szCs w:val="24"/>
          <w:lang w:val="sr-Cyrl-RS"/>
        </w:rPr>
      </w:pPr>
      <w:r>
        <w:rPr>
          <w:sz w:val="24"/>
          <w:szCs w:val="24"/>
          <w:lang w:val="sr-Cyrl-RS"/>
        </w:rPr>
        <w:tab/>
        <w:t xml:space="preserve">Истраживање </w:t>
      </w:r>
      <w:r w:rsidRPr="001E18BB">
        <w:rPr>
          <w:sz w:val="24"/>
          <w:szCs w:val="24"/>
          <w:lang w:val="sr-Cyrl-RS"/>
        </w:rPr>
        <w:t>Институт</w:t>
      </w:r>
      <w:r>
        <w:rPr>
          <w:sz w:val="24"/>
          <w:szCs w:val="24"/>
          <w:lang w:val="sr-Cyrl-RS"/>
        </w:rPr>
        <w:t>а</w:t>
      </w:r>
      <w:r w:rsidRPr="001E18BB">
        <w:rPr>
          <w:sz w:val="24"/>
          <w:szCs w:val="24"/>
          <w:lang w:val="sr-Cyrl-RS"/>
        </w:rPr>
        <w:t xml:space="preserve"> за социолошка истраживања Филозофског факултета Универзитета у Београду</w:t>
      </w:r>
      <w:r>
        <w:rPr>
          <w:sz w:val="24"/>
          <w:szCs w:val="24"/>
          <w:lang w:val="sr-Cyrl-RS"/>
        </w:rPr>
        <w:t xml:space="preserve"> указује</w:t>
      </w:r>
      <w:r w:rsidR="0010111B">
        <w:rPr>
          <w:sz w:val="24"/>
          <w:szCs w:val="24"/>
          <w:lang w:val="sr-Cyrl-RS"/>
        </w:rPr>
        <w:t>, с једне стране,</w:t>
      </w:r>
      <w:r>
        <w:rPr>
          <w:sz w:val="24"/>
          <w:szCs w:val="24"/>
          <w:lang w:val="sr-Cyrl-RS"/>
        </w:rPr>
        <w:t xml:space="preserve"> на </w:t>
      </w:r>
      <w:r w:rsidRPr="001E18BB">
        <w:rPr>
          <w:sz w:val="24"/>
          <w:szCs w:val="24"/>
          <w:lang w:val="sr-Cyrl-RS"/>
        </w:rPr>
        <w:t>јасно јачање вредности</w:t>
      </w:r>
      <w:r>
        <w:rPr>
          <w:sz w:val="24"/>
          <w:szCs w:val="24"/>
          <w:lang w:val="sr-Cyrl-RS"/>
        </w:rPr>
        <w:t xml:space="preserve"> </w:t>
      </w:r>
      <w:r w:rsidRPr="001E18BB">
        <w:rPr>
          <w:sz w:val="24"/>
          <w:szCs w:val="24"/>
          <w:lang w:val="sr-Cyrl-RS"/>
        </w:rPr>
        <w:t>органског национализма</w:t>
      </w:r>
      <w:r>
        <w:rPr>
          <w:sz w:val="24"/>
          <w:szCs w:val="24"/>
          <w:lang w:val="sr-Cyrl-RS"/>
        </w:rPr>
        <w:t xml:space="preserve"> под којим се </w:t>
      </w:r>
      <w:r w:rsidR="0010111B">
        <w:rPr>
          <w:sz w:val="24"/>
          <w:szCs w:val="24"/>
          <w:lang w:val="sr-Cyrl-RS"/>
        </w:rPr>
        <w:t xml:space="preserve">подразумева </w:t>
      </w:r>
      <w:r w:rsidR="0010111B" w:rsidRPr="0010111B">
        <w:rPr>
          <w:sz w:val="24"/>
          <w:szCs w:val="24"/>
          <w:lang w:val="sr-Cyrl-RS"/>
        </w:rPr>
        <w:t xml:space="preserve">истицање </w:t>
      </w:r>
      <w:r w:rsidR="0010111B">
        <w:rPr>
          <w:sz w:val="24"/>
          <w:szCs w:val="24"/>
          <w:lang w:val="sr-Cyrl-RS"/>
        </w:rPr>
        <w:t xml:space="preserve">испитаника и њихово </w:t>
      </w:r>
      <w:r w:rsidR="0010111B" w:rsidRPr="0010111B">
        <w:rPr>
          <w:sz w:val="24"/>
          <w:szCs w:val="24"/>
          <w:lang w:val="sr-Cyrl-RS"/>
        </w:rPr>
        <w:t>пренаглашавање значаја традиције, историје и заједничког</w:t>
      </w:r>
      <w:r w:rsidR="0010111B">
        <w:rPr>
          <w:sz w:val="24"/>
          <w:szCs w:val="24"/>
          <w:lang w:val="sr-Cyrl-RS"/>
        </w:rPr>
        <w:t xml:space="preserve"> </w:t>
      </w:r>
      <w:r w:rsidR="0010111B" w:rsidRPr="0010111B">
        <w:rPr>
          <w:sz w:val="24"/>
          <w:szCs w:val="24"/>
          <w:lang w:val="sr-Cyrl-RS"/>
        </w:rPr>
        <w:t>порекла припадника сопствене нације</w:t>
      </w:r>
      <w:r w:rsidR="0010111B">
        <w:rPr>
          <w:sz w:val="24"/>
          <w:szCs w:val="24"/>
          <w:lang w:val="sr-Cyrl-RS"/>
        </w:rPr>
        <w:t xml:space="preserve">, док, с друге стране, </w:t>
      </w:r>
      <w:r w:rsidR="00D31776">
        <w:rPr>
          <w:sz w:val="24"/>
          <w:szCs w:val="24"/>
          <w:lang w:val="sr-Cyrl-RS"/>
        </w:rPr>
        <w:t>бележи пад етноцентричног национализма, тачније да су испитаници имали</w:t>
      </w:r>
      <w:r w:rsidR="00D31776" w:rsidRPr="00D31776">
        <w:rPr>
          <w:sz w:val="24"/>
          <w:szCs w:val="24"/>
          <w:lang w:val="sr-Cyrl-RS"/>
        </w:rPr>
        <w:t xml:space="preserve"> мање екстремне ставове када је реч о</w:t>
      </w:r>
      <w:r w:rsidR="00D31776">
        <w:rPr>
          <w:sz w:val="24"/>
          <w:szCs w:val="24"/>
          <w:lang w:val="sr-Cyrl-RS"/>
        </w:rPr>
        <w:t xml:space="preserve"> </w:t>
      </w:r>
      <w:r w:rsidR="00D31776" w:rsidRPr="00D31776">
        <w:rPr>
          <w:sz w:val="24"/>
          <w:szCs w:val="24"/>
          <w:lang w:val="sr-Cyrl-RS"/>
        </w:rPr>
        <w:t>међуетничким релацијама</w:t>
      </w:r>
      <w:r w:rsidR="00D31776">
        <w:rPr>
          <w:sz w:val="24"/>
          <w:szCs w:val="24"/>
          <w:lang w:val="sr-Cyrl-RS"/>
        </w:rPr>
        <w:t>. Наиме, п</w:t>
      </w:r>
      <w:r w:rsidR="00D31776" w:rsidRPr="00D31776">
        <w:rPr>
          <w:sz w:val="24"/>
          <w:szCs w:val="24"/>
          <w:lang w:val="sr-Cyrl-RS"/>
        </w:rPr>
        <w:t>росечне вредности добијене на појединачним исказима помоћу</w:t>
      </w:r>
      <w:r w:rsidR="00D31776">
        <w:rPr>
          <w:sz w:val="24"/>
          <w:szCs w:val="24"/>
          <w:lang w:val="sr-Cyrl-RS"/>
        </w:rPr>
        <w:t xml:space="preserve"> </w:t>
      </w:r>
      <w:r w:rsidR="00D31776" w:rsidRPr="00D31776">
        <w:rPr>
          <w:sz w:val="24"/>
          <w:szCs w:val="24"/>
          <w:lang w:val="sr-Cyrl-RS"/>
        </w:rPr>
        <w:t>којих је анализиран етноцентрични национализам у све три временске тачке</w:t>
      </w:r>
      <w:r w:rsidR="00D31776">
        <w:rPr>
          <w:sz w:val="24"/>
          <w:szCs w:val="24"/>
          <w:lang w:val="sr-Cyrl-RS"/>
        </w:rPr>
        <w:t xml:space="preserve"> (2003,</w:t>
      </w:r>
      <w:r w:rsidR="001901A4">
        <w:rPr>
          <w:sz w:val="24"/>
          <w:szCs w:val="24"/>
          <w:lang w:val="sr-Cyrl-RS"/>
        </w:rPr>
        <w:t xml:space="preserve"> </w:t>
      </w:r>
      <w:r w:rsidR="00D31776">
        <w:rPr>
          <w:sz w:val="24"/>
          <w:szCs w:val="24"/>
          <w:lang w:val="sr-Cyrl-RS"/>
        </w:rPr>
        <w:t xml:space="preserve">2012. и 2018) </w:t>
      </w:r>
      <w:r w:rsidR="00D31776" w:rsidRPr="00D31776">
        <w:rPr>
          <w:sz w:val="24"/>
          <w:szCs w:val="24"/>
          <w:lang w:val="sr-Cyrl-RS"/>
        </w:rPr>
        <w:t xml:space="preserve">биле су испод 3, што јасно указује да је већи број испитаника чешће одбацивао националистичке ставове него што их је прихватао. </w:t>
      </w:r>
      <w:r w:rsidR="00D31776">
        <w:rPr>
          <w:sz w:val="24"/>
          <w:szCs w:val="24"/>
          <w:lang w:val="sr-Cyrl-RS"/>
        </w:rPr>
        <w:t>Уочавају се</w:t>
      </w:r>
      <w:r w:rsidR="00D31776" w:rsidRPr="00D31776">
        <w:rPr>
          <w:sz w:val="24"/>
          <w:szCs w:val="24"/>
          <w:lang w:val="sr-Cyrl-RS"/>
        </w:rPr>
        <w:t xml:space="preserve"> незнатне промене у степену п</w:t>
      </w:r>
      <w:r w:rsidR="00D619ED">
        <w:rPr>
          <w:sz w:val="24"/>
          <w:szCs w:val="24"/>
          <w:lang w:val="sr-Cyrl-RS"/>
        </w:rPr>
        <w:t>рихватања етноцентричних исказа</w:t>
      </w:r>
      <w:r w:rsidR="00D31776" w:rsidRPr="00D31776">
        <w:rPr>
          <w:sz w:val="24"/>
          <w:szCs w:val="24"/>
          <w:lang w:val="sr-Cyrl-RS"/>
        </w:rPr>
        <w:t>. П</w:t>
      </w:r>
      <w:r w:rsidR="00D619ED">
        <w:rPr>
          <w:sz w:val="24"/>
          <w:szCs w:val="24"/>
          <w:lang w:val="sr-Cyrl-RS"/>
        </w:rPr>
        <w:t>рема том истраживању, п</w:t>
      </w:r>
      <w:r w:rsidR="00D31776" w:rsidRPr="00D31776">
        <w:rPr>
          <w:sz w:val="24"/>
          <w:szCs w:val="24"/>
          <w:lang w:val="sr-Cyrl-RS"/>
        </w:rPr>
        <w:t>отпунији увид у структуру ове димензије национализма пружа анализа интензитета прихватања три</w:t>
      </w:r>
      <w:r w:rsidR="00D619ED">
        <w:rPr>
          <w:sz w:val="24"/>
          <w:szCs w:val="24"/>
          <w:lang w:val="sr-Cyrl-RS"/>
        </w:rPr>
        <w:t xml:space="preserve"> </w:t>
      </w:r>
      <w:r w:rsidR="00D31776" w:rsidRPr="00D31776">
        <w:rPr>
          <w:sz w:val="24"/>
          <w:szCs w:val="24"/>
          <w:lang w:val="sr-Cyrl-RS"/>
        </w:rPr>
        <w:t xml:space="preserve">исказа помоћу којих је мерен етноцентрични национализам. </w:t>
      </w:r>
      <w:r w:rsidR="00D619ED">
        <w:rPr>
          <w:sz w:val="24"/>
          <w:szCs w:val="24"/>
          <w:lang w:val="sr-Cyrl-RS"/>
        </w:rPr>
        <w:t xml:space="preserve">У </w:t>
      </w:r>
      <w:r w:rsidR="00D31776" w:rsidRPr="00D31776">
        <w:rPr>
          <w:sz w:val="24"/>
          <w:szCs w:val="24"/>
          <w:lang w:val="sr-Cyrl-RS"/>
        </w:rPr>
        <w:t>све три године, најнижи степен слагања бележи се у случају исказа према којем национално мешовити бракови представљају фактор нестабилности брака</w:t>
      </w:r>
      <w:r w:rsidR="00D619ED">
        <w:rPr>
          <w:sz w:val="24"/>
          <w:szCs w:val="24"/>
          <w:lang w:val="sr-Cyrl-RS"/>
        </w:rPr>
        <w:t xml:space="preserve"> </w:t>
      </w:r>
      <w:r w:rsidR="00D31776" w:rsidRPr="00D31776">
        <w:rPr>
          <w:sz w:val="24"/>
          <w:szCs w:val="24"/>
          <w:lang w:val="sr-Cyrl-RS"/>
        </w:rPr>
        <w:t>(2003 – 16,6%; 2012 – 13,4%; 2018 – 18,2%), док се нешто већи проценат</w:t>
      </w:r>
      <w:r w:rsidR="00D619ED">
        <w:rPr>
          <w:sz w:val="24"/>
          <w:szCs w:val="24"/>
          <w:lang w:val="sr-Cyrl-RS"/>
        </w:rPr>
        <w:t xml:space="preserve"> </w:t>
      </w:r>
      <w:r w:rsidR="00D31776" w:rsidRPr="00D31776">
        <w:rPr>
          <w:sz w:val="24"/>
          <w:szCs w:val="24"/>
          <w:lang w:val="sr-Cyrl-RS"/>
        </w:rPr>
        <w:t>слагања бележи у случају исказа који се односи на поверење према другим</w:t>
      </w:r>
      <w:r w:rsidR="00D619ED">
        <w:rPr>
          <w:sz w:val="24"/>
          <w:szCs w:val="24"/>
          <w:lang w:val="sr-Cyrl-RS"/>
        </w:rPr>
        <w:t xml:space="preserve"> </w:t>
      </w:r>
      <w:r w:rsidR="00D31776" w:rsidRPr="00D31776">
        <w:rPr>
          <w:sz w:val="24"/>
          <w:szCs w:val="24"/>
          <w:lang w:val="sr-Cyrl-RS"/>
        </w:rPr>
        <w:t>нацијама (2003 – 51,7%; 2012 – 40,8%; 2018 – 45,1%), или у случају исказа који се односи на затварање у национално чисте средине (2003 – 34,1%;</w:t>
      </w:r>
      <w:r w:rsidR="00D619ED">
        <w:rPr>
          <w:sz w:val="24"/>
          <w:szCs w:val="24"/>
          <w:lang w:val="sr-Cyrl-RS"/>
        </w:rPr>
        <w:t xml:space="preserve"> </w:t>
      </w:r>
      <w:r w:rsidR="00D31776" w:rsidRPr="00D31776">
        <w:rPr>
          <w:sz w:val="24"/>
          <w:szCs w:val="24"/>
          <w:lang w:val="sr-Cyrl-RS"/>
        </w:rPr>
        <w:t>2012 – 34,1%; 2018 – 37,4%).</w:t>
      </w:r>
    </w:p>
    <w:p w:rsidR="00D619ED" w:rsidRDefault="00D619ED" w:rsidP="00D31776">
      <w:pPr>
        <w:spacing w:after="0"/>
        <w:jc w:val="both"/>
        <w:rPr>
          <w:sz w:val="24"/>
          <w:szCs w:val="24"/>
          <w:lang w:val="sr-Cyrl-RS"/>
        </w:rPr>
      </w:pPr>
      <w:r>
        <w:rPr>
          <w:sz w:val="24"/>
          <w:szCs w:val="24"/>
          <w:lang w:val="sr-Cyrl-RS"/>
        </w:rPr>
        <w:tab/>
        <w:t>Све наведене резултате истраживања надлежни органи Републике Србије брижљиво разматрају и узимају у обзир приликом предикције свог деловања.</w:t>
      </w:r>
    </w:p>
    <w:p w:rsidR="00DB226F" w:rsidRDefault="00DB226F" w:rsidP="00A475C5">
      <w:pPr>
        <w:spacing w:after="0"/>
        <w:jc w:val="both"/>
        <w:rPr>
          <w:sz w:val="24"/>
          <w:szCs w:val="24"/>
          <w:lang w:val="sr-Cyrl-RS"/>
        </w:rPr>
      </w:pPr>
    </w:p>
    <w:p w:rsidR="00B453FD" w:rsidRDefault="00B453FD" w:rsidP="00B453FD">
      <w:pPr>
        <w:spacing w:after="0"/>
        <w:jc w:val="both"/>
        <w:rPr>
          <w:i/>
          <w:sz w:val="24"/>
          <w:szCs w:val="24"/>
          <w:lang w:val="sr-Cyrl-RS"/>
        </w:rPr>
      </w:pPr>
      <w:r w:rsidRPr="00B453FD">
        <w:rPr>
          <w:i/>
          <w:sz w:val="24"/>
          <w:szCs w:val="24"/>
          <w:lang w:val="sr-Cyrl-RS"/>
        </w:rPr>
        <w:t>59. Саветодавни комитет позива власти да без одлагања примене препоруке Заштитника грађана Републике Србије наведене у посебном извештају о саветима за међунационалне односе и да спроведу независну квалитативну студију, што је пре могуће, а најкасније пре датума петог државног извештаја, како би се проценила функционалност савета за међунационалне односе.</w:t>
      </w:r>
    </w:p>
    <w:p w:rsidR="00B453FD" w:rsidRPr="00B453FD" w:rsidRDefault="00B453FD" w:rsidP="00B453FD">
      <w:pPr>
        <w:spacing w:after="0"/>
        <w:jc w:val="both"/>
        <w:rPr>
          <w:i/>
          <w:sz w:val="24"/>
          <w:szCs w:val="24"/>
          <w:lang w:val="sr-Cyrl-RS"/>
        </w:rPr>
      </w:pPr>
    </w:p>
    <w:p w:rsidR="00B453FD" w:rsidRDefault="00B453FD" w:rsidP="00B453FD">
      <w:pPr>
        <w:spacing w:after="0"/>
        <w:ind w:firstLine="720"/>
        <w:jc w:val="both"/>
        <w:rPr>
          <w:sz w:val="24"/>
          <w:szCs w:val="24"/>
          <w:lang w:val="sr-Cyrl-RS"/>
        </w:rPr>
      </w:pPr>
      <w:r w:rsidRPr="00B453FD">
        <w:rPr>
          <w:sz w:val="24"/>
          <w:szCs w:val="24"/>
          <w:lang w:val="sr-Cyrl-RS"/>
        </w:rPr>
        <w:t>Одговор на ову препоруку садржан је у одговору на препоруку 3. из Резолуције Комитета министара.</w:t>
      </w:r>
    </w:p>
    <w:p w:rsidR="000659A5" w:rsidRDefault="000659A5" w:rsidP="00A51CE6">
      <w:pPr>
        <w:spacing w:after="0"/>
        <w:jc w:val="both"/>
        <w:rPr>
          <w:sz w:val="24"/>
          <w:szCs w:val="24"/>
          <w:lang w:val="sr-Cyrl-RS"/>
        </w:rPr>
      </w:pPr>
    </w:p>
    <w:p w:rsidR="00A51CE6" w:rsidRPr="00F333CD" w:rsidRDefault="00A51CE6" w:rsidP="00F333CD">
      <w:pPr>
        <w:pStyle w:val="Heading3"/>
        <w:jc w:val="center"/>
        <w:rPr>
          <w:rFonts w:ascii="Times New Roman" w:hAnsi="Times New Roman" w:cs="Times New Roman"/>
          <w:b/>
          <w:lang w:val="sr-Cyrl-RS"/>
        </w:rPr>
      </w:pPr>
      <w:bookmarkStart w:id="20" w:name="_Toc111191335"/>
      <w:r w:rsidRPr="00F333CD">
        <w:rPr>
          <w:rFonts w:ascii="Times New Roman" w:hAnsi="Times New Roman" w:cs="Times New Roman"/>
          <w:b/>
          <w:color w:val="auto"/>
          <w:lang w:val="sr-Cyrl-RS"/>
        </w:rPr>
        <w:t>Заштита од злочина мржње и говора мржње</w:t>
      </w:r>
      <w:bookmarkEnd w:id="20"/>
    </w:p>
    <w:p w:rsidR="00A51CE6" w:rsidRDefault="00A51CE6" w:rsidP="00A51CE6">
      <w:pPr>
        <w:spacing w:after="0"/>
        <w:rPr>
          <w:b/>
          <w:sz w:val="24"/>
          <w:szCs w:val="24"/>
          <w:lang w:val="sr-Cyrl-RS"/>
        </w:rPr>
      </w:pPr>
    </w:p>
    <w:p w:rsidR="00A51CE6" w:rsidRDefault="00A51CE6" w:rsidP="00A51CE6">
      <w:pPr>
        <w:spacing w:after="0"/>
        <w:jc w:val="both"/>
        <w:rPr>
          <w:i/>
          <w:sz w:val="24"/>
          <w:szCs w:val="24"/>
        </w:rPr>
      </w:pPr>
      <w:r>
        <w:rPr>
          <w:i/>
          <w:sz w:val="24"/>
          <w:szCs w:val="24"/>
        </w:rPr>
        <w:t xml:space="preserve">65. </w:t>
      </w:r>
      <w:r w:rsidRPr="00A51CE6">
        <w:rPr>
          <w:i/>
          <w:sz w:val="24"/>
          <w:szCs w:val="24"/>
        </w:rPr>
        <w:t>Саветодавни комитет позива власти да даље ускладе своје кривично право са стандардима ECRI. Он такође позива власти, на свим нивоима, да систематично и благовремено осуде све случајеве нетолеранције, посебно у јавном дискурсу, као и да систематски истраже и, када је то релевантно, врше кривично гоњење због изјава говора мржње</w:t>
      </w:r>
      <w:r w:rsidRPr="00132079">
        <w:rPr>
          <w:i/>
          <w:sz w:val="24"/>
          <w:szCs w:val="24"/>
        </w:rPr>
        <w:t>.</w:t>
      </w:r>
    </w:p>
    <w:p w:rsidR="00A51CE6" w:rsidRDefault="00A51CE6" w:rsidP="00A51CE6">
      <w:pPr>
        <w:spacing w:after="0"/>
        <w:jc w:val="both"/>
        <w:rPr>
          <w:i/>
          <w:sz w:val="24"/>
          <w:szCs w:val="24"/>
        </w:rPr>
      </w:pPr>
    </w:p>
    <w:p w:rsidR="00A51CE6" w:rsidRPr="00DC237F" w:rsidRDefault="00277799" w:rsidP="00277799">
      <w:pPr>
        <w:spacing w:after="0"/>
        <w:jc w:val="both"/>
        <w:rPr>
          <w:sz w:val="24"/>
          <w:szCs w:val="24"/>
          <w:lang w:val="sr-Cyrl-RS"/>
        </w:rPr>
      </w:pPr>
      <w:r>
        <w:rPr>
          <w:sz w:val="24"/>
          <w:szCs w:val="24"/>
        </w:rPr>
        <w:lastRenderedPageBreak/>
        <w:tab/>
      </w:r>
      <w:r>
        <w:rPr>
          <w:sz w:val="24"/>
          <w:szCs w:val="24"/>
          <w:lang w:val="sr-Cyrl-RS"/>
        </w:rPr>
        <w:t xml:space="preserve">Кривично право Републике Србије пружа свеобухватну заштиту од дискриминације, нетолеранције и говора мржње о чему је било више речи у претходним државним извештајима. </w:t>
      </w:r>
      <w:r w:rsidR="00A51CE6">
        <w:rPr>
          <w:sz w:val="24"/>
          <w:szCs w:val="24"/>
          <w:lang w:val="sr-Cyrl-RS"/>
        </w:rPr>
        <w:t>Као што је наведено у претходним државним извештајима, г</w:t>
      </w:r>
      <w:r w:rsidR="00A51CE6" w:rsidRPr="00DC237F">
        <w:rPr>
          <w:sz w:val="24"/>
          <w:szCs w:val="24"/>
          <w:lang w:val="sr-Cyrl-RS"/>
        </w:rPr>
        <w:t xml:space="preserve">овор мржње није посебно инкриминисан </w:t>
      </w:r>
      <w:r w:rsidR="00A51CE6" w:rsidRPr="000A5892">
        <w:rPr>
          <w:sz w:val="24"/>
          <w:szCs w:val="24"/>
          <w:lang w:val="sr-Cyrl-RS"/>
        </w:rPr>
        <w:t>Кривичним закоником,</w:t>
      </w:r>
      <w:r w:rsidR="00A51CE6" w:rsidRPr="00DC237F">
        <w:rPr>
          <w:sz w:val="24"/>
          <w:szCs w:val="24"/>
          <w:lang w:val="sr-Cyrl-RS"/>
        </w:rPr>
        <w:t xml:space="preserve"> али је у националном законодавству забрањен Уставом, </w:t>
      </w:r>
      <w:r w:rsidR="00A51CE6">
        <w:rPr>
          <w:sz w:val="24"/>
          <w:szCs w:val="24"/>
          <w:lang w:val="sr-Cyrl-RS"/>
        </w:rPr>
        <w:t>З</w:t>
      </w:r>
      <w:r w:rsidR="00A51CE6" w:rsidRPr="00DC237F">
        <w:rPr>
          <w:sz w:val="24"/>
          <w:szCs w:val="24"/>
          <w:lang w:val="sr-Cyrl-RS"/>
        </w:rPr>
        <w:t>аконом о забрани дискриминације</w:t>
      </w:r>
      <w:r w:rsidR="009C3510">
        <w:rPr>
          <w:sz w:val="24"/>
          <w:szCs w:val="24"/>
        </w:rPr>
        <w:t>,</w:t>
      </w:r>
      <w:r w:rsidR="00A51CE6" w:rsidRPr="00DC237F">
        <w:rPr>
          <w:sz w:val="24"/>
          <w:szCs w:val="24"/>
          <w:lang w:val="sr-Cyrl-RS"/>
        </w:rPr>
        <w:t xml:space="preserve"> </w:t>
      </w:r>
      <w:r w:rsidR="00A51CE6" w:rsidRPr="005A4C72">
        <w:rPr>
          <w:sz w:val="24"/>
          <w:szCs w:val="24"/>
          <w:lang w:val="sr-Cyrl-RS"/>
        </w:rPr>
        <w:t>Законом о јавном информисању и медијима</w:t>
      </w:r>
      <w:r w:rsidR="009C3510" w:rsidRPr="005A4C72">
        <w:rPr>
          <w:rStyle w:val="FootnoteReference"/>
          <w:sz w:val="24"/>
          <w:szCs w:val="24"/>
          <w:lang w:val="sr-Cyrl-RS"/>
        </w:rPr>
        <w:footnoteReference w:id="90"/>
      </w:r>
      <w:r w:rsidR="009C3510" w:rsidRPr="005A4C72">
        <w:rPr>
          <w:sz w:val="24"/>
          <w:szCs w:val="24"/>
        </w:rPr>
        <w:t xml:space="preserve"> </w:t>
      </w:r>
      <w:r w:rsidR="009C3510" w:rsidRPr="005A4C72">
        <w:rPr>
          <w:sz w:val="24"/>
          <w:szCs w:val="24"/>
          <w:lang w:val="sr-Cyrl-RS"/>
        </w:rPr>
        <w:t>и Законом о електронским медијима</w:t>
      </w:r>
      <w:r w:rsidR="00A51CE6" w:rsidRPr="005A4C72">
        <w:rPr>
          <w:sz w:val="24"/>
          <w:szCs w:val="24"/>
          <w:lang w:val="sr-Cyrl-RS"/>
        </w:rPr>
        <w:t>.</w:t>
      </w:r>
      <w:r w:rsidR="009C3510" w:rsidRPr="005A4C72">
        <w:rPr>
          <w:rStyle w:val="FootnoteReference"/>
          <w:sz w:val="24"/>
          <w:szCs w:val="24"/>
          <w:lang w:val="sr-Cyrl-RS"/>
        </w:rPr>
        <w:footnoteReference w:id="91"/>
      </w:r>
    </w:p>
    <w:p w:rsidR="00A51CE6" w:rsidRPr="00DC237F" w:rsidRDefault="00A51CE6" w:rsidP="00A51CE6">
      <w:pPr>
        <w:spacing w:after="0"/>
        <w:ind w:firstLine="720"/>
        <w:jc w:val="both"/>
        <w:rPr>
          <w:sz w:val="24"/>
          <w:szCs w:val="24"/>
          <w:lang w:val="sr-Cyrl-RS"/>
        </w:rPr>
      </w:pPr>
      <w:r w:rsidRPr="00DC237F">
        <w:rPr>
          <w:sz w:val="24"/>
          <w:szCs w:val="24"/>
          <w:lang w:val="sr-Cyrl-RS"/>
        </w:rPr>
        <w:t>Кривична дела која садрже елементе дискриминације, подстрекавања на насиље и говор мржње, укључују кривична дела повреда угледа због расне, верске, националне или друге припадности из члана 174</w:t>
      </w:r>
      <w:r>
        <w:rPr>
          <w:sz w:val="24"/>
          <w:szCs w:val="24"/>
          <w:lang w:val="sr-Cyrl-RS"/>
        </w:rPr>
        <w:t>.</w:t>
      </w:r>
      <w:r w:rsidRPr="00DC237F">
        <w:rPr>
          <w:sz w:val="24"/>
          <w:szCs w:val="24"/>
          <w:lang w:val="sr-Cyrl-RS"/>
        </w:rPr>
        <w:t xml:space="preserve"> Кривичног законика, изазивање националне, расне и верске мржње и нетрпељивости из члана 317. Кривичног законика, насилничко понашање на спортској приредби или јавном скупу из члана 344а Кривичног законика, затим кривично дело расна и друга дискриминација из члана 387. Кривичног законика, али и друга кривична дела уколико су учињена из мржње (чл</w:t>
      </w:r>
      <w:r>
        <w:rPr>
          <w:sz w:val="24"/>
          <w:szCs w:val="24"/>
          <w:lang w:val="sr-Cyrl-RS"/>
        </w:rPr>
        <w:t>ан</w:t>
      </w:r>
      <w:r w:rsidRPr="00DC237F">
        <w:rPr>
          <w:sz w:val="24"/>
          <w:szCs w:val="24"/>
          <w:lang w:val="sr-Cyrl-RS"/>
        </w:rPr>
        <w:t xml:space="preserve"> 54а </w:t>
      </w:r>
      <w:r w:rsidRPr="00E246C3">
        <w:rPr>
          <w:sz w:val="24"/>
          <w:szCs w:val="24"/>
          <w:lang w:val="sr-Cyrl-RS"/>
        </w:rPr>
        <w:t>Кривичног законика</w:t>
      </w:r>
      <w:r w:rsidRPr="00DC237F">
        <w:rPr>
          <w:sz w:val="24"/>
          <w:szCs w:val="24"/>
          <w:lang w:val="sr-Cyrl-RS"/>
        </w:rPr>
        <w:t xml:space="preserve">). </w:t>
      </w:r>
    </w:p>
    <w:p w:rsidR="00A51CE6" w:rsidRPr="00DC237F" w:rsidRDefault="00A51CE6" w:rsidP="00A51CE6">
      <w:pPr>
        <w:spacing w:after="0"/>
        <w:ind w:firstLine="720"/>
        <w:jc w:val="both"/>
        <w:rPr>
          <w:sz w:val="24"/>
          <w:szCs w:val="24"/>
          <w:lang w:val="sr-Cyrl-RS"/>
        </w:rPr>
      </w:pPr>
      <w:r w:rsidRPr="00DC237F">
        <w:rPr>
          <w:sz w:val="24"/>
          <w:szCs w:val="24"/>
          <w:lang w:val="sr-Cyrl-RS"/>
        </w:rPr>
        <w:t>Кривично гоњење учинилаца наведених кривична дела предузима се по службеној дужности, што значи да је јавни тужилац дужан да предузме кривично гоњење увек када располаже основима сумње да је учињено кривично дело, сагласно начелу легалитета.</w:t>
      </w:r>
      <w:r>
        <w:rPr>
          <w:sz w:val="24"/>
          <w:szCs w:val="24"/>
          <w:lang w:val="sr-Cyrl-RS"/>
        </w:rPr>
        <w:t xml:space="preserve"> </w:t>
      </w:r>
      <w:r w:rsidRPr="00DC237F">
        <w:rPr>
          <w:sz w:val="24"/>
          <w:szCs w:val="24"/>
          <w:lang w:val="sr-Cyrl-RS"/>
        </w:rPr>
        <w:t>Сходно томе, јавна тужилаштва предузимају све мере из своје надлежности у циљу кривичног гоњења учинилаца наведених кривичних дела, спровођењем делотворних истрага и подношењем оптужних аката надлежном суду.</w:t>
      </w:r>
    </w:p>
    <w:p w:rsidR="00A51CE6" w:rsidRDefault="00A51CE6" w:rsidP="00AB0F66">
      <w:pPr>
        <w:spacing w:after="0"/>
        <w:ind w:firstLine="720"/>
        <w:jc w:val="both"/>
        <w:rPr>
          <w:sz w:val="24"/>
          <w:szCs w:val="24"/>
          <w:lang w:val="sr-Cyrl-RS"/>
        </w:rPr>
      </w:pPr>
      <w:r w:rsidRPr="00DC237F">
        <w:rPr>
          <w:sz w:val="24"/>
          <w:szCs w:val="24"/>
          <w:lang w:val="sr-Cyrl-RS"/>
        </w:rPr>
        <w:t xml:space="preserve">Изменама и допунама Кривичног законика </w:t>
      </w:r>
      <w:r>
        <w:rPr>
          <w:sz w:val="24"/>
          <w:szCs w:val="24"/>
          <w:lang w:val="sr-Cyrl-RS"/>
        </w:rPr>
        <w:t xml:space="preserve">из </w:t>
      </w:r>
      <w:r w:rsidRPr="00DC237F">
        <w:rPr>
          <w:sz w:val="24"/>
          <w:szCs w:val="24"/>
          <w:lang w:val="sr-Cyrl-RS"/>
        </w:rPr>
        <w:t>2012</w:t>
      </w:r>
      <w:r>
        <w:rPr>
          <w:sz w:val="24"/>
          <w:szCs w:val="24"/>
          <w:lang w:val="sr-Cyrl-RS"/>
        </w:rPr>
        <w:t>. године</w:t>
      </w:r>
      <w:r w:rsidRPr="00DC237F">
        <w:rPr>
          <w:sz w:val="24"/>
          <w:szCs w:val="24"/>
          <w:lang w:val="sr-Cyrl-RS"/>
        </w:rPr>
        <w:t>, у члану 54а Кривичног законика, уведена је посебна околност за одмеравање казне за кривично дело учињено из мржње, утолико што је прописано да ако је кривично дело учињено из мржње због припадности раси и вероисповести, националне или етничке припадности, пола, сексуалне оријентације или родног идентитета другог лица, ту околност ће суд ценити као отежавајућу околност, осим ако она није прописа</w:t>
      </w:r>
      <w:r w:rsidR="00AB0F66">
        <w:rPr>
          <w:sz w:val="24"/>
          <w:szCs w:val="24"/>
          <w:lang w:val="sr-Cyrl-RS"/>
        </w:rPr>
        <w:t xml:space="preserve">на као обележје кривичног дела. </w:t>
      </w:r>
      <w:r w:rsidRPr="00DC237F">
        <w:rPr>
          <w:sz w:val="24"/>
          <w:szCs w:val="24"/>
          <w:lang w:val="sr-Cyrl-RS"/>
        </w:rPr>
        <w:t>Сходно посебној евиденцији успостављеној на основу Упутства Републичког јавног тужиоца из децембра 2015. године, јавна тужилаштва су до 15.</w:t>
      </w:r>
      <w:r>
        <w:rPr>
          <w:sz w:val="24"/>
          <w:szCs w:val="24"/>
          <w:lang w:val="sr-Cyrl-RS"/>
        </w:rPr>
        <w:t xml:space="preserve"> јуна </w:t>
      </w:r>
      <w:r w:rsidRPr="00DC237F">
        <w:rPr>
          <w:sz w:val="24"/>
          <w:szCs w:val="24"/>
          <w:lang w:val="sr-Cyrl-RS"/>
        </w:rPr>
        <w:t>2021. године применила члан 54а Кривичног законика у укупно 30 предмета, од којих је у 14 предмета побуда за извршење кривичног дела етничка, национална или верска припадност оштећеног лица.</w:t>
      </w:r>
    </w:p>
    <w:p w:rsidR="00AB0F66" w:rsidRDefault="00AB0F66" w:rsidP="00AB0F66">
      <w:pPr>
        <w:spacing w:after="0"/>
        <w:ind w:firstLine="720"/>
        <w:jc w:val="both"/>
        <w:rPr>
          <w:sz w:val="24"/>
          <w:szCs w:val="24"/>
          <w:lang w:val="sr-Cyrl-RS"/>
        </w:rPr>
      </w:pPr>
      <w:r w:rsidRPr="00AB0F66">
        <w:rPr>
          <w:sz w:val="24"/>
          <w:szCs w:val="24"/>
          <w:lang w:val="sr-Cyrl-RS"/>
        </w:rPr>
        <w:t>У мају 2019. године извршене су измене Кривичног законика у вези са чл</w:t>
      </w:r>
      <w:r w:rsidR="001901A4">
        <w:rPr>
          <w:sz w:val="24"/>
          <w:szCs w:val="24"/>
          <w:lang w:val="sr-Cyrl-RS"/>
        </w:rPr>
        <w:t>аном</w:t>
      </w:r>
      <w:r w:rsidRPr="00AB0F66">
        <w:rPr>
          <w:sz w:val="24"/>
          <w:szCs w:val="24"/>
          <w:lang w:val="sr-Cyrl-RS"/>
        </w:rPr>
        <w:t xml:space="preserve"> 344а којима је увећана казна затвора</w:t>
      </w:r>
      <w:r w:rsidR="00880030">
        <w:rPr>
          <w:sz w:val="24"/>
          <w:szCs w:val="24"/>
          <w:lang w:val="sr-Cyrl-RS"/>
        </w:rPr>
        <w:t>,</w:t>
      </w:r>
      <w:r w:rsidRPr="00AB0F66">
        <w:rPr>
          <w:sz w:val="24"/>
          <w:szCs w:val="24"/>
          <w:lang w:val="sr-Cyrl-RS"/>
        </w:rPr>
        <w:t xml:space="preserve"> и то од једне до пет година</w:t>
      </w:r>
      <w:r w:rsidR="00880030">
        <w:rPr>
          <w:sz w:val="24"/>
          <w:szCs w:val="24"/>
          <w:lang w:val="sr-Cyrl-RS"/>
        </w:rPr>
        <w:t>,</w:t>
      </w:r>
      <w:r w:rsidRPr="00AB0F66">
        <w:rPr>
          <w:sz w:val="24"/>
          <w:szCs w:val="24"/>
          <w:lang w:val="sr-Cyrl-RS"/>
        </w:rPr>
        <w:t xml:space="preserve"> за оне који својим понашањем на спортској приредби или јавном скупу изазивају националну, расну, верску или другу мржњу или нетрпељивост засновану на неком дискриминаторном основу услед чега дође до насиља или физичког обрачуна са учесницима.</w:t>
      </w:r>
    </w:p>
    <w:p w:rsidR="00AB0F66" w:rsidRPr="00AB0F66" w:rsidRDefault="00AB0F66" w:rsidP="00AB0F66">
      <w:pPr>
        <w:spacing w:after="0"/>
        <w:ind w:firstLine="720"/>
        <w:jc w:val="both"/>
        <w:rPr>
          <w:sz w:val="24"/>
          <w:szCs w:val="24"/>
          <w:lang w:val="sr-Cyrl-RS"/>
        </w:rPr>
      </w:pPr>
      <w:r w:rsidRPr="00AB0F66">
        <w:rPr>
          <w:sz w:val="24"/>
          <w:szCs w:val="24"/>
          <w:lang w:val="sr-Cyrl-RS"/>
        </w:rPr>
        <w:t>Министарство унутрашњих послова је у периоду од 2016. до 2019. године поднело кривичне пријаве против 39 лица због 57 кривичних дела којима је инкриминисан било који облик дискриминације, од чега против 38 лица за кривично дело из чл</w:t>
      </w:r>
      <w:r w:rsidR="001901A4">
        <w:rPr>
          <w:sz w:val="24"/>
          <w:szCs w:val="24"/>
          <w:lang w:val="sr-Cyrl-RS"/>
        </w:rPr>
        <w:t>ана</w:t>
      </w:r>
      <w:r w:rsidRPr="00AB0F66">
        <w:rPr>
          <w:sz w:val="24"/>
          <w:szCs w:val="24"/>
          <w:lang w:val="sr-Cyrl-RS"/>
        </w:rPr>
        <w:t xml:space="preserve"> 317</w:t>
      </w:r>
      <w:r w:rsidR="001901A4">
        <w:rPr>
          <w:sz w:val="24"/>
          <w:szCs w:val="24"/>
          <w:lang w:val="sr-Cyrl-RS"/>
        </w:rPr>
        <w:t>.</w:t>
      </w:r>
      <w:r w:rsidRPr="00AB0F66">
        <w:rPr>
          <w:sz w:val="24"/>
          <w:szCs w:val="24"/>
          <w:lang w:val="sr-Cyrl-RS"/>
        </w:rPr>
        <w:t xml:space="preserve"> Кривичног законика - изазивање националне, расне и верске мржње и нетрпељивости. У односу на националну припадност</w:t>
      </w:r>
      <w:r w:rsidR="001901A4">
        <w:rPr>
          <w:sz w:val="24"/>
          <w:szCs w:val="24"/>
          <w:lang w:val="sr-Cyrl-RS"/>
        </w:rPr>
        <w:t>,</w:t>
      </w:r>
      <w:r w:rsidRPr="00AB0F66">
        <w:rPr>
          <w:sz w:val="24"/>
          <w:szCs w:val="24"/>
          <w:lang w:val="sr-Cyrl-RS"/>
        </w:rPr>
        <w:t xml:space="preserve"> 34 лица је српске националности, два хрватске, једно ромске и једно албанске националности. У истом </w:t>
      </w:r>
      <w:r w:rsidRPr="00AB0F66">
        <w:rPr>
          <w:sz w:val="24"/>
          <w:szCs w:val="24"/>
          <w:lang w:val="sr-Cyrl-RS"/>
        </w:rPr>
        <w:lastRenderedPageBreak/>
        <w:t>периоду извршена су два физичка напада на националној основи (оба расветљена)</w:t>
      </w:r>
      <w:r w:rsidR="001901A4">
        <w:rPr>
          <w:sz w:val="24"/>
          <w:szCs w:val="24"/>
          <w:lang w:val="sr-Cyrl-RS"/>
        </w:rPr>
        <w:t>,</w:t>
      </w:r>
      <w:r w:rsidRPr="00AB0F66">
        <w:rPr>
          <w:sz w:val="24"/>
          <w:szCs w:val="24"/>
          <w:lang w:val="sr-Cyrl-RS"/>
        </w:rPr>
        <w:t xml:space="preserve"> и то: на штету лица албанске националности и исламске вероисповести. Кривичне пријаве поднете су против два лица српске националности.</w:t>
      </w:r>
    </w:p>
    <w:p w:rsidR="00AB0F66" w:rsidRPr="00AB0F66" w:rsidRDefault="00AB0F66" w:rsidP="00AB0F66">
      <w:pPr>
        <w:spacing w:after="0"/>
        <w:ind w:firstLine="720"/>
        <w:jc w:val="both"/>
        <w:rPr>
          <w:sz w:val="24"/>
          <w:szCs w:val="24"/>
          <w:lang w:val="sr-Cyrl-RS"/>
        </w:rPr>
      </w:pPr>
      <w:r w:rsidRPr="00AB0F66">
        <w:rPr>
          <w:sz w:val="24"/>
          <w:szCs w:val="24"/>
          <w:lang w:val="sr-Cyrl-RS"/>
        </w:rPr>
        <w:t xml:space="preserve">Министарство унутрашњих послова је у </w:t>
      </w:r>
      <w:r>
        <w:rPr>
          <w:sz w:val="24"/>
          <w:szCs w:val="24"/>
          <w:lang w:val="sr-Cyrl-RS"/>
        </w:rPr>
        <w:t>том</w:t>
      </w:r>
      <w:r w:rsidRPr="00AB0F66">
        <w:rPr>
          <w:sz w:val="24"/>
          <w:szCs w:val="24"/>
          <w:lang w:val="sr-Cyrl-RS"/>
        </w:rPr>
        <w:t xml:space="preserve"> периоду поднело кривичне пријаве због седам анонимних претњи (пет је расветљено), 21 вербалног сукоба (20 је расветљено) и 21 случаја исписивања парола и графита (6 је расветљено)</w:t>
      </w:r>
      <w:r w:rsidR="00880030">
        <w:rPr>
          <w:sz w:val="24"/>
          <w:szCs w:val="24"/>
          <w:lang w:val="sr-Cyrl-RS"/>
        </w:rPr>
        <w:t>,</w:t>
      </w:r>
      <w:r w:rsidRPr="00AB0F66">
        <w:rPr>
          <w:sz w:val="24"/>
          <w:szCs w:val="24"/>
          <w:lang w:val="sr-Cyrl-RS"/>
        </w:rPr>
        <w:t xml:space="preserve"> усмерених против: Албанаца – 6, Мађара – 3, Рома – 2, и по једног исламске вероиспосвести, Србина и Хрвата и истовремено против Бугара и Албанаца. Такође, исписано је пет нацистичких обележја и једна парола.</w:t>
      </w:r>
    </w:p>
    <w:p w:rsidR="00AB0F66" w:rsidRPr="00AB0F66" w:rsidRDefault="00AB0F66" w:rsidP="00AB0F66">
      <w:pPr>
        <w:spacing w:after="0"/>
        <w:ind w:firstLine="720"/>
        <w:jc w:val="both"/>
        <w:rPr>
          <w:sz w:val="24"/>
          <w:szCs w:val="24"/>
          <w:lang w:val="sr-Cyrl-RS"/>
        </w:rPr>
      </w:pPr>
      <w:r w:rsidRPr="00AB0F66">
        <w:rPr>
          <w:sz w:val="24"/>
          <w:szCs w:val="24"/>
          <w:lang w:val="sr-Cyrl-RS"/>
        </w:rPr>
        <w:t>Министарство унутрашњих послова је у периоду од 2016 до 2019. године евидентирало укупно 308 инициденaта који би се у најширем смислу могли окарактерисати као међунационални. Чињеница да државни органи реагују, откривају учиниоце, процесуирају и кажњавају извршиоце и подстрекаче међунационалних  инцидената, говори у прилог спремности државних и других органа да овакве појаве брзо и ефикасно сузбију.</w:t>
      </w:r>
    </w:p>
    <w:p w:rsidR="00A51CE6" w:rsidRPr="00AB0F66" w:rsidRDefault="00A51CE6" w:rsidP="00AB0F66">
      <w:pPr>
        <w:spacing w:after="0"/>
        <w:ind w:firstLine="720"/>
        <w:jc w:val="both"/>
        <w:rPr>
          <w:sz w:val="24"/>
          <w:szCs w:val="24"/>
          <w:lang w:val="sr-Cyrl-RS"/>
        </w:rPr>
      </w:pPr>
      <w:r w:rsidRPr="00AB0F66">
        <w:rPr>
          <w:sz w:val="24"/>
          <w:szCs w:val="24"/>
          <w:lang w:val="sr-Cyrl-RS"/>
        </w:rPr>
        <w:t>У пер</w:t>
      </w:r>
      <w:r w:rsidR="008C4849" w:rsidRPr="00AB0F66">
        <w:rPr>
          <w:sz w:val="24"/>
          <w:szCs w:val="24"/>
          <w:lang w:val="sr-Cyrl-RS"/>
        </w:rPr>
        <w:t>и</w:t>
      </w:r>
      <w:r w:rsidRPr="00AB0F66">
        <w:rPr>
          <w:sz w:val="24"/>
          <w:szCs w:val="24"/>
          <w:lang w:val="sr-Cyrl-RS"/>
        </w:rPr>
        <w:t xml:space="preserve">оду од </w:t>
      </w:r>
      <w:r w:rsidR="003417CD">
        <w:rPr>
          <w:sz w:val="24"/>
          <w:szCs w:val="24"/>
          <w:lang w:val="sr-Cyrl-RS"/>
        </w:rPr>
        <w:t>јануара до јула 2021. годи</w:t>
      </w:r>
      <w:r w:rsidRPr="00AB0F66">
        <w:rPr>
          <w:sz w:val="24"/>
          <w:szCs w:val="24"/>
          <w:lang w:val="sr-Cyrl-RS"/>
        </w:rPr>
        <w:t xml:space="preserve">не, од укупно 39 </w:t>
      </w:r>
      <w:r w:rsidR="000B1337">
        <w:rPr>
          <w:sz w:val="24"/>
          <w:szCs w:val="24"/>
          <w:lang w:val="sr-Cyrl-RS"/>
        </w:rPr>
        <w:t>и</w:t>
      </w:r>
      <w:r w:rsidRPr="00AB0F66">
        <w:rPr>
          <w:sz w:val="24"/>
          <w:szCs w:val="24"/>
          <w:lang w:val="sr-Cyrl-RS"/>
        </w:rPr>
        <w:t>нцидената, поднете су кривичне пријаве за 16 кривичних дела, и то: 10 кривичних дела изазивање националне, расне и верске мржње и нетрпељивости; 3 кривична дела угрожавање сигурности; по једно кривично дело лака телесна повреда; уништење и оштећење туђе ствари и повреда слободе изражавања националне нли етничке припадности. Расветљено је 12 кривичних дела и против 12 лица су поднете кривичне пријаве.</w:t>
      </w:r>
    </w:p>
    <w:p w:rsidR="008C4849" w:rsidRDefault="00AB0F66" w:rsidP="00A51CE6">
      <w:pPr>
        <w:spacing w:after="0"/>
        <w:ind w:firstLine="720"/>
        <w:jc w:val="both"/>
        <w:rPr>
          <w:sz w:val="24"/>
          <w:szCs w:val="24"/>
          <w:lang w:val="sr-Cyrl-RS"/>
        </w:rPr>
      </w:pPr>
      <w:r w:rsidRPr="00AB0F66">
        <w:rPr>
          <w:sz w:val="24"/>
          <w:szCs w:val="24"/>
          <w:lang w:val="sr-Cyrl-RS"/>
        </w:rPr>
        <w:t xml:space="preserve">Статистички подаци о </w:t>
      </w:r>
      <w:r w:rsidR="008C4849" w:rsidRPr="00AB0F66">
        <w:rPr>
          <w:sz w:val="24"/>
          <w:szCs w:val="24"/>
          <w:lang w:val="sr-Cyrl-RS"/>
        </w:rPr>
        <w:t>кривично</w:t>
      </w:r>
      <w:r w:rsidRPr="00AB0F66">
        <w:rPr>
          <w:sz w:val="24"/>
          <w:szCs w:val="24"/>
          <w:lang w:val="sr-Cyrl-RS"/>
        </w:rPr>
        <w:t>м</w:t>
      </w:r>
      <w:r w:rsidR="008C4849" w:rsidRPr="00AB0F66">
        <w:rPr>
          <w:sz w:val="24"/>
          <w:szCs w:val="24"/>
          <w:lang w:val="sr-Cyrl-RS"/>
        </w:rPr>
        <w:t xml:space="preserve"> дел</w:t>
      </w:r>
      <w:r w:rsidRPr="00AB0F66">
        <w:rPr>
          <w:sz w:val="24"/>
          <w:szCs w:val="24"/>
          <w:lang w:val="sr-Cyrl-RS"/>
        </w:rPr>
        <w:t>у</w:t>
      </w:r>
      <w:r w:rsidR="008C4849" w:rsidRPr="00AB0F66">
        <w:rPr>
          <w:sz w:val="24"/>
          <w:szCs w:val="24"/>
          <w:lang w:val="sr-Cyrl-RS"/>
        </w:rPr>
        <w:t xml:space="preserve"> из члана 317. Кривичног законика</w:t>
      </w:r>
      <w:r w:rsidRPr="00AB0F66">
        <w:rPr>
          <w:sz w:val="24"/>
          <w:szCs w:val="24"/>
          <w:lang w:val="sr-Cyrl-RS"/>
        </w:rPr>
        <w:t xml:space="preserve"> (изазивање националне, расне и верске мржње и нетрпељивости)</w:t>
      </w:r>
      <w:r w:rsidR="008C4849" w:rsidRPr="00AB0F66">
        <w:rPr>
          <w:sz w:val="24"/>
          <w:szCs w:val="24"/>
          <w:lang w:val="sr-Cyrl-RS"/>
        </w:rPr>
        <w:t xml:space="preserve"> за период 2017. до 2021. године</w:t>
      </w:r>
      <w:r w:rsidRPr="00AB0F66">
        <w:rPr>
          <w:sz w:val="24"/>
          <w:szCs w:val="24"/>
          <w:lang w:val="sr-Cyrl-RS"/>
        </w:rPr>
        <w:t xml:space="preserve"> дати су у доњој табели</w:t>
      </w:r>
      <w:r w:rsidR="008C4849" w:rsidRPr="00AB0F66">
        <w:rPr>
          <w:sz w:val="24"/>
          <w:szCs w:val="24"/>
          <w:lang w:val="sr-Cyrl-RS"/>
        </w:rPr>
        <w:t>.</w:t>
      </w:r>
    </w:p>
    <w:p w:rsidR="00CC67AC" w:rsidRDefault="00CC67AC">
      <w:pPr>
        <w:spacing w:after="160" w:line="259" w:lineRule="auto"/>
        <w:rPr>
          <w:sz w:val="24"/>
          <w:szCs w:val="24"/>
          <w:lang w:val="sr-Cyrl-RS"/>
        </w:rPr>
      </w:pPr>
      <w:r>
        <w:rPr>
          <w:sz w:val="24"/>
          <w:szCs w:val="24"/>
          <w:lang w:val="sr-Cyrl-RS"/>
        </w:rPr>
        <w:br w:type="page"/>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78"/>
        <w:gridCol w:w="378"/>
        <w:gridCol w:w="378"/>
        <w:gridCol w:w="511"/>
        <w:gridCol w:w="512"/>
        <w:gridCol w:w="379"/>
        <w:gridCol w:w="379"/>
        <w:gridCol w:w="379"/>
        <w:gridCol w:w="379"/>
        <w:gridCol w:w="379"/>
        <w:gridCol w:w="379"/>
        <w:gridCol w:w="379"/>
        <w:gridCol w:w="379"/>
        <w:gridCol w:w="379"/>
        <w:gridCol w:w="455"/>
        <w:gridCol w:w="455"/>
        <w:gridCol w:w="379"/>
        <w:gridCol w:w="379"/>
        <w:gridCol w:w="379"/>
        <w:gridCol w:w="379"/>
        <w:gridCol w:w="379"/>
      </w:tblGrid>
      <w:tr w:rsidR="0070631C" w:rsidRPr="00805EB7" w:rsidTr="00CC67AC">
        <w:trPr>
          <w:trHeight w:val="1309"/>
        </w:trPr>
        <w:tc>
          <w:tcPr>
            <w:tcW w:w="776" w:type="dxa"/>
            <w:vMerge w:val="restart"/>
            <w:shd w:val="clear" w:color="auto" w:fill="auto"/>
            <w:noWrap/>
            <w:vAlign w:val="center"/>
            <w:hideMark/>
          </w:tcPr>
          <w:p w:rsidR="0070631C" w:rsidRPr="00805EB7" w:rsidRDefault="0070631C" w:rsidP="00967EB6">
            <w:pPr>
              <w:spacing w:after="0" w:line="240" w:lineRule="auto"/>
              <w:jc w:val="center"/>
              <w:rPr>
                <w:rFonts w:eastAsia="Times New Roman"/>
                <w:sz w:val="18"/>
                <w:szCs w:val="18"/>
                <w:lang w:eastAsia="en-GB"/>
              </w:rPr>
            </w:pPr>
          </w:p>
        </w:tc>
        <w:tc>
          <w:tcPr>
            <w:tcW w:w="372" w:type="dxa"/>
            <w:vMerge w:val="restart"/>
            <w:shd w:val="clear" w:color="auto" w:fill="auto"/>
            <w:textDirection w:val="btLr"/>
            <w:vAlign w:val="bottom"/>
            <w:hideMark/>
          </w:tcPr>
          <w:p w:rsidR="0070631C" w:rsidRPr="00805EB7" w:rsidRDefault="0070631C" w:rsidP="00967EB6">
            <w:pPr>
              <w:spacing w:after="0" w:line="240" w:lineRule="auto"/>
              <w:jc w:val="center"/>
              <w:rPr>
                <w:rFonts w:eastAsia="Times New Roman"/>
                <w:b/>
                <w:bCs/>
                <w:sz w:val="18"/>
                <w:szCs w:val="18"/>
                <w:lang w:eastAsia="en-GB"/>
              </w:rPr>
            </w:pPr>
            <w:r w:rsidRPr="00805EB7">
              <w:rPr>
                <w:rFonts w:eastAsia="Times New Roman"/>
                <w:b/>
                <w:bCs/>
                <w:sz w:val="18"/>
                <w:szCs w:val="18"/>
                <w:lang w:eastAsia="en-GB"/>
              </w:rPr>
              <w:t xml:space="preserve"> укупно нерешених пријава из ранијег периoда                                      </w:t>
            </w:r>
          </w:p>
        </w:tc>
        <w:tc>
          <w:tcPr>
            <w:tcW w:w="373" w:type="dxa"/>
            <w:vMerge w:val="restart"/>
            <w:shd w:val="clear" w:color="auto" w:fill="auto"/>
            <w:textDirection w:val="btLr"/>
            <w:vAlign w:val="bottom"/>
            <w:hideMark/>
          </w:tcPr>
          <w:p w:rsidR="0070631C" w:rsidRPr="00805EB7" w:rsidRDefault="0070631C" w:rsidP="00967EB6">
            <w:pPr>
              <w:spacing w:after="0" w:line="240" w:lineRule="auto"/>
              <w:jc w:val="center"/>
              <w:rPr>
                <w:rFonts w:eastAsia="Times New Roman"/>
                <w:b/>
                <w:bCs/>
                <w:sz w:val="18"/>
                <w:szCs w:val="18"/>
                <w:lang w:eastAsia="en-GB"/>
              </w:rPr>
            </w:pPr>
            <w:r w:rsidRPr="00805EB7">
              <w:rPr>
                <w:rFonts w:eastAsia="Times New Roman"/>
                <w:b/>
                <w:bCs/>
                <w:sz w:val="18"/>
                <w:szCs w:val="18"/>
                <w:lang w:eastAsia="en-GB"/>
              </w:rPr>
              <w:t xml:space="preserve"> укупно пријава примљених у извештајном периоду </w:t>
            </w:r>
          </w:p>
        </w:tc>
        <w:tc>
          <w:tcPr>
            <w:tcW w:w="373" w:type="dxa"/>
            <w:vMerge w:val="restart"/>
            <w:shd w:val="clear" w:color="auto" w:fill="auto"/>
            <w:textDirection w:val="btLr"/>
            <w:vAlign w:val="bottom"/>
            <w:hideMark/>
          </w:tcPr>
          <w:p w:rsidR="0070631C" w:rsidRPr="00805EB7" w:rsidRDefault="0070631C" w:rsidP="00967EB6">
            <w:pPr>
              <w:spacing w:after="0" w:line="240" w:lineRule="auto"/>
              <w:jc w:val="center"/>
              <w:rPr>
                <w:rFonts w:eastAsia="Times New Roman"/>
                <w:b/>
                <w:bCs/>
                <w:sz w:val="18"/>
                <w:szCs w:val="18"/>
                <w:lang w:eastAsia="en-GB"/>
              </w:rPr>
            </w:pPr>
            <w:r w:rsidRPr="00805EB7">
              <w:rPr>
                <w:rFonts w:eastAsia="Times New Roman"/>
                <w:b/>
                <w:bCs/>
                <w:sz w:val="18"/>
                <w:szCs w:val="18"/>
                <w:lang w:eastAsia="en-GB"/>
              </w:rPr>
              <w:t xml:space="preserve"> укупно пријава у раду</w:t>
            </w:r>
          </w:p>
        </w:tc>
        <w:tc>
          <w:tcPr>
            <w:tcW w:w="1004" w:type="dxa"/>
            <w:gridSpan w:val="2"/>
            <w:vMerge w:val="restart"/>
            <w:shd w:val="clear" w:color="auto" w:fill="auto"/>
            <w:vAlign w:val="center"/>
            <w:hideMark/>
          </w:tcPr>
          <w:p w:rsidR="0070631C" w:rsidRPr="00805EB7" w:rsidRDefault="0070631C" w:rsidP="00967EB6">
            <w:pPr>
              <w:spacing w:after="0" w:line="240" w:lineRule="auto"/>
              <w:jc w:val="center"/>
              <w:rPr>
                <w:rFonts w:eastAsia="Times New Roman"/>
                <w:sz w:val="18"/>
                <w:szCs w:val="18"/>
                <w:lang w:eastAsia="en-GB"/>
              </w:rPr>
            </w:pPr>
            <w:r w:rsidRPr="00805EB7">
              <w:rPr>
                <w:rFonts w:eastAsia="Times New Roman"/>
                <w:sz w:val="18"/>
                <w:szCs w:val="18"/>
                <w:lang w:eastAsia="en-GB"/>
              </w:rPr>
              <w:t>Пол пријављених лица</w:t>
            </w:r>
          </w:p>
        </w:tc>
        <w:tc>
          <w:tcPr>
            <w:tcW w:w="373" w:type="dxa"/>
            <w:vMerge w:val="restart"/>
            <w:shd w:val="clear" w:color="auto" w:fill="auto"/>
            <w:textDirection w:val="btLr"/>
            <w:vAlign w:val="bottom"/>
            <w:hideMark/>
          </w:tcPr>
          <w:p w:rsidR="0070631C" w:rsidRPr="00805EB7" w:rsidRDefault="0070631C" w:rsidP="00967EB6">
            <w:pPr>
              <w:spacing w:after="0" w:line="240" w:lineRule="auto"/>
              <w:jc w:val="center"/>
              <w:rPr>
                <w:rFonts w:eastAsia="Times New Roman"/>
                <w:b/>
                <w:bCs/>
                <w:sz w:val="18"/>
                <w:szCs w:val="18"/>
                <w:lang w:eastAsia="en-GB"/>
              </w:rPr>
            </w:pPr>
            <w:r w:rsidRPr="00805EB7">
              <w:rPr>
                <w:rFonts w:eastAsia="Times New Roman"/>
                <w:b/>
                <w:bCs/>
                <w:sz w:val="18"/>
                <w:szCs w:val="18"/>
                <w:lang w:eastAsia="en-GB"/>
              </w:rPr>
              <w:t xml:space="preserve"> УКУПНО ОДБАЧАЈА</w:t>
            </w:r>
          </w:p>
        </w:tc>
        <w:tc>
          <w:tcPr>
            <w:tcW w:w="2238" w:type="dxa"/>
            <w:gridSpan w:val="6"/>
            <w:shd w:val="clear" w:color="auto" w:fill="auto"/>
            <w:vAlign w:val="center"/>
            <w:hideMark/>
          </w:tcPr>
          <w:p w:rsidR="0070631C" w:rsidRPr="00805EB7" w:rsidRDefault="0070631C" w:rsidP="00967EB6">
            <w:pPr>
              <w:spacing w:after="0" w:line="240" w:lineRule="auto"/>
              <w:jc w:val="center"/>
              <w:rPr>
                <w:rFonts w:eastAsia="Times New Roman"/>
                <w:sz w:val="18"/>
                <w:szCs w:val="18"/>
                <w:lang w:eastAsia="en-GB"/>
              </w:rPr>
            </w:pPr>
            <w:r w:rsidRPr="00805EB7">
              <w:rPr>
                <w:rFonts w:eastAsia="Times New Roman"/>
                <w:sz w:val="18"/>
                <w:szCs w:val="18"/>
                <w:lang w:eastAsia="en-GB"/>
              </w:rPr>
              <w:t>ПОДНОСИОЦИ КРИВИЧНИХ ПРИЈАВА</w:t>
            </w:r>
          </w:p>
        </w:tc>
        <w:tc>
          <w:tcPr>
            <w:tcW w:w="373" w:type="dxa"/>
            <w:vMerge w:val="restart"/>
            <w:shd w:val="clear" w:color="auto" w:fill="auto"/>
            <w:textDirection w:val="btLr"/>
            <w:vAlign w:val="bottom"/>
            <w:hideMark/>
          </w:tcPr>
          <w:p w:rsidR="0070631C" w:rsidRPr="00805EB7" w:rsidRDefault="0070631C" w:rsidP="00967EB6">
            <w:pPr>
              <w:spacing w:after="0" w:line="240" w:lineRule="auto"/>
              <w:jc w:val="center"/>
              <w:rPr>
                <w:rFonts w:eastAsia="Times New Roman"/>
                <w:b/>
                <w:bCs/>
                <w:sz w:val="18"/>
                <w:szCs w:val="18"/>
                <w:lang w:eastAsia="en-GB"/>
              </w:rPr>
            </w:pPr>
            <w:r w:rsidRPr="00805EB7">
              <w:rPr>
                <w:rFonts w:eastAsia="Times New Roman"/>
                <w:b/>
                <w:bCs/>
                <w:sz w:val="18"/>
                <w:szCs w:val="18"/>
                <w:lang w:eastAsia="en-GB"/>
              </w:rPr>
              <w:t xml:space="preserve"> ДОНЕТЕ НАРЕДБЕ О СПРОВОЂЕЊУ ИСТРАГЕ</w:t>
            </w:r>
          </w:p>
        </w:tc>
        <w:tc>
          <w:tcPr>
            <w:tcW w:w="373" w:type="dxa"/>
            <w:vMerge w:val="restart"/>
            <w:shd w:val="clear" w:color="auto" w:fill="auto"/>
            <w:textDirection w:val="btLr"/>
            <w:vAlign w:val="bottom"/>
            <w:hideMark/>
          </w:tcPr>
          <w:p w:rsidR="0070631C" w:rsidRPr="00805EB7" w:rsidRDefault="0070631C" w:rsidP="00967EB6">
            <w:pPr>
              <w:spacing w:after="0" w:line="240" w:lineRule="auto"/>
              <w:jc w:val="center"/>
              <w:rPr>
                <w:rFonts w:eastAsia="Times New Roman"/>
                <w:b/>
                <w:bCs/>
                <w:sz w:val="18"/>
                <w:szCs w:val="18"/>
                <w:lang w:eastAsia="en-GB"/>
              </w:rPr>
            </w:pPr>
            <w:r w:rsidRPr="00805EB7">
              <w:rPr>
                <w:rFonts w:eastAsia="Times New Roman"/>
                <w:b/>
                <w:bCs/>
                <w:sz w:val="18"/>
                <w:szCs w:val="18"/>
                <w:lang w:eastAsia="en-GB"/>
              </w:rPr>
              <w:t xml:space="preserve"> ОПТУЖЕЊА (непосредна оптужница + оптужни предлог + оптужница)</w:t>
            </w:r>
          </w:p>
        </w:tc>
        <w:tc>
          <w:tcPr>
            <w:tcW w:w="892" w:type="dxa"/>
            <w:gridSpan w:val="2"/>
            <w:vMerge w:val="restart"/>
            <w:shd w:val="clear" w:color="auto" w:fill="auto"/>
            <w:vAlign w:val="center"/>
            <w:hideMark/>
          </w:tcPr>
          <w:p w:rsidR="0070631C" w:rsidRPr="00805EB7" w:rsidRDefault="0070631C" w:rsidP="00967EB6">
            <w:pPr>
              <w:spacing w:after="0" w:line="240" w:lineRule="auto"/>
              <w:jc w:val="center"/>
              <w:rPr>
                <w:rFonts w:eastAsia="Times New Roman"/>
                <w:sz w:val="18"/>
                <w:szCs w:val="18"/>
                <w:lang w:eastAsia="en-GB"/>
              </w:rPr>
            </w:pPr>
            <w:r w:rsidRPr="00805EB7">
              <w:rPr>
                <w:rFonts w:eastAsia="Times New Roman"/>
                <w:sz w:val="18"/>
                <w:szCs w:val="18"/>
                <w:lang w:eastAsia="en-GB"/>
              </w:rPr>
              <w:t xml:space="preserve">Пол оптужених лица </w:t>
            </w:r>
          </w:p>
        </w:tc>
        <w:tc>
          <w:tcPr>
            <w:tcW w:w="1494" w:type="dxa"/>
            <w:gridSpan w:val="4"/>
            <w:shd w:val="clear" w:color="auto" w:fill="auto"/>
            <w:noWrap/>
            <w:vAlign w:val="center"/>
            <w:hideMark/>
          </w:tcPr>
          <w:p w:rsidR="0070631C" w:rsidRPr="00805EB7" w:rsidRDefault="0070631C" w:rsidP="00967EB6">
            <w:pPr>
              <w:spacing w:after="0" w:line="240" w:lineRule="auto"/>
              <w:jc w:val="center"/>
              <w:rPr>
                <w:rFonts w:eastAsia="Times New Roman"/>
                <w:b/>
                <w:bCs/>
                <w:color w:val="000000"/>
                <w:sz w:val="18"/>
                <w:szCs w:val="18"/>
                <w:lang w:eastAsia="en-GB"/>
              </w:rPr>
            </w:pPr>
            <w:r w:rsidRPr="00805EB7">
              <w:rPr>
                <w:rFonts w:eastAsia="Times New Roman"/>
                <w:b/>
                <w:bCs/>
                <w:color w:val="000000"/>
                <w:sz w:val="18"/>
                <w:szCs w:val="18"/>
                <w:lang w:eastAsia="en-GB"/>
              </w:rPr>
              <w:t xml:space="preserve">П Р Е С У Д Е </w:t>
            </w:r>
          </w:p>
        </w:tc>
        <w:tc>
          <w:tcPr>
            <w:tcW w:w="375" w:type="dxa"/>
            <w:vMerge w:val="restart"/>
            <w:shd w:val="clear" w:color="auto" w:fill="auto"/>
            <w:textDirection w:val="btLr"/>
            <w:vAlign w:val="bottom"/>
            <w:hideMark/>
          </w:tcPr>
          <w:p w:rsidR="0070631C" w:rsidRPr="00805EB7" w:rsidRDefault="0070631C" w:rsidP="00967EB6">
            <w:pPr>
              <w:spacing w:after="0" w:line="240" w:lineRule="auto"/>
              <w:jc w:val="center"/>
              <w:rPr>
                <w:rFonts w:eastAsia="Times New Roman"/>
                <w:b/>
                <w:bCs/>
                <w:sz w:val="18"/>
                <w:szCs w:val="18"/>
                <w:lang w:eastAsia="en-GB"/>
              </w:rPr>
            </w:pPr>
            <w:r w:rsidRPr="00805EB7">
              <w:rPr>
                <w:rFonts w:eastAsia="Times New Roman"/>
                <w:b/>
                <w:bCs/>
                <w:sz w:val="18"/>
                <w:szCs w:val="18"/>
                <w:lang w:eastAsia="en-GB"/>
              </w:rPr>
              <w:t xml:space="preserve"> укупно одређено притвора                                   </w:t>
            </w:r>
          </w:p>
        </w:tc>
      </w:tr>
      <w:tr w:rsidR="0070631C" w:rsidRPr="00805EB7" w:rsidTr="00CC67AC">
        <w:trPr>
          <w:trHeight w:val="1050"/>
        </w:trPr>
        <w:tc>
          <w:tcPr>
            <w:tcW w:w="776" w:type="dxa"/>
            <w:vMerge/>
            <w:vAlign w:val="center"/>
            <w:hideMark/>
          </w:tcPr>
          <w:p w:rsidR="0070631C" w:rsidRPr="00805EB7" w:rsidRDefault="0070631C" w:rsidP="00967EB6">
            <w:pPr>
              <w:spacing w:after="0" w:line="240" w:lineRule="auto"/>
              <w:rPr>
                <w:rFonts w:eastAsia="Times New Roman"/>
                <w:sz w:val="18"/>
                <w:szCs w:val="18"/>
                <w:lang w:eastAsia="en-GB"/>
              </w:rPr>
            </w:pPr>
          </w:p>
        </w:tc>
        <w:tc>
          <w:tcPr>
            <w:tcW w:w="372" w:type="dxa"/>
            <w:vMerge/>
            <w:vAlign w:val="center"/>
            <w:hideMark/>
          </w:tcPr>
          <w:p w:rsidR="0070631C" w:rsidRPr="00805EB7" w:rsidRDefault="0070631C" w:rsidP="00967EB6">
            <w:pPr>
              <w:spacing w:after="0" w:line="240" w:lineRule="auto"/>
              <w:rPr>
                <w:rFonts w:eastAsia="Times New Roman"/>
                <w:b/>
                <w:bCs/>
                <w:sz w:val="18"/>
                <w:szCs w:val="18"/>
                <w:lang w:eastAsia="en-GB"/>
              </w:rPr>
            </w:pPr>
          </w:p>
        </w:tc>
        <w:tc>
          <w:tcPr>
            <w:tcW w:w="373" w:type="dxa"/>
            <w:vMerge/>
            <w:vAlign w:val="center"/>
            <w:hideMark/>
          </w:tcPr>
          <w:p w:rsidR="0070631C" w:rsidRPr="00805EB7" w:rsidRDefault="0070631C" w:rsidP="00967EB6">
            <w:pPr>
              <w:spacing w:after="0" w:line="240" w:lineRule="auto"/>
              <w:rPr>
                <w:rFonts w:eastAsia="Times New Roman"/>
                <w:b/>
                <w:bCs/>
                <w:sz w:val="18"/>
                <w:szCs w:val="18"/>
                <w:lang w:eastAsia="en-GB"/>
              </w:rPr>
            </w:pPr>
          </w:p>
        </w:tc>
        <w:tc>
          <w:tcPr>
            <w:tcW w:w="373" w:type="dxa"/>
            <w:vMerge/>
            <w:vAlign w:val="center"/>
            <w:hideMark/>
          </w:tcPr>
          <w:p w:rsidR="0070631C" w:rsidRPr="00805EB7" w:rsidRDefault="0070631C" w:rsidP="00967EB6">
            <w:pPr>
              <w:spacing w:after="0" w:line="240" w:lineRule="auto"/>
              <w:rPr>
                <w:rFonts w:eastAsia="Times New Roman"/>
                <w:b/>
                <w:bCs/>
                <w:sz w:val="18"/>
                <w:szCs w:val="18"/>
                <w:lang w:eastAsia="en-GB"/>
              </w:rPr>
            </w:pPr>
          </w:p>
        </w:tc>
        <w:tc>
          <w:tcPr>
            <w:tcW w:w="1004" w:type="dxa"/>
            <w:gridSpan w:val="2"/>
            <w:vMerge/>
            <w:vAlign w:val="center"/>
            <w:hideMark/>
          </w:tcPr>
          <w:p w:rsidR="0070631C" w:rsidRPr="00805EB7" w:rsidRDefault="0070631C" w:rsidP="00967EB6">
            <w:pPr>
              <w:spacing w:after="0" w:line="240" w:lineRule="auto"/>
              <w:rPr>
                <w:rFonts w:eastAsia="Times New Roman"/>
                <w:sz w:val="18"/>
                <w:szCs w:val="18"/>
                <w:lang w:eastAsia="en-GB"/>
              </w:rPr>
            </w:pPr>
          </w:p>
        </w:tc>
        <w:tc>
          <w:tcPr>
            <w:tcW w:w="373" w:type="dxa"/>
            <w:vMerge/>
            <w:vAlign w:val="center"/>
            <w:hideMark/>
          </w:tcPr>
          <w:p w:rsidR="0070631C" w:rsidRPr="00805EB7" w:rsidRDefault="0070631C" w:rsidP="00967EB6">
            <w:pPr>
              <w:spacing w:after="0" w:line="240" w:lineRule="auto"/>
              <w:rPr>
                <w:rFonts w:eastAsia="Times New Roman"/>
                <w:b/>
                <w:bCs/>
                <w:sz w:val="18"/>
                <w:szCs w:val="18"/>
                <w:lang w:eastAsia="en-GB"/>
              </w:rPr>
            </w:pPr>
          </w:p>
        </w:tc>
        <w:tc>
          <w:tcPr>
            <w:tcW w:w="373" w:type="dxa"/>
            <w:vMerge w:val="restart"/>
            <w:shd w:val="clear" w:color="auto" w:fill="auto"/>
            <w:textDirection w:val="btLr"/>
            <w:vAlign w:val="bottom"/>
            <w:hideMark/>
          </w:tcPr>
          <w:p w:rsidR="0070631C" w:rsidRPr="00805EB7" w:rsidRDefault="0070631C" w:rsidP="00967EB6">
            <w:pPr>
              <w:spacing w:after="0" w:line="240" w:lineRule="auto"/>
              <w:jc w:val="center"/>
              <w:rPr>
                <w:rFonts w:eastAsia="Times New Roman"/>
                <w:sz w:val="18"/>
                <w:szCs w:val="18"/>
                <w:lang w:eastAsia="en-GB"/>
              </w:rPr>
            </w:pPr>
            <w:r w:rsidRPr="00805EB7">
              <w:rPr>
                <w:rFonts w:eastAsia="Times New Roman"/>
                <w:sz w:val="18"/>
                <w:szCs w:val="18"/>
                <w:lang w:eastAsia="en-GB"/>
              </w:rPr>
              <w:t xml:space="preserve"> полиција (МУП)</w:t>
            </w:r>
          </w:p>
        </w:tc>
        <w:tc>
          <w:tcPr>
            <w:tcW w:w="373" w:type="dxa"/>
            <w:vMerge w:val="restart"/>
            <w:shd w:val="clear" w:color="auto" w:fill="auto"/>
            <w:textDirection w:val="btLr"/>
            <w:vAlign w:val="bottom"/>
            <w:hideMark/>
          </w:tcPr>
          <w:p w:rsidR="0070631C" w:rsidRPr="00805EB7" w:rsidRDefault="0070631C" w:rsidP="00967EB6">
            <w:pPr>
              <w:spacing w:after="0" w:line="240" w:lineRule="auto"/>
              <w:jc w:val="center"/>
              <w:rPr>
                <w:rFonts w:eastAsia="Times New Roman"/>
                <w:sz w:val="18"/>
                <w:szCs w:val="18"/>
                <w:lang w:eastAsia="en-GB"/>
              </w:rPr>
            </w:pPr>
            <w:r w:rsidRPr="00805EB7">
              <w:rPr>
                <w:rFonts w:eastAsia="Times New Roman"/>
                <w:sz w:val="18"/>
                <w:szCs w:val="18"/>
                <w:lang w:eastAsia="en-GB"/>
              </w:rPr>
              <w:t xml:space="preserve"> други државни органи</w:t>
            </w:r>
          </w:p>
        </w:tc>
        <w:tc>
          <w:tcPr>
            <w:tcW w:w="373" w:type="dxa"/>
            <w:vMerge w:val="restart"/>
            <w:shd w:val="clear" w:color="auto" w:fill="auto"/>
            <w:textDirection w:val="btLr"/>
            <w:vAlign w:val="bottom"/>
            <w:hideMark/>
          </w:tcPr>
          <w:p w:rsidR="0070631C" w:rsidRPr="00805EB7" w:rsidRDefault="0070631C" w:rsidP="00967EB6">
            <w:pPr>
              <w:spacing w:after="0" w:line="240" w:lineRule="auto"/>
              <w:jc w:val="center"/>
              <w:rPr>
                <w:rFonts w:eastAsia="Times New Roman"/>
                <w:sz w:val="18"/>
                <w:szCs w:val="18"/>
                <w:lang w:eastAsia="en-GB"/>
              </w:rPr>
            </w:pPr>
            <w:r w:rsidRPr="00805EB7">
              <w:rPr>
                <w:rFonts w:eastAsia="Times New Roman"/>
                <w:sz w:val="18"/>
                <w:szCs w:val="18"/>
                <w:lang w:eastAsia="en-GB"/>
              </w:rPr>
              <w:t xml:space="preserve"> оштећени</w:t>
            </w:r>
          </w:p>
        </w:tc>
        <w:tc>
          <w:tcPr>
            <w:tcW w:w="373" w:type="dxa"/>
            <w:vMerge w:val="restart"/>
            <w:shd w:val="clear" w:color="auto" w:fill="auto"/>
            <w:textDirection w:val="btLr"/>
            <w:vAlign w:val="bottom"/>
            <w:hideMark/>
          </w:tcPr>
          <w:p w:rsidR="0070631C" w:rsidRPr="00805EB7" w:rsidRDefault="0070631C" w:rsidP="00967EB6">
            <w:pPr>
              <w:spacing w:after="0" w:line="240" w:lineRule="auto"/>
              <w:jc w:val="center"/>
              <w:rPr>
                <w:rFonts w:eastAsia="Times New Roman"/>
                <w:sz w:val="18"/>
                <w:szCs w:val="18"/>
                <w:lang w:eastAsia="en-GB"/>
              </w:rPr>
            </w:pPr>
            <w:r w:rsidRPr="00805EB7">
              <w:rPr>
                <w:rFonts w:eastAsia="Times New Roman"/>
                <w:sz w:val="18"/>
                <w:szCs w:val="18"/>
                <w:lang w:eastAsia="en-GB"/>
              </w:rPr>
              <w:t xml:space="preserve"> поступак инициран по службеној дужности</w:t>
            </w:r>
          </w:p>
        </w:tc>
        <w:tc>
          <w:tcPr>
            <w:tcW w:w="373" w:type="dxa"/>
            <w:vMerge w:val="restart"/>
            <w:shd w:val="clear" w:color="auto" w:fill="auto"/>
            <w:noWrap/>
            <w:textDirection w:val="btLr"/>
            <w:vAlign w:val="bottom"/>
            <w:hideMark/>
          </w:tcPr>
          <w:p w:rsidR="0070631C" w:rsidRPr="00805EB7" w:rsidRDefault="0070631C" w:rsidP="00967EB6">
            <w:pPr>
              <w:spacing w:after="0" w:line="240" w:lineRule="auto"/>
              <w:jc w:val="center"/>
              <w:rPr>
                <w:rFonts w:eastAsia="Times New Roman"/>
                <w:sz w:val="18"/>
                <w:szCs w:val="18"/>
                <w:lang w:eastAsia="en-GB"/>
              </w:rPr>
            </w:pPr>
            <w:r w:rsidRPr="00805EB7">
              <w:rPr>
                <w:rFonts w:eastAsia="Times New Roman"/>
                <w:sz w:val="18"/>
                <w:szCs w:val="18"/>
                <w:lang w:eastAsia="en-GB"/>
              </w:rPr>
              <w:t xml:space="preserve"> остали</w:t>
            </w:r>
          </w:p>
        </w:tc>
        <w:tc>
          <w:tcPr>
            <w:tcW w:w="373" w:type="dxa"/>
            <w:vMerge w:val="restart"/>
            <w:shd w:val="clear" w:color="auto" w:fill="auto"/>
            <w:textDirection w:val="btLr"/>
            <w:vAlign w:val="bottom"/>
            <w:hideMark/>
          </w:tcPr>
          <w:p w:rsidR="0070631C" w:rsidRPr="00805EB7" w:rsidRDefault="0070631C" w:rsidP="00967EB6">
            <w:pPr>
              <w:spacing w:after="0" w:line="240" w:lineRule="auto"/>
              <w:jc w:val="center"/>
              <w:rPr>
                <w:rFonts w:eastAsia="Times New Roman"/>
                <w:b/>
                <w:bCs/>
                <w:sz w:val="18"/>
                <w:szCs w:val="18"/>
                <w:lang w:eastAsia="en-GB"/>
              </w:rPr>
            </w:pPr>
            <w:r w:rsidRPr="00805EB7">
              <w:rPr>
                <w:rFonts w:eastAsia="Times New Roman"/>
                <w:b/>
                <w:bCs/>
                <w:sz w:val="18"/>
                <w:szCs w:val="18"/>
                <w:lang w:eastAsia="en-GB"/>
              </w:rPr>
              <w:t xml:space="preserve"> СВЕГА</w:t>
            </w:r>
          </w:p>
        </w:tc>
        <w:tc>
          <w:tcPr>
            <w:tcW w:w="373" w:type="dxa"/>
            <w:vMerge/>
            <w:vAlign w:val="center"/>
            <w:hideMark/>
          </w:tcPr>
          <w:p w:rsidR="0070631C" w:rsidRPr="00805EB7" w:rsidRDefault="0070631C" w:rsidP="00967EB6">
            <w:pPr>
              <w:spacing w:after="0" w:line="240" w:lineRule="auto"/>
              <w:rPr>
                <w:rFonts w:eastAsia="Times New Roman"/>
                <w:b/>
                <w:bCs/>
                <w:sz w:val="18"/>
                <w:szCs w:val="18"/>
                <w:lang w:eastAsia="en-GB"/>
              </w:rPr>
            </w:pPr>
          </w:p>
        </w:tc>
        <w:tc>
          <w:tcPr>
            <w:tcW w:w="373" w:type="dxa"/>
            <w:vMerge/>
            <w:vAlign w:val="center"/>
            <w:hideMark/>
          </w:tcPr>
          <w:p w:rsidR="0070631C" w:rsidRPr="00805EB7" w:rsidRDefault="0070631C" w:rsidP="00967EB6">
            <w:pPr>
              <w:spacing w:after="0" w:line="240" w:lineRule="auto"/>
              <w:rPr>
                <w:rFonts w:eastAsia="Times New Roman"/>
                <w:b/>
                <w:bCs/>
                <w:sz w:val="18"/>
                <w:szCs w:val="18"/>
                <w:lang w:eastAsia="en-GB"/>
              </w:rPr>
            </w:pPr>
          </w:p>
        </w:tc>
        <w:tc>
          <w:tcPr>
            <w:tcW w:w="892" w:type="dxa"/>
            <w:gridSpan w:val="2"/>
            <w:vMerge/>
            <w:vAlign w:val="center"/>
            <w:hideMark/>
          </w:tcPr>
          <w:p w:rsidR="0070631C" w:rsidRPr="00805EB7" w:rsidRDefault="0070631C" w:rsidP="00967EB6">
            <w:pPr>
              <w:spacing w:after="0" w:line="240" w:lineRule="auto"/>
              <w:rPr>
                <w:rFonts w:eastAsia="Times New Roman"/>
                <w:sz w:val="18"/>
                <w:szCs w:val="18"/>
                <w:lang w:eastAsia="en-GB"/>
              </w:rPr>
            </w:pPr>
          </w:p>
        </w:tc>
        <w:tc>
          <w:tcPr>
            <w:tcW w:w="373" w:type="dxa"/>
            <w:vMerge w:val="restart"/>
            <w:shd w:val="clear" w:color="auto" w:fill="auto"/>
            <w:textDirection w:val="btLr"/>
            <w:vAlign w:val="bottom"/>
            <w:hideMark/>
          </w:tcPr>
          <w:p w:rsidR="0070631C" w:rsidRPr="00805EB7" w:rsidRDefault="0070631C" w:rsidP="00967EB6">
            <w:pPr>
              <w:spacing w:after="0" w:line="240" w:lineRule="auto"/>
              <w:jc w:val="center"/>
              <w:rPr>
                <w:rFonts w:eastAsia="Times New Roman"/>
                <w:b/>
                <w:bCs/>
                <w:sz w:val="18"/>
                <w:szCs w:val="18"/>
                <w:lang w:eastAsia="en-GB"/>
              </w:rPr>
            </w:pPr>
            <w:r w:rsidRPr="00805EB7">
              <w:rPr>
                <w:rFonts w:eastAsia="Times New Roman"/>
                <w:b/>
                <w:bCs/>
                <w:sz w:val="18"/>
                <w:szCs w:val="18"/>
                <w:lang w:eastAsia="en-GB"/>
              </w:rPr>
              <w:t xml:space="preserve"> ОСУЂУЈУЋЕ ПРЕСУДЕ</w:t>
            </w:r>
          </w:p>
        </w:tc>
        <w:tc>
          <w:tcPr>
            <w:tcW w:w="373" w:type="dxa"/>
            <w:vMerge w:val="restart"/>
            <w:shd w:val="clear" w:color="auto" w:fill="auto"/>
            <w:textDirection w:val="btLr"/>
            <w:vAlign w:val="bottom"/>
            <w:hideMark/>
          </w:tcPr>
          <w:p w:rsidR="0070631C" w:rsidRPr="00805EB7" w:rsidRDefault="0070631C" w:rsidP="00967EB6">
            <w:pPr>
              <w:spacing w:after="0" w:line="240" w:lineRule="auto"/>
              <w:jc w:val="center"/>
              <w:rPr>
                <w:rFonts w:eastAsia="Times New Roman"/>
                <w:b/>
                <w:bCs/>
                <w:sz w:val="18"/>
                <w:szCs w:val="18"/>
                <w:lang w:eastAsia="en-GB"/>
              </w:rPr>
            </w:pPr>
            <w:r w:rsidRPr="00805EB7">
              <w:rPr>
                <w:rFonts w:eastAsia="Times New Roman"/>
                <w:b/>
                <w:bCs/>
                <w:sz w:val="18"/>
                <w:szCs w:val="18"/>
                <w:lang w:eastAsia="en-GB"/>
              </w:rPr>
              <w:t xml:space="preserve"> од тога затворска казна</w:t>
            </w:r>
          </w:p>
        </w:tc>
        <w:tc>
          <w:tcPr>
            <w:tcW w:w="373" w:type="dxa"/>
            <w:vMerge w:val="restart"/>
            <w:shd w:val="clear" w:color="auto" w:fill="auto"/>
            <w:textDirection w:val="btLr"/>
            <w:vAlign w:val="bottom"/>
            <w:hideMark/>
          </w:tcPr>
          <w:p w:rsidR="0070631C" w:rsidRPr="00805EB7" w:rsidRDefault="0070631C" w:rsidP="00967EB6">
            <w:pPr>
              <w:spacing w:after="0" w:line="240" w:lineRule="auto"/>
              <w:jc w:val="center"/>
              <w:rPr>
                <w:rFonts w:eastAsia="Times New Roman"/>
                <w:b/>
                <w:bCs/>
                <w:sz w:val="18"/>
                <w:szCs w:val="18"/>
                <w:lang w:eastAsia="en-GB"/>
              </w:rPr>
            </w:pPr>
            <w:r w:rsidRPr="00805EB7">
              <w:rPr>
                <w:rFonts w:eastAsia="Times New Roman"/>
                <w:b/>
                <w:bCs/>
                <w:sz w:val="18"/>
                <w:szCs w:val="18"/>
                <w:lang w:eastAsia="en-GB"/>
              </w:rPr>
              <w:t xml:space="preserve"> Ослобађајуће</w:t>
            </w:r>
          </w:p>
        </w:tc>
        <w:tc>
          <w:tcPr>
            <w:tcW w:w="375" w:type="dxa"/>
            <w:vMerge w:val="restart"/>
            <w:shd w:val="clear" w:color="auto" w:fill="auto"/>
            <w:textDirection w:val="btLr"/>
            <w:vAlign w:val="bottom"/>
            <w:hideMark/>
          </w:tcPr>
          <w:p w:rsidR="0070631C" w:rsidRPr="00805EB7" w:rsidRDefault="0070631C" w:rsidP="00967EB6">
            <w:pPr>
              <w:spacing w:after="0" w:line="240" w:lineRule="auto"/>
              <w:jc w:val="center"/>
              <w:rPr>
                <w:rFonts w:eastAsia="Times New Roman"/>
                <w:b/>
                <w:bCs/>
                <w:sz w:val="18"/>
                <w:szCs w:val="18"/>
                <w:lang w:eastAsia="en-GB"/>
              </w:rPr>
            </w:pPr>
            <w:r w:rsidRPr="00805EB7">
              <w:rPr>
                <w:rFonts w:eastAsia="Times New Roman"/>
                <w:b/>
                <w:bCs/>
                <w:sz w:val="18"/>
                <w:szCs w:val="18"/>
                <w:lang w:eastAsia="en-GB"/>
              </w:rPr>
              <w:t xml:space="preserve"> Одбијајуће </w:t>
            </w:r>
          </w:p>
        </w:tc>
        <w:tc>
          <w:tcPr>
            <w:tcW w:w="375" w:type="dxa"/>
            <w:vMerge/>
            <w:vAlign w:val="center"/>
            <w:hideMark/>
          </w:tcPr>
          <w:p w:rsidR="0070631C" w:rsidRPr="00805EB7" w:rsidRDefault="0070631C" w:rsidP="00967EB6">
            <w:pPr>
              <w:spacing w:after="0" w:line="240" w:lineRule="auto"/>
              <w:rPr>
                <w:rFonts w:eastAsia="Times New Roman"/>
                <w:b/>
                <w:bCs/>
                <w:sz w:val="18"/>
                <w:szCs w:val="18"/>
                <w:lang w:eastAsia="en-GB"/>
              </w:rPr>
            </w:pPr>
          </w:p>
        </w:tc>
      </w:tr>
      <w:tr w:rsidR="0070631C" w:rsidRPr="00805EB7" w:rsidTr="00CC67AC">
        <w:trPr>
          <w:trHeight w:val="3992"/>
        </w:trPr>
        <w:tc>
          <w:tcPr>
            <w:tcW w:w="776" w:type="dxa"/>
            <w:vMerge/>
            <w:vAlign w:val="center"/>
            <w:hideMark/>
          </w:tcPr>
          <w:p w:rsidR="0070631C" w:rsidRPr="00805EB7" w:rsidRDefault="0070631C" w:rsidP="00967EB6">
            <w:pPr>
              <w:spacing w:after="0" w:line="240" w:lineRule="auto"/>
              <w:rPr>
                <w:rFonts w:eastAsia="Times New Roman"/>
                <w:sz w:val="18"/>
                <w:szCs w:val="18"/>
                <w:lang w:eastAsia="en-GB"/>
              </w:rPr>
            </w:pPr>
          </w:p>
        </w:tc>
        <w:tc>
          <w:tcPr>
            <w:tcW w:w="372" w:type="dxa"/>
            <w:vMerge/>
            <w:vAlign w:val="center"/>
            <w:hideMark/>
          </w:tcPr>
          <w:p w:rsidR="0070631C" w:rsidRPr="00805EB7" w:rsidRDefault="0070631C" w:rsidP="00967EB6">
            <w:pPr>
              <w:spacing w:after="0" w:line="240" w:lineRule="auto"/>
              <w:rPr>
                <w:rFonts w:eastAsia="Times New Roman"/>
                <w:b/>
                <w:bCs/>
                <w:sz w:val="18"/>
                <w:szCs w:val="18"/>
                <w:lang w:eastAsia="en-GB"/>
              </w:rPr>
            </w:pPr>
          </w:p>
        </w:tc>
        <w:tc>
          <w:tcPr>
            <w:tcW w:w="373" w:type="dxa"/>
            <w:vMerge/>
            <w:vAlign w:val="center"/>
            <w:hideMark/>
          </w:tcPr>
          <w:p w:rsidR="0070631C" w:rsidRPr="00805EB7" w:rsidRDefault="0070631C" w:rsidP="00967EB6">
            <w:pPr>
              <w:spacing w:after="0" w:line="240" w:lineRule="auto"/>
              <w:rPr>
                <w:rFonts w:eastAsia="Times New Roman"/>
                <w:b/>
                <w:bCs/>
                <w:sz w:val="18"/>
                <w:szCs w:val="18"/>
                <w:lang w:eastAsia="en-GB"/>
              </w:rPr>
            </w:pPr>
          </w:p>
        </w:tc>
        <w:tc>
          <w:tcPr>
            <w:tcW w:w="373" w:type="dxa"/>
            <w:vMerge/>
            <w:vAlign w:val="center"/>
            <w:hideMark/>
          </w:tcPr>
          <w:p w:rsidR="0070631C" w:rsidRPr="00805EB7" w:rsidRDefault="0070631C" w:rsidP="00967EB6">
            <w:pPr>
              <w:spacing w:after="0" w:line="240" w:lineRule="auto"/>
              <w:rPr>
                <w:rFonts w:eastAsia="Times New Roman"/>
                <w:b/>
                <w:bCs/>
                <w:sz w:val="18"/>
                <w:szCs w:val="18"/>
                <w:lang w:eastAsia="en-GB"/>
              </w:rPr>
            </w:pPr>
          </w:p>
        </w:tc>
        <w:tc>
          <w:tcPr>
            <w:tcW w:w="502" w:type="dxa"/>
            <w:shd w:val="clear" w:color="auto" w:fill="auto"/>
            <w:textDirection w:val="btLr"/>
            <w:vAlign w:val="bottom"/>
            <w:hideMark/>
          </w:tcPr>
          <w:p w:rsidR="0070631C" w:rsidRPr="00805EB7" w:rsidRDefault="0070631C" w:rsidP="00967EB6">
            <w:pPr>
              <w:spacing w:after="0" w:line="240" w:lineRule="auto"/>
              <w:jc w:val="center"/>
              <w:rPr>
                <w:rFonts w:eastAsia="Times New Roman"/>
                <w:sz w:val="18"/>
                <w:szCs w:val="18"/>
                <w:lang w:eastAsia="en-GB"/>
              </w:rPr>
            </w:pPr>
            <w:r w:rsidRPr="00805EB7">
              <w:rPr>
                <w:rFonts w:eastAsia="Times New Roman"/>
                <w:sz w:val="18"/>
                <w:szCs w:val="18"/>
                <w:lang w:eastAsia="en-GB"/>
              </w:rPr>
              <w:t xml:space="preserve">  мушки</w:t>
            </w:r>
          </w:p>
        </w:tc>
        <w:tc>
          <w:tcPr>
            <w:tcW w:w="502" w:type="dxa"/>
            <w:shd w:val="clear" w:color="auto" w:fill="auto"/>
            <w:textDirection w:val="btLr"/>
            <w:vAlign w:val="bottom"/>
            <w:hideMark/>
          </w:tcPr>
          <w:p w:rsidR="0070631C" w:rsidRPr="00805EB7" w:rsidRDefault="0070631C" w:rsidP="00967EB6">
            <w:pPr>
              <w:spacing w:after="0" w:line="240" w:lineRule="auto"/>
              <w:jc w:val="center"/>
              <w:rPr>
                <w:rFonts w:eastAsia="Times New Roman"/>
                <w:sz w:val="18"/>
                <w:szCs w:val="18"/>
                <w:lang w:eastAsia="en-GB"/>
              </w:rPr>
            </w:pPr>
            <w:r w:rsidRPr="00805EB7">
              <w:rPr>
                <w:rFonts w:eastAsia="Times New Roman"/>
                <w:sz w:val="18"/>
                <w:szCs w:val="18"/>
                <w:lang w:eastAsia="en-GB"/>
              </w:rPr>
              <w:t xml:space="preserve">  женски</w:t>
            </w:r>
          </w:p>
        </w:tc>
        <w:tc>
          <w:tcPr>
            <w:tcW w:w="373" w:type="dxa"/>
            <w:vMerge/>
            <w:vAlign w:val="center"/>
            <w:hideMark/>
          </w:tcPr>
          <w:p w:rsidR="0070631C" w:rsidRPr="00805EB7" w:rsidRDefault="0070631C" w:rsidP="00967EB6">
            <w:pPr>
              <w:spacing w:after="0" w:line="240" w:lineRule="auto"/>
              <w:rPr>
                <w:rFonts w:eastAsia="Times New Roman"/>
                <w:b/>
                <w:bCs/>
                <w:sz w:val="18"/>
                <w:szCs w:val="18"/>
                <w:lang w:eastAsia="en-GB"/>
              </w:rPr>
            </w:pPr>
          </w:p>
        </w:tc>
        <w:tc>
          <w:tcPr>
            <w:tcW w:w="373" w:type="dxa"/>
            <w:vMerge/>
            <w:vAlign w:val="center"/>
            <w:hideMark/>
          </w:tcPr>
          <w:p w:rsidR="0070631C" w:rsidRPr="00805EB7" w:rsidRDefault="0070631C" w:rsidP="00967EB6">
            <w:pPr>
              <w:spacing w:after="0" w:line="240" w:lineRule="auto"/>
              <w:rPr>
                <w:rFonts w:eastAsia="Times New Roman"/>
                <w:sz w:val="18"/>
                <w:szCs w:val="18"/>
                <w:lang w:eastAsia="en-GB"/>
              </w:rPr>
            </w:pPr>
          </w:p>
        </w:tc>
        <w:tc>
          <w:tcPr>
            <w:tcW w:w="373" w:type="dxa"/>
            <w:vMerge/>
            <w:vAlign w:val="center"/>
            <w:hideMark/>
          </w:tcPr>
          <w:p w:rsidR="0070631C" w:rsidRPr="00805EB7" w:rsidRDefault="0070631C" w:rsidP="00967EB6">
            <w:pPr>
              <w:spacing w:after="0" w:line="240" w:lineRule="auto"/>
              <w:rPr>
                <w:rFonts w:eastAsia="Times New Roman"/>
                <w:sz w:val="18"/>
                <w:szCs w:val="18"/>
                <w:lang w:eastAsia="en-GB"/>
              </w:rPr>
            </w:pPr>
          </w:p>
        </w:tc>
        <w:tc>
          <w:tcPr>
            <w:tcW w:w="373" w:type="dxa"/>
            <w:vMerge/>
            <w:vAlign w:val="center"/>
            <w:hideMark/>
          </w:tcPr>
          <w:p w:rsidR="0070631C" w:rsidRPr="00805EB7" w:rsidRDefault="0070631C" w:rsidP="00967EB6">
            <w:pPr>
              <w:spacing w:after="0" w:line="240" w:lineRule="auto"/>
              <w:rPr>
                <w:rFonts w:eastAsia="Times New Roman"/>
                <w:sz w:val="18"/>
                <w:szCs w:val="18"/>
                <w:lang w:eastAsia="en-GB"/>
              </w:rPr>
            </w:pPr>
          </w:p>
        </w:tc>
        <w:tc>
          <w:tcPr>
            <w:tcW w:w="373" w:type="dxa"/>
            <w:vMerge/>
            <w:vAlign w:val="center"/>
            <w:hideMark/>
          </w:tcPr>
          <w:p w:rsidR="0070631C" w:rsidRPr="00805EB7" w:rsidRDefault="0070631C" w:rsidP="00967EB6">
            <w:pPr>
              <w:spacing w:after="0" w:line="240" w:lineRule="auto"/>
              <w:rPr>
                <w:rFonts w:eastAsia="Times New Roman"/>
                <w:sz w:val="18"/>
                <w:szCs w:val="18"/>
                <w:lang w:eastAsia="en-GB"/>
              </w:rPr>
            </w:pPr>
          </w:p>
        </w:tc>
        <w:tc>
          <w:tcPr>
            <w:tcW w:w="373" w:type="dxa"/>
            <w:vMerge/>
            <w:vAlign w:val="center"/>
            <w:hideMark/>
          </w:tcPr>
          <w:p w:rsidR="0070631C" w:rsidRPr="00805EB7" w:rsidRDefault="0070631C" w:rsidP="00967EB6">
            <w:pPr>
              <w:spacing w:after="0" w:line="240" w:lineRule="auto"/>
              <w:rPr>
                <w:rFonts w:eastAsia="Times New Roman"/>
                <w:sz w:val="18"/>
                <w:szCs w:val="18"/>
                <w:lang w:eastAsia="en-GB"/>
              </w:rPr>
            </w:pPr>
          </w:p>
        </w:tc>
        <w:tc>
          <w:tcPr>
            <w:tcW w:w="373" w:type="dxa"/>
            <w:vMerge/>
            <w:vAlign w:val="center"/>
            <w:hideMark/>
          </w:tcPr>
          <w:p w:rsidR="0070631C" w:rsidRPr="00805EB7" w:rsidRDefault="0070631C" w:rsidP="00967EB6">
            <w:pPr>
              <w:spacing w:after="0" w:line="240" w:lineRule="auto"/>
              <w:rPr>
                <w:rFonts w:eastAsia="Times New Roman"/>
                <w:b/>
                <w:bCs/>
                <w:sz w:val="18"/>
                <w:szCs w:val="18"/>
                <w:lang w:eastAsia="en-GB"/>
              </w:rPr>
            </w:pPr>
          </w:p>
        </w:tc>
        <w:tc>
          <w:tcPr>
            <w:tcW w:w="373" w:type="dxa"/>
            <w:vMerge/>
            <w:vAlign w:val="center"/>
            <w:hideMark/>
          </w:tcPr>
          <w:p w:rsidR="0070631C" w:rsidRPr="00805EB7" w:rsidRDefault="0070631C" w:rsidP="00967EB6">
            <w:pPr>
              <w:spacing w:after="0" w:line="240" w:lineRule="auto"/>
              <w:rPr>
                <w:rFonts w:eastAsia="Times New Roman"/>
                <w:b/>
                <w:bCs/>
                <w:sz w:val="18"/>
                <w:szCs w:val="18"/>
                <w:lang w:eastAsia="en-GB"/>
              </w:rPr>
            </w:pPr>
          </w:p>
        </w:tc>
        <w:tc>
          <w:tcPr>
            <w:tcW w:w="373" w:type="dxa"/>
            <w:vMerge/>
            <w:vAlign w:val="center"/>
            <w:hideMark/>
          </w:tcPr>
          <w:p w:rsidR="0070631C" w:rsidRPr="00805EB7" w:rsidRDefault="0070631C" w:rsidP="00967EB6">
            <w:pPr>
              <w:spacing w:after="0" w:line="240" w:lineRule="auto"/>
              <w:rPr>
                <w:rFonts w:eastAsia="Times New Roman"/>
                <w:b/>
                <w:bCs/>
                <w:sz w:val="18"/>
                <w:szCs w:val="18"/>
                <w:lang w:eastAsia="en-GB"/>
              </w:rPr>
            </w:pPr>
          </w:p>
        </w:tc>
        <w:tc>
          <w:tcPr>
            <w:tcW w:w="446" w:type="dxa"/>
            <w:shd w:val="clear" w:color="auto" w:fill="auto"/>
            <w:textDirection w:val="btLr"/>
            <w:vAlign w:val="bottom"/>
            <w:hideMark/>
          </w:tcPr>
          <w:p w:rsidR="0070631C" w:rsidRPr="00805EB7" w:rsidRDefault="0070631C" w:rsidP="00967EB6">
            <w:pPr>
              <w:spacing w:after="0" w:line="240" w:lineRule="auto"/>
              <w:jc w:val="center"/>
              <w:rPr>
                <w:rFonts w:eastAsia="Times New Roman"/>
                <w:sz w:val="18"/>
                <w:szCs w:val="18"/>
                <w:lang w:eastAsia="en-GB"/>
              </w:rPr>
            </w:pPr>
            <w:r w:rsidRPr="00805EB7">
              <w:rPr>
                <w:rFonts w:eastAsia="Times New Roman"/>
                <w:sz w:val="18"/>
                <w:szCs w:val="18"/>
                <w:lang w:eastAsia="en-GB"/>
              </w:rPr>
              <w:t xml:space="preserve"> мушки</w:t>
            </w:r>
          </w:p>
        </w:tc>
        <w:tc>
          <w:tcPr>
            <w:tcW w:w="446" w:type="dxa"/>
            <w:shd w:val="clear" w:color="auto" w:fill="auto"/>
            <w:textDirection w:val="btLr"/>
            <w:vAlign w:val="bottom"/>
            <w:hideMark/>
          </w:tcPr>
          <w:p w:rsidR="0070631C" w:rsidRPr="00805EB7" w:rsidRDefault="0070631C" w:rsidP="00967EB6">
            <w:pPr>
              <w:spacing w:after="0" w:line="240" w:lineRule="auto"/>
              <w:jc w:val="center"/>
              <w:rPr>
                <w:rFonts w:eastAsia="Times New Roman"/>
                <w:sz w:val="18"/>
                <w:szCs w:val="18"/>
                <w:lang w:eastAsia="en-GB"/>
              </w:rPr>
            </w:pPr>
            <w:r w:rsidRPr="00805EB7">
              <w:rPr>
                <w:rFonts w:eastAsia="Times New Roman"/>
                <w:sz w:val="18"/>
                <w:szCs w:val="18"/>
                <w:lang w:eastAsia="en-GB"/>
              </w:rPr>
              <w:t xml:space="preserve"> женски</w:t>
            </w:r>
          </w:p>
        </w:tc>
        <w:tc>
          <w:tcPr>
            <w:tcW w:w="373" w:type="dxa"/>
            <w:vMerge/>
            <w:vAlign w:val="center"/>
            <w:hideMark/>
          </w:tcPr>
          <w:p w:rsidR="0070631C" w:rsidRPr="00805EB7" w:rsidRDefault="0070631C" w:rsidP="00967EB6">
            <w:pPr>
              <w:spacing w:after="0" w:line="240" w:lineRule="auto"/>
              <w:rPr>
                <w:rFonts w:eastAsia="Times New Roman"/>
                <w:b/>
                <w:bCs/>
                <w:sz w:val="18"/>
                <w:szCs w:val="18"/>
                <w:lang w:eastAsia="en-GB"/>
              </w:rPr>
            </w:pPr>
          </w:p>
        </w:tc>
        <w:tc>
          <w:tcPr>
            <w:tcW w:w="373" w:type="dxa"/>
            <w:vMerge/>
            <w:vAlign w:val="center"/>
            <w:hideMark/>
          </w:tcPr>
          <w:p w:rsidR="0070631C" w:rsidRPr="00805EB7" w:rsidRDefault="0070631C" w:rsidP="00967EB6">
            <w:pPr>
              <w:spacing w:after="0" w:line="240" w:lineRule="auto"/>
              <w:rPr>
                <w:rFonts w:eastAsia="Times New Roman"/>
                <w:b/>
                <w:bCs/>
                <w:sz w:val="18"/>
                <w:szCs w:val="18"/>
                <w:lang w:eastAsia="en-GB"/>
              </w:rPr>
            </w:pPr>
          </w:p>
        </w:tc>
        <w:tc>
          <w:tcPr>
            <w:tcW w:w="373" w:type="dxa"/>
            <w:vMerge/>
            <w:vAlign w:val="center"/>
            <w:hideMark/>
          </w:tcPr>
          <w:p w:rsidR="0070631C" w:rsidRPr="00805EB7" w:rsidRDefault="0070631C" w:rsidP="00967EB6">
            <w:pPr>
              <w:spacing w:after="0" w:line="240" w:lineRule="auto"/>
              <w:rPr>
                <w:rFonts w:eastAsia="Times New Roman"/>
                <w:b/>
                <w:bCs/>
                <w:sz w:val="18"/>
                <w:szCs w:val="18"/>
                <w:lang w:eastAsia="en-GB"/>
              </w:rPr>
            </w:pPr>
          </w:p>
        </w:tc>
        <w:tc>
          <w:tcPr>
            <w:tcW w:w="375" w:type="dxa"/>
            <w:vMerge/>
            <w:vAlign w:val="center"/>
            <w:hideMark/>
          </w:tcPr>
          <w:p w:rsidR="0070631C" w:rsidRPr="00805EB7" w:rsidRDefault="0070631C" w:rsidP="00967EB6">
            <w:pPr>
              <w:spacing w:after="0" w:line="240" w:lineRule="auto"/>
              <w:rPr>
                <w:rFonts w:eastAsia="Times New Roman"/>
                <w:b/>
                <w:bCs/>
                <w:sz w:val="18"/>
                <w:szCs w:val="18"/>
                <w:lang w:eastAsia="en-GB"/>
              </w:rPr>
            </w:pPr>
          </w:p>
        </w:tc>
        <w:tc>
          <w:tcPr>
            <w:tcW w:w="375" w:type="dxa"/>
            <w:vMerge/>
            <w:vAlign w:val="center"/>
            <w:hideMark/>
          </w:tcPr>
          <w:p w:rsidR="0070631C" w:rsidRPr="00805EB7" w:rsidRDefault="0070631C" w:rsidP="00967EB6">
            <w:pPr>
              <w:spacing w:after="0" w:line="240" w:lineRule="auto"/>
              <w:rPr>
                <w:rFonts w:eastAsia="Times New Roman"/>
                <w:b/>
                <w:bCs/>
                <w:sz w:val="18"/>
                <w:szCs w:val="18"/>
                <w:lang w:eastAsia="en-GB"/>
              </w:rPr>
            </w:pPr>
          </w:p>
        </w:tc>
      </w:tr>
      <w:tr w:rsidR="0070631C" w:rsidRPr="00805EB7" w:rsidTr="00CC67AC">
        <w:trPr>
          <w:trHeight w:val="416"/>
        </w:trPr>
        <w:tc>
          <w:tcPr>
            <w:tcW w:w="776"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2017</w:t>
            </w:r>
          </w:p>
        </w:tc>
        <w:tc>
          <w:tcPr>
            <w:tcW w:w="372"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33</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50</w:t>
            </w:r>
          </w:p>
        </w:tc>
        <w:tc>
          <w:tcPr>
            <w:tcW w:w="373" w:type="dxa"/>
            <w:shd w:val="clear" w:color="000000"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83</w:t>
            </w:r>
          </w:p>
        </w:tc>
        <w:tc>
          <w:tcPr>
            <w:tcW w:w="502"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49</w:t>
            </w:r>
          </w:p>
        </w:tc>
        <w:tc>
          <w:tcPr>
            <w:tcW w:w="502"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1</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24</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22</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1</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8</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 </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19</w:t>
            </w:r>
          </w:p>
        </w:tc>
        <w:tc>
          <w:tcPr>
            <w:tcW w:w="373" w:type="dxa"/>
            <w:shd w:val="clear" w:color="000000"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50</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2</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3</w:t>
            </w:r>
          </w:p>
        </w:tc>
        <w:tc>
          <w:tcPr>
            <w:tcW w:w="446"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2</w:t>
            </w:r>
          </w:p>
        </w:tc>
        <w:tc>
          <w:tcPr>
            <w:tcW w:w="446"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1</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3</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1</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 </w:t>
            </w:r>
          </w:p>
        </w:tc>
        <w:tc>
          <w:tcPr>
            <w:tcW w:w="375"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 </w:t>
            </w:r>
          </w:p>
        </w:tc>
        <w:tc>
          <w:tcPr>
            <w:tcW w:w="375"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1</w:t>
            </w:r>
          </w:p>
        </w:tc>
      </w:tr>
      <w:tr w:rsidR="0070631C" w:rsidRPr="00805EB7" w:rsidTr="00CC67AC">
        <w:trPr>
          <w:trHeight w:val="410"/>
        </w:trPr>
        <w:tc>
          <w:tcPr>
            <w:tcW w:w="776"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2018</w:t>
            </w:r>
          </w:p>
        </w:tc>
        <w:tc>
          <w:tcPr>
            <w:tcW w:w="372"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30</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30</w:t>
            </w:r>
          </w:p>
        </w:tc>
        <w:tc>
          <w:tcPr>
            <w:tcW w:w="373" w:type="dxa"/>
            <w:shd w:val="clear" w:color="000000"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60</w:t>
            </w:r>
          </w:p>
        </w:tc>
        <w:tc>
          <w:tcPr>
            <w:tcW w:w="502"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27</w:t>
            </w:r>
          </w:p>
        </w:tc>
        <w:tc>
          <w:tcPr>
            <w:tcW w:w="502"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3</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15</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12</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 </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8</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 </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10</w:t>
            </w:r>
          </w:p>
        </w:tc>
        <w:tc>
          <w:tcPr>
            <w:tcW w:w="373" w:type="dxa"/>
            <w:shd w:val="clear" w:color="000000"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30</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2</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6</w:t>
            </w:r>
          </w:p>
        </w:tc>
        <w:tc>
          <w:tcPr>
            <w:tcW w:w="446"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6</w:t>
            </w:r>
          </w:p>
        </w:tc>
        <w:tc>
          <w:tcPr>
            <w:tcW w:w="446"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 </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6</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4</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 </w:t>
            </w:r>
          </w:p>
        </w:tc>
        <w:tc>
          <w:tcPr>
            <w:tcW w:w="375"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 </w:t>
            </w:r>
          </w:p>
        </w:tc>
        <w:tc>
          <w:tcPr>
            <w:tcW w:w="375"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6</w:t>
            </w:r>
          </w:p>
        </w:tc>
      </w:tr>
      <w:tr w:rsidR="0070631C" w:rsidRPr="00805EB7" w:rsidTr="00CC67AC">
        <w:trPr>
          <w:trHeight w:val="422"/>
        </w:trPr>
        <w:tc>
          <w:tcPr>
            <w:tcW w:w="776"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2019</w:t>
            </w:r>
          </w:p>
        </w:tc>
        <w:tc>
          <w:tcPr>
            <w:tcW w:w="372"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25</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30</w:t>
            </w:r>
          </w:p>
        </w:tc>
        <w:tc>
          <w:tcPr>
            <w:tcW w:w="373" w:type="dxa"/>
            <w:shd w:val="clear" w:color="000000"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55</w:t>
            </w:r>
          </w:p>
        </w:tc>
        <w:tc>
          <w:tcPr>
            <w:tcW w:w="502"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24</w:t>
            </w:r>
          </w:p>
        </w:tc>
        <w:tc>
          <w:tcPr>
            <w:tcW w:w="502"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6</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19</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16</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3</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4</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 </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7</w:t>
            </w:r>
          </w:p>
        </w:tc>
        <w:tc>
          <w:tcPr>
            <w:tcW w:w="373" w:type="dxa"/>
            <w:shd w:val="clear" w:color="000000"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30</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 </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14</w:t>
            </w:r>
          </w:p>
        </w:tc>
        <w:tc>
          <w:tcPr>
            <w:tcW w:w="446"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14</w:t>
            </w:r>
          </w:p>
        </w:tc>
        <w:tc>
          <w:tcPr>
            <w:tcW w:w="446"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 </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9</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2</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 </w:t>
            </w:r>
          </w:p>
        </w:tc>
        <w:tc>
          <w:tcPr>
            <w:tcW w:w="375"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 </w:t>
            </w:r>
          </w:p>
        </w:tc>
        <w:tc>
          <w:tcPr>
            <w:tcW w:w="375"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1</w:t>
            </w:r>
          </w:p>
        </w:tc>
      </w:tr>
      <w:tr w:rsidR="0070631C" w:rsidRPr="00805EB7" w:rsidTr="00CC67AC">
        <w:trPr>
          <w:trHeight w:val="413"/>
        </w:trPr>
        <w:tc>
          <w:tcPr>
            <w:tcW w:w="776"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2020</w:t>
            </w:r>
          </w:p>
        </w:tc>
        <w:tc>
          <w:tcPr>
            <w:tcW w:w="372"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38</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38</w:t>
            </w:r>
          </w:p>
        </w:tc>
        <w:tc>
          <w:tcPr>
            <w:tcW w:w="373" w:type="dxa"/>
            <w:shd w:val="clear" w:color="000000"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76</w:t>
            </w:r>
          </w:p>
        </w:tc>
        <w:tc>
          <w:tcPr>
            <w:tcW w:w="502"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30</w:t>
            </w:r>
          </w:p>
        </w:tc>
        <w:tc>
          <w:tcPr>
            <w:tcW w:w="502"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8</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32</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9</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 </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17</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 </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12</w:t>
            </w:r>
          </w:p>
        </w:tc>
        <w:tc>
          <w:tcPr>
            <w:tcW w:w="373" w:type="dxa"/>
            <w:shd w:val="clear" w:color="000000"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38</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 </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3</w:t>
            </w:r>
          </w:p>
        </w:tc>
        <w:tc>
          <w:tcPr>
            <w:tcW w:w="446"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3</w:t>
            </w:r>
          </w:p>
        </w:tc>
        <w:tc>
          <w:tcPr>
            <w:tcW w:w="446"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 </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4</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1</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 </w:t>
            </w:r>
          </w:p>
        </w:tc>
        <w:tc>
          <w:tcPr>
            <w:tcW w:w="375"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 </w:t>
            </w:r>
          </w:p>
        </w:tc>
        <w:tc>
          <w:tcPr>
            <w:tcW w:w="375"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1</w:t>
            </w:r>
          </w:p>
        </w:tc>
      </w:tr>
      <w:tr w:rsidR="0070631C" w:rsidRPr="00805EB7" w:rsidTr="00CC67AC">
        <w:trPr>
          <w:trHeight w:val="420"/>
        </w:trPr>
        <w:tc>
          <w:tcPr>
            <w:tcW w:w="776"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2021</w:t>
            </w:r>
          </w:p>
        </w:tc>
        <w:tc>
          <w:tcPr>
            <w:tcW w:w="372"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34</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52</w:t>
            </w:r>
          </w:p>
        </w:tc>
        <w:tc>
          <w:tcPr>
            <w:tcW w:w="373" w:type="dxa"/>
            <w:shd w:val="clear" w:color="000000"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86</w:t>
            </w:r>
          </w:p>
        </w:tc>
        <w:tc>
          <w:tcPr>
            <w:tcW w:w="502"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39</w:t>
            </w:r>
          </w:p>
        </w:tc>
        <w:tc>
          <w:tcPr>
            <w:tcW w:w="502"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13</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45</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16</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 </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11</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1</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24</w:t>
            </w:r>
          </w:p>
        </w:tc>
        <w:tc>
          <w:tcPr>
            <w:tcW w:w="373" w:type="dxa"/>
            <w:shd w:val="clear" w:color="000000"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52</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 </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5</w:t>
            </w:r>
          </w:p>
        </w:tc>
        <w:tc>
          <w:tcPr>
            <w:tcW w:w="446"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4</w:t>
            </w:r>
          </w:p>
        </w:tc>
        <w:tc>
          <w:tcPr>
            <w:tcW w:w="446"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1</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6</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2</w:t>
            </w:r>
          </w:p>
        </w:tc>
        <w:tc>
          <w:tcPr>
            <w:tcW w:w="373"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 </w:t>
            </w:r>
          </w:p>
        </w:tc>
        <w:tc>
          <w:tcPr>
            <w:tcW w:w="375"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 </w:t>
            </w:r>
          </w:p>
        </w:tc>
        <w:tc>
          <w:tcPr>
            <w:tcW w:w="375" w:type="dxa"/>
            <w:shd w:val="clear" w:color="auto" w:fill="auto"/>
            <w:noWrap/>
            <w:vAlign w:val="center"/>
            <w:hideMark/>
          </w:tcPr>
          <w:p w:rsidR="0070631C" w:rsidRPr="00805EB7" w:rsidRDefault="0070631C" w:rsidP="00967EB6">
            <w:pPr>
              <w:spacing w:after="0" w:line="240" w:lineRule="auto"/>
              <w:jc w:val="center"/>
              <w:rPr>
                <w:rFonts w:eastAsia="Times New Roman"/>
                <w:b/>
                <w:bCs/>
                <w:sz w:val="12"/>
                <w:szCs w:val="12"/>
                <w:lang w:eastAsia="en-GB"/>
              </w:rPr>
            </w:pPr>
            <w:r w:rsidRPr="00805EB7">
              <w:rPr>
                <w:rFonts w:eastAsia="Times New Roman"/>
                <w:b/>
                <w:bCs/>
                <w:sz w:val="12"/>
                <w:szCs w:val="12"/>
                <w:lang w:eastAsia="en-GB"/>
              </w:rPr>
              <w:t>2</w:t>
            </w:r>
          </w:p>
        </w:tc>
      </w:tr>
    </w:tbl>
    <w:p w:rsidR="0070631C" w:rsidRDefault="0070631C" w:rsidP="00A51CE6">
      <w:pPr>
        <w:spacing w:after="0"/>
        <w:jc w:val="both"/>
        <w:rPr>
          <w:sz w:val="24"/>
          <w:szCs w:val="24"/>
          <w:lang w:val="sr-Cyrl-RS"/>
        </w:rPr>
      </w:pPr>
    </w:p>
    <w:p w:rsidR="00AA3916" w:rsidRDefault="00AA3916" w:rsidP="00AA3916">
      <w:pPr>
        <w:spacing w:after="0"/>
        <w:ind w:firstLine="720"/>
        <w:jc w:val="both"/>
        <w:rPr>
          <w:sz w:val="24"/>
          <w:szCs w:val="24"/>
          <w:highlight w:val="yellow"/>
          <w:lang w:val="sr-Cyrl-RS"/>
        </w:rPr>
      </w:pPr>
      <w:r w:rsidRPr="00AA3916">
        <w:rPr>
          <w:sz w:val="24"/>
          <w:szCs w:val="24"/>
          <w:lang w:val="sr-Cyrl-RS"/>
        </w:rPr>
        <w:t>Стратегија превенције и заштите од дискриминације 2022-2030</w:t>
      </w:r>
      <w:r w:rsidR="001901A4">
        <w:rPr>
          <w:sz w:val="24"/>
          <w:szCs w:val="24"/>
          <w:lang w:val="sr-Cyrl-RS"/>
        </w:rPr>
        <w:t>.</w:t>
      </w:r>
      <w:r w:rsidRPr="00AA3916">
        <w:rPr>
          <w:sz w:val="24"/>
          <w:szCs w:val="24"/>
          <w:lang w:val="sr-Cyrl-RS"/>
        </w:rPr>
        <w:t xml:space="preserve"> предвиђа меру која подразумева унапређивање механизма за сузбијање и спречавање говора мржње. У фокусу мере је нарочито говор мржње на интернету који захтева другачији приступ у превенцији и сузбијању због природе интернета која укључује неколико важних актера у дефинисању одговорности, а то су корисници, пружаоци приступа интернету, пружаоци садржаја, добављачи телекомуникационих мрежа и емитери. Ефекат ове мере је побољшање система спречавања и сузбијања говора мржње, уз уважавање специфичности говора мржње на интернету, што ће омогућити бољу превенцију и заштиту од говора мржње припадника група против којих је говор мржње најчешће усмерен.</w:t>
      </w:r>
    </w:p>
    <w:p w:rsidR="000C0879" w:rsidRDefault="00AA7CD8" w:rsidP="000C0879">
      <w:pPr>
        <w:tabs>
          <w:tab w:val="left" w:pos="707"/>
        </w:tabs>
        <w:spacing w:after="0"/>
        <w:ind w:right="-46"/>
        <w:jc w:val="both"/>
        <w:rPr>
          <w:sz w:val="24"/>
          <w:szCs w:val="24"/>
          <w:lang w:val="sr-Cyrl-RS"/>
        </w:rPr>
      </w:pPr>
      <w:r w:rsidRPr="00AA7CD8">
        <w:rPr>
          <w:sz w:val="24"/>
          <w:szCs w:val="24"/>
          <w:lang w:val="sr-Cyrl-RS"/>
        </w:rPr>
        <w:tab/>
      </w:r>
      <w:r w:rsidR="00AB0F66">
        <w:rPr>
          <w:sz w:val="24"/>
          <w:szCs w:val="24"/>
          <w:lang w:val="sr-Cyrl-RS"/>
        </w:rPr>
        <w:t>Г</w:t>
      </w:r>
      <w:r w:rsidRPr="00AA7CD8">
        <w:rPr>
          <w:sz w:val="24"/>
          <w:szCs w:val="24"/>
          <w:lang w:val="sr-Cyrl-RS"/>
        </w:rPr>
        <w:t>овор мржње</w:t>
      </w:r>
      <w:r w:rsidR="00AB0F66">
        <w:rPr>
          <w:sz w:val="24"/>
          <w:szCs w:val="24"/>
          <w:lang w:val="sr-Cyrl-RS"/>
        </w:rPr>
        <w:t>, као што је наведено,</w:t>
      </w:r>
      <w:r w:rsidRPr="00AA7CD8">
        <w:rPr>
          <w:sz w:val="24"/>
          <w:szCs w:val="24"/>
          <w:lang w:val="sr-Cyrl-RS"/>
        </w:rPr>
        <w:t xml:space="preserve"> забрањен </w:t>
      </w:r>
      <w:r w:rsidR="00AB0F66">
        <w:rPr>
          <w:sz w:val="24"/>
          <w:szCs w:val="24"/>
          <w:lang w:val="sr-Cyrl-RS"/>
        </w:rPr>
        <w:t xml:space="preserve">је </w:t>
      </w:r>
      <w:r w:rsidRPr="00AA7CD8">
        <w:rPr>
          <w:sz w:val="24"/>
          <w:szCs w:val="24"/>
          <w:lang w:val="sr-Cyrl-RS"/>
        </w:rPr>
        <w:t xml:space="preserve">и </w:t>
      </w:r>
      <w:r w:rsidR="00AB0F66">
        <w:rPr>
          <w:sz w:val="24"/>
          <w:szCs w:val="24"/>
          <w:lang w:val="sr-Cyrl-RS"/>
        </w:rPr>
        <w:t xml:space="preserve">посебним </w:t>
      </w:r>
      <w:r w:rsidRPr="00AA7CD8">
        <w:rPr>
          <w:sz w:val="24"/>
          <w:szCs w:val="24"/>
          <w:lang w:val="sr-Cyrl-RS"/>
        </w:rPr>
        <w:t>законима</w:t>
      </w:r>
      <w:r w:rsidR="00126AEB">
        <w:rPr>
          <w:sz w:val="24"/>
          <w:szCs w:val="24"/>
          <w:lang w:val="sr-Cyrl-RS"/>
        </w:rPr>
        <w:t>, а</w:t>
      </w:r>
      <w:r w:rsidRPr="00AA7CD8">
        <w:rPr>
          <w:sz w:val="24"/>
          <w:szCs w:val="24"/>
          <w:lang w:val="sr-Cyrl-RS"/>
        </w:rPr>
        <w:t xml:space="preserve"> </w:t>
      </w:r>
      <w:r w:rsidR="00126AEB">
        <w:rPr>
          <w:sz w:val="24"/>
          <w:szCs w:val="24"/>
          <w:lang w:val="sr-Cyrl-RS"/>
        </w:rPr>
        <w:t>т</w:t>
      </w:r>
      <w:r w:rsidR="000C0879">
        <w:rPr>
          <w:sz w:val="24"/>
          <w:szCs w:val="24"/>
          <w:lang w:val="sr-Cyrl-RS"/>
        </w:rPr>
        <w:t>ела предвиђена овим законима, као што су Повереник за заштиту равноправности и Регулаторно тело за електронске медије, осуђују говор м</w:t>
      </w:r>
      <w:r w:rsidR="001901A4">
        <w:rPr>
          <w:sz w:val="24"/>
          <w:szCs w:val="24"/>
          <w:lang w:val="sr-Cyrl-RS"/>
        </w:rPr>
        <w:t>р</w:t>
      </w:r>
      <w:r w:rsidR="000C0879">
        <w:rPr>
          <w:sz w:val="24"/>
          <w:szCs w:val="24"/>
          <w:lang w:val="sr-Cyrl-RS"/>
        </w:rPr>
        <w:t xml:space="preserve">жње и тим поводом предузимају мере из своје надлежности. Тако се </w:t>
      </w:r>
      <w:r w:rsidRPr="00AA7CD8">
        <w:rPr>
          <w:sz w:val="24"/>
          <w:szCs w:val="24"/>
          <w:lang w:val="sr-Cyrl-RS"/>
        </w:rPr>
        <w:t xml:space="preserve">Регулаторно тело за </w:t>
      </w:r>
      <w:r w:rsidR="000C0879">
        <w:rPr>
          <w:sz w:val="24"/>
          <w:szCs w:val="24"/>
          <w:lang w:val="sr-Cyrl-RS"/>
        </w:rPr>
        <w:t>електронске медије, у</w:t>
      </w:r>
      <w:r w:rsidRPr="00AA7CD8">
        <w:rPr>
          <w:sz w:val="24"/>
          <w:szCs w:val="24"/>
          <w:lang w:val="sr-Cyrl-RS"/>
        </w:rPr>
        <w:t xml:space="preserve">  складу са чл</w:t>
      </w:r>
      <w:r w:rsidR="000C0879">
        <w:rPr>
          <w:sz w:val="24"/>
          <w:szCs w:val="24"/>
          <w:lang w:val="sr-Cyrl-RS"/>
        </w:rPr>
        <w:t>аном</w:t>
      </w:r>
      <w:r w:rsidRPr="00AA7CD8">
        <w:rPr>
          <w:sz w:val="24"/>
          <w:szCs w:val="24"/>
          <w:lang w:val="sr-Cyrl-RS"/>
        </w:rPr>
        <w:t xml:space="preserve"> 51</w:t>
      </w:r>
      <w:r w:rsidR="000C0879">
        <w:rPr>
          <w:sz w:val="24"/>
          <w:szCs w:val="24"/>
          <w:lang w:val="sr-Cyrl-RS"/>
        </w:rPr>
        <w:t>.</w:t>
      </w:r>
      <w:r w:rsidRPr="00AA7CD8">
        <w:rPr>
          <w:sz w:val="24"/>
          <w:szCs w:val="24"/>
          <w:lang w:val="sr-Cyrl-RS"/>
        </w:rPr>
        <w:t xml:space="preserve"> Закона о електронским медијима</w:t>
      </w:r>
      <w:r w:rsidR="000C0879">
        <w:rPr>
          <w:sz w:val="24"/>
          <w:szCs w:val="24"/>
          <w:lang w:val="sr-Cyrl-RS"/>
        </w:rPr>
        <w:t>,</w:t>
      </w:r>
      <w:r w:rsidRPr="00AA7CD8">
        <w:rPr>
          <w:sz w:val="24"/>
          <w:szCs w:val="24"/>
          <w:lang w:val="sr-Cyrl-RS"/>
        </w:rPr>
        <w:t xml:space="preserve"> стара да програмски садржај пружаоца медијске услуге не садржи информације којима се подстиче, на отворен или </w:t>
      </w:r>
      <w:r w:rsidRPr="00AA7CD8">
        <w:rPr>
          <w:sz w:val="24"/>
          <w:szCs w:val="24"/>
          <w:lang w:val="sr-Cyrl-RS"/>
        </w:rPr>
        <w:lastRenderedPageBreak/>
        <w:t>прикривен начин, дискриминација, мржња или насиље</w:t>
      </w:r>
      <w:r w:rsidR="000C0879">
        <w:rPr>
          <w:sz w:val="24"/>
          <w:szCs w:val="24"/>
          <w:lang w:val="sr-Cyrl-RS"/>
        </w:rPr>
        <w:t>, између осталог,</w:t>
      </w:r>
      <w:r w:rsidRPr="00AA7CD8">
        <w:rPr>
          <w:sz w:val="24"/>
          <w:szCs w:val="24"/>
          <w:lang w:val="sr-Cyrl-RS"/>
        </w:rPr>
        <w:t xml:space="preserve"> због расе, боје коже, предака, националне припадности, језика, верских убеђења, </w:t>
      </w:r>
      <w:r w:rsidR="000C0879">
        <w:rPr>
          <w:sz w:val="24"/>
          <w:szCs w:val="24"/>
          <w:lang w:val="sr-Cyrl-RS"/>
        </w:rPr>
        <w:t>итд</w:t>
      </w:r>
      <w:r w:rsidRPr="00AA7CD8">
        <w:rPr>
          <w:sz w:val="24"/>
          <w:szCs w:val="24"/>
          <w:lang w:val="sr-Cyrl-RS"/>
        </w:rPr>
        <w:t>.</w:t>
      </w:r>
      <w:r w:rsidR="000C0879">
        <w:rPr>
          <w:sz w:val="24"/>
          <w:szCs w:val="24"/>
          <w:lang w:val="sr-Cyrl-RS"/>
        </w:rPr>
        <w:t xml:space="preserve"> </w:t>
      </w:r>
      <w:r w:rsidR="000C0879" w:rsidRPr="000C0879">
        <w:rPr>
          <w:sz w:val="24"/>
          <w:szCs w:val="24"/>
          <w:lang w:val="sr-Cyrl-RS"/>
        </w:rPr>
        <w:t>Регулатор је више пута изрицао мере прописане Законом о електронским медијима пружаоцима медијских услуга због говора мржње у њиховом програму. Тако је у новембру 2019. године изречена мера опомене комерцијалном пружаоцу медијске услуге због дискриминације на основу националне припадности од стране водитеља према једном професору универзитета.</w:t>
      </w:r>
      <w:r w:rsidR="000C0879">
        <w:rPr>
          <w:sz w:val="24"/>
          <w:szCs w:val="24"/>
          <w:lang w:val="sr-Cyrl-RS"/>
        </w:rPr>
        <w:t xml:space="preserve"> </w:t>
      </w:r>
      <w:r w:rsidR="000C0879" w:rsidRPr="000C0879">
        <w:rPr>
          <w:sz w:val="24"/>
          <w:szCs w:val="24"/>
          <w:lang w:val="sr-Cyrl-RS"/>
        </w:rPr>
        <w:t>У јуну 2020. године изречена је мера привремене забране објављивања програмског садржаја (емисије) у трајању од 7 дана комерцијалном пружаоцу медијске услуге због говора мрж</w:t>
      </w:r>
      <w:r w:rsidR="000B1337">
        <w:rPr>
          <w:sz w:val="24"/>
          <w:szCs w:val="24"/>
          <w:lang w:val="sr-Cyrl-RS"/>
        </w:rPr>
        <w:t>њ</w:t>
      </w:r>
      <w:r w:rsidR="000C0879" w:rsidRPr="000C0879">
        <w:rPr>
          <w:sz w:val="24"/>
          <w:szCs w:val="24"/>
          <w:lang w:val="sr-Cyrl-RS"/>
        </w:rPr>
        <w:t>е изречен</w:t>
      </w:r>
      <w:r w:rsidR="001901A4">
        <w:rPr>
          <w:sz w:val="24"/>
          <w:szCs w:val="24"/>
          <w:lang w:val="sr-Cyrl-RS"/>
        </w:rPr>
        <w:t>ог</w:t>
      </w:r>
      <w:r w:rsidR="000C0879" w:rsidRPr="000C0879">
        <w:rPr>
          <w:sz w:val="24"/>
          <w:szCs w:val="24"/>
          <w:lang w:val="sr-Cyrl-RS"/>
        </w:rPr>
        <w:t xml:space="preserve"> од стране учесника емисије према једном политичару.</w:t>
      </w:r>
      <w:r w:rsidR="000C0879">
        <w:rPr>
          <w:sz w:val="24"/>
          <w:szCs w:val="24"/>
          <w:lang w:val="sr-Cyrl-RS"/>
        </w:rPr>
        <w:t xml:space="preserve"> </w:t>
      </w:r>
      <w:r w:rsidR="000C0879" w:rsidRPr="000C0879">
        <w:rPr>
          <w:sz w:val="24"/>
          <w:szCs w:val="24"/>
          <w:lang w:val="sr-Cyrl-RS"/>
        </w:rPr>
        <w:t>У децембру 2021. године изречена је мера упозорења комерцијалном пружаоцу медијске услуге због дискриминације на основу националне припадности од стране учесника емисије према једној политичарки.</w:t>
      </w:r>
      <w:r w:rsidR="000C0879">
        <w:rPr>
          <w:sz w:val="24"/>
          <w:szCs w:val="24"/>
          <w:lang w:val="sr-Cyrl-RS"/>
        </w:rPr>
        <w:t xml:space="preserve"> </w:t>
      </w:r>
      <w:r w:rsidR="000C0879" w:rsidRPr="000C0879">
        <w:rPr>
          <w:sz w:val="24"/>
          <w:szCs w:val="24"/>
          <w:lang w:val="sr-Cyrl-RS"/>
        </w:rPr>
        <w:t>У фебруару 2022. године утврђено je да су аутори емисије приказане у програму једног пружаоца медијске услуге који медијску услуге пружа путем електронске комуникационе мреже, чији се програм приказује у Републици Србији, а регистрованом у иностранству, користили говор мржње према једној политичарки, државном функционеру, о чему је обавештено регулаторно тело државе која је овом пружаоцу медијске услуге издала дозволу.</w:t>
      </w:r>
      <w:r w:rsidR="000C0879">
        <w:rPr>
          <w:sz w:val="24"/>
          <w:szCs w:val="24"/>
          <w:lang w:val="sr-Cyrl-RS"/>
        </w:rPr>
        <w:t xml:space="preserve"> </w:t>
      </w:r>
      <w:r w:rsidR="000C0879" w:rsidRPr="000C0879">
        <w:rPr>
          <w:sz w:val="24"/>
          <w:szCs w:val="24"/>
          <w:lang w:val="sr-Cyrl-RS"/>
        </w:rPr>
        <w:t>Све напред изречене мере су објaвљене на итернет страници Регулатора</w:t>
      </w:r>
      <w:r w:rsidR="000C0879">
        <w:rPr>
          <w:sz w:val="24"/>
          <w:szCs w:val="24"/>
          <w:lang w:val="sr-Cyrl-RS"/>
        </w:rPr>
        <w:t>.</w:t>
      </w:r>
      <w:r w:rsidR="000C0879">
        <w:rPr>
          <w:rStyle w:val="FootnoteReference"/>
          <w:sz w:val="24"/>
          <w:szCs w:val="24"/>
          <w:lang w:val="sr-Cyrl-RS"/>
        </w:rPr>
        <w:footnoteReference w:id="92"/>
      </w:r>
    </w:p>
    <w:p w:rsidR="007D7B56" w:rsidRPr="007D7B56" w:rsidRDefault="007D7B56" w:rsidP="007D7B56">
      <w:pPr>
        <w:tabs>
          <w:tab w:val="left" w:pos="707"/>
        </w:tabs>
        <w:spacing w:after="0"/>
        <w:ind w:right="-46"/>
        <w:jc w:val="both"/>
        <w:rPr>
          <w:sz w:val="24"/>
          <w:szCs w:val="24"/>
          <w:lang w:val="sr-Cyrl-RS"/>
        </w:rPr>
      </w:pPr>
      <w:r>
        <w:rPr>
          <w:sz w:val="24"/>
          <w:szCs w:val="24"/>
          <w:lang w:val="sr-Cyrl-RS"/>
        </w:rPr>
        <w:tab/>
      </w:r>
      <w:r w:rsidRPr="007D7B56">
        <w:rPr>
          <w:sz w:val="24"/>
          <w:szCs w:val="24"/>
          <w:lang w:val="sr-Cyrl-RS"/>
        </w:rPr>
        <w:t>У организацији Министарства културе и информисања</w:t>
      </w:r>
      <w:r w:rsidR="001901A4">
        <w:rPr>
          <w:sz w:val="24"/>
          <w:szCs w:val="24"/>
          <w:lang w:val="sr-Cyrl-RS"/>
        </w:rPr>
        <w:t xml:space="preserve"> у</w:t>
      </w:r>
      <w:r w:rsidRPr="007D7B56">
        <w:rPr>
          <w:sz w:val="24"/>
          <w:szCs w:val="24"/>
          <w:lang w:val="sr-Cyrl-RS"/>
        </w:rPr>
        <w:t xml:space="preserve"> новембр</w:t>
      </w:r>
      <w:r w:rsidR="001901A4">
        <w:rPr>
          <w:sz w:val="24"/>
          <w:szCs w:val="24"/>
          <w:lang w:val="sr-Cyrl-RS"/>
        </w:rPr>
        <w:t>у</w:t>
      </w:r>
      <w:r w:rsidRPr="007D7B56">
        <w:rPr>
          <w:sz w:val="24"/>
          <w:szCs w:val="24"/>
          <w:lang w:val="sr-Cyrl-RS"/>
        </w:rPr>
        <w:t xml:space="preserve"> 2021. године одржане су две међународне радионице за медијска и новинарска удружења и све актере у области информисања и медија на тему Етика и вредности у дигиталном добу</w:t>
      </w:r>
      <w:r>
        <w:rPr>
          <w:sz w:val="24"/>
          <w:szCs w:val="24"/>
          <w:lang w:val="sr-Cyrl-RS"/>
        </w:rPr>
        <w:t xml:space="preserve">, између осталог, </w:t>
      </w:r>
      <w:r w:rsidRPr="007D7B56">
        <w:rPr>
          <w:sz w:val="24"/>
          <w:szCs w:val="24"/>
          <w:lang w:val="sr-Cyrl-RS"/>
        </w:rPr>
        <w:t xml:space="preserve">са фокусом на борбу против говора мржње. На овим радионицама учествовало је преко 40 актера из области јавног информисања и медија.  </w:t>
      </w:r>
    </w:p>
    <w:p w:rsidR="007D7B56" w:rsidRPr="007D7B56" w:rsidRDefault="007D7B56" w:rsidP="007D7B56">
      <w:pPr>
        <w:tabs>
          <w:tab w:val="left" w:pos="707"/>
        </w:tabs>
        <w:spacing w:after="0"/>
        <w:ind w:right="-46"/>
        <w:jc w:val="both"/>
        <w:rPr>
          <w:sz w:val="24"/>
          <w:szCs w:val="24"/>
          <w:lang w:val="sr-Cyrl-RS"/>
        </w:rPr>
      </w:pPr>
      <w:r>
        <w:rPr>
          <w:sz w:val="24"/>
          <w:szCs w:val="24"/>
          <w:lang w:val="sr-Cyrl-RS"/>
        </w:rPr>
        <w:tab/>
      </w:r>
      <w:r w:rsidRPr="007D7B56">
        <w:rPr>
          <w:sz w:val="24"/>
          <w:szCs w:val="24"/>
          <w:lang w:val="sr-Cyrl-RS"/>
        </w:rPr>
        <w:t>У овом извештајном периоду Министарство културе и информисања и Делегација Европске уније</w:t>
      </w:r>
      <w:r w:rsidR="001901A4">
        <w:rPr>
          <w:sz w:val="24"/>
          <w:szCs w:val="24"/>
          <w:lang w:val="sr-Cyrl-RS"/>
        </w:rPr>
        <w:t>,</w:t>
      </w:r>
      <w:r w:rsidRPr="007D7B56">
        <w:rPr>
          <w:sz w:val="24"/>
          <w:szCs w:val="24"/>
          <w:lang w:val="sr-Cyrl-RS"/>
        </w:rPr>
        <w:t xml:space="preserve"> </w:t>
      </w:r>
      <w:r w:rsidR="00126AEB" w:rsidRPr="00126AEB">
        <w:rPr>
          <w:sz w:val="24"/>
          <w:szCs w:val="24"/>
          <w:lang w:val="sr-Cyrl-RS"/>
        </w:rPr>
        <w:t>уз подршку ОЕБС-а</w:t>
      </w:r>
      <w:r w:rsidR="001901A4">
        <w:rPr>
          <w:sz w:val="24"/>
          <w:szCs w:val="24"/>
          <w:lang w:val="sr-Cyrl-RS"/>
        </w:rPr>
        <w:t>,</w:t>
      </w:r>
      <w:r w:rsidR="00126AEB" w:rsidRPr="00126AEB">
        <w:rPr>
          <w:sz w:val="24"/>
          <w:szCs w:val="24"/>
          <w:lang w:val="sr-Cyrl-RS"/>
        </w:rPr>
        <w:t xml:space="preserve"> </w:t>
      </w:r>
      <w:r>
        <w:rPr>
          <w:sz w:val="24"/>
          <w:szCs w:val="24"/>
          <w:lang w:val="sr-Cyrl-RS"/>
        </w:rPr>
        <w:t xml:space="preserve">издали су </w:t>
      </w:r>
      <w:r w:rsidRPr="007D7B56">
        <w:rPr>
          <w:sz w:val="24"/>
          <w:szCs w:val="24"/>
          <w:lang w:val="sr-Cyrl-RS"/>
        </w:rPr>
        <w:t>Приручник за медијску писменост за наставнике у предуниверзитетском образовању</w:t>
      </w:r>
      <w:r>
        <w:rPr>
          <w:sz w:val="24"/>
          <w:szCs w:val="24"/>
          <w:lang w:val="sr-Cyrl-RS"/>
        </w:rPr>
        <w:t xml:space="preserve">, </w:t>
      </w:r>
      <w:r w:rsidRPr="007D7B56">
        <w:rPr>
          <w:sz w:val="24"/>
          <w:szCs w:val="24"/>
          <w:lang w:val="sr-Cyrl-RS"/>
        </w:rPr>
        <w:t>будући да су знања и вештине из ове области међународно признати алати у борби против говора мржње, стереотипизације и дезинформација</w:t>
      </w:r>
      <w:r>
        <w:rPr>
          <w:sz w:val="24"/>
          <w:szCs w:val="24"/>
          <w:lang w:val="sr-Cyrl-RS"/>
        </w:rPr>
        <w:t>. Приручник је</w:t>
      </w:r>
      <w:r w:rsidRPr="007D7B56">
        <w:rPr>
          <w:sz w:val="24"/>
          <w:szCs w:val="24"/>
          <w:lang w:val="sr-Cyrl-RS"/>
        </w:rPr>
        <w:t xml:space="preserve"> преведен на албански и мађарски језик. </w:t>
      </w:r>
      <w:r>
        <w:rPr>
          <w:sz w:val="24"/>
          <w:szCs w:val="24"/>
          <w:lang w:val="sr-Cyrl-RS"/>
        </w:rPr>
        <w:t xml:space="preserve">Такође, </w:t>
      </w:r>
      <w:r w:rsidRPr="007D7B56">
        <w:rPr>
          <w:sz w:val="24"/>
          <w:szCs w:val="24"/>
          <w:lang w:val="sr-Cyrl-RS"/>
        </w:rPr>
        <w:t>Министарство културе и информисања на годишњем нивоу издваја значајна средства за суфинансирање пројеката у области јавног информисања, пружајући подршку пројектима из домена слободе медија, заштите и безбедности новин</w:t>
      </w:r>
      <w:r>
        <w:rPr>
          <w:sz w:val="24"/>
          <w:szCs w:val="24"/>
          <w:lang w:val="sr-Cyrl-RS"/>
        </w:rPr>
        <w:t>ара</w:t>
      </w:r>
      <w:r w:rsidR="000307DB">
        <w:rPr>
          <w:sz w:val="24"/>
          <w:szCs w:val="24"/>
          <w:lang w:val="sr-Cyrl-RS"/>
        </w:rPr>
        <w:t xml:space="preserve"> и</w:t>
      </w:r>
      <w:r>
        <w:rPr>
          <w:sz w:val="24"/>
          <w:szCs w:val="24"/>
          <w:lang w:val="sr-Cyrl-RS"/>
        </w:rPr>
        <w:t xml:space="preserve"> борбе против говора мржње. </w:t>
      </w:r>
      <w:r w:rsidRPr="007D7B56">
        <w:rPr>
          <w:sz w:val="24"/>
          <w:szCs w:val="24"/>
          <w:lang w:val="sr-Cyrl-RS"/>
        </w:rPr>
        <w:t xml:space="preserve">Један од ближих критеријума за суфинансирање пројеката </w:t>
      </w:r>
      <w:r>
        <w:rPr>
          <w:sz w:val="24"/>
          <w:szCs w:val="24"/>
          <w:lang w:val="sr-Cyrl-RS"/>
        </w:rPr>
        <w:t xml:space="preserve">од стране Министарства </w:t>
      </w:r>
      <w:r w:rsidRPr="007D7B56">
        <w:rPr>
          <w:sz w:val="24"/>
          <w:szCs w:val="24"/>
          <w:lang w:val="sr-Cyrl-RS"/>
        </w:rPr>
        <w:t>је превенција сензационализма, говора мржње и агресивне комуникације. У 2021. години подржани су следећи пројекти:</w:t>
      </w:r>
    </w:p>
    <w:p w:rsidR="007D7B56" w:rsidRPr="00126AEB" w:rsidRDefault="007D7B56" w:rsidP="00126AEB">
      <w:pPr>
        <w:pStyle w:val="ListParagraph"/>
        <w:numPr>
          <w:ilvl w:val="0"/>
          <w:numId w:val="5"/>
        </w:numPr>
        <w:tabs>
          <w:tab w:val="left" w:pos="707"/>
        </w:tabs>
        <w:spacing w:after="0"/>
        <w:ind w:right="-46"/>
        <w:jc w:val="both"/>
        <w:rPr>
          <w:sz w:val="24"/>
          <w:szCs w:val="24"/>
          <w:lang w:val="sr-Cyrl-RS"/>
        </w:rPr>
      </w:pPr>
      <w:r w:rsidRPr="00126AEB">
        <w:rPr>
          <w:sz w:val="24"/>
          <w:szCs w:val="24"/>
          <w:lang w:val="sr-Cyrl-RS"/>
        </w:rPr>
        <w:t>„Под притиском: Истраживање и регионална конференција о медијским слободама, притисцима и нападима на новинаре и медије”</w:t>
      </w:r>
      <w:r w:rsidR="000307DB">
        <w:rPr>
          <w:sz w:val="24"/>
          <w:szCs w:val="24"/>
          <w:lang w:val="sr-Cyrl-RS"/>
        </w:rPr>
        <w:t>,</w:t>
      </w:r>
      <w:r w:rsidRPr="00126AEB">
        <w:rPr>
          <w:sz w:val="24"/>
          <w:szCs w:val="24"/>
          <w:lang w:val="sr-Cyrl-RS"/>
        </w:rPr>
        <w:t xml:space="preserve"> Удружења новинара Србије у вредности од 950.000,00 динара;</w:t>
      </w:r>
    </w:p>
    <w:p w:rsidR="007D7B56" w:rsidRPr="00126AEB" w:rsidRDefault="007D7B56" w:rsidP="00126AEB">
      <w:pPr>
        <w:pStyle w:val="ListParagraph"/>
        <w:numPr>
          <w:ilvl w:val="0"/>
          <w:numId w:val="5"/>
        </w:numPr>
        <w:tabs>
          <w:tab w:val="left" w:pos="707"/>
        </w:tabs>
        <w:spacing w:after="0"/>
        <w:ind w:right="-46"/>
        <w:jc w:val="both"/>
        <w:rPr>
          <w:sz w:val="24"/>
          <w:szCs w:val="24"/>
          <w:lang w:val="sr-Cyrl-RS"/>
        </w:rPr>
      </w:pPr>
      <w:r w:rsidRPr="00126AEB">
        <w:rPr>
          <w:sz w:val="24"/>
          <w:szCs w:val="24"/>
          <w:lang w:val="sr-Cyrl-RS"/>
        </w:rPr>
        <w:t>„Јаке редакције против дезинформација и говора мржње“, пројекат који спроводи Медија Центар д.о.о. Предузеће за издаваштво и новинску делатност</w:t>
      </w:r>
      <w:r w:rsidR="000307DB">
        <w:rPr>
          <w:sz w:val="24"/>
          <w:szCs w:val="24"/>
          <w:lang w:val="sr-Cyrl-RS"/>
        </w:rPr>
        <w:t>,</w:t>
      </w:r>
      <w:r w:rsidRPr="00126AEB">
        <w:rPr>
          <w:sz w:val="24"/>
          <w:szCs w:val="24"/>
          <w:lang w:val="sr-Cyrl-RS"/>
        </w:rPr>
        <w:t xml:space="preserve"> Београд (Стари Град)</w:t>
      </w:r>
      <w:r w:rsidR="000307DB">
        <w:rPr>
          <w:sz w:val="24"/>
          <w:szCs w:val="24"/>
          <w:lang w:val="sr-Cyrl-RS"/>
        </w:rPr>
        <w:t>,</w:t>
      </w:r>
      <w:r w:rsidRPr="00126AEB">
        <w:rPr>
          <w:sz w:val="24"/>
          <w:szCs w:val="24"/>
          <w:lang w:val="sr-Cyrl-RS"/>
        </w:rPr>
        <w:t xml:space="preserve"> у износу од 630.100,00 динара; </w:t>
      </w:r>
    </w:p>
    <w:p w:rsidR="007D7B56" w:rsidRPr="00126AEB" w:rsidRDefault="007D7B56" w:rsidP="00126AEB">
      <w:pPr>
        <w:pStyle w:val="ListParagraph"/>
        <w:numPr>
          <w:ilvl w:val="0"/>
          <w:numId w:val="5"/>
        </w:numPr>
        <w:tabs>
          <w:tab w:val="left" w:pos="707"/>
        </w:tabs>
        <w:spacing w:after="0"/>
        <w:ind w:right="-46"/>
        <w:jc w:val="both"/>
        <w:rPr>
          <w:sz w:val="24"/>
          <w:szCs w:val="24"/>
          <w:lang w:val="sr-Cyrl-RS"/>
        </w:rPr>
      </w:pPr>
      <w:r w:rsidRPr="00126AEB">
        <w:rPr>
          <w:sz w:val="24"/>
          <w:szCs w:val="24"/>
          <w:lang w:val="sr-Cyrl-RS"/>
        </w:rPr>
        <w:t>„Стоп говору мржње“</w:t>
      </w:r>
      <w:r w:rsidR="000307DB">
        <w:rPr>
          <w:sz w:val="24"/>
          <w:szCs w:val="24"/>
          <w:lang w:val="sr-Cyrl-RS"/>
        </w:rPr>
        <w:t>,</w:t>
      </w:r>
      <w:r w:rsidRPr="00126AEB">
        <w:rPr>
          <w:sz w:val="24"/>
          <w:szCs w:val="24"/>
          <w:lang w:val="sr-Cyrl-RS"/>
        </w:rPr>
        <w:t xml:space="preserve"> пројекат који спроводи Локални медија план из Новог Пазара подржан </w:t>
      </w:r>
      <w:r w:rsidR="000307DB">
        <w:rPr>
          <w:sz w:val="24"/>
          <w:szCs w:val="24"/>
          <w:lang w:val="sr-Cyrl-RS"/>
        </w:rPr>
        <w:t xml:space="preserve">је </w:t>
      </w:r>
      <w:r w:rsidRPr="00126AEB">
        <w:rPr>
          <w:sz w:val="24"/>
          <w:szCs w:val="24"/>
          <w:lang w:val="sr-Cyrl-RS"/>
        </w:rPr>
        <w:t xml:space="preserve">износом од 370.000 динара; </w:t>
      </w:r>
    </w:p>
    <w:p w:rsidR="007D7B56" w:rsidRPr="00126AEB" w:rsidRDefault="007D7B56" w:rsidP="00126AEB">
      <w:pPr>
        <w:pStyle w:val="ListParagraph"/>
        <w:numPr>
          <w:ilvl w:val="0"/>
          <w:numId w:val="5"/>
        </w:numPr>
        <w:tabs>
          <w:tab w:val="left" w:pos="707"/>
        </w:tabs>
        <w:spacing w:after="0"/>
        <w:ind w:right="-46"/>
        <w:jc w:val="both"/>
        <w:rPr>
          <w:sz w:val="24"/>
          <w:szCs w:val="24"/>
          <w:lang w:val="sr-Cyrl-RS"/>
        </w:rPr>
      </w:pPr>
      <w:r w:rsidRPr="00126AEB">
        <w:rPr>
          <w:sz w:val="24"/>
          <w:szCs w:val="24"/>
          <w:lang w:val="sr-Cyrl-RS"/>
        </w:rPr>
        <w:lastRenderedPageBreak/>
        <w:t>„Ре-одговор: борба против говора мржње и токсичних наратива у онлајн сфери“</w:t>
      </w:r>
      <w:r w:rsidR="000307DB">
        <w:rPr>
          <w:sz w:val="24"/>
          <w:szCs w:val="24"/>
          <w:lang w:val="sr-Cyrl-RS"/>
        </w:rPr>
        <w:t>,</w:t>
      </w:r>
      <w:r w:rsidRPr="00126AEB">
        <w:rPr>
          <w:sz w:val="24"/>
          <w:szCs w:val="24"/>
          <w:lang w:val="sr-Cyrl-RS"/>
        </w:rPr>
        <w:t xml:space="preserve"> пројекат Новосадске новинарске школе подржан је износом од 380.700,00 динара.</w:t>
      </w:r>
    </w:p>
    <w:p w:rsidR="00126AEB" w:rsidRDefault="00126AEB" w:rsidP="00126AEB">
      <w:pPr>
        <w:tabs>
          <w:tab w:val="left" w:pos="707"/>
        </w:tabs>
        <w:spacing w:after="0"/>
        <w:ind w:left="720" w:right="-46"/>
        <w:jc w:val="both"/>
        <w:rPr>
          <w:sz w:val="24"/>
          <w:szCs w:val="24"/>
          <w:lang w:val="sr-Cyrl-RS"/>
        </w:rPr>
      </w:pPr>
    </w:p>
    <w:p w:rsidR="00AA7CD8" w:rsidRPr="00AA7CD8" w:rsidRDefault="00126AEB" w:rsidP="00AA7CD8">
      <w:pPr>
        <w:tabs>
          <w:tab w:val="left" w:pos="707"/>
        </w:tabs>
        <w:spacing w:after="0"/>
        <w:ind w:right="-46"/>
        <w:jc w:val="both"/>
        <w:rPr>
          <w:sz w:val="24"/>
          <w:szCs w:val="24"/>
          <w:lang w:val="sr-Cyrl-RS"/>
        </w:rPr>
      </w:pPr>
      <w:r>
        <w:rPr>
          <w:sz w:val="24"/>
          <w:szCs w:val="24"/>
          <w:lang w:val="sr-Cyrl-RS"/>
        </w:rPr>
        <w:tab/>
      </w:r>
      <w:r w:rsidR="00AA7CD8" w:rsidRPr="00AA7CD8">
        <w:rPr>
          <w:sz w:val="24"/>
          <w:szCs w:val="24"/>
          <w:lang w:val="sr-Cyrl-RS"/>
        </w:rPr>
        <w:t>Законом о спорту</w:t>
      </w:r>
      <w:r w:rsidR="001E5304">
        <w:rPr>
          <w:sz w:val="24"/>
          <w:szCs w:val="24"/>
          <w:lang w:val="sr-Cyrl-RS"/>
        </w:rPr>
        <w:t>,</w:t>
      </w:r>
      <w:r>
        <w:rPr>
          <w:rStyle w:val="FootnoteReference"/>
          <w:sz w:val="24"/>
          <w:szCs w:val="24"/>
          <w:lang w:val="sr-Cyrl-RS"/>
        </w:rPr>
        <w:footnoteReference w:id="93"/>
      </w:r>
      <w:r w:rsidR="001E5304">
        <w:rPr>
          <w:sz w:val="24"/>
          <w:szCs w:val="24"/>
          <w:lang w:val="sr-Cyrl-RS"/>
        </w:rPr>
        <w:t xml:space="preserve"> </w:t>
      </w:r>
      <w:r w:rsidR="00AA7CD8" w:rsidRPr="00AA7CD8">
        <w:rPr>
          <w:sz w:val="24"/>
          <w:szCs w:val="24"/>
          <w:lang w:val="sr-Cyrl-RS"/>
        </w:rPr>
        <w:t>између осталог</w:t>
      </w:r>
      <w:r>
        <w:rPr>
          <w:sz w:val="24"/>
          <w:szCs w:val="24"/>
          <w:lang w:val="sr-Cyrl-RS"/>
        </w:rPr>
        <w:t>,</w:t>
      </w:r>
      <w:r w:rsidR="00AA7CD8" w:rsidRPr="00AA7CD8">
        <w:rPr>
          <w:sz w:val="24"/>
          <w:szCs w:val="24"/>
          <w:lang w:val="sr-Cyrl-RS"/>
        </w:rPr>
        <w:t xml:space="preserve"> прописане су и обавезе организатора у вези са несметаним и безбедним одржавањем спортске приредбе, као и мере за спречавање насиља и недоличног понашања и других негативних појава у спорту. Овим законом је дефинисан значај и функција Националног савета за спречавање насиља и недоличног понашања гледалаца на спортским приредбама. Савет је одржао 12 седница, усвојен је Акциони план за спречавање насиља и недоличног понашања на спортским приредбама и многе мере из Акционог плана већ се примењују. У Стратегији развоја спорта за период 2014-2018. године дефинисано је успостављање механизма за доследну примену Националне стратегије за борбу против насиља и недоличног понашања гледалаца на спортским приредбама за период 2014- 2018. године.</w:t>
      </w:r>
      <w:r w:rsidR="002166C2">
        <w:rPr>
          <w:rStyle w:val="FootnoteReference"/>
          <w:sz w:val="24"/>
          <w:szCs w:val="24"/>
          <w:lang w:val="sr-Cyrl-RS"/>
        </w:rPr>
        <w:footnoteReference w:id="94"/>
      </w:r>
      <w:r w:rsidR="00AA7CD8" w:rsidRPr="00AA7CD8">
        <w:rPr>
          <w:sz w:val="24"/>
          <w:szCs w:val="24"/>
          <w:lang w:val="sr-Cyrl-RS"/>
        </w:rPr>
        <w:t xml:space="preserve"> Тренутно је у процесу израде нови стратешки документ за период 2020-2030. године. Национална стратегија за младе за период од 2015. до 2025. године</w:t>
      </w:r>
      <w:r w:rsidR="002166C2">
        <w:rPr>
          <w:rStyle w:val="FootnoteReference"/>
          <w:sz w:val="24"/>
          <w:szCs w:val="24"/>
          <w:lang w:val="sr-Cyrl-RS"/>
        </w:rPr>
        <w:footnoteReference w:id="95"/>
      </w:r>
      <w:r w:rsidR="00AA7CD8" w:rsidRPr="00AA7CD8">
        <w:rPr>
          <w:sz w:val="24"/>
          <w:szCs w:val="24"/>
          <w:lang w:val="sr-Cyrl-RS"/>
        </w:rPr>
        <w:t xml:space="preserve"> у оквиру циља</w:t>
      </w:r>
      <w:r w:rsidR="002166C2">
        <w:rPr>
          <w:sz w:val="24"/>
          <w:szCs w:val="24"/>
          <w:lang w:val="sr-Cyrl-RS"/>
        </w:rPr>
        <w:t xml:space="preserve">: </w:t>
      </w:r>
      <w:r w:rsidR="00AA7CD8" w:rsidRPr="00AA7CD8">
        <w:rPr>
          <w:sz w:val="24"/>
          <w:szCs w:val="24"/>
          <w:lang w:val="sr-Cyrl-RS"/>
        </w:rPr>
        <w:t>безбедност младих, прописује мере и активности за превенцију и сузбијање насиља међу навијачким групама, као и за повећање толеранције, сузбијања говора мржње међу младима</w:t>
      </w:r>
      <w:r w:rsidR="000307DB">
        <w:rPr>
          <w:sz w:val="24"/>
          <w:szCs w:val="24"/>
          <w:lang w:val="sr-Cyrl-RS"/>
        </w:rPr>
        <w:t>,</w:t>
      </w:r>
      <w:r w:rsidR="00AA7CD8" w:rsidRPr="00AA7CD8">
        <w:rPr>
          <w:sz w:val="24"/>
          <w:szCs w:val="24"/>
          <w:lang w:val="sr-Cyrl-RS"/>
        </w:rPr>
        <w:t xml:space="preserve"> итд.</w:t>
      </w:r>
    </w:p>
    <w:p w:rsidR="00561176" w:rsidRPr="00561176" w:rsidRDefault="00AA7CD8" w:rsidP="000C0879">
      <w:pPr>
        <w:tabs>
          <w:tab w:val="left" w:pos="707"/>
        </w:tabs>
        <w:spacing w:after="0"/>
        <w:ind w:right="-46"/>
        <w:jc w:val="both"/>
        <w:rPr>
          <w:sz w:val="24"/>
          <w:szCs w:val="24"/>
          <w:lang w:val="sr-Cyrl-RS"/>
        </w:rPr>
      </w:pPr>
      <w:r w:rsidRPr="00AA7CD8">
        <w:rPr>
          <w:sz w:val="24"/>
          <w:szCs w:val="24"/>
          <w:lang w:val="sr-Cyrl-RS"/>
        </w:rPr>
        <w:tab/>
      </w:r>
      <w:r w:rsidR="00561176" w:rsidRPr="00561176">
        <w:rPr>
          <w:sz w:val="24"/>
          <w:szCs w:val="24"/>
          <w:lang w:val="sr-Cyrl-RS"/>
        </w:rPr>
        <w:t>У складу са Уредбом о безбедности и заштити деце при коришћењу информационо-комуникационих технологија</w:t>
      </w:r>
      <w:r w:rsidR="002166C2">
        <w:rPr>
          <w:rStyle w:val="FootnoteReference"/>
          <w:sz w:val="24"/>
          <w:szCs w:val="24"/>
          <w:lang w:val="sr-Cyrl-RS"/>
        </w:rPr>
        <w:footnoteReference w:id="96"/>
      </w:r>
      <w:r w:rsidR="00561176" w:rsidRPr="00561176">
        <w:rPr>
          <w:sz w:val="24"/>
          <w:szCs w:val="24"/>
          <w:lang w:val="sr-Cyrl-RS"/>
        </w:rPr>
        <w:t xml:space="preserve"> у Министарству трговине, туризма и телекомуникација 2017. године успостављен је Национални контакт центар за безбедност деце на интернету. Контакт центар представља јединствено место за пружање савета о паметном и безбедном коришћењу интернета, као и за пријем и прослеђивање пријава о штетном, непримереном или нелегалном садржају и понашању на интернету.</w:t>
      </w:r>
    </w:p>
    <w:p w:rsidR="00561176" w:rsidRPr="00561176" w:rsidRDefault="00561176" w:rsidP="00561176">
      <w:pPr>
        <w:spacing w:after="0"/>
        <w:ind w:firstLine="720"/>
        <w:jc w:val="both"/>
        <w:rPr>
          <w:sz w:val="24"/>
          <w:szCs w:val="24"/>
          <w:lang w:val="sr-Cyrl-RS"/>
        </w:rPr>
      </w:pPr>
    </w:p>
    <w:p w:rsidR="00561176" w:rsidRDefault="00561176" w:rsidP="00561176">
      <w:pPr>
        <w:spacing w:after="0"/>
        <w:jc w:val="both"/>
        <w:rPr>
          <w:rFonts w:cs="Calibri"/>
          <w:i/>
          <w:sz w:val="24"/>
          <w:lang w:val="sr-Cyrl-RS"/>
        </w:rPr>
      </w:pPr>
      <w:r w:rsidRPr="00561176">
        <w:rPr>
          <w:rFonts w:cs="Calibri"/>
          <w:i/>
          <w:sz w:val="24"/>
          <w:lang w:val="sr-Cyrl-RS"/>
        </w:rPr>
        <w:t>66. Саветодавни комитет понавља своје позиве властима да значајно појачају своје напоре у подизању свести полиције, тужилаца и правосуђа о важности истраге, кривичног гоњења злочина почињених из мржње против припадника националних мањина и да обезбеде да полицијске снаге адекватно одражавају разноликост становништва у јединици локалне самоуправе у којој делују, на целој територији Републике Србије.</w:t>
      </w:r>
    </w:p>
    <w:p w:rsidR="00561176" w:rsidRDefault="00561176" w:rsidP="00561176">
      <w:pPr>
        <w:spacing w:after="0"/>
        <w:jc w:val="both"/>
        <w:rPr>
          <w:rFonts w:cs="Calibri"/>
          <w:i/>
          <w:sz w:val="24"/>
          <w:lang w:val="sr-Cyrl-RS"/>
        </w:rPr>
      </w:pPr>
    </w:p>
    <w:p w:rsidR="00561176" w:rsidRDefault="00561176" w:rsidP="00561176">
      <w:pPr>
        <w:spacing w:after="0"/>
        <w:ind w:firstLine="720"/>
        <w:jc w:val="both"/>
        <w:rPr>
          <w:sz w:val="24"/>
          <w:szCs w:val="24"/>
          <w:lang w:val="sr-Cyrl-RS"/>
        </w:rPr>
      </w:pPr>
      <w:r w:rsidRPr="00561176">
        <w:rPr>
          <w:sz w:val="24"/>
          <w:szCs w:val="24"/>
          <w:lang w:val="sr-Cyrl-RS"/>
        </w:rPr>
        <w:t>Континуирано се реализују активности усмерене на унапређење капацитета релевантних државних институција, правосуђа, полиције, медија, локалних самоуправа и организација цивилног друштва ради примене закона и санкционисања говора и злочина из мржње и ефикаснијег доношења пресуда.</w:t>
      </w:r>
    </w:p>
    <w:p w:rsidR="00561176" w:rsidRPr="006A786D" w:rsidRDefault="00561176" w:rsidP="00561176">
      <w:pPr>
        <w:spacing w:after="0"/>
        <w:ind w:firstLine="720"/>
        <w:jc w:val="both"/>
        <w:rPr>
          <w:sz w:val="24"/>
          <w:szCs w:val="24"/>
          <w:lang w:val="sr-Cyrl-RS"/>
        </w:rPr>
      </w:pPr>
      <w:r w:rsidRPr="006A786D">
        <w:rPr>
          <w:sz w:val="24"/>
          <w:szCs w:val="24"/>
          <w:lang w:val="sr-Cyrl-RS"/>
        </w:rPr>
        <w:t xml:space="preserve">Радна група у чијем су раду учествовали представници јавног тужилаштва, у сарадњи са Мисијом ОЕБС у Србији, израдила је Смернице за јавне тужиоце за кривично гоњење кривичних дела учињених из побуда мржње у Републици Србији, са циљем да се унапреди спровођење делотворне истраге и ефикасност кривичног гоњења учинилаца кривичних дела из ове области. Смернице су настале као резултат рада представника </w:t>
      </w:r>
      <w:r w:rsidRPr="006A786D">
        <w:rPr>
          <w:sz w:val="24"/>
          <w:szCs w:val="24"/>
          <w:lang w:val="sr-Cyrl-RS"/>
        </w:rPr>
        <w:lastRenderedPageBreak/>
        <w:t>Републичког јавног тужилаштва, Комитета правника за људска права – YUCОМ и Мисије ОЕБС у Србији и пример су добре сарадње државног и цивилног сектора.</w:t>
      </w:r>
    </w:p>
    <w:p w:rsidR="00561176" w:rsidRPr="006A786D" w:rsidRDefault="00561176" w:rsidP="00561176">
      <w:pPr>
        <w:spacing w:after="0"/>
        <w:ind w:firstLine="720"/>
        <w:jc w:val="both"/>
        <w:rPr>
          <w:sz w:val="24"/>
          <w:szCs w:val="24"/>
          <w:lang w:val="sr-Cyrl-RS"/>
        </w:rPr>
      </w:pPr>
      <w:r w:rsidRPr="006A786D">
        <w:rPr>
          <w:sz w:val="24"/>
          <w:szCs w:val="24"/>
          <w:lang w:val="sr-Cyrl-RS"/>
        </w:rPr>
        <w:t xml:space="preserve">Ради постизања законитости, делотворности и једнообразности у поступању јавних тужилаца у кривичним предметима због кривичних дела учињених из мржње, у смислу члана 54а Кривичног законика, </w:t>
      </w:r>
      <w:r>
        <w:rPr>
          <w:sz w:val="24"/>
          <w:szCs w:val="24"/>
          <w:lang w:val="sr-Cyrl-RS"/>
        </w:rPr>
        <w:t>р</w:t>
      </w:r>
      <w:r w:rsidRPr="006A786D">
        <w:rPr>
          <w:sz w:val="24"/>
          <w:szCs w:val="24"/>
          <w:lang w:val="sr-Cyrl-RS"/>
        </w:rPr>
        <w:t>епублички јавни тужилац је доне</w:t>
      </w:r>
      <w:r>
        <w:rPr>
          <w:sz w:val="24"/>
          <w:szCs w:val="24"/>
          <w:lang w:val="sr-Cyrl-RS"/>
        </w:rPr>
        <w:t>о</w:t>
      </w:r>
      <w:r w:rsidRPr="006A786D">
        <w:rPr>
          <w:sz w:val="24"/>
          <w:szCs w:val="24"/>
          <w:lang w:val="sr-Cyrl-RS"/>
        </w:rPr>
        <w:t xml:space="preserve"> Опште обавезно упутство О.бр. 4/2018 од 28.</w:t>
      </w:r>
      <w:r>
        <w:rPr>
          <w:sz w:val="24"/>
          <w:szCs w:val="24"/>
          <w:lang w:val="sr-Cyrl-RS"/>
        </w:rPr>
        <w:t xml:space="preserve"> септембра </w:t>
      </w:r>
      <w:r w:rsidRPr="006A786D">
        <w:rPr>
          <w:sz w:val="24"/>
          <w:szCs w:val="24"/>
          <w:lang w:val="sr-Cyrl-RS"/>
        </w:rPr>
        <w:t>2018. године, којим је предвиђено да се у свим апелационим, вишим и основним јавним тужилаштвима одреде тужиоци контакт особе за кривична дела учињена из мржње, у смислу члана 54а Кривичног законика.</w:t>
      </w:r>
    </w:p>
    <w:p w:rsidR="00561176" w:rsidRPr="006A786D" w:rsidRDefault="00561176" w:rsidP="00561176">
      <w:pPr>
        <w:spacing w:after="0"/>
        <w:ind w:firstLine="720"/>
        <w:jc w:val="both"/>
        <w:rPr>
          <w:sz w:val="24"/>
          <w:szCs w:val="24"/>
          <w:lang w:val="sr-Cyrl-RS"/>
        </w:rPr>
      </w:pPr>
      <w:r w:rsidRPr="006A786D">
        <w:rPr>
          <w:sz w:val="24"/>
          <w:szCs w:val="24"/>
          <w:lang w:val="sr-Cyrl-RS"/>
        </w:rPr>
        <w:t>Контакт особа је јавни тужилац, односно заменик јавног тужиоца, задужен за:</w:t>
      </w:r>
    </w:p>
    <w:p w:rsidR="00561176" w:rsidRPr="006A786D" w:rsidRDefault="00561176" w:rsidP="00561176">
      <w:pPr>
        <w:spacing w:after="0"/>
        <w:ind w:firstLine="720"/>
        <w:jc w:val="both"/>
        <w:rPr>
          <w:sz w:val="24"/>
          <w:szCs w:val="24"/>
          <w:lang w:val="sr-Cyrl-RS"/>
        </w:rPr>
      </w:pPr>
      <w:r w:rsidRPr="006A786D">
        <w:rPr>
          <w:sz w:val="24"/>
          <w:szCs w:val="24"/>
          <w:lang w:val="sr-Cyrl-RS"/>
        </w:rPr>
        <w:t>- праћење евидентирања кривичних дела учињених из мржње, у складу са Упутством  Републичког јавног тужиоца А.бр.802/15 од 22.12.2015. године;</w:t>
      </w:r>
    </w:p>
    <w:p w:rsidR="00561176" w:rsidRPr="006A786D" w:rsidRDefault="00561176" w:rsidP="00561176">
      <w:pPr>
        <w:spacing w:after="0"/>
        <w:ind w:firstLine="720"/>
        <w:jc w:val="both"/>
        <w:rPr>
          <w:sz w:val="24"/>
          <w:szCs w:val="24"/>
          <w:lang w:val="sr-Cyrl-RS"/>
        </w:rPr>
      </w:pPr>
      <w:r w:rsidRPr="006A786D">
        <w:rPr>
          <w:sz w:val="24"/>
          <w:szCs w:val="24"/>
          <w:lang w:val="sr-Cyrl-RS"/>
        </w:rPr>
        <w:t>- праћење поступања у овим кривичним предметима;</w:t>
      </w:r>
    </w:p>
    <w:p w:rsidR="00561176" w:rsidRPr="006A786D" w:rsidRDefault="00561176" w:rsidP="00561176">
      <w:pPr>
        <w:spacing w:after="0"/>
        <w:ind w:firstLine="720"/>
        <w:jc w:val="both"/>
        <w:rPr>
          <w:sz w:val="24"/>
          <w:szCs w:val="24"/>
          <w:lang w:val="sr-Cyrl-RS"/>
        </w:rPr>
      </w:pPr>
      <w:r w:rsidRPr="006A786D">
        <w:rPr>
          <w:sz w:val="24"/>
          <w:szCs w:val="24"/>
          <w:lang w:val="sr-Cyrl-RS"/>
        </w:rPr>
        <w:t xml:space="preserve">- консултације са обрађивачем предмета; </w:t>
      </w:r>
    </w:p>
    <w:p w:rsidR="00561176" w:rsidRPr="006A786D" w:rsidRDefault="00561176" w:rsidP="00561176">
      <w:pPr>
        <w:spacing w:after="0"/>
        <w:ind w:firstLine="720"/>
        <w:jc w:val="both"/>
        <w:rPr>
          <w:sz w:val="24"/>
          <w:szCs w:val="24"/>
          <w:lang w:val="sr-Cyrl-RS"/>
        </w:rPr>
      </w:pPr>
      <w:r w:rsidRPr="006A786D">
        <w:rPr>
          <w:sz w:val="24"/>
          <w:szCs w:val="24"/>
          <w:lang w:val="sr-Cyrl-RS"/>
        </w:rPr>
        <w:t>- контакт са оштећеним/жртвом;</w:t>
      </w:r>
    </w:p>
    <w:p w:rsidR="00561176" w:rsidRPr="006A786D" w:rsidRDefault="00561176" w:rsidP="00561176">
      <w:pPr>
        <w:spacing w:after="0"/>
        <w:ind w:firstLine="720"/>
        <w:jc w:val="both"/>
        <w:rPr>
          <w:sz w:val="24"/>
          <w:szCs w:val="24"/>
          <w:lang w:val="sr-Cyrl-RS"/>
        </w:rPr>
      </w:pPr>
      <w:r w:rsidRPr="006A786D">
        <w:rPr>
          <w:sz w:val="24"/>
          <w:szCs w:val="24"/>
          <w:lang w:val="sr-Cyrl-RS"/>
        </w:rPr>
        <w:t>- контакт са надлежним полицијским службеником;</w:t>
      </w:r>
    </w:p>
    <w:p w:rsidR="00561176" w:rsidRDefault="00561176" w:rsidP="00561176">
      <w:pPr>
        <w:spacing w:after="0"/>
        <w:ind w:firstLine="720"/>
        <w:jc w:val="both"/>
        <w:rPr>
          <w:sz w:val="24"/>
          <w:szCs w:val="24"/>
          <w:lang w:val="sr-Cyrl-RS"/>
        </w:rPr>
      </w:pPr>
      <w:r w:rsidRPr="006A786D">
        <w:rPr>
          <w:sz w:val="24"/>
          <w:szCs w:val="24"/>
          <w:lang w:val="sr-Cyrl-RS"/>
        </w:rPr>
        <w:t>- контакт и дијалог са специјализованим организацијама цивилног друштва које пружају подршку жртвама кривичних дела учињених из мржње.</w:t>
      </w:r>
    </w:p>
    <w:p w:rsidR="000307DB" w:rsidRPr="006A786D" w:rsidRDefault="000307DB" w:rsidP="00561176">
      <w:pPr>
        <w:spacing w:after="0"/>
        <w:ind w:firstLine="720"/>
        <w:jc w:val="both"/>
        <w:rPr>
          <w:sz w:val="24"/>
          <w:szCs w:val="24"/>
          <w:lang w:val="sr-Cyrl-RS"/>
        </w:rPr>
      </w:pPr>
    </w:p>
    <w:p w:rsidR="00561176" w:rsidRDefault="00561176" w:rsidP="00561176">
      <w:pPr>
        <w:spacing w:after="0"/>
        <w:ind w:firstLine="720"/>
        <w:jc w:val="both"/>
        <w:rPr>
          <w:sz w:val="24"/>
          <w:szCs w:val="24"/>
          <w:lang w:val="sr-Cyrl-RS"/>
        </w:rPr>
      </w:pPr>
      <w:r w:rsidRPr="006A786D">
        <w:rPr>
          <w:sz w:val="24"/>
          <w:szCs w:val="24"/>
          <w:lang w:val="sr-Cyrl-RS"/>
        </w:rPr>
        <w:t>Сходно наведеном упутству, сва јавна тужилаштва редовне надлежности одредила су контакт особе за поступање у предметима за кривична дела учињена из мржње.</w:t>
      </w:r>
    </w:p>
    <w:p w:rsidR="00561176" w:rsidRDefault="00561176" w:rsidP="00561176">
      <w:pPr>
        <w:spacing w:after="0"/>
        <w:ind w:firstLine="720"/>
        <w:jc w:val="both"/>
        <w:rPr>
          <w:sz w:val="24"/>
          <w:szCs w:val="24"/>
          <w:lang w:val="sr-Cyrl-RS"/>
        </w:rPr>
      </w:pPr>
      <w:r>
        <w:rPr>
          <w:sz w:val="24"/>
          <w:szCs w:val="24"/>
          <w:lang w:val="sr-Cyrl-RS"/>
        </w:rPr>
        <w:t>П</w:t>
      </w:r>
      <w:r w:rsidRPr="006A786D">
        <w:rPr>
          <w:sz w:val="24"/>
          <w:szCs w:val="24"/>
          <w:lang w:val="sr-Cyrl-RS"/>
        </w:rPr>
        <w:t xml:space="preserve">очев од 2018. године, у складу са планом и програмом обука Правосудне академије о злочинима из мржње за јавне тужиоце, у сарадњи са Републичким јавним тужилаштвом и Мисијом ОЕБС у Србији организују </w:t>
      </w:r>
      <w:r>
        <w:rPr>
          <w:sz w:val="24"/>
          <w:szCs w:val="24"/>
          <w:lang w:val="sr-Cyrl-RS"/>
        </w:rPr>
        <w:t xml:space="preserve">се </w:t>
      </w:r>
      <w:r w:rsidRPr="006A786D">
        <w:rPr>
          <w:sz w:val="24"/>
          <w:szCs w:val="24"/>
          <w:lang w:val="sr-Cyrl-RS"/>
        </w:rPr>
        <w:t>обуке јавних тужилаца. На овим обукама презентоване су Смернице за кривично гоњење злочина из мржње у Републици Србији, као и примери практичног поступања надлежних органа у случајевима злочина из мржње, као и пракса Европског суда за људска права.</w:t>
      </w:r>
      <w:r w:rsidRPr="00B05674">
        <w:t xml:space="preserve"> </w:t>
      </w:r>
      <w:r>
        <w:rPr>
          <w:sz w:val="24"/>
          <w:szCs w:val="24"/>
          <w:lang w:val="sr-Cyrl-RS"/>
        </w:rPr>
        <w:t>У току је планирање нових</w:t>
      </w:r>
      <w:r w:rsidRPr="008F5E62">
        <w:rPr>
          <w:sz w:val="24"/>
          <w:szCs w:val="24"/>
          <w:lang w:val="sr-Cyrl-RS"/>
        </w:rPr>
        <w:t xml:space="preserve"> напреднијих обука за контакт </w:t>
      </w:r>
      <w:r>
        <w:rPr>
          <w:sz w:val="24"/>
          <w:szCs w:val="24"/>
          <w:lang w:val="sr-Cyrl-RS"/>
        </w:rPr>
        <w:t>особ</w:t>
      </w:r>
      <w:r w:rsidRPr="008F5E62">
        <w:rPr>
          <w:sz w:val="24"/>
          <w:szCs w:val="24"/>
          <w:lang w:val="sr-Cyrl-RS"/>
        </w:rPr>
        <w:t>е које је Р</w:t>
      </w:r>
      <w:r>
        <w:rPr>
          <w:sz w:val="24"/>
          <w:szCs w:val="24"/>
          <w:lang w:val="sr-Cyrl-RS"/>
        </w:rPr>
        <w:t>епубличко јавно тужилаштво</w:t>
      </w:r>
      <w:r w:rsidRPr="008F5E62">
        <w:rPr>
          <w:sz w:val="24"/>
          <w:szCs w:val="24"/>
          <w:lang w:val="sr-Cyrl-RS"/>
        </w:rPr>
        <w:t xml:space="preserve"> одредило у</w:t>
      </w:r>
      <w:r w:rsidRPr="00B05674">
        <w:rPr>
          <w:sz w:val="24"/>
          <w:szCs w:val="24"/>
          <w:lang w:val="sr-Cyrl-RS"/>
        </w:rPr>
        <w:t xml:space="preserve"> тужилаштвима.</w:t>
      </w:r>
    </w:p>
    <w:p w:rsidR="00561176" w:rsidRDefault="00561176" w:rsidP="00561176">
      <w:pPr>
        <w:spacing w:after="0"/>
        <w:ind w:firstLine="720"/>
        <w:jc w:val="both"/>
        <w:rPr>
          <w:sz w:val="24"/>
          <w:szCs w:val="24"/>
          <w:lang w:val="sr-Cyrl-RS"/>
        </w:rPr>
      </w:pPr>
      <w:r w:rsidRPr="00561176">
        <w:rPr>
          <w:sz w:val="24"/>
          <w:szCs w:val="24"/>
          <w:lang w:val="sr-Cyrl-RS"/>
        </w:rPr>
        <w:t>Током 2018. и 2019. године Правосудна академија је организовала 8 обука за представнике судова и јавног тужилаштва свих нивоа и градова у Републици Србији. Обуку је прошло око 200 лица укупно, укључујући и судијске и тужилачке помоћнике. Теме обука биле су: појам, елементи и међународноправни оквир злочина из мржње; национални правни оквир и судска кривичноправна заштита у случајевима злочина из мржње; кривично гоњење кривичних дела учињених из мржње; злочин из мржње у Републици Србији и обавеза извештавања. Посебан фокус током обука стављен је на анализу злочина из мржње у вези са припадношћу националним мањинама. Децембра 2021. године у организацији Академије одржана је презентација плана и програма обуке за контакт особе из јавних тужилаштава за борбу против злочина из мржње. Учесници су биле контакт особе из виших јавних тужилаштава, апелационих јавних тужилаштава и Републичког јавног тужилаштва. Том приликом представљена је анализа судске праксе и досадашњих пресуда у области злочина из мржње као и презентација будућег програма обуке контакт тачака у области борбе против злочина из мржње.</w:t>
      </w:r>
    </w:p>
    <w:p w:rsidR="001F3034" w:rsidRDefault="001F3034" w:rsidP="001F3034">
      <w:pPr>
        <w:spacing w:after="0"/>
        <w:ind w:firstLine="720"/>
        <w:jc w:val="both"/>
        <w:rPr>
          <w:sz w:val="24"/>
          <w:szCs w:val="24"/>
          <w:lang w:val="sr-Cyrl-RS"/>
        </w:rPr>
      </w:pPr>
      <w:r w:rsidRPr="006A786D">
        <w:rPr>
          <w:sz w:val="24"/>
          <w:szCs w:val="24"/>
          <w:lang w:val="sr-Cyrl-RS"/>
        </w:rPr>
        <w:lastRenderedPageBreak/>
        <w:t>Додатно</w:t>
      </w:r>
      <w:r>
        <w:rPr>
          <w:sz w:val="24"/>
          <w:szCs w:val="24"/>
          <w:lang w:val="sr-Cyrl-RS"/>
        </w:rPr>
        <w:t>,</w:t>
      </w:r>
      <w:r w:rsidRPr="006A786D">
        <w:rPr>
          <w:sz w:val="24"/>
          <w:szCs w:val="24"/>
          <w:lang w:val="sr-Cyrl-RS"/>
        </w:rPr>
        <w:t xml:space="preserve"> полазници Правосудне </w:t>
      </w:r>
      <w:r>
        <w:rPr>
          <w:sz w:val="24"/>
          <w:szCs w:val="24"/>
          <w:lang w:val="sr-Cyrl-RS"/>
        </w:rPr>
        <w:t>а</w:t>
      </w:r>
      <w:r w:rsidRPr="006A786D">
        <w:rPr>
          <w:sz w:val="24"/>
          <w:szCs w:val="24"/>
          <w:lang w:val="sr-Cyrl-RS"/>
        </w:rPr>
        <w:t xml:space="preserve">кадемије имају могућност да користе модел учења на даљину Савета Европе, ХЕЛП систем на тему злочина из мржње и </w:t>
      </w:r>
      <w:r>
        <w:rPr>
          <w:sz w:val="24"/>
          <w:szCs w:val="24"/>
          <w:lang w:val="sr-Cyrl-RS"/>
        </w:rPr>
        <w:t>г</w:t>
      </w:r>
      <w:r w:rsidRPr="006A786D">
        <w:rPr>
          <w:sz w:val="24"/>
          <w:szCs w:val="24"/>
          <w:lang w:val="sr-Cyrl-RS"/>
        </w:rPr>
        <w:t>овора мржње и тако стичу</w:t>
      </w:r>
      <w:r>
        <w:rPr>
          <w:sz w:val="24"/>
          <w:szCs w:val="24"/>
          <w:lang w:val="sr-Cyrl-RS"/>
        </w:rPr>
        <w:t xml:space="preserve"> </w:t>
      </w:r>
      <w:r w:rsidRPr="006A786D">
        <w:rPr>
          <w:sz w:val="24"/>
          <w:szCs w:val="24"/>
          <w:lang w:val="sr-Cyrl-RS"/>
        </w:rPr>
        <w:t>нова знања у области примене Европске конвенције о људским правима као и препорука ЕКРИ-ја.</w:t>
      </w:r>
    </w:p>
    <w:p w:rsidR="00561176" w:rsidRDefault="00561176" w:rsidP="005A54B8">
      <w:pPr>
        <w:spacing w:after="0"/>
        <w:ind w:firstLine="720"/>
        <w:jc w:val="both"/>
        <w:rPr>
          <w:sz w:val="24"/>
          <w:szCs w:val="24"/>
          <w:lang w:val="sr-Cyrl-RS"/>
        </w:rPr>
      </w:pPr>
      <w:r w:rsidRPr="006A786D">
        <w:rPr>
          <w:sz w:val="24"/>
          <w:szCs w:val="24"/>
          <w:lang w:val="sr-Cyrl-RS"/>
        </w:rPr>
        <w:t xml:space="preserve">Такође, Републичко јавно тужилаштво се у првој половини 2020. године укључило у пројекат „Повећавање свести и ресурса за подршку жртвама злочина из мржње (ЕСтАР)“ које ОЕБС / ОДИХР спроводи у 41 држави чланици ОЕБС-а у периоду од 2020. до 2021. године. </w:t>
      </w:r>
      <w:r w:rsidR="005A54B8">
        <w:rPr>
          <w:sz w:val="24"/>
          <w:szCs w:val="24"/>
          <w:lang w:val="sr-Cyrl-RS"/>
        </w:rPr>
        <w:t>Циљ пројекта је да се, у</w:t>
      </w:r>
      <w:r w:rsidRPr="006A786D">
        <w:rPr>
          <w:sz w:val="24"/>
          <w:szCs w:val="24"/>
          <w:lang w:val="sr-Cyrl-RS"/>
        </w:rPr>
        <w:t>з подршку Европске комисије и Владе Немачке, произв</w:t>
      </w:r>
      <w:r w:rsidR="005A54B8">
        <w:rPr>
          <w:sz w:val="24"/>
          <w:szCs w:val="24"/>
          <w:lang w:val="sr-Cyrl-RS"/>
        </w:rPr>
        <w:t>оде</w:t>
      </w:r>
      <w:r w:rsidRPr="006A786D">
        <w:rPr>
          <w:sz w:val="24"/>
          <w:szCs w:val="24"/>
          <w:lang w:val="sr-Cyrl-RS"/>
        </w:rPr>
        <w:t xml:space="preserve"> алат</w:t>
      </w:r>
      <w:r w:rsidR="005A54B8">
        <w:rPr>
          <w:sz w:val="24"/>
          <w:szCs w:val="24"/>
          <w:lang w:val="sr-Cyrl-RS"/>
        </w:rPr>
        <w:t>и</w:t>
      </w:r>
      <w:r w:rsidRPr="006A786D">
        <w:rPr>
          <w:sz w:val="24"/>
          <w:szCs w:val="24"/>
          <w:lang w:val="sr-Cyrl-RS"/>
        </w:rPr>
        <w:t xml:space="preserve"> за побољшање заштите и услуга за жртве злочина из мржње и за изградњ</w:t>
      </w:r>
      <w:r w:rsidR="005A54B8">
        <w:rPr>
          <w:sz w:val="24"/>
          <w:szCs w:val="24"/>
          <w:lang w:val="sr-Cyrl-RS"/>
        </w:rPr>
        <w:t xml:space="preserve">у капацитета пружалаца услуга. </w:t>
      </w:r>
      <w:r w:rsidRPr="006A786D">
        <w:rPr>
          <w:sz w:val="24"/>
          <w:szCs w:val="24"/>
          <w:lang w:val="sr-Cyrl-RS"/>
        </w:rPr>
        <w:t xml:space="preserve">Поред тога, заменик </w:t>
      </w:r>
      <w:r>
        <w:rPr>
          <w:sz w:val="24"/>
          <w:szCs w:val="24"/>
          <w:lang w:val="sr-Cyrl-RS"/>
        </w:rPr>
        <w:t>р</w:t>
      </w:r>
      <w:r w:rsidRPr="006A786D">
        <w:rPr>
          <w:sz w:val="24"/>
          <w:szCs w:val="24"/>
          <w:lang w:val="sr-Cyrl-RS"/>
        </w:rPr>
        <w:t>епубличког јавног тужиоца одређен је за члана Мреже експерата за подршку жртвама злочина из мржње, која је основана у оквиру пројекта. Главни циљ ове мреже је прикупљање и размена знања, експертизе и праксе о постојећим аспектима подршке жртвама злочина из мржње.</w:t>
      </w:r>
    </w:p>
    <w:p w:rsidR="001F3034" w:rsidRPr="001F3034" w:rsidRDefault="001F3034" w:rsidP="001F3034">
      <w:pPr>
        <w:spacing w:after="0"/>
        <w:ind w:firstLine="720"/>
        <w:jc w:val="both"/>
        <w:rPr>
          <w:sz w:val="24"/>
          <w:szCs w:val="24"/>
          <w:lang w:val="sr-Cyrl-RS"/>
        </w:rPr>
      </w:pPr>
      <w:r w:rsidRPr="001F3034">
        <w:rPr>
          <w:sz w:val="24"/>
          <w:szCs w:val="24"/>
          <w:lang w:val="sr-Cyrl-RS"/>
        </w:rPr>
        <w:t xml:space="preserve">У циљу имплементације правних тековина ЕУ и прихватања стандарда европског административног простора, Министарство унутрашњих послова континуирано ради на побољшавању стандарда опште безбедности, као и едукацији запослених и будућих припадника Министарства, обраћајући посебну пажњу, између осталог, на интеграцију националних мањина у полицијску службу. </w:t>
      </w:r>
    </w:p>
    <w:p w:rsidR="001F3034" w:rsidRPr="001F3034" w:rsidRDefault="001F3034" w:rsidP="001F3034">
      <w:pPr>
        <w:spacing w:after="0"/>
        <w:ind w:firstLine="720"/>
        <w:jc w:val="both"/>
        <w:rPr>
          <w:sz w:val="24"/>
          <w:szCs w:val="24"/>
          <w:lang w:val="sr-Cyrl-RS"/>
        </w:rPr>
      </w:pPr>
      <w:r w:rsidRPr="001F3034">
        <w:rPr>
          <w:sz w:val="24"/>
          <w:szCs w:val="24"/>
          <w:lang w:val="sr-Cyrl-RS"/>
        </w:rPr>
        <w:t>Центар за полицијску обуку Министарства унутрашњих послова реализује континуирано обуке полицијских службеника које за тему имају људска права, спре</w:t>
      </w:r>
      <w:r w:rsidR="000307DB">
        <w:rPr>
          <w:sz w:val="24"/>
          <w:szCs w:val="24"/>
          <w:lang w:val="sr-Cyrl-RS"/>
        </w:rPr>
        <w:t xml:space="preserve">чавање дискриминације и тортуре, а </w:t>
      </w:r>
      <w:r w:rsidRPr="001F3034">
        <w:rPr>
          <w:sz w:val="24"/>
          <w:szCs w:val="24"/>
          <w:lang w:val="sr-Cyrl-RS"/>
        </w:rPr>
        <w:t>које су првенствено усмерене на сензибилизацију полицајаца за рад у вишеетничким заједницама, и то кроз основну полицијску обуку која се реализује у Центру за основну полицијску обуку у Сремској Каменици, као и кроз годишње обуке које су саставни део Програма стручног усавршавања полицијских службеника за текућу годину, а које се реализују у свим организационим јединицама Министарства унутрашњих послова.</w:t>
      </w:r>
    </w:p>
    <w:p w:rsidR="001F3034" w:rsidRPr="001F3034" w:rsidRDefault="001F3034" w:rsidP="001F3034">
      <w:pPr>
        <w:spacing w:after="0"/>
        <w:ind w:firstLine="720"/>
        <w:jc w:val="both"/>
        <w:rPr>
          <w:sz w:val="24"/>
          <w:szCs w:val="24"/>
          <w:lang w:val="sr-Cyrl-RS"/>
        </w:rPr>
      </w:pPr>
      <w:r w:rsidRPr="001F3034">
        <w:rPr>
          <w:sz w:val="24"/>
          <w:szCs w:val="24"/>
          <w:lang w:val="sr-Cyrl-RS"/>
        </w:rPr>
        <w:t>Министарство унутрашњих послова је у наведени Програм стручног оспособљавања имплементирао правну регулативу која се, између осталог, односи на заштиту људских права и слобода.</w:t>
      </w:r>
    </w:p>
    <w:p w:rsidR="001F3034" w:rsidRPr="001F3034" w:rsidRDefault="001F3034" w:rsidP="001F3034">
      <w:pPr>
        <w:spacing w:after="0"/>
        <w:ind w:firstLine="720"/>
        <w:jc w:val="both"/>
        <w:rPr>
          <w:sz w:val="24"/>
          <w:szCs w:val="24"/>
          <w:lang w:val="sr-Cyrl-RS"/>
        </w:rPr>
      </w:pPr>
      <w:r w:rsidRPr="001F3034">
        <w:rPr>
          <w:sz w:val="24"/>
          <w:szCs w:val="24"/>
          <w:lang w:val="sr-Cyrl-RS"/>
        </w:rPr>
        <w:t>Основна полицијска обука има за циљ оспособљавање полазника за законито и ефикасно обављање послова и задатака униформисаног полицијског службеника</w:t>
      </w:r>
      <w:r w:rsidR="000307DB">
        <w:rPr>
          <w:sz w:val="24"/>
          <w:szCs w:val="24"/>
          <w:lang w:val="sr-Cyrl-RS"/>
        </w:rPr>
        <w:t>,</w:t>
      </w:r>
      <w:r w:rsidRPr="001F3034">
        <w:rPr>
          <w:sz w:val="24"/>
          <w:szCs w:val="24"/>
          <w:lang w:val="sr-Cyrl-RS"/>
        </w:rPr>
        <w:t xml:space="preserve"> и обавезна је за све будуће полицијске службенике, а организује се пре ступања у службу, односно пре заснивања радног односа у полицији. </w:t>
      </w:r>
    </w:p>
    <w:p w:rsidR="001F3034" w:rsidRPr="001F3034" w:rsidRDefault="001F3034" w:rsidP="001F3034">
      <w:pPr>
        <w:spacing w:after="0"/>
        <w:ind w:firstLine="720"/>
        <w:jc w:val="both"/>
        <w:rPr>
          <w:sz w:val="24"/>
          <w:szCs w:val="24"/>
          <w:lang w:val="sr-Cyrl-RS"/>
        </w:rPr>
      </w:pPr>
      <w:r w:rsidRPr="001F3034">
        <w:rPr>
          <w:sz w:val="24"/>
          <w:szCs w:val="24"/>
          <w:lang w:val="sr-Cyrl-RS"/>
        </w:rPr>
        <w:t>Приликом заснивања радног односа Министарство унутрашњих послова води рачуна о националном саставу становништва, одговарајућој заступљености припадника националних мањина и познавањ</w:t>
      </w:r>
      <w:r w:rsidR="001E5304">
        <w:rPr>
          <w:sz w:val="24"/>
          <w:szCs w:val="24"/>
          <w:lang w:val="sr-Cyrl-RS"/>
        </w:rPr>
        <w:t>у</w:t>
      </w:r>
      <w:r w:rsidRPr="001F3034">
        <w:rPr>
          <w:sz w:val="24"/>
          <w:szCs w:val="24"/>
          <w:lang w:val="sr-Cyrl-RS"/>
        </w:rPr>
        <w:t xml:space="preserve"> језика и писма који је у службеној употреби на територији јединице локалне самоуправе за које је образована организациона јединица у којој лице заснива радни однос</w:t>
      </w:r>
      <w:r w:rsidR="000307DB">
        <w:rPr>
          <w:sz w:val="24"/>
          <w:szCs w:val="24"/>
          <w:lang w:val="sr-Cyrl-RS"/>
        </w:rPr>
        <w:t>,</w:t>
      </w:r>
      <w:r w:rsidRPr="001F3034">
        <w:rPr>
          <w:sz w:val="24"/>
          <w:szCs w:val="24"/>
          <w:lang w:val="sr-Cyrl-RS"/>
        </w:rPr>
        <w:t xml:space="preserve"> ради постизања пуне равноправности између припадника националних мањина и грађана који припадају већини, а у складу са чланом 137. </w:t>
      </w:r>
      <w:r w:rsidRPr="00051036">
        <w:rPr>
          <w:sz w:val="24"/>
          <w:szCs w:val="24"/>
          <w:lang w:val="sr-Cyrl-RS"/>
        </w:rPr>
        <w:t>Закона о полицији.</w:t>
      </w:r>
      <w:r w:rsidR="00051036" w:rsidRPr="00051036">
        <w:rPr>
          <w:rStyle w:val="FootnoteReference"/>
          <w:sz w:val="24"/>
          <w:szCs w:val="24"/>
          <w:lang w:val="sr-Cyrl-RS"/>
        </w:rPr>
        <w:footnoteReference w:id="97"/>
      </w:r>
    </w:p>
    <w:p w:rsidR="001F3034" w:rsidRPr="001F3034" w:rsidRDefault="001F3034" w:rsidP="001F3034">
      <w:pPr>
        <w:spacing w:after="0"/>
        <w:ind w:firstLine="720"/>
        <w:jc w:val="both"/>
        <w:rPr>
          <w:sz w:val="24"/>
          <w:szCs w:val="24"/>
          <w:lang w:val="sr-Cyrl-RS"/>
        </w:rPr>
      </w:pPr>
      <w:r w:rsidRPr="001F3034">
        <w:rPr>
          <w:sz w:val="24"/>
          <w:szCs w:val="24"/>
          <w:lang w:val="sr-Cyrl-RS"/>
        </w:rPr>
        <w:t xml:space="preserve">Област људских права, у основној полицијској обуци заступљена је у више наставних предмета и стручних модула, међу којима посебну улогу заузима предмет </w:t>
      </w:r>
      <w:r w:rsidRPr="001F3034">
        <w:rPr>
          <w:sz w:val="24"/>
          <w:szCs w:val="24"/>
          <w:lang w:val="sr-Cyrl-RS"/>
        </w:rPr>
        <w:lastRenderedPageBreak/>
        <w:t>„Рад полиције у заједници, људска права и кодекс полицијске етике“ у оквиру којег полазници стичу знања o феномену људских права и слобода, категоријама морала и етике, деонтологије и упознају се са структуром и доменом националног полицијског кодекса и Европског кодекса полицијске етике, као и са радом полиције у заједници. Полазници се упознају са Кодексом полицијске етике кроз студије случајева, ситуационо увежбавање и играње улога. Посебно се инсистира на разумевању веза између Кодекса полицијске етике, полицијских овлашћења и људских права.</w:t>
      </w:r>
    </w:p>
    <w:p w:rsidR="001F3034" w:rsidRPr="001F3034" w:rsidRDefault="001F3034" w:rsidP="001F3034">
      <w:pPr>
        <w:spacing w:after="0"/>
        <w:ind w:firstLine="720"/>
        <w:jc w:val="both"/>
        <w:rPr>
          <w:sz w:val="24"/>
          <w:szCs w:val="24"/>
          <w:lang w:val="sr-Cyrl-RS"/>
        </w:rPr>
      </w:pPr>
      <w:r w:rsidRPr="001F3034">
        <w:rPr>
          <w:sz w:val="24"/>
          <w:szCs w:val="24"/>
          <w:lang w:val="sr-Cyrl-RS"/>
        </w:rPr>
        <w:t xml:space="preserve">Поред наведеног, наставни садржаји који се односе на заштиту људских права и слобода, обрађују се и у оквиру предмета: Кривично и кривично процесно право, Полицијски службеници: права, обавезе и дужности, као и стручних модула: Сузбијање криминала и Примена полицијских овлашћења и употреба средстава принуде. Наставни садржаји из наведених предмета и стручних модула реализују се кроз више тема. </w:t>
      </w:r>
    </w:p>
    <w:p w:rsidR="001F3034" w:rsidRPr="001F3034" w:rsidRDefault="001F3034" w:rsidP="001F3034">
      <w:pPr>
        <w:spacing w:after="0"/>
        <w:ind w:firstLine="720"/>
        <w:jc w:val="both"/>
        <w:rPr>
          <w:sz w:val="24"/>
          <w:szCs w:val="24"/>
          <w:lang w:val="sr-Cyrl-RS"/>
        </w:rPr>
      </w:pPr>
      <w:r w:rsidRPr="001F3034">
        <w:rPr>
          <w:sz w:val="24"/>
          <w:szCs w:val="24"/>
          <w:lang w:val="sr-Cyrl-RS"/>
        </w:rPr>
        <w:t>Сви полазници обуке у току стручног оспособљавања имају прилику да стекну неопходна знања и изграде потребне ставове у вези са поштовањем људских права и слобода и превенцијом тортуре и лошег поступања полиције.</w:t>
      </w:r>
    </w:p>
    <w:p w:rsidR="001F3034" w:rsidRPr="001F3034" w:rsidRDefault="001F3034" w:rsidP="001F3034">
      <w:pPr>
        <w:spacing w:after="0"/>
        <w:ind w:firstLine="720"/>
        <w:jc w:val="both"/>
        <w:rPr>
          <w:sz w:val="24"/>
          <w:szCs w:val="24"/>
          <w:lang w:val="sr-Cyrl-RS"/>
        </w:rPr>
      </w:pPr>
      <w:r w:rsidRPr="001F3034">
        <w:rPr>
          <w:sz w:val="24"/>
          <w:szCs w:val="24"/>
          <w:lang w:val="sr-Cyrl-RS"/>
        </w:rPr>
        <w:t xml:space="preserve">Имајући у виду наведено, Министарство унутрашњих послова обезбеђује континуирану едукацију и обуку полазника – будућих полицијских службеника у вези са темама које се односе на поштовање људских права и слобода и превенцију тортуре и лошег поступања.     </w:t>
      </w:r>
    </w:p>
    <w:p w:rsidR="001F3034" w:rsidRPr="001F3034" w:rsidRDefault="001F3034" w:rsidP="001F3034">
      <w:pPr>
        <w:spacing w:after="0"/>
        <w:ind w:firstLine="720"/>
        <w:jc w:val="both"/>
        <w:rPr>
          <w:sz w:val="24"/>
          <w:szCs w:val="24"/>
          <w:lang w:val="sr-Cyrl-RS"/>
        </w:rPr>
      </w:pPr>
      <w:r w:rsidRPr="001F3034">
        <w:rPr>
          <w:sz w:val="24"/>
          <w:szCs w:val="24"/>
          <w:lang w:val="sr-Cyrl-RS"/>
        </w:rPr>
        <w:t xml:space="preserve">С тим у вези, у Центру за основну полицијску обуку је у периоду од 2017. године до 2022. године, основну полицијску обуку завршило укупно 3.023 полазника, од ког броја </w:t>
      </w:r>
      <w:r w:rsidR="00046B1F">
        <w:rPr>
          <w:sz w:val="24"/>
          <w:szCs w:val="24"/>
          <w:lang w:val="sr-Cyrl-RS"/>
        </w:rPr>
        <w:t xml:space="preserve">су </w:t>
      </w:r>
      <w:r w:rsidRPr="001F3034">
        <w:rPr>
          <w:sz w:val="24"/>
          <w:szCs w:val="24"/>
          <w:lang w:val="sr-Cyrl-RS"/>
        </w:rPr>
        <w:t xml:space="preserve">164 </w:t>
      </w:r>
      <w:r w:rsidR="00046B1F">
        <w:rPr>
          <w:sz w:val="24"/>
          <w:szCs w:val="24"/>
          <w:lang w:val="sr-Cyrl-RS"/>
        </w:rPr>
        <w:t>полазника</w:t>
      </w:r>
      <w:r w:rsidRPr="001F3034">
        <w:rPr>
          <w:sz w:val="24"/>
          <w:szCs w:val="24"/>
          <w:lang w:val="sr-Cyrl-RS"/>
        </w:rPr>
        <w:t xml:space="preserve"> припадници националних мањина, што чини 4,05% полазника. </w:t>
      </w:r>
    </w:p>
    <w:p w:rsidR="001F3034" w:rsidRPr="001F3034" w:rsidRDefault="001F3034" w:rsidP="001F3034">
      <w:pPr>
        <w:spacing w:after="0"/>
        <w:ind w:firstLine="720"/>
        <w:jc w:val="both"/>
        <w:rPr>
          <w:sz w:val="24"/>
          <w:szCs w:val="24"/>
          <w:lang w:val="sr-Cyrl-RS"/>
        </w:rPr>
      </w:pPr>
      <w:r w:rsidRPr="001F3034">
        <w:rPr>
          <w:sz w:val="24"/>
          <w:szCs w:val="24"/>
          <w:lang w:val="sr-Cyrl-RS"/>
        </w:rPr>
        <w:t>Министарство унутрашњих послова је предузело низ активности у циљу развијања поверења, сарадње и партнерства са заједницом у циљу мотивације припадника националних мањина за рад у полицији, те афирмативно наступа према свим националним заједницама приликом објављивања конкурса за пријем у Центар за основну полицијску обуку и рад у полицији.</w:t>
      </w:r>
    </w:p>
    <w:p w:rsidR="001F3034" w:rsidRPr="001F3034" w:rsidRDefault="001F3034" w:rsidP="001F3034">
      <w:pPr>
        <w:spacing w:after="0"/>
        <w:ind w:firstLine="720"/>
        <w:jc w:val="both"/>
        <w:rPr>
          <w:sz w:val="24"/>
          <w:szCs w:val="24"/>
          <w:lang w:val="sr-Cyrl-RS"/>
        </w:rPr>
      </w:pPr>
      <w:r w:rsidRPr="001F3034">
        <w:rPr>
          <w:sz w:val="24"/>
          <w:szCs w:val="24"/>
          <w:lang w:val="sr-Cyrl-RS"/>
        </w:rPr>
        <w:t xml:space="preserve">У складу са наведеним, реализује се програм професионалног информисања, регрутације и маркетинга, којим се потенцијални кандидати/кандидаткиње обавештавају о условима конкурса на својим језицима, и подстичу да се пријаве на конкурсе за пријем на рад у полицији. Између осталог, приликом расписивања конкурса у 2018. години, текст конкурса и промотивни материјали преведени су на језике припадника националних мањина (ромски - дијалекатска варијанта, ромски - дијалекатска варијанта карактеристична за подручје АП Војводине, румунски, словачки, мађарски, чешки, хрватски, русински, албански, бугарски и украјински), а поред тога, у оквиру сарадње са Мисијом ОЕБС у Србији, у свим подручним полицијским управама за које је био расписан конкурс, реализоване су промотивне трибине у форми Дана отворених врата, намењене онима који су конкурисали за упис на основну полицијску обуку, као и за друге заинтересоване, када су потенцијални кандидати могли да се упознају са условима конкурса, селекцијом као и обуком у Центру за основну полицијску обуку Министарства. Током 2019. године, настављене су промотивне активности, те је у сарадњи са Мисијом ОЕБС у Републици Србији израђен промотивни спот у сврху промовисања полицијске професије и основне полицијске обуке, који је уједно преведен на </w:t>
      </w:r>
      <w:r w:rsidR="001E5304">
        <w:rPr>
          <w:sz w:val="24"/>
          <w:szCs w:val="24"/>
          <w:lang w:val="sr-Cyrl-RS"/>
        </w:rPr>
        <w:t xml:space="preserve">11 </w:t>
      </w:r>
      <w:r w:rsidRPr="001F3034">
        <w:rPr>
          <w:sz w:val="24"/>
          <w:szCs w:val="24"/>
          <w:lang w:val="sr-Cyrl-RS"/>
        </w:rPr>
        <w:t xml:space="preserve">језика припадника националних мањина. </w:t>
      </w:r>
    </w:p>
    <w:p w:rsidR="001F3034" w:rsidRPr="001F3034" w:rsidRDefault="001F3034" w:rsidP="001F3034">
      <w:pPr>
        <w:spacing w:after="0"/>
        <w:ind w:firstLine="720"/>
        <w:jc w:val="both"/>
        <w:rPr>
          <w:sz w:val="24"/>
          <w:szCs w:val="24"/>
          <w:lang w:val="sr-Cyrl-RS"/>
        </w:rPr>
      </w:pPr>
      <w:r w:rsidRPr="001F3034">
        <w:rPr>
          <w:sz w:val="24"/>
          <w:szCs w:val="24"/>
          <w:lang w:val="sr-Cyrl-RS"/>
        </w:rPr>
        <w:lastRenderedPageBreak/>
        <w:t>Министарство унутрашњих послова наставило је и током 2020, 2021. и 202</w:t>
      </w:r>
      <w:r w:rsidR="00046B1F">
        <w:rPr>
          <w:sz w:val="24"/>
          <w:szCs w:val="24"/>
          <w:lang w:val="sr-Cyrl-RS"/>
        </w:rPr>
        <w:t>2. године промотивне активности</w:t>
      </w:r>
      <w:r w:rsidRPr="001F3034">
        <w:rPr>
          <w:sz w:val="24"/>
          <w:szCs w:val="24"/>
          <w:lang w:val="sr-Cyrl-RS"/>
        </w:rPr>
        <w:t xml:space="preserve"> и афирмативно наступа према свим националним заједницама приликом објављивања конкурса за пријем у Центар за основну полицијску обуку и рад у полицији, и увек је спремно на сарадњу у циљу мотивације припадника националних мањина за рад у полицији. </w:t>
      </w:r>
    </w:p>
    <w:p w:rsidR="001F3034" w:rsidRPr="001F3034" w:rsidRDefault="001F3034" w:rsidP="001F3034">
      <w:pPr>
        <w:spacing w:after="0"/>
        <w:ind w:firstLine="720"/>
        <w:jc w:val="both"/>
        <w:rPr>
          <w:sz w:val="24"/>
          <w:szCs w:val="24"/>
          <w:lang w:val="sr-Cyrl-RS"/>
        </w:rPr>
      </w:pPr>
      <w:r w:rsidRPr="001F3034">
        <w:rPr>
          <w:sz w:val="24"/>
          <w:szCs w:val="24"/>
          <w:lang w:val="sr-Cyrl-RS"/>
        </w:rPr>
        <w:t>Надаље, стручно усавршавање запослених у Министарству унутрашњих послова представља континуирано унапређивање и развијање стечених знања, вештина, ставова и понашања, као и усвајање нових који су проистекли из праксе, научно</w:t>
      </w:r>
      <w:r w:rsidR="00046B1F">
        <w:rPr>
          <w:sz w:val="24"/>
          <w:szCs w:val="24"/>
          <w:lang w:val="sr-Cyrl-RS"/>
        </w:rPr>
        <w:t>-</w:t>
      </w:r>
      <w:r w:rsidRPr="001F3034">
        <w:rPr>
          <w:sz w:val="24"/>
          <w:szCs w:val="24"/>
          <w:lang w:val="sr-Cyrl-RS"/>
        </w:rPr>
        <w:t>истраживачког рада или нових законских уређења, с циљем законитог, ефикасног и безбедног обављања послова, и обавезно је за све запослене у Министарству.</w:t>
      </w:r>
    </w:p>
    <w:p w:rsidR="00561176" w:rsidRDefault="001F3034" w:rsidP="001F3034">
      <w:pPr>
        <w:spacing w:after="0"/>
        <w:ind w:firstLine="720"/>
        <w:jc w:val="both"/>
        <w:rPr>
          <w:sz w:val="24"/>
          <w:szCs w:val="24"/>
          <w:lang w:val="sr-Cyrl-RS"/>
        </w:rPr>
      </w:pPr>
      <w:r w:rsidRPr="001F3034">
        <w:rPr>
          <w:sz w:val="24"/>
          <w:szCs w:val="24"/>
          <w:lang w:val="sr-Cyrl-RS"/>
        </w:rPr>
        <w:t>У оквиру Програма стручног усавршавања полицијских службеника Министарства унутрашњих послова у периоду од 2017. до 2022. године, кроз обавезну наставу из наставне области „Теоријска настава“</w:t>
      </w:r>
      <w:r w:rsidR="005A54B8">
        <w:rPr>
          <w:sz w:val="24"/>
          <w:szCs w:val="24"/>
          <w:lang w:val="sr-Cyrl-RS"/>
        </w:rPr>
        <w:t>, између осталог,</w:t>
      </w:r>
      <w:r w:rsidRPr="001F3034">
        <w:rPr>
          <w:sz w:val="24"/>
          <w:szCs w:val="24"/>
          <w:lang w:val="sr-Cyrl-RS"/>
        </w:rPr>
        <w:t xml:space="preserve"> реализоване су </w:t>
      </w:r>
      <w:r w:rsidR="005A54B8">
        <w:rPr>
          <w:sz w:val="24"/>
          <w:szCs w:val="24"/>
          <w:lang w:val="sr-Cyrl-RS"/>
        </w:rPr>
        <w:t>и</w:t>
      </w:r>
      <w:r w:rsidRPr="001F3034">
        <w:rPr>
          <w:sz w:val="24"/>
          <w:szCs w:val="24"/>
          <w:lang w:val="sr-Cyrl-RS"/>
        </w:rPr>
        <w:t xml:space="preserve"> теме: </w:t>
      </w:r>
      <w:r>
        <w:rPr>
          <w:sz w:val="24"/>
          <w:szCs w:val="24"/>
          <w:lang w:val="sr-Cyrl-RS"/>
        </w:rPr>
        <w:t xml:space="preserve"> </w:t>
      </w:r>
      <w:r w:rsidRPr="001F3034">
        <w:rPr>
          <w:sz w:val="24"/>
          <w:szCs w:val="24"/>
          <w:lang w:val="sr-Cyrl-RS"/>
        </w:rPr>
        <w:t>Појам препознавање и реаговање полиције на појавне облике дискриминације</w:t>
      </w:r>
      <w:r w:rsidR="005A54B8">
        <w:rPr>
          <w:sz w:val="24"/>
          <w:szCs w:val="24"/>
          <w:lang w:val="sr-Cyrl-RS"/>
        </w:rPr>
        <w:t xml:space="preserve"> и </w:t>
      </w:r>
      <w:r w:rsidRPr="001F3034">
        <w:rPr>
          <w:sz w:val="24"/>
          <w:szCs w:val="24"/>
          <w:lang w:val="sr-Cyrl-RS"/>
        </w:rPr>
        <w:t>Рад полиције са маргинализованим, мањинс</w:t>
      </w:r>
      <w:r w:rsidR="005A54B8">
        <w:rPr>
          <w:sz w:val="24"/>
          <w:szCs w:val="24"/>
          <w:lang w:val="sr-Cyrl-RS"/>
        </w:rPr>
        <w:t xml:space="preserve">ким и социјално рањивим групама. </w:t>
      </w:r>
      <w:r w:rsidRPr="001F3034">
        <w:rPr>
          <w:sz w:val="24"/>
          <w:szCs w:val="24"/>
          <w:lang w:val="sr-Cyrl-RS"/>
        </w:rPr>
        <w:t xml:space="preserve">У току 2021. године је обавезну наставу по наведеним темама похађало </w:t>
      </w:r>
      <w:r w:rsidR="005A54B8">
        <w:rPr>
          <w:sz w:val="24"/>
          <w:szCs w:val="24"/>
          <w:lang w:val="sr-Cyrl-RS"/>
        </w:rPr>
        <w:t xml:space="preserve">више од </w:t>
      </w:r>
      <w:r w:rsidRPr="001F3034">
        <w:rPr>
          <w:sz w:val="24"/>
          <w:szCs w:val="24"/>
          <w:lang w:val="sr-Cyrl-RS"/>
        </w:rPr>
        <w:t>30.</w:t>
      </w:r>
      <w:r w:rsidR="005A54B8">
        <w:rPr>
          <w:sz w:val="24"/>
          <w:szCs w:val="24"/>
          <w:lang w:val="sr-Cyrl-RS"/>
        </w:rPr>
        <w:t>00</w:t>
      </w:r>
      <w:r w:rsidRPr="001F3034">
        <w:rPr>
          <w:sz w:val="24"/>
          <w:szCs w:val="24"/>
          <w:lang w:val="sr-Cyrl-RS"/>
        </w:rPr>
        <w:t xml:space="preserve">0 полазника, док је закључно са мартом 2022. године исту похађало око 2.900 полазника. Такође, у сарадњи са </w:t>
      </w:r>
      <w:r w:rsidR="00046B1F">
        <w:rPr>
          <w:sz w:val="24"/>
          <w:szCs w:val="24"/>
          <w:lang w:val="sr-Cyrl-RS"/>
        </w:rPr>
        <w:t>Повереник</w:t>
      </w:r>
      <w:r w:rsidRPr="001F3034">
        <w:rPr>
          <w:sz w:val="24"/>
          <w:szCs w:val="24"/>
          <w:lang w:val="sr-Cyrl-RS"/>
        </w:rPr>
        <w:t>ом за заштиту равноправности и Мисијом ОЕБС у Србији</w:t>
      </w:r>
      <w:r w:rsidR="00046B1F">
        <w:rPr>
          <w:sz w:val="24"/>
          <w:szCs w:val="24"/>
          <w:lang w:val="sr-Cyrl-RS"/>
        </w:rPr>
        <w:t>,</w:t>
      </w:r>
      <w:r w:rsidRPr="001F3034">
        <w:rPr>
          <w:sz w:val="24"/>
          <w:szCs w:val="24"/>
          <w:lang w:val="sr-Cyrl-RS"/>
        </w:rPr>
        <w:t xml:space="preserve"> у периоду од 2017. до 2022. године, реализовано је 14 семинара под називом „Препознавање и реаговање на дискриминацију“ за укупно 365 полицијских службеника.</w:t>
      </w:r>
    </w:p>
    <w:p w:rsidR="00272ED8" w:rsidRDefault="00272ED8" w:rsidP="00272ED8">
      <w:pPr>
        <w:spacing w:after="0"/>
        <w:jc w:val="both"/>
        <w:rPr>
          <w:sz w:val="24"/>
          <w:szCs w:val="24"/>
          <w:lang w:val="sr-Cyrl-RS"/>
        </w:rPr>
      </w:pPr>
    </w:p>
    <w:p w:rsidR="00272ED8" w:rsidRPr="00F333CD" w:rsidRDefault="00272ED8" w:rsidP="00F333CD">
      <w:pPr>
        <w:pStyle w:val="Heading2"/>
        <w:jc w:val="center"/>
        <w:rPr>
          <w:rFonts w:ascii="Times New Roman" w:hAnsi="Times New Roman" w:cs="Times New Roman"/>
          <w:b/>
          <w:sz w:val="24"/>
          <w:szCs w:val="24"/>
          <w:lang w:val="sr-Cyrl-RS"/>
        </w:rPr>
      </w:pPr>
      <w:bookmarkStart w:id="21" w:name="_Toc111191336"/>
      <w:r w:rsidRPr="00F333CD">
        <w:rPr>
          <w:rFonts w:ascii="Times New Roman" w:hAnsi="Times New Roman" w:cs="Times New Roman"/>
          <w:b/>
          <w:color w:val="auto"/>
          <w:sz w:val="24"/>
          <w:szCs w:val="24"/>
          <w:lang w:val="sr-Cyrl-RS"/>
        </w:rPr>
        <w:t>Члан 8. Оквирне конвенције</w:t>
      </w:r>
      <w:bookmarkEnd w:id="21"/>
    </w:p>
    <w:p w:rsidR="00272ED8" w:rsidRPr="00F333CD" w:rsidRDefault="00272ED8" w:rsidP="00F333CD">
      <w:pPr>
        <w:pStyle w:val="Heading3"/>
        <w:jc w:val="center"/>
        <w:rPr>
          <w:rFonts w:ascii="Times New Roman" w:hAnsi="Times New Roman" w:cs="Times New Roman"/>
          <w:b/>
          <w:lang w:val="sr-Cyrl-RS"/>
        </w:rPr>
      </w:pPr>
      <w:bookmarkStart w:id="22" w:name="_Toc111191337"/>
      <w:r w:rsidRPr="00F333CD">
        <w:rPr>
          <w:rFonts w:ascii="Times New Roman" w:hAnsi="Times New Roman" w:cs="Times New Roman"/>
          <w:b/>
          <w:color w:val="auto"/>
          <w:lang w:val="sr-Cyrl-RS"/>
        </w:rPr>
        <w:t>Право личне вероисповести и оснивања институција, организација и удружења</w:t>
      </w:r>
      <w:bookmarkEnd w:id="22"/>
    </w:p>
    <w:p w:rsidR="00272ED8" w:rsidRPr="00283B4A" w:rsidRDefault="00272ED8" w:rsidP="00272ED8">
      <w:pPr>
        <w:spacing w:after="0"/>
        <w:ind w:firstLine="720"/>
        <w:jc w:val="center"/>
        <w:rPr>
          <w:sz w:val="24"/>
          <w:szCs w:val="24"/>
          <w:lang w:val="sr-Cyrl-RS"/>
        </w:rPr>
      </w:pPr>
    </w:p>
    <w:p w:rsidR="00272ED8" w:rsidRDefault="00272ED8" w:rsidP="00272ED8">
      <w:pPr>
        <w:spacing w:after="0"/>
        <w:jc w:val="both"/>
        <w:rPr>
          <w:i/>
          <w:sz w:val="24"/>
          <w:szCs w:val="24"/>
          <w:lang w:val="sr-Cyrl-RS"/>
        </w:rPr>
      </w:pPr>
      <w:r w:rsidRPr="00283B4A">
        <w:rPr>
          <w:i/>
          <w:sz w:val="24"/>
          <w:szCs w:val="24"/>
          <w:lang w:val="sr-Cyrl-RS"/>
        </w:rPr>
        <w:t xml:space="preserve">70. </w:t>
      </w:r>
      <w:r w:rsidRPr="00272ED8">
        <w:rPr>
          <w:i/>
          <w:sz w:val="24"/>
          <w:szCs w:val="24"/>
          <w:lang w:val="sr-Cyrl-RS"/>
        </w:rPr>
        <w:t>Саветодавни комитет понавља свој позив властима да обезбеде да право припадника националних мањина да успоставе верске установе, организације или удружења буде ефективно гарантовано законом, као и у пракси, укључујући и обезбеђивање да се законским одредбама којима се регулишу верске заједнице не дозвољава дискриминација укључујући и оне који имају бројчано мању величину, посебно у погледу приступа правном субјективитету или пореском статусу.</w:t>
      </w:r>
    </w:p>
    <w:p w:rsidR="00272ED8" w:rsidRDefault="00272ED8" w:rsidP="00272ED8">
      <w:pPr>
        <w:spacing w:after="0"/>
        <w:jc w:val="both"/>
        <w:rPr>
          <w:i/>
          <w:sz w:val="24"/>
          <w:szCs w:val="24"/>
          <w:lang w:val="sr-Cyrl-RS"/>
        </w:rPr>
      </w:pPr>
    </w:p>
    <w:p w:rsidR="00272ED8" w:rsidRDefault="00272ED8" w:rsidP="00272ED8">
      <w:pPr>
        <w:spacing w:after="0"/>
        <w:ind w:firstLine="720"/>
        <w:jc w:val="both"/>
        <w:rPr>
          <w:sz w:val="24"/>
          <w:szCs w:val="24"/>
          <w:lang w:val="sr-Cyrl-RS"/>
        </w:rPr>
      </w:pPr>
      <w:r>
        <w:rPr>
          <w:sz w:val="24"/>
          <w:szCs w:val="24"/>
          <w:lang w:val="sr-Cyrl-RS"/>
        </w:rPr>
        <w:t>Одговор на ову препоруку садржан је у одговору на препоруку 8. из Резолуције Комитета министара.</w:t>
      </w:r>
    </w:p>
    <w:p w:rsidR="00272ED8" w:rsidRDefault="00272ED8" w:rsidP="00272ED8">
      <w:pPr>
        <w:spacing w:after="0"/>
        <w:jc w:val="both"/>
        <w:rPr>
          <w:sz w:val="24"/>
          <w:szCs w:val="24"/>
          <w:lang w:val="sr-Cyrl-RS"/>
        </w:rPr>
      </w:pPr>
    </w:p>
    <w:p w:rsidR="00272ED8" w:rsidRPr="005A4C72" w:rsidRDefault="00272ED8" w:rsidP="00F333CD">
      <w:pPr>
        <w:pStyle w:val="Heading2"/>
        <w:jc w:val="center"/>
        <w:rPr>
          <w:rFonts w:ascii="Times New Roman" w:hAnsi="Times New Roman" w:cs="Times New Roman"/>
          <w:b/>
          <w:sz w:val="24"/>
          <w:szCs w:val="24"/>
          <w:lang w:val="sr-Cyrl-RS"/>
        </w:rPr>
      </w:pPr>
      <w:bookmarkStart w:id="23" w:name="_Toc111191338"/>
      <w:r w:rsidRPr="005A4C72">
        <w:rPr>
          <w:rFonts w:ascii="Times New Roman" w:hAnsi="Times New Roman" w:cs="Times New Roman"/>
          <w:b/>
          <w:color w:val="auto"/>
          <w:sz w:val="24"/>
          <w:szCs w:val="24"/>
          <w:lang w:val="sr-Cyrl-RS"/>
        </w:rPr>
        <w:t xml:space="preserve">Члан </w:t>
      </w:r>
      <w:r w:rsidRPr="005A4C72">
        <w:rPr>
          <w:rFonts w:ascii="Times New Roman" w:hAnsi="Times New Roman" w:cs="Times New Roman"/>
          <w:b/>
          <w:color w:val="auto"/>
          <w:sz w:val="24"/>
          <w:szCs w:val="24"/>
        </w:rPr>
        <w:t>9</w:t>
      </w:r>
      <w:r w:rsidRPr="005A4C72">
        <w:rPr>
          <w:rFonts w:ascii="Times New Roman" w:hAnsi="Times New Roman" w:cs="Times New Roman"/>
          <w:b/>
          <w:color w:val="auto"/>
          <w:sz w:val="24"/>
          <w:szCs w:val="24"/>
          <w:lang w:val="sr-Cyrl-RS"/>
        </w:rPr>
        <w:t>. Оквирне конвенције</w:t>
      </w:r>
      <w:bookmarkEnd w:id="23"/>
    </w:p>
    <w:p w:rsidR="00272ED8" w:rsidRPr="005A4C72" w:rsidRDefault="00272ED8" w:rsidP="00F333CD">
      <w:pPr>
        <w:pStyle w:val="Heading3"/>
        <w:jc w:val="center"/>
        <w:rPr>
          <w:rFonts w:ascii="Times New Roman" w:hAnsi="Times New Roman" w:cs="Times New Roman"/>
          <w:b/>
          <w:lang w:val="sr-Cyrl-RS"/>
        </w:rPr>
      </w:pPr>
      <w:bookmarkStart w:id="24" w:name="_Toc111191339"/>
      <w:r w:rsidRPr="005A4C72">
        <w:rPr>
          <w:rFonts w:ascii="Times New Roman" w:hAnsi="Times New Roman" w:cs="Times New Roman"/>
          <w:b/>
          <w:color w:val="auto"/>
          <w:lang w:val="sr-Cyrl-RS"/>
        </w:rPr>
        <w:t>Приступ штампаним и електронским медијима на језицима мањина</w:t>
      </w:r>
      <w:bookmarkEnd w:id="24"/>
    </w:p>
    <w:p w:rsidR="00813A58" w:rsidRPr="007310B0" w:rsidRDefault="00813A58" w:rsidP="00272ED8">
      <w:pPr>
        <w:spacing w:after="0"/>
        <w:rPr>
          <w:b/>
          <w:sz w:val="24"/>
          <w:szCs w:val="24"/>
          <w:highlight w:val="yellow"/>
          <w:lang w:val="sr-Cyrl-RS"/>
        </w:rPr>
      </w:pPr>
    </w:p>
    <w:p w:rsidR="00272ED8" w:rsidRPr="00C2745D" w:rsidRDefault="00272ED8" w:rsidP="00272ED8">
      <w:pPr>
        <w:spacing w:after="0"/>
        <w:jc w:val="both"/>
        <w:rPr>
          <w:i/>
          <w:sz w:val="24"/>
          <w:szCs w:val="24"/>
          <w:lang w:val="sr-Cyrl-RS"/>
        </w:rPr>
      </w:pPr>
      <w:r w:rsidRPr="00C2745D">
        <w:rPr>
          <w:i/>
          <w:sz w:val="24"/>
          <w:szCs w:val="24"/>
          <w:lang w:val="sr-Cyrl-RS"/>
        </w:rPr>
        <w:t>75. Саветодавни комитет позива власти да пажљиво прате утицај процеса приватизације на мањинске медије и да наруче свеобухватну и независну студију о овој теми. Саветодавни комитет такође позива власти да предузму потребне мере за обезбеђивање независности приватних и јавних медија, укључујући и оне у власништву политичких представника националних мањина.</w:t>
      </w:r>
    </w:p>
    <w:p w:rsidR="00272ED8" w:rsidRPr="00C2745D" w:rsidRDefault="00272ED8" w:rsidP="00272ED8">
      <w:pPr>
        <w:spacing w:after="0"/>
        <w:jc w:val="both"/>
        <w:rPr>
          <w:sz w:val="24"/>
          <w:szCs w:val="24"/>
          <w:lang w:val="sr-Cyrl-RS"/>
        </w:rPr>
      </w:pPr>
    </w:p>
    <w:p w:rsidR="00272ED8" w:rsidRPr="00C2745D" w:rsidRDefault="00272ED8" w:rsidP="00272ED8">
      <w:pPr>
        <w:spacing w:after="0"/>
        <w:jc w:val="both"/>
        <w:rPr>
          <w:i/>
          <w:sz w:val="24"/>
          <w:szCs w:val="24"/>
          <w:lang w:val="sr-Cyrl-RS"/>
        </w:rPr>
      </w:pPr>
      <w:r w:rsidRPr="00C2745D">
        <w:rPr>
          <w:i/>
          <w:sz w:val="24"/>
          <w:szCs w:val="24"/>
          <w:lang w:val="sr-Cyrl-RS"/>
        </w:rPr>
        <w:t>76. У контексту развоја нове медијске стратегије, Саветодавни комитет позива власти да размотре мањинске медије, са квантитативног и квалитативног становишта, и на тај начин консултују представнике националних мањина, узимајући у обзир разноликост мишљења унутар сваке заједнице, као и медијске стручњаке и независне истраживаче.</w:t>
      </w:r>
    </w:p>
    <w:p w:rsidR="00272ED8" w:rsidRPr="00C2745D" w:rsidRDefault="00272ED8" w:rsidP="00272ED8">
      <w:pPr>
        <w:spacing w:after="0"/>
        <w:jc w:val="both"/>
        <w:rPr>
          <w:sz w:val="24"/>
          <w:szCs w:val="24"/>
          <w:lang w:val="sr-Cyrl-RS"/>
        </w:rPr>
      </w:pPr>
    </w:p>
    <w:p w:rsidR="00272ED8" w:rsidRPr="00855DEE" w:rsidRDefault="00C2745D" w:rsidP="00272ED8">
      <w:pPr>
        <w:spacing w:after="0"/>
        <w:ind w:firstLine="720"/>
        <w:jc w:val="both"/>
        <w:rPr>
          <w:sz w:val="24"/>
          <w:szCs w:val="24"/>
          <w:lang w:val="sr-Cyrl-RS"/>
        </w:rPr>
      </w:pPr>
      <w:r w:rsidRPr="00C2745D">
        <w:rPr>
          <w:sz w:val="24"/>
          <w:szCs w:val="24"/>
          <w:lang w:val="sr-Cyrl-RS"/>
        </w:rPr>
        <w:t>Одговор на ове</w:t>
      </w:r>
      <w:r w:rsidR="00272ED8" w:rsidRPr="00C2745D">
        <w:rPr>
          <w:sz w:val="24"/>
          <w:szCs w:val="24"/>
          <w:lang w:val="sr-Cyrl-RS"/>
        </w:rPr>
        <w:t xml:space="preserve"> препорук</w:t>
      </w:r>
      <w:r w:rsidRPr="00C2745D">
        <w:rPr>
          <w:sz w:val="24"/>
          <w:szCs w:val="24"/>
          <w:lang w:val="sr-Cyrl-RS"/>
        </w:rPr>
        <w:t>е</w:t>
      </w:r>
      <w:r w:rsidR="00272ED8" w:rsidRPr="00C2745D">
        <w:rPr>
          <w:sz w:val="24"/>
          <w:szCs w:val="24"/>
          <w:lang w:val="sr-Cyrl-RS"/>
        </w:rPr>
        <w:t xml:space="preserve"> садржан је у одговору на препоруку 9. из Резолуције Комитета министара.</w:t>
      </w:r>
    </w:p>
    <w:p w:rsidR="008C4849" w:rsidRDefault="008C4849" w:rsidP="00A51CE6">
      <w:pPr>
        <w:spacing w:after="0"/>
        <w:jc w:val="both"/>
        <w:rPr>
          <w:sz w:val="24"/>
          <w:szCs w:val="24"/>
          <w:lang w:val="sr-Cyrl-RS"/>
        </w:rPr>
      </w:pPr>
    </w:p>
    <w:p w:rsidR="00E75319" w:rsidRPr="00F333CD" w:rsidRDefault="00E75319" w:rsidP="00F333CD">
      <w:pPr>
        <w:pStyle w:val="Heading2"/>
        <w:jc w:val="center"/>
        <w:rPr>
          <w:rFonts w:ascii="Times New Roman" w:hAnsi="Times New Roman" w:cs="Times New Roman"/>
          <w:b/>
          <w:sz w:val="24"/>
          <w:szCs w:val="24"/>
          <w:lang w:val="sr-Cyrl-RS"/>
        </w:rPr>
      </w:pPr>
      <w:bookmarkStart w:id="25" w:name="_Toc111191340"/>
      <w:r w:rsidRPr="00F333CD">
        <w:rPr>
          <w:rFonts w:ascii="Times New Roman" w:hAnsi="Times New Roman" w:cs="Times New Roman"/>
          <w:b/>
          <w:color w:val="auto"/>
          <w:sz w:val="24"/>
          <w:szCs w:val="24"/>
          <w:lang w:val="sr-Cyrl-RS"/>
        </w:rPr>
        <w:t>Члан 10. Оквирне конвенције</w:t>
      </w:r>
      <w:bookmarkEnd w:id="25"/>
    </w:p>
    <w:p w:rsidR="00E75319" w:rsidRPr="00F333CD" w:rsidRDefault="00E75319" w:rsidP="00F333CD">
      <w:pPr>
        <w:pStyle w:val="Heading3"/>
        <w:jc w:val="center"/>
        <w:rPr>
          <w:rFonts w:ascii="Times New Roman" w:hAnsi="Times New Roman" w:cs="Times New Roman"/>
          <w:b/>
          <w:lang w:val="sr-Cyrl-RS"/>
        </w:rPr>
      </w:pPr>
      <w:bookmarkStart w:id="26" w:name="_Toc111191341"/>
      <w:r w:rsidRPr="00F333CD">
        <w:rPr>
          <w:rFonts w:ascii="Times New Roman" w:hAnsi="Times New Roman" w:cs="Times New Roman"/>
          <w:b/>
          <w:color w:val="auto"/>
          <w:lang w:val="sr-Cyrl-RS"/>
        </w:rPr>
        <w:t>Употреба мањинских језика у односима са властима</w:t>
      </w:r>
      <w:bookmarkEnd w:id="26"/>
    </w:p>
    <w:p w:rsidR="00E75319" w:rsidRDefault="00E75319" w:rsidP="00E75319">
      <w:pPr>
        <w:spacing w:after="0"/>
        <w:jc w:val="both"/>
        <w:rPr>
          <w:sz w:val="24"/>
          <w:szCs w:val="24"/>
          <w:lang w:val="sr-Cyrl-RS"/>
        </w:rPr>
      </w:pPr>
    </w:p>
    <w:p w:rsidR="00E75319" w:rsidRDefault="00E75319" w:rsidP="00E75319">
      <w:pPr>
        <w:spacing w:after="0"/>
        <w:jc w:val="both"/>
        <w:rPr>
          <w:i/>
          <w:sz w:val="24"/>
          <w:szCs w:val="24"/>
          <w:lang w:val="sr-Cyrl-RS"/>
        </w:rPr>
      </w:pPr>
      <w:r w:rsidRPr="00855DEE">
        <w:rPr>
          <w:i/>
          <w:sz w:val="24"/>
          <w:szCs w:val="24"/>
          <w:lang w:val="sr-Cyrl-RS"/>
        </w:rPr>
        <w:t xml:space="preserve">81. </w:t>
      </w:r>
      <w:r w:rsidRPr="00E75319">
        <w:rPr>
          <w:i/>
          <w:sz w:val="24"/>
          <w:szCs w:val="24"/>
          <w:lang w:val="sr-Cyrl-RS"/>
        </w:rPr>
        <w:t>Саветодавни комитет позива власти да наруче студију како би се проценио ниво примене законских одредби о службеној употреби мањинских језика и обезбедило да у свим општинама где су испуњени законски захтеви, језици мањина имају делотворну службену употребу.</w:t>
      </w:r>
    </w:p>
    <w:p w:rsidR="00E75319" w:rsidRDefault="00E75319" w:rsidP="00E75319">
      <w:pPr>
        <w:spacing w:after="0"/>
        <w:jc w:val="both"/>
        <w:rPr>
          <w:i/>
          <w:sz w:val="24"/>
          <w:szCs w:val="24"/>
          <w:lang w:val="sr-Cyrl-RS"/>
        </w:rPr>
      </w:pPr>
    </w:p>
    <w:p w:rsidR="001B605C" w:rsidRDefault="007310B0" w:rsidP="007310B0">
      <w:pPr>
        <w:spacing w:after="0"/>
        <w:ind w:firstLine="720"/>
        <w:jc w:val="both"/>
        <w:rPr>
          <w:sz w:val="24"/>
          <w:szCs w:val="24"/>
          <w:lang w:val="sr-Cyrl-RS"/>
        </w:rPr>
      </w:pPr>
      <w:r>
        <w:rPr>
          <w:sz w:val="24"/>
          <w:szCs w:val="24"/>
          <w:lang w:val="sr-Cyrl-RS"/>
        </w:rPr>
        <w:t xml:space="preserve">Подаци о студијама на основу којих се може проценити </w:t>
      </w:r>
      <w:r w:rsidRPr="007310B0">
        <w:rPr>
          <w:sz w:val="24"/>
          <w:szCs w:val="24"/>
          <w:lang w:val="sr-Cyrl-RS"/>
        </w:rPr>
        <w:t xml:space="preserve">ниво примене законских одредби о службеној употреби мањинских језика </w:t>
      </w:r>
      <w:r>
        <w:rPr>
          <w:sz w:val="24"/>
          <w:szCs w:val="24"/>
          <w:lang w:val="sr-Cyrl-RS"/>
        </w:rPr>
        <w:t>дати су у оквиру одгов</w:t>
      </w:r>
      <w:r w:rsidR="00D0235A">
        <w:rPr>
          <w:sz w:val="24"/>
          <w:szCs w:val="24"/>
          <w:lang w:val="sr-Cyrl-RS"/>
        </w:rPr>
        <w:t>о</w:t>
      </w:r>
      <w:r>
        <w:rPr>
          <w:sz w:val="24"/>
          <w:szCs w:val="24"/>
          <w:lang w:val="sr-Cyrl-RS"/>
        </w:rPr>
        <w:t xml:space="preserve">ра на препоруку </w:t>
      </w:r>
      <w:r w:rsidR="00060FA6" w:rsidRPr="00060FA6">
        <w:rPr>
          <w:sz w:val="24"/>
          <w:szCs w:val="24"/>
          <w:lang w:val="sr-Cyrl-RS"/>
        </w:rPr>
        <w:t>10</w:t>
      </w:r>
      <w:r w:rsidR="00060FA6">
        <w:rPr>
          <w:sz w:val="24"/>
          <w:szCs w:val="24"/>
          <w:lang w:val="sr-Cyrl-RS"/>
        </w:rPr>
        <w:t>.</w:t>
      </w:r>
      <w:r w:rsidRPr="00060FA6">
        <w:rPr>
          <w:sz w:val="24"/>
          <w:szCs w:val="24"/>
          <w:lang w:val="sr-Cyrl-RS"/>
        </w:rPr>
        <w:t xml:space="preserve"> </w:t>
      </w:r>
      <w:r w:rsidR="00D0235A">
        <w:rPr>
          <w:sz w:val="24"/>
          <w:szCs w:val="24"/>
          <w:lang w:val="sr-Cyrl-RS"/>
        </w:rPr>
        <w:t xml:space="preserve">из Резолуције </w:t>
      </w:r>
      <w:r w:rsidRPr="00060FA6">
        <w:rPr>
          <w:sz w:val="24"/>
          <w:szCs w:val="24"/>
          <w:lang w:val="sr-Cyrl-RS"/>
        </w:rPr>
        <w:t>Комитета министара.</w:t>
      </w:r>
      <w:r>
        <w:rPr>
          <w:sz w:val="24"/>
          <w:szCs w:val="24"/>
          <w:lang w:val="sr-Cyrl-RS"/>
        </w:rPr>
        <w:t xml:space="preserve"> </w:t>
      </w:r>
    </w:p>
    <w:p w:rsidR="001B605C" w:rsidRDefault="007310B0" w:rsidP="007310B0">
      <w:pPr>
        <w:spacing w:after="0"/>
        <w:ind w:firstLine="720"/>
        <w:jc w:val="both"/>
        <w:rPr>
          <w:sz w:val="24"/>
          <w:szCs w:val="24"/>
          <w:lang w:val="sr-Cyrl-RS"/>
        </w:rPr>
      </w:pPr>
      <w:r>
        <w:rPr>
          <w:sz w:val="24"/>
          <w:szCs w:val="24"/>
          <w:lang w:val="sr-Cyrl-RS"/>
        </w:rPr>
        <w:t>У контексту ове препоруке Саветодавног комитета, а у вези са обезбеђивањем</w:t>
      </w:r>
      <w:r w:rsidRPr="007310B0">
        <w:rPr>
          <w:sz w:val="24"/>
          <w:szCs w:val="24"/>
          <w:lang w:val="sr-Cyrl-RS"/>
        </w:rPr>
        <w:t xml:space="preserve"> да у свим општинама где су испуњени законски захтеви, језици мањина имају делотворну службену употребу</w:t>
      </w:r>
      <w:r>
        <w:rPr>
          <w:sz w:val="24"/>
          <w:szCs w:val="24"/>
          <w:lang w:val="sr-Cyrl-RS"/>
        </w:rPr>
        <w:t>,</w:t>
      </w:r>
      <w:r w:rsidRPr="007310B0">
        <w:rPr>
          <w:sz w:val="24"/>
          <w:szCs w:val="24"/>
          <w:lang w:val="sr-Cyrl-RS"/>
        </w:rPr>
        <w:t xml:space="preserve"> важно је истаћи да </w:t>
      </w:r>
      <w:r w:rsidR="001B605C">
        <w:rPr>
          <w:sz w:val="24"/>
          <w:szCs w:val="24"/>
          <w:lang w:val="sr-Cyrl-RS"/>
        </w:rPr>
        <w:t xml:space="preserve">управни надзор над применом законских решења о службеној употреби језика и писама националних мањина врши Управни инспекторат, а на територији АП Војводине </w:t>
      </w:r>
      <w:r w:rsidR="001B605C" w:rsidRPr="001B605C">
        <w:rPr>
          <w:sz w:val="24"/>
          <w:szCs w:val="24"/>
          <w:lang w:val="sr-Cyrl-RS"/>
        </w:rPr>
        <w:t>Покрајинск</w:t>
      </w:r>
      <w:r w:rsidR="001B605C">
        <w:rPr>
          <w:sz w:val="24"/>
          <w:szCs w:val="24"/>
          <w:lang w:val="sr-Cyrl-RS"/>
        </w:rPr>
        <w:t>и</w:t>
      </w:r>
      <w:r w:rsidR="001B605C" w:rsidRPr="001B605C">
        <w:rPr>
          <w:sz w:val="24"/>
          <w:szCs w:val="24"/>
          <w:lang w:val="sr-Cyrl-RS"/>
        </w:rPr>
        <w:t xml:space="preserve"> секретаријат за образовање, прописе, управу и националне мањине – националне заједнице</w:t>
      </w:r>
      <w:r w:rsidR="001B605C">
        <w:rPr>
          <w:sz w:val="24"/>
          <w:szCs w:val="24"/>
          <w:lang w:val="sr-Cyrl-RS"/>
        </w:rPr>
        <w:t>.</w:t>
      </w:r>
    </w:p>
    <w:p w:rsidR="001B605C" w:rsidRDefault="001B605C" w:rsidP="007310B0">
      <w:pPr>
        <w:spacing w:after="0"/>
        <w:ind w:firstLine="720"/>
        <w:jc w:val="both"/>
        <w:rPr>
          <w:sz w:val="24"/>
          <w:szCs w:val="24"/>
          <w:lang w:val="sr-Cyrl-RS"/>
        </w:rPr>
      </w:pPr>
      <w:r w:rsidRPr="001B605C">
        <w:rPr>
          <w:sz w:val="24"/>
          <w:szCs w:val="24"/>
          <w:lang w:val="sr-Cyrl-RS"/>
        </w:rPr>
        <w:t>Управна инспекција у свом раду, у циљу обезбеђивања остваривања начела законитости у раду и поступању надзираних органа и заштити јавног и приватног интереса, предузима превентивне мере и упозорава надзиране органе на обавезе из прописа, односно указује им на могуће штетне последице услед неправилне примене прописа којима је уређено остваривање права припадника националне мањине (право да буду уписани у посебан бирачки списак националне мањине, право на употребу језика и писма националне мањине и друга права).</w:t>
      </w:r>
    </w:p>
    <w:p w:rsidR="00062C64" w:rsidRPr="00062C64" w:rsidRDefault="00062C64" w:rsidP="007310B0">
      <w:pPr>
        <w:spacing w:after="0"/>
        <w:ind w:firstLine="720"/>
        <w:jc w:val="both"/>
        <w:rPr>
          <w:sz w:val="24"/>
          <w:szCs w:val="24"/>
          <w:lang w:val="sr-Cyrl-RS"/>
        </w:rPr>
      </w:pPr>
      <w:r>
        <w:rPr>
          <w:sz w:val="24"/>
          <w:szCs w:val="24"/>
          <w:lang w:val="sr-Cyrl-RS"/>
        </w:rPr>
        <w:t>У</w:t>
      </w:r>
      <w:r w:rsidRPr="00062C64">
        <w:rPr>
          <w:sz w:val="24"/>
          <w:szCs w:val="24"/>
          <w:lang w:val="sr-Cyrl-RS"/>
        </w:rPr>
        <w:t xml:space="preserve">правна инспекција </w:t>
      </w:r>
      <w:r>
        <w:rPr>
          <w:sz w:val="24"/>
          <w:szCs w:val="24"/>
          <w:lang w:val="sr-Cyrl-RS"/>
        </w:rPr>
        <w:t xml:space="preserve">је </w:t>
      </w:r>
      <w:r w:rsidRPr="00062C64">
        <w:rPr>
          <w:sz w:val="24"/>
          <w:szCs w:val="24"/>
          <w:lang w:val="sr-Cyrl-RS"/>
        </w:rPr>
        <w:t>у наведеном периоду</w:t>
      </w:r>
      <w:r w:rsidR="001B605C">
        <w:rPr>
          <w:sz w:val="24"/>
          <w:szCs w:val="24"/>
          <w:lang w:val="sr-Cyrl-RS"/>
        </w:rPr>
        <w:t xml:space="preserve">, у оквиру инспекцијског надзора над </w:t>
      </w:r>
      <w:r w:rsidRPr="00062C64">
        <w:rPr>
          <w:sz w:val="24"/>
          <w:szCs w:val="24"/>
          <w:lang w:val="sr-Cyrl-RS"/>
        </w:rPr>
        <w:t>применом Закона о националним саветима националних мањина</w:t>
      </w:r>
      <w:r>
        <w:rPr>
          <w:sz w:val="24"/>
          <w:szCs w:val="24"/>
          <w:lang w:val="sr-Cyrl-RS"/>
        </w:rPr>
        <w:t>,</w:t>
      </w:r>
      <w:r w:rsidRPr="00062C64">
        <w:rPr>
          <w:sz w:val="24"/>
          <w:szCs w:val="24"/>
          <w:lang w:val="sr-Cyrl-RS"/>
        </w:rPr>
        <w:t xml:space="preserve"> у делу којим је уређен посебан бирачки списак</w:t>
      </w:r>
      <w:r w:rsidR="00FD4991">
        <w:rPr>
          <w:sz w:val="24"/>
          <w:szCs w:val="24"/>
          <w:lang w:val="sr-Cyrl-RS"/>
        </w:rPr>
        <w:t>,</w:t>
      </w:r>
      <w:r w:rsidR="001B605C">
        <w:rPr>
          <w:sz w:val="24"/>
          <w:szCs w:val="24"/>
          <w:lang w:val="sr-Cyrl-RS"/>
        </w:rPr>
        <w:t xml:space="preserve"> </w:t>
      </w:r>
      <w:r w:rsidRPr="00062C64">
        <w:rPr>
          <w:sz w:val="24"/>
          <w:szCs w:val="24"/>
          <w:lang w:val="sr-Cyrl-RS"/>
        </w:rPr>
        <w:t xml:space="preserve">надзираним органима </w:t>
      </w:r>
      <w:r w:rsidR="001B605C">
        <w:rPr>
          <w:sz w:val="24"/>
          <w:szCs w:val="24"/>
          <w:lang w:val="sr-Cyrl-RS"/>
        </w:rPr>
        <w:t>нал</w:t>
      </w:r>
      <w:r w:rsidRPr="00062C64">
        <w:rPr>
          <w:sz w:val="24"/>
          <w:szCs w:val="24"/>
          <w:lang w:val="sr-Cyrl-RS"/>
        </w:rPr>
        <w:t>ож</w:t>
      </w:r>
      <w:r w:rsidR="001B605C">
        <w:rPr>
          <w:sz w:val="24"/>
          <w:szCs w:val="24"/>
          <w:lang w:val="sr-Cyrl-RS"/>
        </w:rPr>
        <w:t>ила</w:t>
      </w:r>
      <w:r w:rsidRPr="00062C64">
        <w:rPr>
          <w:sz w:val="24"/>
          <w:szCs w:val="24"/>
          <w:lang w:val="sr-Cyrl-RS"/>
        </w:rPr>
        <w:t xml:space="preserve"> извршење седам мера </w:t>
      </w:r>
      <w:r w:rsidR="001B605C">
        <w:rPr>
          <w:sz w:val="24"/>
          <w:szCs w:val="24"/>
          <w:lang w:val="sr-Cyrl-RS"/>
        </w:rPr>
        <w:t xml:space="preserve">које су се </w:t>
      </w:r>
      <w:r w:rsidRPr="00062C64">
        <w:rPr>
          <w:sz w:val="24"/>
          <w:szCs w:val="24"/>
          <w:lang w:val="sr-Cyrl-RS"/>
        </w:rPr>
        <w:t>однос</w:t>
      </w:r>
      <w:r>
        <w:rPr>
          <w:sz w:val="24"/>
          <w:szCs w:val="24"/>
          <w:lang w:val="sr-Cyrl-RS"/>
        </w:rPr>
        <w:t>ил</w:t>
      </w:r>
      <w:r w:rsidR="001B605C">
        <w:rPr>
          <w:sz w:val="24"/>
          <w:szCs w:val="24"/>
          <w:lang w:val="sr-Cyrl-RS"/>
        </w:rPr>
        <w:t>е</w:t>
      </w:r>
      <w:r>
        <w:rPr>
          <w:sz w:val="24"/>
          <w:szCs w:val="24"/>
          <w:lang w:val="sr-Cyrl-RS"/>
        </w:rPr>
        <w:t xml:space="preserve"> </w:t>
      </w:r>
      <w:r w:rsidRPr="00062C64">
        <w:rPr>
          <w:sz w:val="24"/>
          <w:szCs w:val="24"/>
          <w:lang w:val="sr-Cyrl-RS"/>
        </w:rPr>
        <w:t>на обавезу да се решења о променама у посебном бирачком списку израђују и на</w:t>
      </w:r>
      <w:r>
        <w:rPr>
          <w:sz w:val="24"/>
          <w:szCs w:val="24"/>
          <w:lang w:val="sr-Cyrl-RS"/>
        </w:rPr>
        <w:t xml:space="preserve"> </w:t>
      </w:r>
      <w:r w:rsidRPr="00062C64">
        <w:rPr>
          <w:sz w:val="24"/>
          <w:szCs w:val="24"/>
          <w:lang w:val="sr-Cyrl-RS"/>
        </w:rPr>
        <w:t>језику и писму националне мањине</w:t>
      </w:r>
      <w:r>
        <w:rPr>
          <w:sz w:val="24"/>
          <w:szCs w:val="24"/>
          <w:lang w:val="sr-Cyrl-RS"/>
        </w:rPr>
        <w:t xml:space="preserve">. </w:t>
      </w:r>
      <w:r w:rsidRPr="00062C64">
        <w:rPr>
          <w:sz w:val="24"/>
          <w:szCs w:val="24"/>
          <w:lang w:val="sr-Cyrl-RS"/>
        </w:rPr>
        <w:t>Такође, управна инспекција спровела је и 515 инспекцијск</w:t>
      </w:r>
      <w:r w:rsidR="001B605C">
        <w:rPr>
          <w:sz w:val="24"/>
          <w:szCs w:val="24"/>
          <w:lang w:val="sr-Cyrl-RS"/>
        </w:rPr>
        <w:t>их</w:t>
      </w:r>
      <w:r w:rsidRPr="00062C64">
        <w:rPr>
          <w:sz w:val="24"/>
          <w:szCs w:val="24"/>
          <w:lang w:val="sr-Cyrl-RS"/>
        </w:rPr>
        <w:t xml:space="preserve"> надзора над применом прописа о матичним књигама, и то, између осталог, и у делу којим је уређено право припадника националне мањине на упис личног имена у матичне књиге према језику и правопису припадника националне мањине. Записницима о инспекцијском надзору, надзираним органима предложено је извршење </w:t>
      </w:r>
      <w:r w:rsidRPr="00062C64">
        <w:rPr>
          <w:sz w:val="24"/>
          <w:szCs w:val="24"/>
          <w:lang w:val="sr-Cyrl-RS"/>
        </w:rPr>
        <w:lastRenderedPageBreak/>
        <w:t>28 мера у вези са претходно наведеним правом припадника националн</w:t>
      </w:r>
      <w:r w:rsidR="00FD4991">
        <w:rPr>
          <w:sz w:val="24"/>
          <w:szCs w:val="24"/>
          <w:lang w:val="sr-Cyrl-RS"/>
        </w:rPr>
        <w:t>их</w:t>
      </w:r>
      <w:r w:rsidRPr="00062C64">
        <w:rPr>
          <w:sz w:val="24"/>
          <w:szCs w:val="24"/>
          <w:lang w:val="sr-Cyrl-RS"/>
        </w:rPr>
        <w:t xml:space="preserve"> мањин</w:t>
      </w:r>
      <w:r w:rsidR="00FD4991">
        <w:rPr>
          <w:sz w:val="24"/>
          <w:szCs w:val="24"/>
          <w:lang w:val="sr-Cyrl-RS"/>
        </w:rPr>
        <w:t>а</w:t>
      </w:r>
      <w:r w:rsidRPr="00062C64">
        <w:rPr>
          <w:sz w:val="24"/>
          <w:szCs w:val="24"/>
          <w:lang w:val="sr-Cyrl-RS"/>
        </w:rPr>
        <w:t>.</w:t>
      </w:r>
      <w:r>
        <w:rPr>
          <w:sz w:val="24"/>
          <w:szCs w:val="24"/>
          <w:lang w:val="sr-Cyrl-RS"/>
        </w:rPr>
        <w:t xml:space="preserve"> Осим тога,</w:t>
      </w:r>
      <w:r w:rsidRPr="00062C64">
        <w:rPr>
          <w:sz w:val="24"/>
          <w:szCs w:val="24"/>
          <w:lang w:val="sr-Cyrl-RS"/>
        </w:rPr>
        <w:t xml:space="preserve"> спрове</w:t>
      </w:r>
      <w:r>
        <w:rPr>
          <w:sz w:val="24"/>
          <w:szCs w:val="24"/>
          <w:lang w:val="sr-Cyrl-RS"/>
        </w:rPr>
        <w:t>дена</w:t>
      </w:r>
      <w:r w:rsidRPr="00062C64">
        <w:rPr>
          <w:sz w:val="24"/>
          <w:szCs w:val="24"/>
          <w:lang w:val="sr-Cyrl-RS"/>
        </w:rPr>
        <w:t xml:space="preserve"> </w:t>
      </w:r>
      <w:r>
        <w:rPr>
          <w:sz w:val="24"/>
          <w:szCs w:val="24"/>
          <w:lang w:val="sr-Cyrl-RS"/>
        </w:rPr>
        <w:t>су и</w:t>
      </w:r>
      <w:r w:rsidRPr="00062C64">
        <w:rPr>
          <w:sz w:val="24"/>
          <w:szCs w:val="24"/>
          <w:lang w:val="sr-Cyrl-RS"/>
        </w:rPr>
        <w:t xml:space="preserve"> 122 инспекцијска надзора над применом прописа којима се уређује службена употреба језика и писама. Записницима о инспекцијском надзору, надзираним органима предложено је извршење 10 мера за отклањање утврђених незаконитости, неправилности и недостатака у раду.</w:t>
      </w:r>
    </w:p>
    <w:p w:rsidR="00155A83" w:rsidRDefault="00155A83" w:rsidP="00315702">
      <w:pPr>
        <w:spacing w:after="0"/>
        <w:ind w:firstLine="720"/>
        <w:jc w:val="both"/>
        <w:rPr>
          <w:sz w:val="24"/>
          <w:szCs w:val="24"/>
          <w:lang w:val="sr-Cyrl-RS"/>
        </w:rPr>
      </w:pPr>
      <w:r w:rsidRPr="00155A83">
        <w:rPr>
          <w:sz w:val="24"/>
          <w:szCs w:val="24"/>
          <w:lang w:val="sr-Cyrl-RS"/>
        </w:rPr>
        <w:t>Послови инспекцијског надзора у области службене употребе језика и писма на територији Аутономне покрајине Војводине обављају се као поверени послови који спадају у делокруг Покрајинског секретаријата за образовање, прописе, управу и националне мањине – националне заједнице. У случају утврђивања незаконитости у погледу службене употребе језика и писама, најпре се записником, а у случају непоступања по записнику ‒ и решењем, налаже отклањање утврђених незаконитости. Контролним надзором утврђује се поступање по наложеним мерама, или се подносе захтеви за покретање прекршајног поступка.</w:t>
      </w:r>
      <w:r>
        <w:rPr>
          <w:sz w:val="24"/>
          <w:szCs w:val="24"/>
          <w:lang w:val="sr-Cyrl-RS"/>
        </w:rPr>
        <w:t xml:space="preserve"> </w:t>
      </w:r>
      <w:r w:rsidRPr="00155A83">
        <w:rPr>
          <w:sz w:val="24"/>
          <w:szCs w:val="24"/>
          <w:lang w:val="sr-Cyrl-RS"/>
        </w:rPr>
        <w:t>Инспекција у области службене употребе језика и писама делује и превентивно и саветодавно у оквиру службених сав</w:t>
      </w:r>
      <w:r w:rsidR="000B1337">
        <w:rPr>
          <w:sz w:val="24"/>
          <w:szCs w:val="24"/>
          <w:lang w:val="sr-Cyrl-RS"/>
        </w:rPr>
        <w:t>е</w:t>
      </w:r>
      <w:r w:rsidRPr="00155A83">
        <w:rPr>
          <w:sz w:val="24"/>
          <w:szCs w:val="24"/>
          <w:lang w:val="sr-Cyrl-RS"/>
        </w:rPr>
        <w:t>тодавних посета. Службене саветодавне посете се спроводе и ради упознавања и тумачења прописа за органе и организације и друге надзиране субјекте, ради правилне и потпуне примене прописа који уређују област службене употребе језика и писама.</w:t>
      </w:r>
      <w:r w:rsidR="00315702">
        <w:rPr>
          <w:sz w:val="24"/>
          <w:szCs w:val="24"/>
          <w:lang w:val="sr-Cyrl-RS"/>
        </w:rPr>
        <w:t xml:space="preserve"> У извештајном периоду спроведено је </w:t>
      </w:r>
      <w:r w:rsidR="0056662A">
        <w:rPr>
          <w:sz w:val="24"/>
          <w:szCs w:val="24"/>
        </w:rPr>
        <w:t>77</w:t>
      </w:r>
      <w:r w:rsidR="00315702">
        <w:rPr>
          <w:sz w:val="24"/>
          <w:szCs w:val="24"/>
          <w:lang w:val="sr-Cyrl-RS"/>
        </w:rPr>
        <w:t xml:space="preserve"> инспекцијских надзора у вези са службеном употребом језика и писама.</w:t>
      </w:r>
    </w:p>
    <w:p w:rsidR="00155A83" w:rsidRDefault="00155A83" w:rsidP="00315702">
      <w:pPr>
        <w:spacing w:after="0"/>
        <w:ind w:firstLine="720"/>
        <w:jc w:val="both"/>
        <w:rPr>
          <w:sz w:val="24"/>
          <w:szCs w:val="24"/>
          <w:lang w:val="sr-Cyrl-RS"/>
        </w:rPr>
      </w:pPr>
      <w:r w:rsidRPr="00155A83">
        <w:rPr>
          <w:sz w:val="24"/>
          <w:szCs w:val="24"/>
          <w:lang w:val="sr-Cyrl-RS"/>
        </w:rPr>
        <w:t>У периоду 2018-2021. година било је више притужби и представки у погледу примене прописа у области службене употребе језика и писама у органима управе, јавним предузећима и организацијама са јавним овлашћењима на територији Аутономне покрајине Војводине</w:t>
      </w:r>
      <w:r w:rsidR="001B605C">
        <w:rPr>
          <w:sz w:val="24"/>
          <w:szCs w:val="24"/>
          <w:lang w:val="sr-Cyrl-RS"/>
        </w:rPr>
        <w:t>, по којима је Покрајински секретаријат поступао независно од редовних инспекцијских надзора које спроводи</w:t>
      </w:r>
      <w:r w:rsidRPr="00155A83">
        <w:rPr>
          <w:sz w:val="24"/>
          <w:szCs w:val="24"/>
          <w:lang w:val="sr-Cyrl-RS"/>
        </w:rPr>
        <w:t>.</w:t>
      </w:r>
    </w:p>
    <w:p w:rsidR="00155A83" w:rsidRDefault="00155A83" w:rsidP="00062C64">
      <w:pPr>
        <w:spacing w:after="0"/>
        <w:jc w:val="both"/>
        <w:rPr>
          <w:sz w:val="24"/>
          <w:szCs w:val="24"/>
          <w:lang w:val="sr-Cyrl-RS"/>
        </w:rPr>
      </w:pPr>
    </w:p>
    <w:tbl>
      <w:tblPr>
        <w:tblStyle w:val="TableGrid"/>
        <w:tblW w:w="9067" w:type="dxa"/>
        <w:tblLook w:val="04A0" w:firstRow="1" w:lastRow="0" w:firstColumn="1" w:lastColumn="0" w:noHBand="0" w:noVBand="1"/>
      </w:tblPr>
      <w:tblGrid>
        <w:gridCol w:w="1440"/>
        <w:gridCol w:w="2666"/>
        <w:gridCol w:w="2693"/>
        <w:gridCol w:w="2268"/>
      </w:tblGrid>
      <w:tr w:rsidR="00155A83" w:rsidRPr="00A02DA2" w:rsidTr="00315702">
        <w:trPr>
          <w:trHeight w:val="315"/>
        </w:trPr>
        <w:tc>
          <w:tcPr>
            <w:tcW w:w="9067" w:type="dxa"/>
            <w:gridSpan w:val="4"/>
          </w:tcPr>
          <w:p w:rsidR="00155A83" w:rsidRPr="00A02DA2" w:rsidRDefault="00155A83" w:rsidP="00D64384">
            <w:pPr>
              <w:spacing w:after="0"/>
              <w:jc w:val="center"/>
              <w:rPr>
                <w:b/>
                <w:sz w:val="20"/>
                <w:szCs w:val="20"/>
                <w:lang w:val="sr-Cyrl-RS"/>
              </w:rPr>
            </w:pPr>
            <w:r w:rsidRPr="00A02DA2">
              <w:rPr>
                <w:b/>
                <w:sz w:val="20"/>
                <w:szCs w:val="20"/>
                <w:lang w:val="sr-Cyrl-RS"/>
              </w:rPr>
              <w:t>2018. година</w:t>
            </w:r>
          </w:p>
        </w:tc>
      </w:tr>
      <w:tr w:rsidR="00155A83" w:rsidRPr="00A02DA2" w:rsidTr="00315702">
        <w:trPr>
          <w:trHeight w:val="548"/>
        </w:trPr>
        <w:tc>
          <w:tcPr>
            <w:tcW w:w="1440" w:type="dxa"/>
          </w:tcPr>
          <w:p w:rsidR="00155A83" w:rsidRPr="00A02DA2" w:rsidRDefault="00155A83" w:rsidP="00D64384">
            <w:pPr>
              <w:spacing w:after="0"/>
              <w:jc w:val="center"/>
              <w:rPr>
                <w:b/>
                <w:sz w:val="20"/>
                <w:szCs w:val="20"/>
                <w:lang w:val="sr-Cyrl-RS"/>
              </w:rPr>
            </w:pPr>
            <w:r w:rsidRPr="00A02DA2">
              <w:rPr>
                <w:b/>
                <w:sz w:val="20"/>
                <w:szCs w:val="20"/>
                <w:lang w:val="sr-Cyrl-RS"/>
              </w:rPr>
              <w:t>Подносилац притужбе</w:t>
            </w:r>
          </w:p>
        </w:tc>
        <w:tc>
          <w:tcPr>
            <w:tcW w:w="2666" w:type="dxa"/>
          </w:tcPr>
          <w:p w:rsidR="00155A83" w:rsidRPr="00A02DA2" w:rsidRDefault="00155A83" w:rsidP="00D64384">
            <w:pPr>
              <w:spacing w:after="0"/>
              <w:jc w:val="center"/>
              <w:rPr>
                <w:b/>
                <w:sz w:val="20"/>
                <w:szCs w:val="20"/>
                <w:lang w:val="sr-Cyrl-RS"/>
              </w:rPr>
            </w:pPr>
            <w:r w:rsidRPr="00A02DA2">
              <w:rPr>
                <w:b/>
                <w:sz w:val="20"/>
                <w:szCs w:val="20"/>
                <w:lang w:val="sr-Cyrl-RS"/>
              </w:rPr>
              <w:t>Основ притужбе</w:t>
            </w:r>
          </w:p>
        </w:tc>
        <w:tc>
          <w:tcPr>
            <w:tcW w:w="2693" w:type="dxa"/>
          </w:tcPr>
          <w:p w:rsidR="00155A83" w:rsidRPr="00A02DA2" w:rsidRDefault="00155A83" w:rsidP="00D64384">
            <w:pPr>
              <w:spacing w:after="0"/>
              <w:jc w:val="center"/>
              <w:rPr>
                <w:b/>
                <w:sz w:val="20"/>
                <w:szCs w:val="20"/>
                <w:lang w:val="sr-Cyrl-RS"/>
              </w:rPr>
            </w:pPr>
            <w:r w:rsidRPr="00A02DA2">
              <w:rPr>
                <w:b/>
                <w:sz w:val="20"/>
                <w:szCs w:val="20"/>
                <w:lang w:val="sr-Cyrl-RS"/>
              </w:rPr>
              <w:t>Притужба представљена у односу на</w:t>
            </w:r>
          </w:p>
        </w:tc>
        <w:tc>
          <w:tcPr>
            <w:tcW w:w="2268" w:type="dxa"/>
          </w:tcPr>
          <w:p w:rsidR="00155A83" w:rsidRPr="00A02DA2" w:rsidRDefault="00155A83" w:rsidP="00D64384">
            <w:pPr>
              <w:spacing w:after="0"/>
              <w:jc w:val="center"/>
              <w:rPr>
                <w:b/>
                <w:sz w:val="20"/>
                <w:szCs w:val="20"/>
                <w:lang w:val="sr-Cyrl-RS"/>
              </w:rPr>
            </w:pPr>
            <w:r w:rsidRPr="00A02DA2">
              <w:rPr>
                <w:b/>
                <w:sz w:val="20"/>
                <w:szCs w:val="20"/>
                <w:lang w:val="sr-Cyrl-RS"/>
              </w:rPr>
              <w:t>Активност инспекције</w:t>
            </w:r>
          </w:p>
        </w:tc>
      </w:tr>
      <w:tr w:rsidR="00155A83" w:rsidRPr="00A02DA2" w:rsidTr="00155A83">
        <w:tc>
          <w:tcPr>
            <w:tcW w:w="1440" w:type="dxa"/>
          </w:tcPr>
          <w:p w:rsidR="00155A83" w:rsidRPr="00A02DA2" w:rsidRDefault="00155A83" w:rsidP="00D64384">
            <w:pPr>
              <w:spacing w:after="0"/>
              <w:rPr>
                <w:sz w:val="20"/>
                <w:szCs w:val="20"/>
                <w:lang w:val="sr-Cyrl-RS"/>
              </w:rPr>
            </w:pPr>
            <w:r w:rsidRPr="00A02DA2">
              <w:rPr>
                <w:sz w:val="20"/>
                <w:szCs w:val="20"/>
                <w:lang w:val="sr-Cyrl-RS"/>
              </w:rPr>
              <w:t>Национални савет мађарске националне мањине</w:t>
            </w:r>
          </w:p>
          <w:p w:rsidR="00155A83" w:rsidRPr="00A02DA2" w:rsidRDefault="00155A83" w:rsidP="00D64384">
            <w:pPr>
              <w:spacing w:after="0"/>
              <w:rPr>
                <w:sz w:val="20"/>
                <w:szCs w:val="20"/>
                <w:lang w:val="sr-Cyrl-RS"/>
              </w:rPr>
            </w:pPr>
          </w:p>
          <w:p w:rsidR="00155A83" w:rsidRPr="00A02DA2" w:rsidRDefault="00155A83" w:rsidP="00D64384">
            <w:pPr>
              <w:spacing w:after="0"/>
              <w:rPr>
                <w:sz w:val="20"/>
                <w:szCs w:val="20"/>
                <w:lang w:val="sr-Cyrl-RS"/>
              </w:rPr>
            </w:pPr>
            <w:r w:rsidRPr="00A02DA2">
              <w:rPr>
                <w:sz w:val="20"/>
                <w:szCs w:val="20"/>
                <w:lang w:val="sr-Cyrl-RS"/>
              </w:rPr>
              <w:t>Мађарски покрет</w:t>
            </w:r>
          </w:p>
        </w:tc>
        <w:tc>
          <w:tcPr>
            <w:tcW w:w="2666" w:type="dxa"/>
          </w:tcPr>
          <w:p w:rsidR="00155A83" w:rsidRPr="00A02DA2" w:rsidRDefault="00155A83" w:rsidP="00D64384">
            <w:pPr>
              <w:spacing w:after="0"/>
              <w:rPr>
                <w:sz w:val="20"/>
                <w:szCs w:val="20"/>
                <w:lang w:val="sr-Cyrl-RS"/>
              </w:rPr>
            </w:pPr>
            <w:r w:rsidRPr="00A02DA2">
              <w:rPr>
                <w:sz w:val="20"/>
                <w:szCs w:val="20"/>
                <w:lang w:val="sr-Cyrl-RS"/>
              </w:rPr>
              <w:t>Неисписивање назива насељеног места Палић на свим језицима који су у службеној употреби на територији Града Суботица</w:t>
            </w:r>
          </w:p>
        </w:tc>
        <w:tc>
          <w:tcPr>
            <w:tcW w:w="2693" w:type="dxa"/>
          </w:tcPr>
          <w:p w:rsidR="00155A83" w:rsidRPr="00A02DA2" w:rsidRDefault="00155A83" w:rsidP="00D64384">
            <w:pPr>
              <w:spacing w:after="0"/>
              <w:rPr>
                <w:sz w:val="20"/>
                <w:szCs w:val="20"/>
                <w:lang w:val="sr-Cyrl-RS"/>
              </w:rPr>
            </w:pPr>
            <w:r w:rsidRPr="00A02DA2">
              <w:rPr>
                <w:sz w:val="20"/>
                <w:szCs w:val="20"/>
                <w:lang w:val="sr-Cyrl-RS"/>
              </w:rPr>
              <w:t>Градска управа Суботица</w:t>
            </w:r>
          </w:p>
        </w:tc>
        <w:tc>
          <w:tcPr>
            <w:tcW w:w="2268" w:type="dxa"/>
          </w:tcPr>
          <w:p w:rsidR="00155A83" w:rsidRPr="00A02DA2" w:rsidRDefault="00155A83" w:rsidP="00D64384">
            <w:pPr>
              <w:spacing w:after="0"/>
              <w:rPr>
                <w:sz w:val="20"/>
                <w:szCs w:val="20"/>
                <w:lang w:val="sr-Cyrl-RS"/>
              </w:rPr>
            </w:pPr>
            <w:r w:rsidRPr="00A02DA2">
              <w:rPr>
                <w:sz w:val="20"/>
                <w:szCs w:val="20"/>
                <w:lang w:val="sr-Cyrl-RS"/>
              </w:rPr>
              <w:t>Извршен ванредни инспекцијски надзор. Наложене мере за исписивање. Извршене мере.</w:t>
            </w:r>
          </w:p>
        </w:tc>
      </w:tr>
      <w:tr w:rsidR="00155A83" w:rsidRPr="00A02DA2" w:rsidTr="00155A83">
        <w:tc>
          <w:tcPr>
            <w:tcW w:w="1440" w:type="dxa"/>
          </w:tcPr>
          <w:p w:rsidR="00155A83" w:rsidRPr="00A02DA2" w:rsidRDefault="00155A83" w:rsidP="00D64384">
            <w:pPr>
              <w:spacing w:after="0"/>
              <w:rPr>
                <w:sz w:val="20"/>
                <w:szCs w:val="20"/>
                <w:lang w:val="sr-Cyrl-RS"/>
              </w:rPr>
            </w:pPr>
            <w:r w:rsidRPr="00A02DA2">
              <w:rPr>
                <w:sz w:val="20"/>
                <w:szCs w:val="20"/>
                <w:lang w:val="sr-Cyrl-RS"/>
              </w:rPr>
              <w:t xml:space="preserve">Физичко лице </w:t>
            </w:r>
          </w:p>
        </w:tc>
        <w:tc>
          <w:tcPr>
            <w:tcW w:w="2666" w:type="dxa"/>
          </w:tcPr>
          <w:p w:rsidR="00155A83" w:rsidRPr="00A02DA2" w:rsidRDefault="00155A83" w:rsidP="00D64384">
            <w:pPr>
              <w:spacing w:after="0"/>
              <w:rPr>
                <w:sz w:val="20"/>
                <w:szCs w:val="20"/>
                <w:lang w:val="sr-Cyrl-RS"/>
              </w:rPr>
            </w:pPr>
            <w:r w:rsidRPr="00A02DA2">
              <w:rPr>
                <w:sz w:val="20"/>
                <w:szCs w:val="20"/>
                <w:lang w:val="sr-Cyrl-RS"/>
              </w:rPr>
              <w:t>Непотпуна примена службене употребе језика и писма у делу који се односи на тројезично исписивање обавештења за изборе чланова Савета МЗ Руски Крстур</w:t>
            </w:r>
          </w:p>
        </w:tc>
        <w:tc>
          <w:tcPr>
            <w:tcW w:w="2693" w:type="dxa"/>
          </w:tcPr>
          <w:p w:rsidR="00155A83" w:rsidRPr="00A02DA2" w:rsidRDefault="00155A83" w:rsidP="00D64384">
            <w:pPr>
              <w:spacing w:after="0"/>
              <w:rPr>
                <w:sz w:val="20"/>
                <w:szCs w:val="20"/>
                <w:lang w:val="sr-Cyrl-RS"/>
              </w:rPr>
            </w:pPr>
            <w:r w:rsidRPr="00A02DA2">
              <w:rPr>
                <w:sz w:val="20"/>
                <w:szCs w:val="20"/>
                <w:lang w:val="sr-Cyrl-RS"/>
              </w:rPr>
              <w:t>Општинска управа Кула</w:t>
            </w:r>
          </w:p>
        </w:tc>
        <w:tc>
          <w:tcPr>
            <w:tcW w:w="2268" w:type="dxa"/>
          </w:tcPr>
          <w:p w:rsidR="00155A83" w:rsidRPr="00A02DA2" w:rsidRDefault="00155A83" w:rsidP="00D64384">
            <w:pPr>
              <w:spacing w:after="0"/>
              <w:rPr>
                <w:sz w:val="20"/>
                <w:szCs w:val="20"/>
                <w:lang w:val="sr-Cyrl-RS"/>
              </w:rPr>
            </w:pPr>
            <w:r w:rsidRPr="00A02DA2">
              <w:rPr>
                <w:sz w:val="20"/>
                <w:szCs w:val="20"/>
                <w:lang w:val="sr-Cyrl-RS"/>
              </w:rPr>
              <w:t>Извршен ванредни инспекцијски надзор. Наложене мере за обезбеђивање целокупног бирачког и изборног материјала на језицима који су у службеној упореби у Општини Кула.</w:t>
            </w:r>
          </w:p>
        </w:tc>
      </w:tr>
      <w:tr w:rsidR="00155A83" w:rsidRPr="00A02DA2" w:rsidTr="00155A83">
        <w:trPr>
          <w:trHeight w:val="1125"/>
        </w:trPr>
        <w:tc>
          <w:tcPr>
            <w:tcW w:w="1440" w:type="dxa"/>
          </w:tcPr>
          <w:p w:rsidR="00155A83" w:rsidRPr="00A02DA2" w:rsidRDefault="00155A83" w:rsidP="00D64384">
            <w:pPr>
              <w:spacing w:after="0"/>
              <w:rPr>
                <w:sz w:val="20"/>
                <w:szCs w:val="20"/>
                <w:lang w:val="sr-Cyrl-RS"/>
              </w:rPr>
            </w:pPr>
            <w:r w:rsidRPr="00A02DA2">
              <w:rPr>
                <w:sz w:val="20"/>
                <w:szCs w:val="20"/>
                <w:lang w:val="sr-Cyrl-RS"/>
              </w:rPr>
              <w:lastRenderedPageBreak/>
              <w:t>Национални савет хрватске националне мањине</w:t>
            </w:r>
          </w:p>
          <w:p w:rsidR="00155A83" w:rsidRPr="00A02DA2" w:rsidRDefault="00155A83" w:rsidP="00D64384">
            <w:pPr>
              <w:spacing w:after="0"/>
              <w:rPr>
                <w:sz w:val="20"/>
                <w:szCs w:val="20"/>
                <w:lang w:val="sr-Cyrl-RS"/>
              </w:rPr>
            </w:pPr>
          </w:p>
          <w:p w:rsidR="00155A83" w:rsidRPr="00A02DA2" w:rsidRDefault="00155A83" w:rsidP="00D64384">
            <w:pPr>
              <w:spacing w:after="0"/>
              <w:rPr>
                <w:sz w:val="20"/>
                <w:szCs w:val="20"/>
                <w:lang w:val="sr-Cyrl-RS"/>
              </w:rPr>
            </w:pPr>
            <w:r w:rsidRPr="00A02DA2">
              <w:rPr>
                <w:sz w:val="20"/>
                <w:szCs w:val="20"/>
                <w:lang w:val="sr-Cyrl-RS"/>
              </w:rPr>
              <w:t>Национални савет мађарске националне мањине</w:t>
            </w:r>
          </w:p>
        </w:tc>
        <w:tc>
          <w:tcPr>
            <w:tcW w:w="2666" w:type="dxa"/>
          </w:tcPr>
          <w:p w:rsidR="00155A83" w:rsidRPr="00A02DA2" w:rsidRDefault="00155A83" w:rsidP="00D64384">
            <w:pPr>
              <w:spacing w:after="0"/>
              <w:rPr>
                <w:sz w:val="20"/>
                <w:szCs w:val="20"/>
                <w:lang w:val="sr-Cyrl-RS"/>
              </w:rPr>
            </w:pPr>
            <w:r w:rsidRPr="00A02DA2">
              <w:rPr>
                <w:sz w:val="20"/>
                <w:szCs w:val="20"/>
                <w:lang w:val="sr-Cyrl-RS"/>
              </w:rPr>
              <w:t>Неисписивање табле са називом насељеног места Бајмок на свим језицима који су у службеној употреби на територији Града Суботица</w:t>
            </w:r>
          </w:p>
        </w:tc>
        <w:tc>
          <w:tcPr>
            <w:tcW w:w="2693" w:type="dxa"/>
          </w:tcPr>
          <w:p w:rsidR="00155A83" w:rsidRPr="00A02DA2" w:rsidRDefault="00155A83" w:rsidP="00D64384">
            <w:pPr>
              <w:spacing w:after="0"/>
              <w:rPr>
                <w:sz w:val="20"/>
                <w:szCs w:val="20"/>
                <w:lang w:val="sr-Cyrl-RS"/>
              </w:rPr>
            </w:pPr>
            <w:r w:rsidRPr="00A02DA2">
              <w:rPr>
                <w:sz w:val="20"/>
                <w:szCs w:val="20"/>
                <w:lang w:val="sr-Cyrl-RS"/>
              </w:rPr>
              <w:t>Месна заједница Бајмок</w:t>
            </w:r>
          </w:p>
        </w:tc>
        <w:tc>
          <w:tcPr>
            <w:tcW w:w="2268" w:type="dxa"/>
          </w:tcPr>
          <w:p w:rsidR="00155A83" w:rsidRPr="00A02DA2" w:rsidRDefault="00155A83" w:rsidP="00D64384">
            <w:pPr>
              <w:spacing w:after="0"/>
              <w:rPr>
                <w:sz w:val="20"/>
                <w:szCs w:val="20"/>
                <w:lang w:val="sr-Cyrl-RS"/>
              </w:rPr>
            </w:pPr>
            <w:r w:rsidRPr="00A02DA2">
              <w:rPr>
                <w:sz w:val="20"/>
                <w:szCs w:val="20"/>
                <w:lang w:val="sr-Cyrl-RS"/>
              </w:rPr>
              <w:t>Извршен ванредни инспекцијски надзор. Наложене мере за исписивање. Извршене мере.</w:t>
            </w:r>
          </w:p>
        </w:tc>
      </w:tr>
      <w:tr w:rsidR="00155A83" w:rsidRPr="00A02DA2" w:rsidTr="00155A83">
        <w:tc>
          <w:tcPr>
            <w:tcW w:w="1440" w:type="dxa"/>
          </w:tcPr>
          <w:p w:rsidR="00155A83" w:rsidRPr="00A02DA2" w:rsidRDefault="00155A83" w:rsidP="00D64384">
            <w:pPr>
              <w:spacing w:after="0"/>
              <w:rPr>
                <w:sz w:val="20"/>
                <w:szCs w:val="20"/>
                <w:lang w:val="sr-Cyrl-RS"/>
              </w:rPr>
            </w:pPr>
            <w:r w:rsidRPr="00A02DA2">
              <w:rPr>
                <w:sz w:val="20"/>
                <w:szCs w:val="20"/>
                <w:lang w:val="sr-Cyrl-RS"/>
              </w:rPr>
              <w:t>Национални савет мађарске националне мањине</w:t>
            </w:r>
          </w:p>
        </w:tc>
        <w:tc>
          <w:tcPr>
            <w:tcW w:w="2666" w:type="dxa"/>
          </w:tcPr>
          <w:p w:rsidR="00155A83" w:rsidRPr="00A02DA2" w:rsidRDefault="00155A83" w:rsidP="00D64384">
            <w:pPr>
              <w:spacing w:after="0"/>
              <w:rPr>
                <w:sz w:val="20"/>
                <w:szCs w:val="20"/>
                <w:lang w:val="sr-Cyrl-RS"/>
              </w:rPr>
            </w:pPr>
            <w:r w:rsidRPr="00A02DA2">
              <w:rPr>
                <w:sz w:val="20"/>
                <w:szCs w:val="20"/>
                <w:lang w:val="sr-Cyrl-RS"/>
              </w:rPr>
              <w:t>Постављање табли са називом насељених места уз непотпуну примену прописа о службеној употреби језика и писама</w:t>
            </w:r>
          </w:p>
        </w:tc>
        <w:tc>
          <w:tcPr>
            <w:tcW w:w="2693" w:type="dxa"/>
          </w:tcPr>
          <w:p w:rsidR="00155A83" w:rsidRPr="00A02DA2" w:rsidRDefault="00155A83" w:rsidP="00D64384">
            <w:pPr>
              <w:spacing w:after="0"/>
              <w:rPr>
                <w:sz w:val="20"/>
                <w:szCs w:val="20"/>
                <w:lang w:val="sr-Cyrl-RS"/>
              </w:rPr>
            </w:pPr>
            <w:r w:rsidRPr="00A02DA2">
              <w:rPr>
                <w:sz w:val="20"/>
                <w:szCs w:val="20"/>
                <w:lang w:val="sr-Cyrl-RS"/>
              </w:rPr>
              <w:t>ЈП „Путеви Србије“</w:t>
            </w:r>
          </w:p>
        </w:tc>
        <w:tc>
          <w:tcPr>
            <w:tcW w:w="2268" w:type="dxa"/>
          </w:tcPr>
          <w:p w:rsidR="00155A83" w:rsidRPr="00A02DA2" w:rsidRDefault="00155A83" w:rsidP="00D64384">
            <w:pPr>
              <w:spacing w:after="0"/>
              <w:rPr>
                <w:sz w:val="20"/>
                <w:szCs w:val="20"/>
                <w:lang w:val="sr-Cyrl-RS"/>
              </w:rPr>
            </w:pPr>
            <w:r w:rsidRPr="00A02DA2">
              <w:rPr>
                <w:sz w:val="20"/>
                <w:szCs w:val="20"/>
                <w:lang w:val="sr-Cyrl-RS"/>
              </w:rPr>
              <w:t>Обавештење ЈП „Путеви Србије“ и заједнички рад на потпуној примени прописа из области службене употребе језика и писма у делу исписивања традиционалних назива насељених места.</w:t>
            </w:r>
          </w:p>
        </w:tc>
      </w:tr>
      <w:tr w:rsidR="00155A83" w:rsidRPr="00A02DA2" w:rsidTr="00155A83">
        <w:tc>
          <w:tcPr>
            <w:tcW w:w="9067" w:type="dxa"/>
            <w:gridSpan w:val="4"/>
          </w:tcPr>
          <w:p w:rsidR="00155A83" w:rsidRPr="00A02DA2" w:rsidRDefault="00155A83" w:rsidP="00D64384">
            <w:pPr>
              <w:spacing w:after="0"/>
              <w:jc w:val="center"/>
              <w:rPr>
                <w:b/>
                <w:sz w:val="20"/>
                <w:szCs w:val="20"/>
                <w:lang w:val="sr-Cyrl-RS"/>
              </w:rPr>
            </w:pPr>
            <w:r w:rsidRPr="00A02DA2">
              <w:rPr>
                <w:b/>
                <w:sz w:val="20"/>
                <w:szCs w:val="20"/>
                <w:lang w:val="sr-Cyrl-RS"/>
              </w:rPr>
              <w:t>2019. година</w:t>
            </w:r>
          </w:p>
        </w:tc>
      </w:tr>
      <w:tr w:rsidR="00155A83" w:rsidRPr="00A02DA2" w:rsidTr="00155A83">
        <w:tc>
          <w:tcPr>
            <w:tcW w:w="1440" w:type="dxa"/>
          </w:tcPr>
          <w:p w:rsidR="00155A83" w:rsidRPr="00A02DA2" w:rsidRDefault="00155A83" w:rsidP="00D64384">
            <w:pPr>
              <w:spacing w:after="0"/>
              <w:jc w:val="center"/>
              <w:rPr>
                <w:b/>
                <w:sz w:val="20"/>
                <w:szCs w:val="20"/>
                <w:lang w:val="sr-Cyrl-RS"/>
              </w:rPr>
            </w:pPr>
            <w:r w:rsidRPr="00A02DA2">
              <w:rPr>
                <w:b/>
                <w:sz w:val="20"/>
                <w:szCs w:val="20"/>
                <w:lang w:val="sr-Cyrl-RS"/>
              </w:rPr>
              <w:t>Подносилац притужбе</w:t>
            </w:r>
          </w:p>
        </w:tc>
        <w:tc>
          <w:tcPr>
            <w:tcW w:w="2666" w:type="dxa"/>
          </w:tcPr>
          <w:p w:rsidR="00155A83" w:rsidRPr="00A02DA2" w:rsidRDefault="00155A83" w:rsidP="00D64384">
            <w:pPr>
              <w:spacing w:after="0"/>
              <w:jc w:val="center"/>
              <w:rPr>
                <w:b/>
                <w:sz w:val="20"/>
                <w:szCs w:val="20"/>
                <w:lang w:val="sr-Cyrl-RS"/>
              </w:rPr>
            </w:pPr>
            <w:r w:rsidRPr="00A02DA2">
              <w:rPr>
                <w:b/>
                <w:sz w:val="20"/>
                <w:szCs w:val="20"/>
                <w:lang w:val="sr-Cyrl-RS"/>
              </w:rPr>
              <w:t>Основ притужбе</w:t>
            </w:r>
          </w:p>
        </w:tc>
        <w:tc>
          <w:tcPr>
            <w:tcW w:w="2693" w:type="dxa"/>
          </w:tcPr>
          <w:p w:rsidR="00155A83" w:rsidRPr="00A02DA2" w:rsidRDefault="00155A83" w:rsidP="00D64384">
            <w:pPr>
              <w:spacing w:after="0"/>
              <w:jc w:val="center"/>
              <w:rPr>
                <w:b/>
                <w:sz w:val="20"/>
                <w:szCs w:val="20"/>
                <w:lang w:val="sr-Cyrl-RS"/>
              </w:rPr>
            </w:pPr>
            <w:r w:rsidRPr="00A02DA2">
              <w:rPr>
                <w:b/>
                <w:sz w:val="20"/>
                <w:szCs w:val="20"/>
                <w:lang w:val="sr-Cyrl-RS"/>
              </w:rPr>
              <w:t>Притужба представљена у односу на</w:t>
            </w:r>
          </w:p>
        </w:tc>
        <w:tc>
          <w:tcPr>
            <w:tcW w:w="2268" w:type="dxa"/>
          </w:tcPr>
          <w:p w:rsidR="00155A83" w:rsidRPr="00A02DA2" w:rsidRDefault="00155A83" w:rsidP="00D64384">
            <w:pPr>
              <w:spacing w:after="0"/>
              <w:jc w:val="center"/>
              <w:rPr>
                <w:b/>
                <w:sz w:val="20"/>
                <w:szCs w:val="20"/>
                <w:lang w:val="sr-Cyrl-RS"/>
              </w:rPr>
            </w:pPr>
            <w:r w:rsidRPr="00A02DA2">
              <w:rPr>
                <w:b/>
                <w:sz w:val="20"/>
                <w:szCs w:val="20"/>
                <w:lang w:val="sr-Cyrl-RS"/>
              </w:rPr>
              <w:t>Активност Инспекције</w:t>
            </w:r>
          </w:p>
        </w:tc>
      </w:tr>
      <w:tr w:rsidR="00155A83" w:rsidRPr="00A02DA2" w:rsidTr="00155A83">
        <w:tc>
          <w:tcPr>
            <w:tcW w:w="1440" w:type="dxa"/>
          </w:tcPr>
          <w:p w:rsidR="00155A83" w:rsidRPr="00A02DA2" w:rsidRDefault="00155A83" w:rsidP="00D64384">
            <w:pPr>
              <w:spacing w:after="0"/>
              <w:rPr>
                <w:sz w:val="20"/>
                <w:szCs w:val="20"/>
                <w:lang w:val="sr-Cyrl-RS"/>
              </w:rPr>
            </w:pPr>
            <w:r w:rsidRPr="00A02DA2">
              <w:rPr>
                <w:sz w:val="20"/>
                <w:szCs w:val="20"/>
                <w:lang w:val="sr-Cyrl-RS"/>
              </w:rPr>
              <w:t xml:space="preserve">Физичко лице </w:t>
            </w:r>
          </w:p>
        </w:tc>
        <w:tc>
          <w:tcPr>
            <w:tcW w:w="2666" w:type="dxa"/>
          </w:tcPr>
          <w:p w:rsidR="00155A83" w:rsidRPr="00A02DA2" w:rsidRDefault="00155A83" w:rsidP="00D64384">
            <w:pPr>
              <w:spacing w:after="0"/>
              <w:rPr>
                <w:sz w:val="20"/>
                <w:szCs w:val="20"/>
                <w:lang w:val="sr-Cyrl-RS"/>
              </w:rPr>
            </w:pPr>
            <w:r w:rsidRPr="00A02DA2">
              <w:rPr>
                <w:sz w:val="20"/>
                <w:szCs w:val="20"/>
                <w:lang w:val="sr-Cyrl-RS"/>
              </w:rPr>
              <w:t>Примена прописа о службеној употреби језика и писама у школи</w:t>
            </w:r>
          </w:p>
        </w:tc>
        <w:tc>
          <w:tcPr>
            <w:tcW w:w="2693" w:type="dxa"/>
          </w:tcPr>
          <w:p w:rsidR="00155A83" w:rsidRPr="00A02DA2" w:rsidRDefault="00155A83" w:rsidP="00D64384">
            <w:pPr>
              <w:spacing w:after="0"/>
              <w:rPr>
                <w:sz w:val="20"/>
                <w:szCs w:val="20"/>
                <w:lang w:val="sr-Cyrl-RS"/>
              </w:rPr>
            </w:pPr>
            <w:r w:rsidRPr="00A02DA2">
              <w:rPr>
                <w:sz w:val="20"/>
                <w:szCs w:val="20"/>
                <w:lang w:val="sr-Cyrl-RS"/>
              </w:rPr>
              <w:t>Основна школа „Бранко Ћопић“ у Лукићеву</w:t>
            </w:r>
          </w:p>
        </w:tc>
        <w:tc>
          <w:tcPr>
            <w:tcW w:w="2268" w:type="dxa"/>
          </w:tcPr>
          <w:p w:rsidR="00155A83" w:rsidRPr="00A02DA2" w:rsidRDefault="00155A83" w:rsidP="00D64384">
            <w:pPr>
              <w:spacing w:after="0"/>
              <w:rPr>
                <w:sz w:val="20"/>
                <w:szCs w:val="20"/>
                <w:lang w:val="sr-Cyrl-RS"/>
              </w:rPr>
            </w:pPr>
            <w:r w:rsidRPr="00A02DA2">
              <w:rPr>
                <w:sz w:val="20"/>
                <w:szCs w:val="20"/>
                <w:lang w:val="sr-Cyrl-RS"/>
              </w:rPr>
              <w:t>Подносилац представке обавештен о неоснованости притужбе.</w:t>
            </w:r>
          </w:p>
        </w:tc>
      </w:tr>
      <w:tr w:rsidR="00155A83" w:rsidRPr="00A02DA2" w:rsidTr="00155A83">
        <w:tc>
          <w:tcPr>
            <w:tcW w:w="1440" w:type="dxa"/>
          </w:tcPr>
          <w:p w:rsidR="00155A83" w:rsidRPr="00A02DA2" w:rsidRDefault="00155A83" w:rsidP="00D64384">
            <w:pPr>
              <w:spacing w:after="0"/>
              <w:rPr>
                <w:sz w:val="20"/>
                <w:szCs w:val="20"/>
                <w:lang w:val="sr-Cyrl-RS"/>
              </w:rPr>
            </w:pPr>
            <w:r w:rsidRPr="00A02DA2">
              <w:rPr>
                <w:sz w:val="20"/>
                <w:szCs w:val="20"/>
                <w:lang w:val="sr-Cyrl-RS"/>
              </w:rPr>
              <w:t>Национални савет мађарске националне мањине</w:t>
            </w:r>
          </w:p>
        </w:tc>
        <w:tc>
          <w:tcPr>
            <w:tcW w:w="2666" w:type="dxa"/>
          </w:tcPr>
          <w:p w:rsidR="00155A83" w:rsidRPr="00A02DA2" w:rsidRDefault="00155A83" w:rsidP="00D64384">
            <w:pPr>
              <w:spacing w:after="0"/>
              <w:rPr>
                <w:sz w:val="20"/>
                <w:szCs w:val="20"/>
                <w:lang w:val="sr-Cyrl-RS"/>
              </w:rPr>
            </w:pPr>
            <w:r w:rsidRPr="00A02DA2">
              <w:rPr>
                <w:sz w:val="20"/>
                <w:szCs w:val="20"/>
                <w:lang w:val="sr-Cyrl-RS"/>
              </w:rPr>
              <w:t>Изменом и допуном Статута Града Панчево није више предвиђено да мађарски језик и писмо буде у службеној употреби у K.О. Војловица, као што је било прописано претходним Статутом</w:t>
            </w:r>
          </w:p>
        </w:tc>
        <w:tc>
          <w:tcPr>
            <w:tcW w:w="2693" w:type="dxa"/>
          </w:tcPr>
          <w:p w:rsidR="00155A83" w:rsidRPr="00A02DA2" w:rsidRDefault="00155A83" w:rsidP="00D64384">
            <w:pPr>
              <w:spacing w:after="0"/>
              <w:rPr>
                <w:sz w:val="20"/>
                <w:szCs w:val="20"/>
                <w:lang w:val="sr-Cyrl-RS"/>
              </w:rPr>
            </w:pPr>
            <w:r w:rsidRPr="00A02DA2">
              <w:rPr>
                <w:sz w:val="20"/>
                <w:szCs w:val="20"/>
                <w:lang w:val="sr-Cyrl-RS"/>
              </w:rPr>
              <w:t>Градска управа Панчево</w:t>
            </w:r>
          </w:p>
        </w:tc>
        <w:tc>
          <w:tcPr>
            <w:tcW w:w="2268" w:type="dxa"/>
          </w:tcPr>
          <w:p w:rsidR="00155A83" w:rsidRPr="00A02DA2" w:rsidRDefault="00155A83" w:rsidP="00D64384">
            <w:pPr>
              <w:spacing w:after="0"/>
              <w:rPr>
                <w:sz w:val="20"/>
                <w:szCs w:val="20"/>
              </w:rPr>
            </w:pPr>
            <w:r w:rsidRPr="00A02DA2">
              <w:rPr>
                <w:sz w:val="20"/>
                <w:szCs w:val="20"/>
                <w:lang w:val="sr-Cyrl-RS"/>
              </w:rPr>
              <w:t>Извршен редовни инспекцијски надзор. Наложене мере. Обезбеђено је поновно прописивање службене употребе мађарског језика и писма у К.О. Војловица, изменом Статута Града Панчево.</w:t>
            </w:r>
          </w:p>
        </w:tc>
      </w:tr>
      <w:tr w:rsidR="00155A83" w:rsidRPr="00A02DA2" w:rsidTr="00155A83">
        <w:tc>
          <w:tcPr>
            <w:tcW w:w="1440" w:type="dxa"/>
          </w:tcPr>
          <w:p w:rsidR="00155A83" w:rsidRPr="00A02DA2" w:rsidRDefault="00155A83" w:rsidP="00D64384">
            <w:pPr>
              <w:spacing w:after="0"/>
              <w:rPr>
                <w:sz w:val="20"/>
                <w:szCs w:val="20"/>
                <w:lang w:val="sr-Cyrl-RS"/>
              </w:rPr>
            </w:pPr>
            <w:r w:rsidRPr="00A02DA2">
              <w:rPr>
                <w:sz w:val="20"/>
                <w:szCs w:val="20"/>
                <w:lang w:val="sr-Cyrl-RS"/>
              </w:rPr>
              <w:t xml:space="preserve">Поступање по уступљеном предмету Министарства просвете, науке и технолошког развоја, по иницијативи из представке физичког лица </w:t>
            </w:r>
          </w:p>
        </w:tc>
        <w:tc>
          <w:tcPr>
            <w:tcW w:w="2666" w:type="dxa"/>
          </w:tcPr>
          <w:p w:rsidR="00155A83" w:rsidRPr="00A02DA2" w:rsidRDefault="00155A83" w:rsidP="00D64384">
            <w:pPr>
              <w:spacing w:after="0"/>
              <w:rPr>
                <w:sz w:val="20"/>
                <w:szCs w:val="20"/>
                <w:lang w:val="sr-Cyrl-RS"/>
              </w:rPr>
            </w:pPr>
            <w:r w:rsidRPr="00A02DA2">
              <w:rPr>
                <w:sz w:val="20"/>
                <w:szCs w:val="20"/>
                <w:lang w:val="sr-Cyrl-RS"/>
              </w:rPr>
              <w:t xml:space="preserve">Исписивање обавештења само на мађарском језику и писму </w:t>
            </w:r>
          </w:p>
        </w:tc>
        <w:tc>
          <w:tcPr>
            <w:tcW w:w="2693" w:type="dxa"/>
          </w:tcPr>
          <w:p w:rsidR="00155A83" w:rsidRPr="00A02DA2" w:rsidRDefault="00155A83" w:rsidP="00D64384">
            <w:pPr>
              <w:spacing w:after="0"/>
              <w:rPr>
                <w:sz w:val="20"/>
                <w:szCs w:val="20"/>
                <w:lang w:val="sr-Cyrl-RS"/>
              </w:rPr>
            </w:pPr>
            <w:r w:rsidRPr="00A02DA2">
              <w:rPr>
                <w:sz w:val="20"/>
                <w:szCs w:val="20"/>
                <w:lang w:val="sr-Cyrl-RS"/>
              </w:rPr>
              <w:t>Пољопривредни техничко -средњошколски Центар „Беседеш Јожеф“ у Кањижи</w:t>
            </w:r>
          </w:p>
        </w:tc>
        <w:tc>
          <w:tcPr>
            <w:tcW w:w="2268" w:type="dxa"/>
          </w:tcPr>
          <w:p w:rsidR="00155A83" w:rsidRPr="00A02DA2" w:rsidRDefault="00155A83" w:rsidP="00D64384">
            <w:pPr>
              <w:spacing w:after="0"/>
              <w:rPr>
                <w:sz w:val="20"/>
                <w:szCs w:val="20"/>
                <w:lang w:val="sr-Cyrl-RS"/>
              </w:rPr>
            </w:pPr>
            <w:r w:rsidRPr="00A02DA2">
              <w:rPr>
                <w:sz w:val="20"/>
                <w:szCs w:val="20"/>
                <w:lang w:val="sr-Cyrl-RS"/>
              </w:rPr>
              <w:t>Извршен ванредни инспекцијски надзор. Наложене мере за исписивање. Извршене мере</w:t>
            </w:r>
          </w:p>
        </w:tc>
      </w:tr>
      <w:tr w:rsidR="00155A83" w:rsidRPr="00A02DA2" w:rsidTr="00155A83">
        <w:tc>
          <w:tcPr>
            <w:tcW w:w="9067" w:type="dxa"/>
            <w:gridSpan w:val="4"/>
          </w:tcPr>
          <w:p w:rsidR="00155A83" w:rsidRPr="00A02DA2" w:rsidRDefault="00155A83" w:rsidP="00D64384">
            <w:pPr>
              <w:spacing w:after="0"/>
              <w:jc w:val="center"/>
              <w:rPr>
                <w:b/>
                <w:sz w:val="20"/>
                <w:szCs w:val="20"/>
                <w:lang w:val="sr-Cyrl-RS"/>
              </w:rPr>
            </w:pPr>
            <w:r w:rsidRPr="00A02DA2">
              <w:rPr>
                <w:b/>
                <w:sz w:val="20"/>
                <w:szCs w:val="20"/>
                <w:lang w:val="sr-Cyrl-RS"/>
              </w:rPr>
              <w:t>2020. година</w:t>
            </w:r>
          </w:p>
        </w:tc>
      </w:tr>
      <w:tr w:rsidR="00155A83" w:rsidRPr="00A02DA2" w:rsidTr="00155A83">
        <w:tc>
          <w:tcPr>
            <w:tcW w:w="1440" w:type="dxa"/>
          </w:tcPr>
          <w:p w:rsidR="00155A83" w:rsidRPr="00A02DA2" w:rsidRDefault="00155A83" w:rsidP="00D64384">
            <w:pPr>
              <w:spacing w:after="0"/>
              <w:jc w:val="center"/>
              <w:rPr>
                <w:b/>
                <w:sz w:val="20"/>
                <w:szCs w:val="20"/>
                <w:lang w:val="sr-Cyrl-RS"/>
              </w:rPr>
            </w:pPr>
            <w:r w:rsidRPr="00A02DA2">
              <w:rPr>
                <w:b/>
                <w:sz w:val="20"/>
                <w:szCs w:val="20"/>
                <w:lang w:val="sr-Cyrl-RS"/>
              </w:rPr>
              <w:t>Подносилац притужбе</w:t>
            </w:r>
          </w:p>
        </w:tc>
        <w:tc>
          <w:tcPr>
            <w:tcW w:w="2666" w:type="dxa"/>
          </w:tcPr>
          <w:p w:rsidR="00155A83" w:rsidRPr="00A02DA2" w:rsidRDefault="00155A83" w:rsidP="00D64384">
            <w:pPr>
              <w:spacing w:after="0"/>
              <w:jc w:val="center"/>
              <w:rPr>
                <w:b/>
                <w:sz w:val="20"/>
                <w:szCs w:val="20"/>
                <w:lang w:val="sr-Cyrl-RS"/>
              </w:rPr>
            </w:pPr>
            <w:r w:rsidRPr="00A02DA2">
              <w:rPr>
                <w:b/>
                <w:sz w:val="20"/>
                <w:szCs w:val="20"/>
                <w:lang w:val="sr-Cyrl-RS"/>
              </w:rPr>
              <w:t>Основ притужбе</w:t>
            </w:r>
          </w:p>
        </w:tc>
        <w:tc>
          <w:tcPr>
            <w:tcW w:w="2693" w:type="dxa"/>
          </w:tcPr>
          <w:p w:rsidR="00155A83" w:rsidRPr="00A02DA2" w:rsidRDefault="00155A83" w:rsidP="00D64384">
            <w:pPr>
              <w:spacing w:after="0"/>
              <w:jc w:val="center"/>
              <w:rPr>
                <w:b/>
                <w:sz w:val="20"/>
                <w:szCs w:val="20"/>
                <w:lang w:val="sr-Cyrl-RS"/>
              </w:rPr>
            </w:pPr>
            <w:r w:rsidRPr="00A02DA2">
              <w:rPr>
                <w:b/>
                <w:sz w:val="20"/>
                <w:szCs w:val="20"/>
                <w:lang w:val="sr-Cyrl-RS"/>
              </w:rPr>
              <w:t>Притужба представљена у односу на</w:t>
            </w:r>
          </w:p>
        </w:tc>
        <w:tc>
          <w:tcPr>
            <w:tcW w:w="2268" w:type="dxa"/>
          </w:tcPr>
          <w:p w:rsidR="00155A83" w:rsidRPr="00A02DA2" w:rsidRDefault="00155A83" w:rsidP="00D64384">
            <w:pPr>
              <w:spacing w:after="0"/>
              <w:jc w:val="center"/>
              <w:rPr>
                <w:b/>
                <w:sz w:val="20"/>
                <w:szCs w:val="20"/>
                <w:lang w:val="sr-Cyrl-RS"/>
              </w:rPr>
            </w:pPr>
            <w:r w:rsidRPr="00A02DA2">
              <w:rPr>
                <w:b/>
                <w:sz w:val="20"/>
                <w:szCs w:val="20"/>
                <w:lang w:val="sr-Cyrl-RS"/>
              </w:rPr>
              <w:t>Активност Инспекције</w:t>
            </w:r>
          </w:p>
        </w:tc>
      </w:tr>
      <w:tr w:rsidR="00155A83" w:rsidRPr="00A02DA2" w:rsidTr="00155A83">
        <w:tc>
          <w:tcPr>
            <w:tcW w:w="1440" w:type="dxa"/>
          </w:tcPr>
          <w:p w:rsidR="00155A83" w:rsidRPr="00A02DA2" w:rsidRDefault="00155A83" w:rsidP="00D64384">
            <w:pPr>
              <w:spacing w:after="0"/>
              <w:jc w:val="both"/>
              <w:rPr>
                <w:sz w:val="20"/>
                <w:szCs w:val="20"/>
                <w:lang w:val="sr-Cyrl-RS"/>
              </w:rPr>
            </w:pPr>
            <w:r w:rsidRPr="00A02DA2">
              <w:rPr>
                <w:sz w:val="20"/>
                <w:szCs w:val="20"/>
                <w:lang w:val="sr-Cyrl-RS"/>
              </w:rPr>
              <w:lastRenderedPageBreak/>
              <w:t xml:space="preserve">Непосредна сазнања инспекције </w:t>
            </w:r>
          </w:p>
          <w:p w:rsidR="00155A83" w:rsidRPr="00A02DA2" w:rsidRDefault="00155A83" w:rsidP="00D64384">
            <w:pPr>
              <w:spacing w:after="0"/>
              <w:jc w:val="both"/>
              <w:rPr>
                <w:sz w:val="20"/>
                <w:szCs w:val="20"/>
                <w:lang w:val="sr-Cyrl-RS"/>
              </w:rPr>
            </w:pPr>
          </w:p>
          <w:p w:rsidR="00155A83" w:rsidRPr="00A02DA2" w:rsidRDefault="00155A83" w:rsidP="00D64384">
            <w:pPr>
              <w:spacing w:after="0"/>
              <w:jc w:val="both"/>
              <w:rPr>
                <w:sz w:val="20"/>
                <w:szCs w:val="20"/>
                <w:lang w:val="sr-Cyrl-RS"/>
              </w:rPr>
            </w:pPr>
            <w:r w:rsidRPr="00A02DA2">
              <w:rPr>
                <w:sz w:val="20"/>
                <w:szCs w:val="20"/>
                <w:lang w:val="sr-Cyrl-RS"/>
              </w:rPr>
              <w:t>Медији</w:t>
            </w:r>
          </w:p>
          <w:p w:rsidR="00155A83" w:rsidRPr="00A02DA2" w:rsidRDefault="00155A83" w:rsidP="00D64384">
            <w:pPr>
              <w:spacing w:after="0"/>
              <w:jc w:val="both"/>
              <w:rPr>
                <w:sz w:val="20"/>
                <w:szCs w:val="20"/>
                <w:lang w:val="sr-Cyrl-RS"/>
              </w:rPr>
            </w:pPr>
          </w:p>
          <w:p w:rsidR="00155A83" w:rsidRPr="00A02DA2" w:rsidRDefault="00155A83" w:rsidP="00D64384">
            <w:pPr>
              <w:spacing w:after="0"/>
              <w:jc w:val="both"/>
              <w:rPr>
                <w:sz w:val="20"/>
                <w:szCs w:val="20"/>
                <w:lang w:val="sr-Cyrl-RS"/>
              </w:rPr>
            </w:pPr>
            <w:r w:rsidRPr="00A02DA2">
              <w:rPr>
                <w:sz w:val="20"/>
                <w:szCs w:val="20"/>
                <w:lang w:val="sr-Cyrl-RS"/>
              </w:rPr>
              <w:t>Анонима представка</w:t>
            </w:r>
          </w:p>
        </w:tc>
        <w:tc>
          <w:tcPr>
            <w:tcW w:w="2666" w:type="dxa"/>
          </w:tcPr>
          <w:p w:rsidR="00155A83" w:rsidRPr="00A02DA2" w:rsidRDefault="00155A83" w:rsidP="00D64384">
            <w:pPr>
              <w:spacing w:after="0"/>
              <w:jc w:val="both"/>
              <w:rPr>
                <w:sz w:val="20"/>
                <w:szCs w:val="20"/>
                <w:lang w:val="sr-Cyrl-RS"/>
              </w:rPr>
            </w:pPr>
            <w:r w:rsidRPr="00A02DA2">
              <w:rPr>
                <w:sz w:val="20"/>
                <w:szCs w:val="20"/>
                <w:lang w:val="sr-Cyrl-RS"/>
              </w:rPr>
              <w:t xml:space="preserve">Непостојање исписивања јавних натписа и обавештења на мађарском језику и писму </w:t>
            </w:r>
          </w:p>
        </w:tc>
        <w:tc>
          <w:tcPr>
            <w:tcW w:w="2693" w:type="dxa"/>
          </w:tcPr>
          <w:p w:rsidR="00155A83" w:rsidRPr="00A02DA2" w:rsidRDefault="00155A83" w:rsidP="00D64384">
            <w:pPr>
              <w:spacing w:after="0"/>
              <w:jc w:val="both"/>
              <w:rPr>
                <w:sz w:val="20"/>
                <w:szCs w:val="20"/>
                <w:lang w:val="sr-Cyrl-RS"/>
              </w:rPr>
            </w:pPr>
            <w:r w:rsidRPr="00A02DA2">
              <w:rPr>
                <w:sz w:val="20"/>
                <w:szCs w:val="20"/>
                <w:lang w:val="sr-Cyrl-RS"/>
              </w:rPr>
              <w:t>Општинска управа Темерин</w:t>
            </w:r>
          </w:p>
        </w:tc>
        <w:tc>
          <w:tcPr>
            <w:tcW w:w="2268" w:type="dxa"/>
          </w:tcPr>
          <w:p w:rsidR="00155A83" w:rsidRPr="00A02DA2" w:rsidRDefault="00155A83" w:rsidP="00D64384">
            <w:pPr>
              <w:spacing w:after="0"/>
              <w:rPr>
                <w:sz w:val="20"/>
                <w:szCs w:val="20"/>
                <w:lang w:val="sr-Cyrl-RS"/>
              </w:rPr>
            </w:pPr>
            <w:r w:rsidRPr="00A02DA2">
              <w:rPr>
                <w:sz w:val="20"/>
                <w:szCs w:val="20"/>
                <w:lang w:val="sr-Cyrl-RS"/>
              </w:rPr>
              <w:t>Извршен ванредни инспекцијски надзор. Наложене мере за исписивање. Извршене мере</w:t>
            </w:r>
          </w:p>
        </w:tc>
      </w:tr>
      <w:tr w:rsidR="00155A83" w:rsidRPr="00A02DA2" w:rsidTr="00155A83">
        <w:tc>
          <w:tcPr>
            <w:tcW w:w="1440" w:type="dxa"/>
          </w:tcPr>
          <w:p w:rsidR="00155A83" w:rsidRPr="00A02DA2" w:rsidRDefault="00155A83" w:rsidP="00D64384">
            <w:pPr>
              <w:spacing w:after="0"/>
              <w:jc w:val="both"/>
              <w:rPr>
                <w:sz w:val="20"/>
                <w:szCs w:val="20"/>
                <w:lang w:val="sr-Cyrl-RS"/>
              </w:rPr>
            </w:pPr>
            <w:r w:rsidRPr="00A02DA2">
              <w:rPr>
                <w:sz w:val="20"/>
                <w:szCs w:val="20"/>
                <w:lang w:val="sr-Cyrl-RS"/>
              </w:rPr>
              <w:t xml:space="preserve">Непосредна сазнања инспекције </w:t>
            </w:r>
          </w:p>
          <w:p w:rsidR="00155A83" w:rsidRPr="00A02DA2" w:rsidRDefault="00155A83" w:rsidP="00D64384">
            <w:pPr>
              <w:spacing w:after="0"/>
              <w:jc w:val="both"/>
              <w:rPr>
                <w:sz w:val="20"/>
                <w:szCs w:val="20"/>
                <w:lang w:val="sr-Cyrl-RS"/>
              </w:rPr>
            </w:pPr>
          </w:p>
          <w:p w:rsidR="00155A83" w:rsidRPr="00A02DA2" w:rsidRDefault="00155A83" w:rsidP="00D64384">
            <w:pPr>
              <w:spacing w:after="0"/>
              <w:jc w:val="both"/>
              <w:rPr>
                <w:sz w:val="20"/>
                <w:szCs w:val="20"/>
                <w:lang w:val="sr-Cyrl-RS"/>
              </w:rPr>
            </w:pPr>
            <w:r w:rsidRPr="00A02DA2">
              <w:rPr>
                <w:sz w:val="20"/>
                <w:szCs w:val="20"/>
                <w:lang w:val="sr-Cyrl-RS"/>
              </w:rPr>
              <w:t>Медији</w:t>
            </w:r>
          </w:p>
        </w:tc>
        <w:tc>
          <w:tcPr>
            <w:tcW w:w="2666" w:type="dxa"/>
          </w:tcPr>
          <w:p w:rsidR="00155A83" w:rsidRPr="00A02DA2" w:rsidRDefault="00155A83" w:rsidP="00D64384">
            <w:pPr>
              <w:spacing w:after="0"/>
              <w:rPr>
                <w:sz w:val="20"/>
                <w:szCs w:val="20"/>
                <w:lang w:val="sr-Cyrl-RS"/>
              </w:rPr>
            </w:pPr>
            <w:r w:rsidRPr="00A02DA2">
              <w:rPr>
                <w:sz w:val="20"/>
                <w:szCs w:val="20"/>
                <w:lang w:val="sr-Cyrl-RS"/>
              </w:rPr>
              <w:t xml:space="preserve">Непостојање исписивања и погрешно исписивање јавних натписа и обавештења на мађарском језику и писму </w:t>
            </w:r>
          </w:p>
        </w:tc>
        <w:tc>
          <w:tcPr>
            <w:tcW w:w="2693" w:type="dxa"/>
          </w:tcPr>
          <w:p w:rsidR="00155A83" w:rsidRPr="00A02DA2" w:rsidRDefault="00155A83" w:rsidP="00D64384">
            <w:pPr>
              <w:spacing w:after="0"/>
              <w:rPr>
                <w:sz w:val="20"/>
                <w:szCs w:val="20"/>
                <w:lang w:val="sr-Cyrl-RS"/>
              </w:rPr>
            </w:pPr>
            <w:r w:rsidRPr="00A02DA2">
              <w:rPr>
                <w:sz w:val="20"/>
                <w:szCs w:val="20"/>
                <w:lang w:val="sr-Cyrl-RS"/>
              </w:rPr>
              <w:t>Општа болница у Суботици</w:t>
            </w:r>
          </w:p>
        </w:tc>
        <w:tc>
          <w:tcPr>
            <w:tcW w:w="2268" w:type="dxa"/>
          </w:tcPr>
          <w:p w:rsidR="00155A83" w:rsidRPr="00A02DA2" w:rsidRDefault="00155A83" w:rsidP="00D64384">
            <w:pPr>
              <w:spacing w:after="0"/>
              <w:rPr>
                <w:sz w:val="20"/>
                <w:szCs w:val="20"/>
                <w:lang w:val="sr-Cyrl-RS"/>
              </w:rPr>
            </w:pPr>
            <w:r w:rsidRPr="00A02DA2">
              <w:rPr>
                <w:sz w:val="20"/>
                <w:szCs w:val="20"/>
                <w:lang w:val="sr-Cyrl-RS"/>
              </w:rPr>
              <w:t>Извршен ванредни инспекцијски надзор. Наложене мере за исписивање. Извршене мере</w:t>
            </w:r>
          </w:p>
        </w:tc>
      </w:tr>
      <w:tr w:rsidR="00155A83" w:rsidRPr="00A02DA2" w:rsidTr="00155A83">
        <w:tc>
          <w:tcPr>
            <w:tcW w:w="1440" w:type="dxa"/>
          </w:tcPr>
          <w:p w:rsidR="00155A83" w:rsidRPr="00A02DA2" w:rsidRDefault="00155A83" w:rsidP="00D64384">
            <w:pPr>
              <w:spacing w:after="0"/>
              <w:rPr>
                <w:sz w:val="20"/>
                <w:szCs w:val="20"/>
                <w:lang w:val="sr-Cyrl-RS"/>
              </w:rPr>
            </w:pPr>
            <w:r w:rsidRPr="00A02DA2">
              <w:rPr>
                <w:sz w:val="20"/>
                <w:szCs w:val="20"/>
                <w:lang w:val="sr-Cyrl-RS"/>
              </w:rPr>
              <w:t xml:space="preserve">Физичко лице </w:t>
            </w:r>
          </w:p>
        </w:tc>
        <w:tc>
          <w:tcPr>
            <w:tcW w:w="2666" w:type="dxa"/>
          </w:tcPr>
          <w:p w:rsidR="00155A83" w:rsidRPr="00A02DA2" w:rsidRDefault="00155A83" w:rsidP="00D64384">
            <w:pPr>
              <w:spacing w:after="0"/>
              <w:rPr>
                <w:sz w:val="20"/>
                <w:szCs w:val="20"/>
                <w:lang w:val="sr-Cyrl-RS"/>
              </w:rPr>
            </w:pPr>
            <w:r w:rsidRPr="00A02DA2">
              <w:rPr>
                <w:sz w:val="20"/>
                <w:szCs w:val="20"/>
                <w:lang w:val="sr-Cyrl-RS"/>
              </w:rPr>
              <w:t>Неправилна и непотпуна службена употреба језика и писма у ОШ „Урош Предић“ из Орловата у погледу исписивања табле са називом школе</w:t>
            </w:r>
          </w:p>
        </w:tc>
        <w:tc>
          <w:tcPr>
            <w:tcW w:w="2693" w:type="dxa"/>
          </w:tcPr>
          <w:p w:rsidR="00155A83" w:rsidRPr="00A02DA2" w:rsidRDefault="00155A83" w:rsidP="00D64384">
            <w:pPr>
              <w:spacing w:after="0"/>
              <w:rPr>
                <w:sz w:val="20"/>
                <w:szCs w:val="20"/>
                <w:lang w:val="sr-Cyrl-RS"/>
              </w:rPr>
            </w:pPr>
            <w:r w:rsidRPr="00A02DA2">
              <w:rPr>
                <w:sz w:val="20"/>
                <w:szCs w:val="20"/>
                <w:lang w:val="sr-Cyrl-RS"/>
              </w:rPr>
              <w:t>Основна Школа „Урош Предић“ Орловат</w:t>
            </w:r>
          </w:p>
        </w:tc>
        <w:tc>
          <w:tcPr>
            <w:tcW w:w="2268" w:type="dxa"/>
          </w:tcPr>
          <w:p w:rsidR="00155A83" w:rsidRPr="00A02DA2" w:rsidRDefault="00155A83" w:rsidP="00D64384">
            <w:pPr>
              <w:spacing w:after="0"/>
              <w:rPr>
                <w:sz w:val="20"/>
                <w:szCs w:val="20"/>
                <w:lang w:val="sr-Cyrl-RS"/>
              </w:rPr>
            </w:pPr>
            <w:r w:rsidRPr="00A02DA2">
              <w:rPr>
                <w:sz w:val="20"/>
                <w:szCs w:val="20"/>
                <w:lang w:val="sr-Cyrl-RS"/>
              </w:rPr>
              <w:t>Испекција донела акт о примени прописа у форми препоруке у погледу правилне примене одредаба Закона о службеној употреби језика и писма. Акт је извршен</w:t>
            </w:r>
          </w:p>
        </w:tc>
      </w:tr>
      <w:tr w:rsidR="00155A83" w:rsidRPr="00A02DA2" w:rsidTr="00155A83">
        <w:tc>
          <w:tcPr>
            <w:tcW w:w="1440" w:type="dxa"/>
          </w:tcPr>
          <w:p w:rsidR="00155A83" w:rsidRPr="00A02DA2" w:rsidRDefault="00155A83" w:rsidP="00D64384">
            <w:pPr>
              <w:spacing w:after="0"/>
              <w:jc w:val="both"/>
              <w:rPr>
                <w:sz w:val="20"/>
                <w:szCs w:val="20"/>
                <w:lang w:val="sr-Cyrl-RS"/>
              </w:rPr>
            </w:pPr>
            <w:r w:rsidRPr="00A02DA2">
              <w:rPr>
                <w:sz w:val="20"/>
                <w:szCs w:val="20"/>
                <w:lang w:val="sr-Cyrl-RS"/>
              </w:rPr>
              <w:t xml:space="preserve">Физичко лице </w:t>
            </w:r>
          </w:p>
        </w:tc>
        <w:tc>
          <w:tcPr>
            <w:tcW w:w="2666" w:type="dxa"/>
          </w:tcPr>
          <w:p w:rsidR="00155A83" w:rsidRPr="00A02DA2" w:rsidRDefault="00155A83" w:rsidP="00D64384">
            <w:pPr>
              <w:spacing w:after="0"/>
              <w:rPr>
                <w:sz w:val="20"/>
                <w:szCs w:val="20"/>
                <w:lang w:val="sr-Cyrl-RS"/>
              </w:rPr>
            </w:pPr>
            <w:r w:rsidRPr="00A02DA2">
              <w:rPr>
                <w:sz w:val="20"/>
                <w:szCs w:val="20"/>
                <w:lang w:val="sr-Cyrl-RS"/>
              </w:rPr>
              <w:t>Неисправност и пропусти приликом исписивања назива установа на мађарском језику у Граду Кикинда</w:t>
            </w:r>
          </w:p>
        </w:tc>
        <w:tc>
          <w:tcPr>
            <w:tcW w:w="2693" w:type="dxa"/>
          </w:tcPr>
          <w:p w:rsidR="00155A83" w:rsidRPr="00A02DA2" w:rsidRDefault="00155A83" w:rsidP="00D64384">
            <w:pPr>
              <w:spacing w:after="0"/>
              <w:rPr>
                <w:sz w:val="20"/>
                <w:szCs w:val="20"/>
                <w:lang w:val="sr-Cyrl-RS"/>
              </w:rPr>
            </w:pPr>
            <w:r w:rsidRPr="00A02DA2">
              <w:rPr>
                <w:sz w:val="20"/>
                <w:szCs w:val="20"/>
                <w:lang w:val="sr-Cyrl-RS"/>
              </w:rPr>
              <w:t>Градска управа Кикинда</w:t>
            </w:r>
          </w:p>
        </w:tc>
        <w:tc>
          <w:tcPr>
            <w:tcW w:w="2268" w:type="dxa"/>
          </w:tcPr>
          <w:p w:rsidR="00155A83" w:rsidRPr="00A02DA2" w:rsidRDefault="00155A83" w:rsidP="00D64384">
            <w:pPr>
              <w:spacing w:after="0"/>
              <w:rPr>
                <w:sz w:val="20"/>
                <w:szCs w:val="20"/>
                <w:lang w:val="sr-Cyrl-RS"/>
              </w:rPr>
            </w:pPr>
            <w:r w:rsidRPr="00A02DA2">
              <w:rPr>
                <w:sz w:val="20"/>
                <w:szCs w:val="20"/>
                <w:lang w:val="sr-Cyrl-RS"/>
              </w:rPr>
              <w:t>Извршен ванредни инспекцијски надзор. Наложене мере за исписивање. Извршене мере</w:t>
            </w:r>
          </w:p>
        </w:tc>
      </w:tr>
      <w:tr w:rsidR="00155A83" w:rsidRPr="00A02DA2" w:rsidTr="00155A83">
        <w:tc>
          <w:tcPr>
            <w:tcW w:w="9067" w:type="dxa"/>
            <w:gridSpan w:val="4"/>
          </w:tcPr>
          <w:p w:rsidR="00155A83" w:rsidRPr="00A02DA2" w:rsidRDefault="00155A83" w:rsidP="00D64384">
            <w:pPr>
              <w:spacing w:after="0"/>
              <w:jc w:val="center"/>
              <w:rPr>
                <w:b/>
                <w:sz w:val="20"/>
                <w:szCs w:val="20"/>
                <w:lang w:val="sr-Cyrl-RS"/>
              </w:rPr>
            </w:pPr>
            <w:r w:rsidRPr="00A02DA2">
              <w:rPr>
                <w:b/>
                <w:sz w:val="20"/>
                <w:szCs w:val="20"/>
                <w:lang w:val="sr-Cyrl-RS"/>
              </w:rPr>
              <w:t>2021. година</w:t>
            </w:r>
          </w:p>
        </w:tc>
      </w:tr>
      <w:tr w:rsidR="00155A83" w:rsidRPr="00A02DA2" w:rsidTr="00155A83">
        <w:tc>
          <w:tcPr>
            <w:tcW w:w="1440" w:type="dxa"/>
          </w:tcPr>
          <w:p w:rsidR="00155A83" w:rsidRPr="00A02DA2" w:rsidRDefault="00155A83" w:rsidP="00D64384">
            <w:pPr>
              <w:spacing w:after="0"/>
              <w:jc w:val="center"/>
              <w:rPr>
                <w:b/>
                <w:sz w:val="20"/>
                <w:szCs w:val="20"/>
                <w:lang w:val="sr-Cyrl-RS"/>
              </w:rPr>
            </w:pPr>
            <w:r w:rsidRPr="00A02DA2">
              <w:rPr>
                <w:b/>
                <w:sz w:val="20"/>
                <w:szCs w:val="20"/>
                <w:lang w:val="sr-Cyrl-RS"/>
              </w:rPr>
              <w:t>Подносилац притужбе</w:t>
            </w:r>
          </w:p>
        </w:tc>
        <w:tc>
          <w:tcPr>
            <w:tcW w:w="2666" w:type="dxa"/>
          </w:tcPr>
          <w:p w:rsidR="00155A83" w:rsidRPr="00A02DA2" w:rsidRDefault="00155A83" w:rsidP="00D64384">
            <w:pPr>
              <w:spacing w:after="0"/>
              <w:jc w:val="center"/>
              <w:rPr>
                <w:b/>
                <w:sz w:val="20"/>
                <w:szCs w:val="20"/>
                <w:lang w:val="sr-Cyrl-RS"/>
              </w:rPr>
            </w:pPr>
            <w:r w:rsidRPr="00A02DA2">
              <w:rPr>
                <w:b/>
                <w:sz w:val="20"/>
                <w:szCs w:val="20"/>
                <w:lang w:val="sr-Cyrl-RS"/>
              </w:rPr>
              <w:t>Основ притужбе</w:t>
            </w:r>
          </w:p>
        </w:tc>
        <w:tc>
          <w:tcPr>
            <w:tcW w:w="2693" w:type="dxa"/>
          </w:tcPr>
          <w:p w:rsidR="00155A83" w:rsidRPr="00A02DA2" w:rsidRDefault="00155A83" w:rsidP="00D64384">
            <w:pPr>
              <w:spacing w:after="0"/>
              <w:jc w:val="center"/>
              <w:rPr>
                <w:b/>
                <w:sz w:val="20"/>
                <w:szCs w:val="20"/>
                <w:lang w:val="sr-Cyrl-RS"/>
              </w:rPr>
            </w:pPr>
            <w:r w:rsidRPr="00A02DA2">
              <w:rPr>
                <w:b/>
                <w:sz w:val="20"/>
                <w:szCs w:val="20"/>
                <w:lang w:val="sr-Cyrl-RS"/>
              </w:rPr>
              <w:t>Притужба представљена у односу на</w:t>
            </w:r>
          </w:p>
        </w:tc>
        <w:tc>
          <w:tcPr>
            <w:tcW w:w="2268" w:type="dxa"/>
          </w:tcPr>
          <w:p w:rsidR="00155A83" w:rsidRPr="00A02DA2" w:rsidRDefault="00155A83" w:rsidP="00D64384">
            <w:pPr>
              <w:spacing w:after="0"/>
              <w:jc w:val="center"/>
              <w:rPr>
                <w:b/>
                <w:sz w:val="20"/>
                <w:szCs w:val="20"/>
                <w:lang w:val="sr-Cyrl-RS"/>
              </w:rPr>
            </w:pPr>
            <w:r w:rsidRPr="00A02DA2">
              <w:rPr>
                <w:b/>
                <w:sz w:val="20"/>
                <w:szCs w:val="20"/>
                <w:lang w:val="sr-Cyrl-RS"/>
              </w:rPr>
              <w:t>Активност Инспекције</w:t>
            </w:r>
          </w:p>
        </w:tc>
      </w:tr>
      <w:tr w:rsidR="00155A83" w:rsidRPr="00A02DA2" w:rsidTr="00155A83">
        <w:tc>
          <w:tcPr>
            <w:tcW w:w="1440" w:type="dxa"/>
          </w:tcPr>
          <w:p w:rsidR="00155A83" w:rsidRPr="00A02DA2" w:rsidRDefault="00155A83" w:rsidP="00D64384">
            <w:pPr>
              <w:spacing w:after="0"/>
              <w:jc w:val="both"/>
              <w:rPr>
                <w:sz w:val="20"/>
                <w:szCs w:val="20"/>
                <w:lang w:val="sr-Cyrl-RS"/>
              </w:rPr>
            </w:pPr>
            <w:r w:rsidRPr="00A02DA2">
              <w:rPr>
                <w:sz w:val="20"/>
                <w:szCs w:val="20"/>
                <w:lang w:val="sr-Cyrl-RS"/>
              </w:rPr>
              <w:t xml:space="preserve">Физичко лице </w:t>
            </w:r>
          </w:p>
        </w:tc>
        <w:tc>
          <w:tcPr>
            <w:tcW w:w="2666" w:type="dxa"/>
          </w:tcPr>
          <w:p w:rsidR="00155A83" w:rsidRPr="00A02DA2" w:rsidRDefault="00155A83" w:rsidP="00D64384">
            <w:pPr>
              <w:spacing w:after="0"/>
              <w:rPr>
                <w:sz w:val="20"/>
                <w:szCs w:val="20"/>
                <w:lang w:val="sr-Cyrl-RS"/>
              </w:rPr>
            </w:pPr>
            <w:r w:rsidRPr="00A02DA2">
              <w:rPr>
                <w:sz w:val="20"/>
                <w:szCs w:val="20"/>
                <w:lang w:val="sr-Cyrl-RS"/>
              </w:rPr>
              <w:t>Непотпуна примена права на службену употребу језика и писама приликом означавања гробља на територији Града Новог Сада</w:t>
            </w:r>
          </w:p>
        </w:tc>
        <w:tc>
          <w:tcPr>
            <w:tcW w:w="2693" w:type="dxa"/>
          </w:tcPr>
          <w:p w:rsidR="00155A83" w:rsidRPr="00A02DA2" w:rsidRDefault="00155A83" w:rsidP="00D64384">
            <w:pPr>
              <w:spacing w:after="0"/>
              <w:rPr>
                <w:sz w:val="20"/>
                <w:szCs w:val="20"/>
                <w:lang w:val="sr-Cyrl-RS"/>
              </w:rPr>
            </w:pPr>
            <w:r w:rsidRPr="00A02DA2">
              <w:rPr>
                <w:sz w:val="20"/>
                <w:szCs w:val="20"/>
                <w:lang w:val="sr-Cyrl-RS"/>
              </w:rPr>
              <w:t>ЈКП „Лисје“ Нови Сад</w:t>
            </w:r>
          </w:p>
        </w:tc>
        <w:tc>
          <w:tcPr>
            <w:tcW w:w="2268" w:type="dxa"/>
          </w:tcPr>
          <w:p w:rsidR="00155A83" w:rsidRPr="00A02DA2" w:rsidRDefault="00155A83" w:rsidP="00D64384">
            <w:pPr>
              <w:spacing w:after="0"/>
              <w:rPr>
                <w:sz w:val="20"/>
                <w:szCs w:val="20"/>
                <w:lang w:val="sr-Cyrl-RS"/>
              </w:rPr>
            </w:pPr>
            <w:r w:rsidRPr="00A02DA2">
              <w:rPr>
                <w:sz w:val="20"/>
                <w:szCs w:val="20"/>
                <w:lang w:val="sr-Cyrl-RS"/>
              </w:rPr>
              <w:t>Извршена службена саветодавна посета у ЈКП „Лисје“ Нови Сад и Градској управи Нови Сад. Издата препорука у погледу обезбеђивања потпуног и правилног исписивања.</w:t>
            </w:r>
          </w:p>
        </w:tc>
      </w:tr>
      <w:tr w:rsidR="00155A83" w:rsidRPr="00A02DA2" w:rsidTr="00155A83">
        <w:tc>
          <w:tcPr>
            <w:tcW w:w="1440" w:type="dxa"/>
          </w:tcPr>
          <w:p w:rsidR="00155A83" w:rsidRPr="00A02DA2" w:rsidRDefault="00155A83" w:rsidP="00D64384">
            <w:pPr>
              <w:spacing w:after="0"/>
              <w:rPr>
                <w:sz w:val="20"/>
                <w:szCs w:val="20"/>
                <w:lang w:val="sr-Cyrl-RS"/>
              </w:rPr>
            </w:pPr>
            <w:r w:rsidRPr="00A02DA2">
              <w:rPr>
                <w:sz w:val="20"/>
                <w:szCs w:val="20"/>
                <w:lang w:val="sr-Cyrl-RS"/>
              </w:rPr>
              <w:t>Физичко лице у име Демократске заједнице војвођанских Мађара (ДЗВМ)</w:t>
            </w:r>
          </w:p>
        </w:tc>
        <w:tc>
          <w:tcPr>
            <w:tcW w:w="2666" w:type="dxa"/>
          </w:tcPr>
          <w:p w:rsidR="00155A83" w:rsidRPr="00A02DA2" w:rsidRDefault="00155A83" w:rsidP="00D64384">
            <w:pPr>
              <w:spacing w:after="0"/>
              <w:rPr>
                <w:sz w:val="20"/>
                <w:szCs w:val="20"/>
                <w:lang w:val="sr-Cyrl-RS"/>
              </w:rPr>
            </w:pPr>
            <w:r w:rsidRPr="00A02DA2">
              <w:rPr>
                <w:sz w:val="20"/>
                <w:szCs w:val="20"/>
                <w:lang w:val="sr-Cyrl-RS"/>
              </w:rPr>
              <w:t>Указивање на непотпуну примену прописа о службеној употреби језика и писама код саобраћајних знакова на путним правцима</w:t>
            </w:r>
          </w:p>
        </w:tc>
        <w:tc>
          <w:tcPr>
            <w:tcW w:w="2693" w:type="dxa"/>
          </w:tcPr>
          <w:p w:rsidR="00155A83" w:rsidRPr="00A02DA2" w:rsidRDefault="00155A83" w:rsidP="00D64384">
            <w:pPr>
              <w:spacing w:after="0"/>
              <w:rPr>
                <w:sz w:val="20"/>
                <w:szCs w:val="20"/>
                <w:lang w:val="sr-Cyrl-RS"/>
              </w:rPr>
            </w:pPr>
            <w:r w:rsidRPr="00A02DA2">
              <w:rPr>
                <w:sz w:val="20"/>
                <w:szCs w:val="20"/>
                <w:lang w:val="sr-Cyrl-RS"/>
              </w:rPr>
              <w:t>Више јединица локалних самоуправа у Севернобачком округу и Севернобанатском округу</w:t>
            </w:r>
          </w:p>
        </w:tc>
        <w:tc>
          <w:tcPr>
            <w:tcW w:w="2268" w:type="dxa"/>
          </w:tcPr>
          <w:p w:rsidR="00155A83" w:rsidRPr="00A02DA2" w:rsidRDefault="00155A83" w:rsidP="00D64384">
            <w:pPr>
              <w:spacing w:after="0"/>
              <w:rPr>
                <w:sz w:val="20"/>
                <w:szCs w:val="20"/>
                <w:lang w:val="sr-Cyrl-RS"/>
              </w:rPr>
            </w:pPr>
            <w:r w:rsidRPr="00A02DA2">
              <w:rPr>
                <w:sz w:val="20"/>
                <w:szCs w:val="20"/>
                <w:lang w:val="sr-Cyrl-RS"/>
              </w:rPr>
              <w:t>Инспекција доставила обавештење о примени мишљења Републичког секретаријата за законодавство, број 011-00-00065/2021-01 од 19. марта 2021. године. Није покренут инспекцијски надзор.</w:t>
            </w:r>
          </w:p>
        </w:tc>
      </w:tr>
      <w:tr w:rsidR="00155A83" w:rsidRPr="00A02DA2" w:rsidTr="00155A83">
        <w:tc>
          <w:tcPr>
            <w:tcW w:w="1440" w:type="dxa"/>
          </w:tcPr>
          <w:p w:rsidR="00155A83" w:rsidRPr="00A02DA2" w:rsidRDefault="00155A83" w:rsidP="00D64384">
            <w:pPr>
              <w:spacing w:after="0"/>
              <w:jc w:val="both"/>
              <w:rPr>
                <w:sz w:val="20"/>
                <w:szCs w:val="20"/>
                <w:lang w:val="sr-Cyrl-RS"/>
              </w:rPr>
            </w:pPr>
            <w:r w:rsidRPr="00A02DA2">
              <w:rPr>
                <w:sz w:val="20"/>
                <w:szCs w:val="20"/>
                <w:lang w:val="sr-Cyrl-RS"/>
              </w:rPr>
              <w:t xml:space="preserve">Физичко лице </w:t>
            </w:r>
          </w:p>
        </w:tc>
        <w:tc>
          <w:tcPr>
            <w:tcW w:w="2666" w:type="dxa"/>
          </w:tcPr>
          <w:p w:rsidR="00155A83" w:rsidRPr="00A02DA2" w:rsidRDefault="00155A83" w:rsidP="00D64384">
            <w:pPr>
              <w:spacing w:after="0"/>
              <w:rPr>
                <w:sz w:val="20"/>
                <w:szCs w:val="20"/>
                <w:lang w:val="sr-Cyrl-RS"/>
              </w:rPr>
            </w:pPr>
            <w:r w:rsidRPr="00A02DA2">
              <w:rPr>
                <w:sz w:val="20"/>
                <w:szCs w:val="20"/>
                <w:lang w:val="sr-Cyrl-RS"/>
              </w:rPr>
              <w:t xml:space="preserve">Указивање на прецртање табли са називима насељених места у Општини Ковачица и исписање натписа на згради </w:t>
            </w:r>
            <w:r w:rsidRPr="00A02DA2">
              <w:rPr>
                <w:sz w:val="20"/>
                <w:szCs w:val="20"/>
                <w:lang w:val="sr-Cyrl-RS"/>
              </w:rPr>
              <w:lastRenderedPageBreak/>
              <w:t>Општине Ковачица. Непотпуна примена службене употребе језика и писма на табли Гимназије „Михајло Пупин“ у Ковачици, Националне службе за запошљавање Покрајинска служба за запошљавање Филијала Панчево – Испостава Ковачица, Центру за социјални рад у Ковачици, РФЗО – Испостава Ковачица, РГЗ – СКН Ковачица</w:t>
            </w:r>
          </w:p>
        </w:tc>
        <w:tc>
          <w:tcPr>
            <w:tcW w:w="2693" w:type="dxa"/>
          </w:tcPr>
          <w:p w:rsidR="00155A83" w:rsidRPr="00A02DA2" w:rsidRDefault="00155A83" w:rsidP="00D64384">
            <w:pPr>
              <w:spacing w:after="0"/>
              <w:jc w:val="both"/>
              <w:rPr>
                <w:sz w:val="20"/>
                <w:szCs w:val="20"/>
                <w:lang w:val="sr-Cyrl-RS"/>
              </w:rPr>
            </w:pPr>
            <w:r w:rsidRPr="00A02DA2">
              <w:rPr>
                <w:sz w:val="20"/>
                <w:szCs w:val="20"/>
                <w:lang w:val="sr-Cyrl-RS"/>
              </w:rPr>
              <w:lastRenderedPageBreak/>
              <w:t>Општинска управа Ковачица</w:t>
            </w:r>
          </w:p>
        </w:tc>
        <w:tc>
          <w:tcPr>
            <w:tcW w:w="2268" w:type="dxa"/>
          </w:tcPr>
          <w:p w:rsidR="00155A83" w:rsidRPr="00A02DA2" w:rsidRDefault="00155A83" w:rsidP="00D64384">
            <w:pPr>
              <w:spacing w:after="0"/>
              <w:rPr>
                <w:sz w:val="20"/>
                <w:szCs w:val="20"/>
                <w:lang w:val="sr-Cyrl-RS"/>
              </w:rPr>
            </w:pPr>
            <w:r w:rsidRPr="00A02DA2">
              <w:rPr>
                <w:sz w:val="20"/>
                <w:szCs w:val="20"/>
                <w:lang w:val="sr-Cyrl-RS"/>
              </w:rPr>
              <w:t xml:space="preserve">Подносилац обавештен о поступању инспекције. Није покренут надзор услед ситуације ван </w:t>
            </w:r>
            <w:r w:rsidRPr="00A02DA2">
              <w:rPr>
                <w:sz w:val="20"/>
                <w:szCs w:val="20"/>
                <w:lang w:val="sr-Cyrl-RS"/>
              </w:rPr>
              <w:lastRenderedPageBreak/>
              <w:t>надлежности инспекције и непостојања одговарајућег степена ризика. Издати акти о примени прописа са препорукама за потпуну примену службене употребе језика и писма у Гимназији „Михајло Пупин“ у Ковачици, Националној служби за запошљавање Покрајинској служби за запошљавање Филијала Панчево – Испостава Ковачица, Центру за социјални рад у Ковачици, РФЗО – Испостава Ковачица, РГЗ – СКН Ковачица</w:t>
            </w:r>
          </w:p>
        </w:tc>
      </w:tr>
      <w:tr w:rsidR="00155A83" w:rsidRPr="00A02DA2" w:rsidTr="00155A83">
        <w:tc>
          <w:tcPr>
            <w:tcW w:w="1440" w:type="dxa"/>
          </w:tcPr>
          <w:p w:rsidR="00155A83" w:rsidRPr="00A02DA2" w:rsidRDefault="00155A83" w:rsidP="00D64384">
            <w:pPr>
              <w:spacing w:after="0"/>
              <w:rPr>
                <w:sz w:val="20"/>
                <w:szCs w:val="20"/>
                <w:lang w:val="sr-Cyrl-RS"/>
              </w:rPr>
            </w:pPr>
            <w:r w:rsidRPr="00A02DA2">
              <w:rPr>
                <w:sz w:val="20"/>
                <w:szCs w:val="20"/>
                <w:lang w:val="sr-Cyrl-RS"/>
              </w:rPr>
              <w:lastRenderedPageBreak/>
              <w:t xml:space="preserve">Физичко лице </w:t>
            </w:r>
          </w:p>
        </w:tc>
        <w:tc>
          <w:tcPr>
            <w:tcW w:w="2666" w:type="dxa"/>
          </w:tcPr>
          <w:p w:rsidR="00155A83" w:rsidRPr="00A02DA2" w:rsidRDefault="00155A83" w:rsidP="00D64384">
            <w:pPr>
              <w:spacing w:after="0"/>
              <w:rPr>
                <w:sz w:val="20"/>
                <w:szCs w:val="20"/>
                <w:lang w:val="sr-Cyrl-RS"/>
              </w:rPr>
            </w:pPr>
            <w:r w:rsidRPr="00A02DA2">
              <w:rPr>
                <w:sz w:val="20"/>
                <w:szCs w:val="20"/>
                <w:lang w:val="sr-Cyrl-RS"/>
              </w:rPr>
              <w:t>Неправилности у погледу примене прописа приликом исписивања назива насељеног места у општини Кула</w:t>
            </w:r>
          </w:p>
        </w:tc>
        <w:tc>
          <w:tcPr>
            <w:tcW w:w="2693" w:type="dxa"/>
          </w:tcPr>
          <w:p w:rsidR="00155A83" w:rsidRPr="00A02DA2" w:rsidRDefault="00155A83" w:rsidP="00D64384">
            <w:pPr>
              <w:spacing w:after="0"/>
              <w:jc w:val="both"/>
              <w:rPr>
                <w:sz w:val="20"/>
                <w:szCs w:val="20"/>
                <w:lang w:val="sr-Cyrl-RS"/>
              </w:rPr>
            </w:pPr>
            <w:r w:rsidRPr="00A02DA2">
              <w:rPr>
                <w:sz w:val="20"/>
                <w:szCs w:val="20"/>
                <w:lang w:val="sr-Cyrl-RS"/>
              </w:rPr>
              <w:t>Општинска управа Кула</w:t>
            </w:r>
          </w:p>
        </w:tc>
        <w:tc>
          <w:tcPr>
            <w:tcW w:w="2268" w:type="dxa"/>
          </w:tcPr>
          <w:p w:rsidR="00155A83" w:rsidRPr="00A02DA2" w:rsidRDefault="00155A83" w:rsidP="00D64384">
            <w:pPr>
              <w:spacing w:after="0"/>
              <w:rPr>
                <w:sz w:val="20"/>
                <w:szCs w:val="20"/>
                <w:lang w:val="sr-Cyrl-RS"/>
              </w:rPr>
            </w:pPr>
            <w:r w:rsidRPr="00A02DA2">
              <w:rPr>
                <w:sz w:val="20"/>
                <w:szCs w:val="20"/>
                <w:lang w:val="sr-Cyrl-RS"/>
              </w:rPr>
              <w:t>Извршен ванредни инспекцијски надзор. Наложене мере за исписивање. Није истекао рок за извршење наложених мера.</w:t>
            </w:r>
          </w:p>
        </w:tc>
      </w:tr>
      <w:tr w:rsidR="00155A83" w:rsidRPr="00A02DA2" w:rsidTr="00155A83">
        <w:tc>
          <w:tcPr>
            <w:tcW w:w="1440" w:type="dxa"/>
          </w:tcPr>
          <w:p w:rsidR="00155A83" w:rsidRPr="00A02DA2" w:rsidRDefault="00155A83" w:rsidP="00D64384">
            <w:pPr>
              <w:spacing w:after="0"/>
              <w:jc w:val="both"/>
              <w:rPr>
                <w:sz w:val="20"/>
                <w:szCs w:val="20"/>
                <w:lang w:val="sr-Cyrl-RS"/>
              </w:rPr>
            </w:pPr>
            <w:r w:rsidRPr="00A02DA2">
              <w:rPr>
                <w:sz w:val="20"/>
                <w:szCs w:val="20"/>
                <w:lang w:val="sr-Cyrl-RS"/>
              </w:rPr>
              <w:t>Национални савет мађарске националне мањине</w:t>
            </w:r>
          </w:p>
        </w:tc>
        <w:tc>
          <w:tcPr>
            <w:tcW w:w="2666" w:type="dxa"/>
          </w:tcPr>
          <w:p w:rsidR="00155A83" w:rsidRPr="00A02DA2" w:rsidRDefault="00155A83" w:rsidP="00D64384">
            <w:pPr>
              <w:spacing w:after="0"/>
              <w:rPr>
                <w:sz w:val="20"/>
                <w:szCs w:val="20"/>
                <w:lang w:val="sr-Cyrl-RS"/>
              </w:rPr>
            </w:pPr>
            <w:r w:rsidRPr="00A02DA2">
              <w:rPr>
                <w:sz w:val="20"/>
                <w:szCs w:val="20"/>
                <w:lang w:val="sr-Cyrl-RS"/>
              </w:rPr>
              <w:t>Оштећење табли са називима насељених места на територији општине Темерин</w:t>
            </w:r>
          </w:p>
        </w:tc>
        <w:tc>
          <w:tcPr>
            <w:tcW w:w="2693" w:type="dxa"/>
          </w:tcPr>
          <w:p w:rsidR="00155A83" w:rsidRPr="00A02DA2" w:rsidRDefault="00155A83" w:rsidP="00D64384">
            <w:pPr>
              <w:spacing w:after="0"/>
              <w:jc w:val="both"/>
              <w:rPr>
                <w:sz w:val="20"/>
                <w:szCs w:val="20"/>
                <w:lang w:val="sr-Cyrl-RS"/>
              </w:rPr>
            </w:pPr>
            <w:r w:rsidRPr="00A02DA2">
              <w:rPr>
                <w:sz w:val="20"/>
                <w:szCs w:val="20"/>
                <w:lang w:val="sr-Cyrl-RS"/>
              </w:rPr>
              <w:t>Општинска управа Темерин</w:t>
            </w:r>
          </w:p>
        </w:tc>
        <w:tc>
          <w:tcPr>
            <w:tcW w:w="2268" w:type="dxa"/>
          </w:tcPr>
          <w:p w:rsidR="00155A83" w:rsidRPr="00A02DA2" w:rsidRDefault="00155A83" w:rsidP="00D64384">
            <w:pPr>
              <w:spacing w:after="0"/>
              <w:rPr>
                <w:sz w:val="20"/>
                <w:szCs w:val="20"/>
                <w:lang w:val="sr-Cyrl-RS"/>
              </w:rPr>
            </w:pPr>
            <w:r w:rsidRPr="00A02DA2">
              <w:rPr>
                <w:sz w:val="20"/>
                <w:szCs w:val="20"/>
                <w:lang w:val="sr-Cyrl-RS"/>
              </w:rPr>
              <w:t>Допис прослеђен надлежној инспекцији. Извршен ванредни инспекцијски надзор надлежне инспекције наложене и извршене мере.</w:t>
            </w:r>
          </w:p>
        </w:tc>
      </w:tr>
      <w:tr w:rsidR="00155A83" w:rsidRPr="00A02DA2" w:rsidTr="00155A83">
        <w:tc>
          <w:tcPr>
            <w:tcW w:w="1440" w:type="dxa"/>
          </w:tcPr>
          <w:p w:rsidR="00155A83" w:rsidRPr="00A02DA2" w:rsidRDefault="00155A83" w:rsidP="00D64384">
            <w:pPr>
              <w:spacing w:after="0"/>
              <w:jc w:val="both"/>
              <w:rPr>
                <w:sz w:val="20"/>
                <w:szCs w:val="20"/>
                <w:lang w:val="sr-Cyrl-RS"/>
              </w:rPr>
            </w:pPr>
            <w:r w:rsidRPr="00A02DA2">
              <w:rPr>
                <w:sz w:val="20"/>
                <w:szCs w:val="20"/>
                <w:lang w:val="sr-Cyrl-RS"/>
              </w:rPr>
              <w:t>Новински чланак</w:t>
            </w:r>
          </w:p>
        </w:tc>
        <w:tc>
          <w:tcPr>
            <w:tcW w:w="2666" w:type="dxa"/>
          </w:tcPr>
          <w:p w:rsidR="00155A83" w:rsidRPr="00A02DA2" w:rsidRDefault="00155A83" w:rsidP="00D64384">
            <w:pPr>
              <w:spacing w:after="0"/>
              <w:rPr>
                <w:sz w:val="20"/>
                <w:szCs w:val="20"/>
                <w:lang w:val="sr-Cyrl-RS"/>
              </w:rPr>
            </w:pPr>
            <w:r w:rsidRPr="00A02DA2">
              <w:rPr>
                <w:sz w:val="20"/>
                <w:szCs w:val="20"/>
                <w:lang w:val="sr-Cyrl-RS"/>
              </w:rPr>
              <w:t>Постављање табли са називом насељених места само на српском језику и писму уз непоштовање прописа о службеној употреби језика и писама</w:t>
            </w:r>
          </w:p>
        </w:tc>
        <w:tc>
          <w:tcPr>
            <w:tcW w:w="2693" w:type="dxa"/>
          </w:tcPr>
          <w:p w:rsidR="00155A83" w:rsidRPr="00A02DA2" w:rsidRDefault="00155A83" w:rsidP="00D64384">
            <w:pPr>
              <w:spacing w:after="0"/>
              <w:jc w:val="both"/>
              <w:rPr>
                <w:sz w:val="20"/>
                <w:szCs w:val="20"/>
                <w:lang w:val="sr-Cyrl-RS"/>
              </w:rPr>
            </w:pPr>
            <w:r w:rsidRPr="00A02DA2">
              <w:rPr>
                <w:sz w:val="20"/>
                <w:szCs w:val="20"/>
                <w:lang w:val="sr-Cyrl-RS"/>
              </w:rPr>
              <w:t>Општинска управа Врбас</w:t>
            </w:r>
          </w:p>
        </w:tc>
        <w:tc>
          <w:tcPr>
            <w:tcW w:w="2268" w:type="dxa"/>
          </w:tcPr>
          <w:p w:rsidR="00155A83" w:rsidRPr="00A02DA2" w:rsidRDefault="00155A83" w:rsidP="00D64384">
            <w:pPr>
              <w:spacing w:after="0"/>
              <w:rPr>
                <w:sz w:val="20"/>
                <w:szCs w:val="20"/>
                <w:lang w:val="sr-Cyrl-RS"/>
              </w:rPr>
            </w:pPr>
            <w:r w:rsidRPr="00A02DA2">
              <w:rPr>
                <w:sz w:val="20"/>
                <w:szCs w:val="20"/>
                <w:lang w:val="sr-Cyrl-RS"/>
              </w:rPr>
              <w:t>Извршен ванредни инспекцијски надзор. Наложене мере за исписивање</w:t>
            </w:r>
            <w:r w:rsidR="00220191">
              <w:rPr>
                <w:sz w:val="20"/>
                <w:szCs w:val="20"/>
                <w:lang w:val="sr-Cyrl-RS"/>
              </w:rPr>
              <w:t xml:space="preserve"> и и</w:t>
            </w:r>
            <w:r w:rsidR="00220191" w:rsidRPr="00220191">
              <w:rPr>
                <w:sz w:val="20"/>
                <w:szCs w:val="20"/>
                <w:lang w:val="sr-Cyrl-RS"/>
              </w:rPr>
              <w:t>звршене мере.</w:t>
            </w:r>
          </w:p>
        </w:tc>
      </w:tr>
      <w:tr w:rsidR="00155A83" w:rsidRPr="00A02DA2" w:rsidTr="00155A83">
        <w:tc>
          <w:tcPr>
            <w:tcW w:w="1440" w:type="dxa"/>
          </w:tcPr>
          <w:p w:rsidR="00155A83" w:rsidRPr="00A02DA2" w:rsidRDefault="00155A83" w:rsidP="00D64384">
            <w:pPr>
              <w:spacing w:after="0"/>
              <w:jc w:val="both"/>
              <w:rPr>
                <w:sz w:val="20"/>
                <w:szCs w:val="20"/>
                <w:lang w:val="sr-Cyrl-RS"/>
              </w:rPr>
            </w:pPr>
            <w:r w:rsidRPr="00A02DA2">
              <w:rPr>
                <w:sz w:val="20"/>
                <w:szCs w:val="20"/>
                <w:lang w:val="sr-Cyrl-RS"/>
              </w:rPr>
              <w:t>Анонимна представка</w:t>
            </w:r>
          </w:p>
        </w:tc>
        <w:tc>
          <w:tcPr>
            <w:tcW w:w="2666" w:type="dxa"/>
          </w:tcPr>
          <w:p w:rsidR="00155A83" w:rsidRPr="00A02DA2" w:rsidRDefault="00155A83" w:rsidP="00D64384">
            <w:pPr>
              <w:spacing w:after="0"/>
              <w:rPr>
                <w:sz w:val="20"/>
                <w:szCs w:val="20"/>
                <w:lang w:val="sr-Cyrl-RS"/>
              </w:rPr>
            </w:pPr>
            <w:r w:rsidRPr="00A02DA2">
              <w:rPr>
                <w:sz w:val="20"/>
                <w:szCs w:val="20"/>
                <w:lang w:val="sr-Cyrl-RS"/>
              </w:rPr>
              <w:t>Постојање јавног натписа у насељеном месту Стара Пазова само на српском језику и писму</w:t>
            </w:r>
          </w:p>
        </w:tc>
        <w:tc>
          <w:tcPr>
            <w:tcW w:w="2693" w:type="dxa"/>
          </w:tcPr>
          <w:p w:rsidR="00155A83" w:rsidRPr="00A02DA2" w:rsidRDefault="00155A83" w:rsidP="00D64384">
            <w:pPr>
              <w:spacing w:after="0"/>
              <w:rPr>
                <w:sz w:val="20"/>
                <w:szCs w:val="20"/>
                <w:lang w:val="sr-Cyrl-RS"/>
              </w:rPr>
            </w:pPr>
            <w:r w:rsidRPr="00A02DA2">
              <w:rPr>
                <w:sz w:val="20"/>
                <w:szCs w:val="20"/>
                <w:lang w:val="sr-Cyrl-RS"/>
              </w:rPr>
              <w:t>Општинска управа Стара Пазова</w:t>
            </w:r>
          </w:p>
        </w:tc>
        <w:tc>
          <w:tcPr>
            <w:tcW w:w="2268" w:type="dxa"/>
          </w:tcPr>
          <w:p w:rsidR="00155A83" w:rsidRPr="00AD7EA3" w:rsidRDefault="00155A83" w:rsidP="00D64384">
            <w:pPr>
              <w:spacing w:after="0"/>
              <w:rPr>
                <w:sz w:val="20"/>
                <w:szCs w:val="20"/>
              </w:rPr>
            </w:pPr>
            <w:r w:rsidRPr="00A02DA2">
              <w:rPr>
                <w:sz w:val="20"/>
                <w:szCs w:val="20"/>
                <w:lang w:val="sr-Cyrl-RS"/>
              </w:rPr>
              <w:t xml:space="preserve">Извршен ванредни инспекцијски надзор. Наложене мере за исписивање и на словачком језику и писму. </w:t>
            </w:r>
            <w:r w:rsidR="00220191">
              <w:rPr>
                <w:sz w:val="20"/>
                <w:szCs w:val="20"/>
                <w:lang w:val="sr-Cyrl-RS"/>
              </w:rPr>
              <w:t>Н</w:t>
            </w:r>
            <w:r w:rsidR="00220191" w:rsidRPr="00220191">
              <w:rPr>
                <w:sz w:val="20"/>
                <w:szCs w:val="20"/>
                <w:lang w:val="sr-Cyrl-RS"/>
              </w:rPr>
              <w:t>и</w:t>
            </w:r>
            <w:r w:rsidR="00220191">
              <w:rPr>
                <w:sz w:val="20"/>
                <w:szCs w:val="20"/>
                <w:lang w:val="sr-Cyrl-RS"/>
              </w:rPr>
              <w:t>је</w:t>
            </w:r>
            <w:r w:rsidR="00220191" w:rsidRPr="00220191">
              <w:rPr>
                <w:sz w:val="20"/>
                <w:szCs w:val="20"/>
                <w:lang w:val="sr-Cyrl-RS"/>
              </w:rPr>
              <w:t xml:space="preserve"> поступ</w:t>
            </w:r>
            <w:r w:rsidR="00220191">
              <w:rPr>
                <w:sz w:val="20"/>
                <w:szCs w:val="20"/>
                <w:lang w:val="sr-Cyrl-RS"/>
              </w:rPr>
              <w:t>љено</w:t>
            </w:r>
            <w:r w:rsidR="00220191" w:rsidRPr="00220191">
              <w:rPr>
                <w:sz w:val="20"/>
                <w:szCs w:val="20"/>
                <w:lang w:val="sr-Cyrl-RS"/>
              </w:rPr>
              <w:t xml:space="preserve"> по наложеним мерама, планиран контролни </w:t>
            </w:r>
            <w:r w:rsidR="00220191" w:rsidRPr="00220191">
              <w:rPr>
                <w:sz w:val="20"/>
                <w:szCs w:val="20"/>
                <w:lang w:val="sr-Cyrl-RS"/>
              </w:rPr>
              <w:lastRenderedPageBreak/>
              <w:t xml:space="preserve">надзор у </w:t>
            </w:r>
            <w:r w:rsidR="00220191">
              <w:rPr>
                <w:sz w:val="20"/>
                <w:szCs w:val="20"/>
                <w:lang w:val="sr-Cyrl-RS"/>
              </w:rPr>
              <w:t>ј</w:t>
            </w:r>
            <w:r w:rsidR="00220191" w:rsidRPr="00220191">
              <w:rPr>
                <w:sz w:val="20"/>
                <w:szCs w:val="20"/>
                <w:lang w:val="sr-Cyrl-RS"/>
              </w:rPr>
              <w:t>улу 2022. године</w:t>
            </w:r>
            <w:r w:rsidR="00220191">
              <w:rPr>
                <w:sz w:val="20"/>
                <w:szCs w:val="20"/>
                <w:lang w:val="sr-Cyrl-RS"/>
              </w:rPr>
              <w:t>.</w:t>
            </w:r>
          </w:p>
        </w:tc>
      </w:tr>
      <w:tr w:rsidR="00155A83" w:rsidRPr="00A02DA2" w:rsidTr="00155A83">
        <w:tc>
          <w:tcPr>
            <w:tcW w:w="1440" w:type="dxa"/>
          </w:tcPr>
          <w:p w:rsidR="00155A83" w:rsidRPr="00A02DA2" w:rsidRDefault="00155A83" w:rsidP="00D64384">
            <w:pPr>
              <w:spacing w:after="0"/>
              <w:jc w:val="both"/>
              <w:rPr>
                <w:sz w:val="20"/>
                <w:szCs w:val="20"/>
                <w:lang w:val="sr-Cyrl-RS"/>
              </w:rPr>
            </w:pPr>
            <w:r w:rsidRPr="00A02DA2">
              <w:rPr>
                <w:sz w:val="20"/>
                <w:szCs w:val="20"/>
                <w:lang w:val="sr-Cyrl-RS"/>
              </w:rPr>
              <w:lastRenderedPageBreak/>
              <w:t>Национални савет мађарске националне мањине</w:t>
            </w:r>
          </w:p>
        </w:tc>
        <w:tc>
          <w:tcPr>
            <w:tcW w:w="2666" w:type="dxa"/>
          </w:tcPr>
          <w:p w:rsidR="00155A83" w:rsidRPr="00A02DA2" w:rsidRDefault="00155A83" w:rsidP="00D64384">
            <w:pPr>
              <w:spacing w:after="0"/>
              <w:rPr>
                <w:sz w:val="20"/>
                <w:szCs w:val="20"/>
                <w:lang w:val="sr-Cyrl-RS"/>
              </w:rPr>
            </w:pPr>
            <w:r w:rsidRPr="00A02DA2">
              <w:rPr>
                <w:sz w:val="20"/>
                <w:szCs w:val="20"/>
                <w:lang w:val="sr-Cyrl-RS"/>
              </w:rPr>
              <w:t>Непотпуна примена прописа о службеној употреби језика и писама приликом исписивања назива насељеног места Елемир</w:t>
            </w:r>
          </w:p>
        </w:tc>
        <w:tc>
          <w:tcPr>
            <w:tcW w:w="2693" w:type="dxa"/>
          </w:tcPr>
          <w:p w:rsidR="00155A83" w:rsidRPr="00A02DA2" w:rsidRDefault="00155A83" w:rsidP="00D64384">
            <w:pPr>
              <w:spacing w:after="0"/>
              <w:rPr>
                <w:sz w:val="20"/>
                <w:szCs w:val="20"/>
                <w:lang w:val="sr-Cyrl-RS"/>
              </w:rPr>
            </w:pPr>
            <w:r w:rsidRPr="00A02DA2">
              <w:rPr>
                <w:sz w:val="20"/>
                <w:szCs w:val="20"/>
                <w:lang w:val="sr-Cyrl-RS"/>
              </w:rPr>
              <w:t>Месна заједница Елемир</w:t>
            </w:r>
          </w:p>
        </w:tc>
        <w:tc>
          <w:tcPr>
            <w:tcW w:w="2268" w:type="dxa"/>
          </w:tcPr>
          <w:p w:rsidR="00155A83" w:rsidRPr="00A02DA2" w:rsidRDefault="00155A83" w:rsidP="00D64384">
            <w:pPr>
              <w:spacing w:after="0"/>
              <w:rPr>
                <w:sz w:val="20"/>
                <w:szCs w:val="20"/>
                <w:lang w:val="sr-Cyrl-RS"/>
              </w:rPr>
            </w:pPr>
            <w:r w:rsidRPr="00A02DA2">
              <w:rPr>
                <w:sz w:val="20"/>
                <w:szCs w:val="20"/>
                <w:lang w:val="sr-Cyrl-RS"/>
              </w:rPr>
              <w:t>Извршен ванредни инспекцијски надзор. Наложене мере за исписивање. Није истекао рок за извршење наложених мера.</w:t>
            </w:r>
          </w:p>
        </w:tc>
      </w:tr>
      <w:tr w:rsidR="00155A83" w:rsidRPr="00A02DA2" w:rsidTr="00155A83">
        <w:tc>
          <w:tcPr>
            <w:tcW w:w="1440" w:type="dxa"/>
          </w:tcPr>
          <w:p w:rsidR="00155A83" w:rsidRPr="00A02DA2" w:rsidRDefault="00155A83" w:rsidP="00D64384">
            <w:pPr>
              <w:spacing w:after="0"/>
              <w:rPr>
                <w:sz w:val="20"/>
                <w:szCs w:val="20"/>
                <w:lang w:val="sr-Cyrl-RS"/>
              </w:rPr>
            </w:pPr>
            <w:r w:rsidRPr="00A02DA2">
              <w:rPr>
                <w:sz w:val="20"/>
                <w:szCs w:val="20"/>
                <w:lang w:val="sr-Cyrl-RS"/>
              </w:rPr>
              <w:t>Удружење „Словаци и суживот“</w:t>
            </w:r>
          </w:p>
        </w:tc>
        <w:tc>
          <w:tcPr>
            <w:tcW w:w="2666" w:type="dxa"/>
          </w:tcPr>
          <w:p w:rsidR="00155A83" w:rsidRPr="00A02DA2" w:rsidRDefault="00155A83" w:rsidP="00D64384">
            <w:pPr>
              <w:spacing w:after="0"/>
              <w:rPr>
                <w:sz w:val="20"/>
                <w:szCs w:val="20"/>
                <w:lang w:val="sr-Cyrl-RS"/>
              </w:rPr>
            </w:pPr>
            <w:r w:rsidRPr="00A02DA2">
              <w:rPr>
                <w:sz w:val="20"/>
                <w:szCs w:val="20"/>
                <w:lang w:val="sr-Cyrl-RS"/>
              </w:rPr>
              <w:t>Указивање на непотпуну примену прописа о службеној употреби језика и писама код саобраћајних знакова на путним правцима</w:t>
            </w:r>
          </w:p>
        </w:tc>
        <w:tc>
          <w:tcPr>
            <w:tcW w:w="2693" w:type="dxa"/>
          </w:tcPr>
          <w:p w:rsidR="00155A83" w:rsidRPr="00A02DA2" w:rsidRDefault="00155A83" w:rsidP="00D64384">
            <w:pPr>
              <w:spacing w:after="0"/>
              <w:rPr>
                <w:sz w:val="20"/>
                <w:szCs w:val="20"/>
                <w:lang w:val="sr-Cyrl-RS"/>
              </w:rPr>
            </w:pPr>
            <w:r w:rsidRPr="00A02DA2">
              <w:rPr>
                <w:sz w:val="20"/>
                <w:szCs w:val="20"/>
                <w:lang w:val="sr-Cyrl-RS"/>
              </w:rPr>
              <w:t>Општинска управа Бачки Петровац</w:t>
            </w:r>
          </w:p>
        </w:tc>
        <w:tc>
          <w:tcPr>
            <w:tcW w:w="2268" w:type="dxa"/>
          </w:tcPr>
          <w:p w:rsidR="00155A83" w:rsidRPr="00A02DA2" w:rsidRDefault="00155A83" w:rsidP="00D64384">
            <w:pPr>
              <w:spacing w:after="0"/>
              <w:rPr>
                <w:sz w:val="20"/>
                <w:szCs w:val="20"/>
                <w:lang w:val="sr-Cyrl-RS"/>
              </w:rPr>
            </w:pPr>
            <w:r w:rsidRPr="00A02DA2">
              <w:rPr>
                <w:sz w:val="20"/>
                <w:szCs w:val="20"/>
                <w:lang w:val="sr-Cyrl-RS"/>
              </w:rPr>
              <w:t>Извршен редовни инспекцијски надзор у области службене употребе језика и писама. Обавештен подносилац представке о Мишљење Републичког Секретаријата за законодавство број 011-00-00065/2021-01 од 19. марта 2021. године</w:t>
            </w:r>
          </w:p>
        </w:tc>
      </w:tr>
      <w:tr w:rsidR="00155A83" w:rsidRPr="00A02DA2" w:rsidTr="00155A83">
        <w:tc>
          <w:tcPr>
            <w:tcW w:w="1440" w:type="dxa"/>
          </w:tcPr>
          <w:p w:rsidR="00155A83" w:rsidRPr="00A02DA2" w:rsidRDefault="00155A83" w:rsidP="00D64384">
            <w:pPr>
              <w:spacing w:after="0"/>
              <w:rPr>
                <w:sz w:val="20"/>
                <w:szCs w:val="20"/>
                <w:lang w:val="sr-Cyrl-RS"/>
              </w:rPr>
            </w:pPr>
            <w:r w:rsidRPr="00A02DA2">
              <w:rPr>
                <w:sz w:val="20"/>
                <w:szCs w:val="20"/>
                <w:lang w:val="sr-Cyrl-RS"/>
              </w:rPr>
              <w:t>Прослеђена анонимна представка од стране Министарства просвете, науке и технолошког развоја</w:t>
            </w:r>
            <w:r w:rsidRPr="00A02DA2">
              <w:rPr>
                <w:rFonts w:ascii="Verdana" w:eastAsia="Times New Roman" w:hAnsi="Verdana"/>
                <w:sz w:val="18"/>
                <w:szCs w:val="18"/>
                <w:lang w:val="sr-Cyrl-RS"/>
              </w:rPr>
              <w:t xml:space="preserve"> </w:t>
            </w:r>
          </w:p>
        </w:tc>
        <w:tc>
          <w:tcPr>
            <w:tcW w:w="2666" w:type="dxa"/>
          </w:tcPr>
          <w:p w:rsidR="00155A83" w:rsidRPr="00A02DA2" w:rsidRDefault="00155A83" w:rsidP="00D64384">
            <w:pPr>
              <w:spacing w:after="0"/>
              <w:rPr>
                <w:sz w:val="20"/>
                <w:szCs w:val="20"/>
                <w:lang w:val="sr-Cyrl-RS"/>
              </w:rPr>
            </w:pPr>
            <w:r w:rsidRPr="00A02DA2">
              <w:rPr>
                <w:sz w:val="20"/>
                <w:szCs w:val="20"/>
                <w:lang w:val="sr-Cyrl-RS"/>
              </w:rPr>
              <w:t>Указивање на непотпуну примену службене употребе језика и писма код Основне школе „Јан Чајак“ у Бачком Петровцу услед непостојања јавних натписа на српском језику и писму</w:t>
            </w:r>
          </w:p>
        </w:tc>
        <w:tc>
          <w:tcPr>
            <w:tcW w:w="2693" w:type="dxa"/>
          </w:tcPr>
          <w:p w:rsidR="00155A83" w:rsidRPr="00A02DA2" w:rsidRDefault="00155A83" w:rsidP="00D64384">
            <w:pPr>
              <w:spacing w:after="0"/>
              <w:rPr>
                <w:sz w:val="20"/>
                <w:szCs w:val="20"/>
                <w:lang w:val="sr-Cyrl-RS"/>
              </w:rPr>
            </w:pPr>
            <w:r w:rsidRPr="00A02DA2">
              <w:rPr>
                <w:sz w:val="20"/>
                <w:szCs w:val="20"/>
                <w:lang w:val="sr-Cyrl-RS"/>
              </w:rPr>
              <w:t>Основна школа „Јан Чајак“ Бачки Петровац</w:t>
            </w:r>
          </w:p>
        </w:tc>
        <w:tc>
          <w:tcPr>
            <w:tcW w:w="2268" w:type="dxa"/>
          </w:tcPr>
          <w:p w:rsidR="00155A83" w:rsidRPr="00A02DA2" w:rsidRDefault="00155A83" w:rsidP="00D64384">
            <w:pPr>
              <w:spacing w:after="0"/>
              <w:rPr>
                <w:sz w:val="20"/>
                <w:szCs w:val="20"/>
                <w:lang w:val="sr-Cyrl-RS"/>
              </w:rPr>
            </w:pPr>
            <w:r w:rsidRPr="00A02DA2">
              <w:rPr>
                <w:sz w:val="20"/>
                <w:szCs w:val="20"/>
                <w:lang w:val="sr-Cyrl-RS"/>
              </w:rPr>
              <w:t>Извршен ванредни инспекцијски надзор. Наложене мере за исписивање. Извршена мера</w:t>
            </w:r>
          </w:p>
        </w:tc>
      </w:tr>
    </w:tbl>
    <w:p w:rsidR="00034AD3" w:rsidRDefault="00034AD3" w:rsidP="00F11EE4">
      <w:pPr>
        <w:spacing w:after="0"/>
        <w:jc w:val="both"/>
        <w:rPr>
          <w:sz w:val="24"/>
          <w:szCs w:val="24"/>
          <w:lang w:val="sr-Cyrl-RS"/>
        </w:rPr>
      </w:pPr>
    </w:p>
    <w:p w:rsidR="00034AD3" w:rsidRPr="008E6E87" w:rsidRDefault="00034AD3" w:rsidP="00034AD3">
      <w:pPr>
        <w:spacing w:after="0"/>
        <w:jc w:val="both"/>
        <w:rPr>
          <w:i/>
          <w:sz w:val="24"/>
          <w:szCs w:val="24"/>
          <w:lang w:val="sr-Cyrl-RS"/>
        </w:rPr>
      </w:pPr>
      <w:r w:rsidRPr="008E6E87">
        <w:rPr>
          <w:i/>
          <w:sz w:val="24"/>
          <w:szCs w:val="24"/>
          <w:lang w:val="sr-Cyrl-RS"/>
        </w:rPr>
        <w:t xml:space="preserve">82. </w:t>
      </w:r>
      <w:r w:rsidRPr="00034AD3">
        <w:rPr>
          <w:i/>
          <w:sz w:val="24"/>
          <w:szCs w:val="24"/>
          <w:lang w:val="sr-Cyrl-RS"/>
        </w:rPr>
        <w:t>Саветодавни комитет позива власти да појачају своје напоре, у подручјима која традиционално настањују припадници националних мањина или где они живе у великом броју, да прикупе податке о броју мањинских језика које говоре државни службеници у државним, покрајинским и локалним управама и, у светлу таквих података, да предузму неопходне мере, укључујући и адекватну обуку за припаднике националних мањина о којима је реч, како би се осигурало да број говорника у овим управама у највећој могућој мери одговара пропорцији популације која говори језицима мањина.</w:t>
      </w:r>
    </w:p>
    <w:p w:rsidR="00034AD3" w:rsidRDefault="00034AD3" w:rsidP="00034AD3">
      <w:pPr>
        <w:spacing w:after="0"/>
        <w:jc w:val="both"/>
        <w:rPr>
          <w:i/>
          <w:sz w:val="24"/>
          <w:szCs w:val="24"/>
          <w:lang w:val="sr-Cyrl-RS"/>
        </w:rPr>
      </w:pPr>
    </w:p>
    <w:p w:rsidR="00034AD3" w:rsidRDefault="00034AD3" w:rsidP="00034AD3">
      <w:pPr>
        <w:spacing w:after="0"/>
        <w:jc w:val="both"/>
        <w:rPr>
          <w:i/>
          <w:sz w:val="24"/>
          <w:szCs w:val="24"/>
          <w:lang w:val="sr-Cyrl-RS"/>
        </w:rPr>
      </w:pPr>
      <w:r>
        <w:rPr>
          <w:i/>
          <w:sz w:val="24"/>
          <w:szCs w:val="24"/>
          <w:lang w:val="sr-Cyrl-RS"/>
        </w:rPr>
        <w:t xml:space="preserve">83. </w:t>
      </w:r>
      <w:r w:rsidRPr="00034AD3">
        <w:rPr>
          <w:i/>
          <w:sz w:val="24"/>
          <w:szCs w:val="24"/>
          <w:lang w:val="sr-Cyrl-RS"/>
        </w:rPr>
        <w:t xml:space="preserve">Саветодавни </w:t>
      </w:r>
      <w:r w:rsidR="00060FA6" w:rsidRPr="00060FA6">
        <w:rPr>
          <w:i/>
          <w:sz w:val="24"/>
          <w:szCs w:val="24"/>
          <w:lang w:val="sr-Cyrl-RS"/>
        </w:rPr>
        <w:t>комитет</w:t>
      </w:r>
      <w:r w:rsidRPr="00034AD3">
        <w:rPr>
          <w:i/>
          <w:sz w:val="24"/>
          <w:szCs w:val="24"/>
          <w:lang w:val="sr-Cyrl-RS"/>
        </w:rPr>
        <w:t xml:space="preserve"> позива власти да појачају своје напоре како би информисале све припаднике националних мањина у дотичним областима да имају право да користе свој мањински језик у контактима са државном, покрајинском и локалном управом.</w:t>
      </w:r>
    </w:p>
    <w:p w:rsidR="00315702" w:rsidRDefault="00315702" w:rsidP="00034AD3">
      <w:pPr>
        <w:spacing w:after="0"/>
        <w:jc w:val="both"/>
        <w:rPr>
          <w:i/>
          <w:sz w:val="24"/>
          <w:szCs w:val="24"/>
          <w:lang w:val="sr-Cyrl-RS"/>
        </w:rPr>
      </w:pPr>
    </w:p>
    <w:p w:rsidR="0091001F" w:rsidRDefault="0091001F" w:rsidP="00F11EE4">
      <w:pPr>
        <w:spacing w:after="0"/>
        <w:jc w:val="both"/>
        <w:rPr>
          <w:sz w:val="24"/>
          <w:szCs w:val="24"/>
          <w:lang w:val="sr-Cyrl-RS"/>
        </w:rPr>
      </w:pPr>
      <w:r>
        <w:rPr>
          <w:sz w:val="24"/>
          <w:szCs w:val="24"/>
          <w:lang w:val="sr-Cyrl-RS"/>
        </w:rPr>
        <w:tab/>
      </w:r>
      <w:r w:rsidRPr="00060FA6">
        <w:rPr>
          <w:sz w:val="24"/>
          <w:szCs w:val="24"/>
          <w:lang w:val="sr-Cyrl-RS"/>
        </w:rPr>
        <w:t>Одговор на ову препоруку садржан је у одговору на препоруку 10. из Резолуције Комитета министара.</w:t>
      </w:r>
    </w:p>
    <w:p w:rsidR="00501E37" w:rsidRDefault="00501E37" w:rsidP="00F11EE4">
      <w:pPr>
        <w:spacing w:after="0"/>
        <w:jc w:val="both"/>
        <w:rPr>
          <w:sz w:val="24"/>
          <w:szCs w:val="24"/>
          <w:lang w:val="sr-Cyrl-RS"/>
        </w:rPr>
      </w:pPr>
    </w:p>
    <w:p w:rsidR="00CE5B5C" w:rsidRPr="00F333CD" w:rsidRDefault="00CE5B5C" w:rsidP="00F333CD">
      <w:pPr>
        <w:pStyle w:val="Heading2"/>
        <w:jc w:val="center"/>
        <w:rPr>
          <w:rFonts w:ascii="Times New Roman" w:hAnsi="Times New Roman" w:cs="Times New Roman"/>
          <w:b/>
          <w:sz w:val="24"/>
          <w:szCs w:val="24"/>
          <w:lang w:val="sr-Cyrl-RS"/>
        </w:rPr>
      </w:pPr>
      <w:bookmarkStart w:id="27" w:name="_Toc111191342"/>
      <w:r w:rsidRPr="00F333CD">
        <w:rPr>
          <w:rFonts w:ascii="Times New Roman" w:hAnsi="Times New Roman" w:cs="Times New Roman"/>
          <w:b/>
          <w:color w:val="auto"/>
          <w:sz w:val="24"/>
          <w:szCs w:val="24"/>
          <w:lang w:val="sr-Cyrl-RS"/>
        </w:rPr>
        <w:lastRenderedPageBreak/>
        <w:t>Члан 11. Оквирне конвенције</w:t>
      </w:r>
      <w:bookmarkEnd w:id="27"/>
    </w:p>
    <w:p w:rsidR="00CE5B5C" w:rsidRPr="00F333CD" w:rsidRDefault="00CE5B5C" w:rsidP="00F333CD">
      <w:pPr>
        <w:pStyle w:val="Heading3"/>
        <w:jc w:val="center"/>
        <w:rPr>
          <w:rFonts w:ascii="Times New Roman" w:hAnsi="Times New Roman" w:cs="Times New Roman"/>
          <w:b/>
          <w:lang w:val="sr-Cyrl-RS"/>
        </w:rPr>
      </w:pPr>
      <w:bookmarkStart w:id="28" w:name="_Toc111191343"/>
      <w:r w:rsidRPr="00F333CD">
        <w:rPr>
          <w:rFonts w:ascii="Times New Roman" w:hAnsi="Times New Roman" w:cs="Times New Roman"/>
          <w:b/>
          <w:color w:val="auto"/>
          <w:lang w:val="sr-Cyrl-RS"/>
        </w:rPr>
        <w:t>Лична имена, топографске ознаке и други знакови и натписи</w:t>
      </w:r>
      <w:bookmarkEnd w:id="28"/>
    </w:p>
    <w:p w:rsidR="00CE5B5C" w:rsidRPr="00732964" w:rsidRDefault="00CE5B5C" w:rsidP="00CE5B5C">
      <w:pPr>
        <w:spacing w:after="0"/>
        <w:jc w:val="both"/>
        <w:rPr>
          <w:i/>
          <w:sz w:val="24"/>
          <w:szCs w:val="24"/>
        </w:rPr>
      </w:pPr>
    </w:p>
    <w:p w:rsidR="00CE5B5C" w:rsidRDefault="00CE5B5C" w:rsidP="00CE5B5C">
      <w:pPr>
        <w:spacing w:after="0"/>
        <w:jc w:val="both"/>
        <w:rPr>
          <w:i/>
          <w:sz w:val="24"/>
          <w:szCs w:val="24"/>
          <w:lang w:val="sr-Cyrl-RS"/>
        </w:rPr>
      </w:pPr>
      <w:r w:rsidRPr="00C82126">
        <w:rPr>
          <w:i/>
          <w:sz w:val="24"/>
          <w:szCs w:val="24"/>
          <w:lang w:val="sr-Cyrl-RS"/>
        </w:rPr>
        <w:t xml:space="preserve">86. </w:t>
      </w:r>
      <w:r w:rsidRPr="00CE5B5C">
        <w:rPr>
          <w:i/>
          <w:sz w:val="24"/>
          <w:szCs w:val="24"/>
          <w:lang w:val="sr-Cyrl-RS"/>
        </w:rPr>
        <w:t>Саветодавни комитет позива власти да обезбеде да изводи из матичних књига могу бити штампани двојезично или вишејезично на територији Србије када матичне књиге садрже податке на српском језику и на једном или више мањинских језика.</w:t>
      </w:r>
    </w:p>
    <w:p w:rsidR="008A7E1F" w:rsidRDefault="008A7E1F" w:rsidP="00CE5B5C">
      <w:pPr>
        <w:spacing w:after="0"/>
        <w:jc w:val="both"/>
        <w:rPr>
          <w:i/>
          <w:sz w:val="24"/>
          <w:szCs w:val="24"/>
          <w:lang w:val="sr-Cyrl-RS"/>
        </w:rPr>
      </w:pPr>
    </w:p>
    <w:p w:rsidR="009B5929" w:rsidRDefault="00CE5B5C" w:rsidP="00715BA5">
      <w:pPr>
        <w:spacing w:after="0"/>
        <w:ind w:firstLine="720"/>
        <w:jc w:val="both"/>
        <w:rPr>
          <w:sz w:val="24"/>
          <w:szCs w:val="24"/>
          <w:lang w:val="sr-Cyrl-RS"/>
        </w:rPr>
      </w:pPr>
      <w:r>
        <w:rPr>
          <w:sz w:val="24"/>
          <w:szCs w:val="24"/>
          <w:lang w:val="sr-Cyrl-RS"/>
        </w:rPr>
        <w:t>У</w:t>
      </w:r>
      <w:r w:rsidRPr="00CE5B5C">
        <w:rPr>
          <w:sz w:val="24"/>
          <w:szCs w:val="24"/>
          <w:lang w:val="sr-Cyrl-RS"/>
        </w:rPr>
        <w:t xml:space="preserve"> складу са Законом о службеној употреби језика и писама, </w:t>
      </w:r>
      <w:r w:rsidR="00060FA6">
        <w:rPr>
          <w:sz w:val="24"/>
          <w:szCs w:val="24"/>
          <w:lang w:val="sr-Cyrl-RS"/>
        </w:rPr>
        <w:t>н</w:t>
      </w:r>
      <w:r w:rsidRPr="00CE5B5C">
        <w:rPr>
          <w:sz w:val="24"/>
          <w:szCs w:val="24"/>
          <w:lang w:val="sr-Cyrl-RS"/>
        </w:rPr>
        <w:t>а подручјима</w:t>
      </w:r>
      <w:r w:rsidR="00060FA6">
        <w:rPr>
          <w:sz w:val="24"/>
          <w:szCs w:val="24"/>
          <w:lang w:val="sr-Cyrl-RS"/>
        </w:rPr>
        <w:t xml:space="preserve"> на којима су језици и писма националних мањина у службеној употреби</w:t>
      </w:r>
      <w:r w:rsidRPr="00CE5B5C">
        <w:rPr>
          <w:sz w:val="24"/>
          <w:szCs w:val="24"/>
          <w:lang w:val="sr-Cyrl-RS"/>
        </w:rPr>
        <w:t>, исправе које су од интереса за остваривање законом утврђених права грађана, на захтев припадника националне мањине</w:t>
      </w:r>
      <w:r w:rsidR="00715BA5">
        <w:rPr>
          <w:sz w:val="24"/>
          <w:szCs w:val="24"/>
          <w:lang w:val="sr-Cyrl-RS"/>
        </w:rPr>
        <w:t>,</w:t>
      </w:r>
      <w:r w:rsidRPr="00CE5B5C">
        <w:rPr>
          <w:sz w:val="24"/>
          <w:szCs w:val="24"/>
          <w:lang w:val="sr-Cyrl-RS"/>
        </w:rPr>
        <w:t xml:space="preserve"> издају се и на њиховом језику</w:t>
      </w:r>
      <w:r w:rsidR="00060FA6">
        <w:rPr>
          <w:sz w:val="24"/>
          <w:szCs w:val="24"/>
          <w:lang w:val="sr-Cyrl-RS"/>
        </w:rPr>
        <w:t xml:space="preserve">. То се односи и на </w:t>
      </w:r>
      <w:r w:rsidRPr="00CE5B5C">
        <w:rPr>
          <w:sz w:val="24"/>
          <w:szCs w:val="24"/>
          <w:lang w:val="sr-Cyrl-RS"/>
        </w:rPr>
        <w:t>изводе из матичних књига који се издају двојезично, на српском језику, ћириличким писмом и на</w:t>
      </w:r>
      <w:r w:rsidR="00715BA5">
        <w:rPr>
          <w:sz w:val="24"/>
          <w:szCs w:val="24"/>
          <w:lang w:val="sr-Cyrl-RS"/>
        </w:rPr>
        <w:t xml:space="preserve"> </w:t>
      </w:r>
      <w:r w:rsidRPr="00CE5B5C">
        <w:rPr>
          <w:sz w:val="24"/>
          <w:szCs w:val="24"/>
          <w:lang w:val="sr-Cyrl-RS"/>
        </w:rPr>
        <w:t xml:space="preserve">језику и писму оне националне мањине чији </w:t>
      </w:r>
      <w:r>
        <w:rPr>
          <w:sz w:val="24"/>
          <w:szCs w:val="24"/>
          <w:lang w:val="sr-Cyrl-RS"/>
        </w:rPr>
        <w:t xml:space="preserve">је језик у службеној употреби. </w:t>
      </w:r>
    </w:p>
    <w:p w:rsidR="009B5929" w:rsidRPr="009B5929" w:rsidRDefault="009B5929" w:rsidP="009B5929">
      <w:pPr>
        <w:spacing w:after="0"/>
        <w:ind w:firstLine="720"/>
        <w:jc w:val="both"/>
        <w:rPr>
          <w:sz w:val="24"/>
          <w:szCs w:val="24"/>
          <w:lang w:val="sr-Cyrl-RS"/>
        </w:rPr>
      </w:pPr>
      <w:r w:rsidRPr="009B5929">
        <w:rPr>
          <w:sz w:val="24"/>
          <w:szCs w:val="24"/>
          <w:lang w:val="sr-Cyrl-RS"/>
        </w:rPr>
        <w:t>У свим осталим јединицама локалне самоуправе изводи се издају на српском језику, а у извод из матичне књиге лично име на језику и писму припадника националне мањине уписује се после уписа личног имена на српском језику ћириличким писмом, испод њега истим обликом и величином слова, ако је у матичну књигу лично име детета, родитеља, супружника или умрлог припадника националне мањине уписано и на језику и писму националне мањине.</w:t>
      </w:r>
    </w:p>
    <w:p w:rsidR="00CE5B5C" w:rsidRDefault="00CE5B5C" w:rsidP="00715BA5">
      <w:pPr>
        <w:spacing w:after="0"/>
        <w:ind w:firstLine="720"/>
        <w:jc w:val="both"/>
        <w:rPr>
          <w:sz w:val="24"/>
          <w:szCs w:val="24"/>
          <w:lang w:val="sr-Cyrl-RS"/>
        </w:rPr>
      </w:pPr>
      <w:r w:rsidRPr="00CE5B5C">
        <w:rPr>
          <w:sz w:val="24"/>
          <w:szCs w:val="24"/>
          <w:lang w:val="sr-Cyrl-RS"/>
        </w:rPr>
        <w:t xml:space="preserve">У претходном периоду нису уочени препреке у остваривању овог права, нити су се </w:t>
      </w:r>
      <w:r w:rsidR="00715BA5">
        <w:rPr>
          <w:sz w:val="24"/>
          <w:szCs w:val="24"/>
          <w:lang w:val="sr-Cyrl-RS"/>
        </w:rPr>
        <w:t>м</w:t>
      </w:r>
      <w:r w:rsidRPr="00CE5B5C">
        <w:rPr>
          <w:sz w:val="24"/>
          <w:szCs w:val="24"/>
          <w:lang w:val="sr-Cyrl-RS"/>
        </w:rPr>
        <w:t xml:space="preserve">инистарству </w:t>
      </w:r>
      <w:r w:rsidR="00060FA6">
        <w:rPr>
          <w:sz w:val="24"/>
          <w:szCs w:val="24"/>
          <w:lang w:val="sr-Cyrl-RS"/>
        </w:rPr>
        <w:t xml:space="preserve">надлежном за послове државне управе и локалне самоуправе </w:t>
      </w:r>
      <w:r w:rsidRPr="00CE5B5C">
        <w:rPr>
          <w:sz w:val="24"/>
          <w:szCs w:val="24"/>
          <w:lang w:val="sr-Cyrl-RS"/>
        </w:rPr>
        <w:t>обраћале матичне службе</w:t>
      </w:r>
      <w:r w:rsidR="00715BA5">
        <w:rPr>
          <w:sz w:val="24"/>
          <w:szCs w:val="24"/>
          <w:lang w:val="sr-Cyrl-RS"/>
        </w:rPr>
        <w:t xml:space="preserve"> или</w:t>
      </w:r>
      <w:r w:rsidRPr="00CE5B5C">
        <w:rPr>
          <w:sz w:val="24"/>
          <w:szCs w:val="24"/>
          <w:lang w:val="sr-Cyrl-RS"/>
        </w:rPr>
        <w:t xml:space="preserve"> грађани указујући на проблеме у пракси. </w:t>
      </w:r>
      <w:r>
        <w:rPr>
          <w:sz w:val="24"/>
          <w:szCs w:val="24"/>
          <w:lang w:val="sr-Cyrl-RS"/>
        </w:rPr>
        <w:t>У</w:t>
      </w:r>
      <w:r w:rsidRPr="00CE5B5C">
        <w:rPr>
          <w:sz w:val="24"/>
          <w:szCs w:val="24"/>
          <w:lang w:val="sr-Cyrl-RS"/>
        </w:rPr>
        <w:t xml:space="preserve"> табели у наставку </w:t>
      </w:r>
      <w:r>
        <w:rPr>
          <w:sz w:val="24"/>
          <w:szCs w:val="24"/>
          <w:lang w:val="sr-Cyrl-RS"/>
        </w:rPr>
        <w:t>дати су</w:t>
      </w:r>
      <w:r w:rsidRPr="00CE5B5C">
        <w:rPr>
          <w:sz w:val="24"/>
          <w:szCs w:val="24"/>
          <w:lang w:val="sr-Cyrl-RS"/>
        </w:rPr>
        <w:t xml:space="preserve"> статистичк</w:t>
      </w:r>
      <w:r>
        <w:rPr>
          <w:sz w:val="24"/>
          <w:szCs w:val="24"/>
          <w:lang w:val="sr-Cyrl-RS"/>
        </w:rPr>
        <w:t>и</w:t>
      </w:r>
      <w:r w:rsidRPr="00CE5B5C">
        <w:rPr>
          <w:sz w:val="24"/>
          <w:szCs w:val="24"/>
          <w:lang w:val="sr-Cyrl-RS"/>
        </w:rPr>
        <w:t xml:space="preserve"> пода</w:t>
      </w:r>
      <w:r>
        <w:rPr>
          <w:sz w:val="24"/>
          <w:szCs w:val="24"/>
          <w:lang w:val="sr-Cyrl-RS"/>
        </w:rPr>
        <w:t>ци</w:t>
      </w:r>
      <w:r w:rsidRPr="00CE5B5C">
        <w:rPr>
          <w:sz w:val="24"/>
          <w:szCs w:val="24"/>
          <w:lang w:val="sr-Cyrl-RS"/>
        </w:rPr>
        <w:t xml:space="preserve"> о броју издатих извода из матичних књига на двојезичним обрасцима за 2020. и 2021. годину.</w:t>
      </w:r>
    </w:p>
    <w:p w:rsidR="00715BA5" w:rsidRDefault="00715BA5" w:rsidP="00715BA5">
      <w:pPr>
        <w:spacing w:after="0"/>
        <w:jc w:val="both"/>
        <w:rPr>
          <w:sz w:val="24"/>
          <w:szCs w:val="24"/>
          <w:lang w:val="sr-Cyrl-RS"/>
        </w:rPr>
      </w:pPr>
    </w:p>
    <w:tbl>
      <w:tblPr>
        <w:tblStyle w:val="TableGrid"/>
        <w:tblW w:w="0" w:type="auto"/>
        <w:tblInd w:w="1320" w:type="dxa"/>
        <w:tblLook w:val="04A0" w:firstRow="1" w:lastRow="0" w:firstColumn="1" w:lastColumn="0" w:noHBand="0" w:noVBand="1"/>
      </w:tblPr>
      <w:tblGrid>
        <w:gridCol w:w="2972"/>
        <w:gridCol w:w="2972"/>
      </w:tblGrid>
      <w:tr w:rsidR="00715BA5" w:rsidRPr="00715BA5" w:rsidTr="009B5929">
        <w:trPr>
          <w:trHeight w:val="278"/>
        </w:trPr>
        <w:tc>
          <w:tcPr>
            <w:tcW w:w="5944" w:type="dxa"/>
            <w:gridSpan w:val="2"/>
          </w:tcPr>
          <w:p w:rsidR="00715BA5" w:rsidRPr="00715BA5" w:rsidRDefault="00715BA5" w:rsidP="00715BA5">
            <w:pPr>
              <w:spacing w:after="0"/>
              <w:jc w:val="center"/>
              <w:rPr>
                <w:sz w:val="20"/>
                <w:szCs w:val="20"/>
                <w:lang w:val="sr-Cyrl-RS"/>
              </w:rPr>
            </w:pPr>
            <w:r w:rsidRPr="00715BA5">
              <w:rPr>
                <w:sz w:val="20"/>
                <w:szCs w:val="20"/>
                <w:lang w:val="sr-Cyrl-RS"/>
              </w:rPr>
              <w:t>2020. година</w:t>
            </w:r>
          </w:p>
        </w:tc>
      </w:tr>
      <w:tr w:rsidR="00715BA5" w:rsidRPr="00715BA5" w:rsidTr="009B5929">
        <w:trPr>
          <w:trHeight w:val="287"/>
        </w:trPr>
        <w:tc>
          <w:tcPr>
            <w:tcW w:w="2972" w:type="dxa"/>
          </w:tcPr>
          <w:p w:rsidR="00715BA5" w:rsidRPr="00715BA5" w:rsidRDefault="00715BA5" w:rsidP="00715BA5">
            <w:pPr>
              <w:spacing w:after="0"/>
              <w:jc w:val="both"/>
              <w:rPr>
                <w:sz w:val="20"/>
                <w:szCs w:val="20"/>
                <w:lang w:val="sr-Cyrl-RS"/>
              </w:rPr>
            </w:pPr>
            <w:r w:rsidRPr="00715BA5">
              <w:rPr>
                <w:sz w:val="20"/>
                <w:szCs w:val="20"/>
                <w:lang w:val="sr-Cyrl-RS"/>
              </w:rPr>
              <w:t>Албански</w:t>
            </w:r>
          </w:p>
        </w:tc>
        <w:tc>
          <w:tcPr>
            <w:tcW w:w="2972" w:type="dxa"/>
          </w:tcPr>
          <w:p w:rsidR="00715BA5" w:rsidRPr="00715BA5" w:rsidRDefault="00715BA5" w:rsidP="00715BA5">
            <w:pPr>
              <w:spacing w:after="0"/>
              <w:jc w:val="center"/>
              <w:rPr>
                <w:sz w:val="20"/>
                <w:szCs w:val="20"/>
                <w:lang w:val="sr-Cyrl-RS"/>
              </w:rPr>
            </w:pPr>
            <w:r w:rsidRPr="00715BA5">
              <w:rPr>
                <w:sz w:val="20"/>
                <w:szCs w:val="20"/>
                <w:lang w:val="sr-Cyrl-RS"/>
              </w:rPr>
              <w:t>1</w:t>
            </w:r>
          </w:p>
        </w:tc>
      </w:tr>
      <w:tr w:rsidR="00715BA5" w:rsidRPr="00715BA5" w:rsidTr="009B5929">
        <w:trPr>
          <w:trHeight w:val="278"/>
        </w:trPr>
        <w:tc>
          <w:tcPr>
            <w:tcW w:w="2972" w:type="dxa"/>
          </w:tcPr>
          <w:p w:rsidR="00715BA5" w:rsidRPr="00715BA5" w:rsidRDefault="00715BA5" w:rsidP="00715BA5">
            <w:pPr>
              <w:spacing w:after="0"/>
              <w:jc w:val="both"/>
              <w:rPr>
                <w:sz w:val="20"/>
                <w:szCs w:val="20"/>
                <w:lang w:val="sr-Cyrl-RS"/>
              </w:rPr>
            </w:pPr>
            <w:r w:rsidRPr="00715BA5">
              <w:rPr>
                <w:sz w:val="20"/>
                <w:szCs w:val="20"/>
                <w:lang w:val="sr-Cyrl-RS"/>
              </w:rPr>
              <w:t>Босански</w:t>
            </w:r>
          </w:p>
        </w:tc>
        <w:tc>
          <w:tcPr>
            <w:tcW w:w="2972" w:type="dxa"/>
          </w:tcPr>
          <w:p w:rsidR="00715BA5" w:rsidRPr="00715BA5" w:rsidRDefault="00715BA5" w:rsidP="00715BA5">
            <w:pPr>
              <w:spacing w:after="0"/>
              <w:jc w:val="center"/>
              <w:rPr>
                <w:sz w:val="20"/>
                <w:szCs w:val="20"/>
                <w:lang w:val="sr-Cyrl-RS"/>
              </w:rPr>
            </w:pPr>
            <w:r w:rsidRPr="00715BA5">
              <w:rPr>
                <w:sz w:val="20"/>
                <w:szCs w:val="20"/>
                <w:lang w:val="sr-Cyrl-RS"/>
              </w:rPr>
              <w:t>7.378</w:t>
            </w:r>
          </w:p>
        </w:tc>
      </w:tr>
      <w:tr w:rsidR="00715BA5" w:rsidRPr="00715BA5" w:rsidTr="009B5929">
        <w:trPr>
          <w:trHeight w:val="278"/>
        </w:trPr>
        <w:tc>
          <w:tcPr>
            <w:tcW w:w="2972" w:type="dxa"/>
          </w:tcPr>
          <w:p w:rsidR="00715BA5" w:rsidRPr="00715BA5" w:rsidRDefault="00715BA5" w:rsidP="00715BA5">
            <w:pPr>
              <w:spacing w:after="0"/>
              <w:jc w:val="both"/>
              <w:rPr>
                <w:sz w:val="20"/>
                <w:szCs w:val="20"/>
                <w:lang w:val="sr-Cyrl-RS"/>
              </w:rPr>
            </w:pPr>
            <w:r w:rsidRPr="00715BA5">
              <w:rPr>
                <w:sz w:val="20"/>
                <w:szCs w:val="20"/>
                <w:lang w:val="sr-Cyrl-RS"/>
              </w:rPr>
              <w:t>Мађарски</w:t>
            </w:r>
          </w:p>
        </w:tc>
        <w:tc>
          <w:tcPr>
            <w:tcW w:w="2972" w:type="dxa"/>
          </w:tcPr>
          <w:p w:rsidR="00715BA5" w:rsidRPr="00715BA5" w:rsidRDefault="00715BA5" w:rsidP="00715BA5">
            <w:pPr>
              <w:spacing w:after="0"/>
              <w:jc w:val="center"/>
              <w:rPr>
                <w:sz w:val="20"/>
                <w:szCs w:val="20"/>
                <w:lang w:val="sr-Cyrl-RS"/>
              </w:rPr>
            </w:pPr>
            <w:r w:rsidRPr="00715BA5">
              <w:rPr>
                <w:sz w:val="20"/>
                <w:szCs w:val="20"/>
                <w:lang w:val="sr-Cyrl-RS"/>
              </w:rPr>
              <w:t>5.598</w:t>
            </w:r>
          </w:p>
        </w:tc>
      </w:tr>
      <w:tr w:rsidR="00715BA5" w:rsidRPr="00715BA5" w:rsidTr="009B5929">
        <w:trPr>
          <w:trHeight w:val="287"/>
        </w:trPr>
        <w:tc>
          <w:tcPr>
            <w:tcW w:w="2972" w:type="dxa"/>
          </w:tcPr>
          <w:p w:rsidR="00715BA5" w:rsidRPr="00715BA5" w:rsidRDefault="00715BA5" w:rsidP="00715BA5">
            <w:pPr>
              <w:spacing w:after="0"/>
              <w:jc w:val="both"/>
              <w:rPr>
                <w:sz w:val="20"/>
                <w:szCs w:val="20"/>
                <w:lang w:val="sr-Cyrl-RS"/>
              </w:rPr>
            </w:pPr>
            <w:r w:rsidRPr="00715BA5">
              <w:rPr>
                <w:sz w:val="20"/>
                <w:szCs w:val="20"/>
                <w:lang w:val="sr-Cyrl-RS"/>
              </w:rPr>
              <w:t>Румунски</w:t>
            </w:r>
          </w:p>
        </w:tc>
        <w:tc>
          <w:tcPr>
            <w:tcW w:w="2972" w:type="dxa"/>
          </w:tcPr>
          <w:p w:rsidR="00715BA5" w:rsidRPr="00715BA5" w:rsidRDefault="00715BA5" w:rsidP="00715BA5">
            <w:pPr>
              <w:spacing w:after="0"/>
              <w:jc w:val="center"/>
              <w:rPr>
                <w:sz w:val="20"/>
                <w:szCs w:val="20"/>
                <w:lang w:val="sr-Cyrl-RS"/>
              </w:rPr>
            </w:pPr>
            <w:r w:rsidRPr="00715BA5">
              <w:rPr>
                <w:sz w:val="20"/>
                <w:szCs w:val="20"/>
                <w:lang w:val="sr-Cyrl-RS"/>
              </w:rPr>
              <w:t>13</w:t>
            </w:r>
          </w:p>
        </w:tc>
      </w:tr>
      <w:tr w:rsidR="00715BA5" w:rsidRPr="00715BA5" w:rsidTr="009B5929">
        <w:trPr>
          <w:trHeight w:val="278"/>
        </w:trPr>
        <w:tc>
          <w:tcPr>
            <w:tcW w:w="2972" w:type="dxa"/>
          </w:tcPr>
          <w:p w:rsidR="00715BA5" w:rsidRPr="00715BA5" w:rsidRDefault="00715BA5" w:rsidP="00715BA5">
            <w:pPr>
              <w:spacing w:after="0"/>
              <w:jc w:val="both"/>
              <w:rPr>
                <w:sz w:val="20"/>
                <w:szCs w:val="20"/>
                <w:lang w:val="sr-Cyrl-RS"/>
              </w:rPr>
            </w:pPr>
            <w:r w:rsidRPr="00715BA5">
              <w:rPr>
                <w:sz w:val="20"/>
                <w:szCs w:val="20"/>
                <w:lang w:val="sr-Cyrl-RS"/>
              </w:rPr>
              <w:t>Словачки</w:t>
            </w:r>
          </w:p>
        </w:tc>
        <w:tc>
          <w:tcPr>
            <w:tcW w:w="2972" w:type="dxa"/>
          </w:tcPr>
          <w:p w:rsidR="00715BA5" w:rsidRPr="00715BA5" w:rsidRDefault="00715BA5" w:rsidP="00715BA5">
            <w:pPr>
              <w:spacing w:after="0"/>
              <w:jc w:val="center"/>
              <w:rPr>
                <w:sz w:val="20"/>
                <w:szCs w:val="20"/>
                <w:lang w:val="sr-Cyrl-RS"/>
              </w:rPr>
            </w:pPr>
            <w:r w:rsidRPr="00715BA5">
              <w:rPr>
                <w:sz w:val="20"/>
                <w:szCs w:val="20"/>
                <w:lang w:val="sr-Cyrl-RS"/>
              </w:rPr>
              <w:t>165</w:t>
            </w:r>
          </w:p>
        </w:tc>
      </w:tr>
      <w:tr w:rsidR="00715BA5" w:rsidRPr="00715BA5" w:rsidTr="009B5929">
        <w:trPr>
          <w:trHeight w:val="278"/>
        </w:trPr>
        <w:tc>
          <w:tcPr>
            <w:tcW w:w="2972" w:type="dxa"/>
          </w:tcPr>
          <w:p w:rsidR="00715BA5" w:rsidRPr="00715BA5" w:rsidRDefault="00715BA5" w:rsidP="00715BA5">
            <w:pPr>
              <w:spacing w:after="0"/>
              <w:jc w:val="both"/>
              <w:rPr>
                <w:sz w:val="20"/>
                <w:szCs w:val="20"/>
                <w:lang w:val="sr-Cyrl-RS"/>
              </w:rPr>
            </w:pPr>
            <w:r w:rsidRPr="00715BA5">
              <w:rPr>
                <w:sz w:val="20"/>
                <w:szCs w:val="20"/>
                <w:lang w:val="sr-Cyrl-RS"/>
              </w:rPr>
              <w:t>Хрватски</w:t>
            </w:r>
          </w:p>
        </w:tc>
        <w:tc>
          <w:tcPr>
            <w:tcW w:w="2972" w:type="dxa"/>
          </w:tcPr>
          <w:p w:rsidR="00715BA5" w:rsidRPr="00715BA5" w:rsidRDefault="00715BA5" w:rsidP="00715BA5">
            <w:pPr>
              <w:spacing w:after="0"/>
              <w:jc w:val="center"/>
              <w:rPr>
                <w:sz w:val="20"/>
                <w:szCs w:val="20"/>
                <w:lang w:val="sr-Cyrl-RS"/>
              </w:rPr>
            </w:pPr>
            <w:r w:rsidRPr="00715BA5">
              <w:rPr>
                <w:sz w:val="20"/>
                <w:szCs w:val="20"/>
                <w:lang w:val="sr-Cyrl-RS"/>
              </w:rPr>
              <w:t>1.405</w:t>
            </w:r>
          </w:p>
        </w:tc>
      </w:tr>
      <w:tr w:rsidR="00715BA5" w:rsidRPr="00715BA5" w:rsidTr="009B5929">
        <w:trPr>
          <w:trHeight w:val="278"/>
        </w:trPr>
        <w:tc>
          <w:tcPr>
            <w:tcW w:w="5944" w:type="dxa"/>
            <w:gridSpan w:val="2"/>
          </w:tcPr>
          <w:p w:rsidR="00715BA5" w:rsidRPr="00715BA5" w:rsidRDefault="00715BA5" w:rsidP="00715BA5">
            <w:pPr>
              <w:spacing w:after="0"/>
              <w:jc w:val="center"/>
              <w:rPr>
                <w:sz w:val="20"/>
                <w:szCs w:val="20"/>
                <w:lang w:val="sr-Cyrl-RS"/>
              </w:rPr>
            </w:pPr>
            <w:r w:rsidRPr="00715BA5">
              <w:rPr>
                <w:sz w:val="20"/>
                <w:szCs w:val="20"/>
                <w:lang w:val="sr-Cyrl-RS"/>
              </w:rPr>
              <w:t>2021. година</w:t>
            </w:r>
          </w:p>
        </w:tc>
      </w:tr>
      <w:tr w:rsidR="00715BA5" w:rsidRPr="00715BA5" w:rsidTr="009B5929">
        <w:trPr>
          <w:trHeight w:val="287"/>
        </w:trPr>
        <w:tc>
          <w:tcPr>
            <w:tcW w:w="2972" w:type="dxa"/>
          </w:tcPr>
          <w:p w:rsidR="00715BA5" w:rsidRPr="00715BA5" w:rsidRDefault="00715BA5" w:rsidP="00715BA5">
            <w:pPr>
              <w:spacing w:after="0"/>
              <w:jc w:val="both"/>
              <w:rPr>
                <w:sz w:val="20"/>
                <w:szCs w:val="20"/>
                <w:lang w:val="sr-Cyrl-RS"/>
              </w:rPr>
            </w:pPr>
            <w:r w:rsidRPr="00715BA5">
              <w:rPr>
                <w:sz w:val="20"/>
                <w:szCs w:val="20"/>
                <w:lang w:val="sr-Cyrl-RS"/>
              </w:rPr>
              <w:t>Албански</w:t>
            </w:r>
          </w:p>
        </w:tc>
        <w:tc>
          <w:tcPr>
            <w:tcW w:w="2972" w:type="dxa"/>
          </w:tcPr>
          <w:p w:rsidR="00715BA5" w:rsidRPr="00715BA5" w:rsidRDefault="00715BA5" w:rsidP="00715BA5">
            <w:pPr>
              <w:spacing w:after="0"/>
              <w:jc w:val="center"/>
              <w:rPr>
                <w:sz w:val="20"/>
                <w:szCs w:val="20"/>
                <w:lang w:val="sr-Cyrl-RS"/>
              </w:rPr>
            </w:pPr>
            <w:r w:rsidRPr="00715BA5">
              <w:rPr>
                <w:sz w:val="20"/>
                <w:szCs w:val="20"/>
                <w:lang w:val="sr-Cyrl-RS"/>
              </w:rPr>
              <w:t>2</w:t>
            </w:r>
          </w:p>
        </w:tc>
      </w:tr>
      <w:tr w:rsidR="00715BA5" w:rsidRPr="00715BA5" w:rsidTr="009B5929">
        <w:trPr>
          <w:trHeight w:val="278"/>
        </w:trPr>
        <w:tc>
          <w:tcPr>
            <w:tcW w:w="2972" w:type="dxa"/>
          </w:tcPr>
          <w:p w:rsidR="00715BA5" w:rsidRPr="00715BA5" w:rsidRDefault="00715BA5" w:rsidP="00715BA5">
            <w:pPr>
              <w:spacing w:after="0"/>
              <w:jc w:val="both"/>
              <w:rPr>
                <w:sz w:val="20"/>
                <w:szCs w:val="20"/>
                <w:lang w:val="sr-Cyrl-RS"/>
              </w:rPr>
            </w:pPr>
            <w:r w:rsidRPr="00715BA5">
              <w:rPr>
                <w:sz w:val="20"/>
                <w:szCs w:val="20"/>
                <w:lang w:val="sr-Cyrl-RS"/>
              </w:rPr>
              <w:t>Босански</w:t>
            </w:r>
          </w:p>
        </w:tc>
        <w:tc>
          <w:tcPr>
            <w:tcW w:w="2972" w:type="dxa"/>
          </w:tcPr>
          <w:p w:rsidR="00715BA5" w:rsidRPr="00715BA5" w:rsidRDefault="00715BA5" w:rsidP="00715BA5">
            <w:pPr>
              <w:spacing w:after="0"/>
              <w:jc w:val="center"/>
              <w:rPr>
                <w:sz w:val="20"/>
                <w:szCs w:val="20"/>
                <w:lang w:val="sr-Cyrl-RS"/>
              </w:rPr>
            </w:pPr>
            <w:r w:rsidRPr="00715BA5">
              <w:rPr>
                <w:sz w:val="20"/>
                <w:szCs w:val="20"/>
                <w:lang w:val="sr-Cyrl-RS"/>
              </w:rPr>
              <w:t>1.785</w:t>
            </w:r>
          </w:p>
        </w:tc>
      </w:tr>
      <w:tr w:rsidR="00715BA5" w:rsidRPr="00715BA5" w:rsidTr="009B5929">
        <w:trPr>
          <w:trHeight w:val="278"/>
        </w:trPr>
        <w:tc>
          <w:tcPr>
            <w:tcW w:w="2972" w:type="dxa"/>
          </w:tcPr>
          <w:p w:rsidR="00715BA5" w:rsidRPr="00715BA5" w:rsidRDefault="00715BA5" w:rsidP="00715BA5">
            <w:pPr>
              <w:spacing w:after="0"/>
              <w:jc w:val="both"/>
              <w:rPr>
                <w:sz w:val="20"/>
                <w:szCs w:val="20"/>
                <w:lang w:val="sr-Cyrl-RS"/>
              </w:rPr>
            </w:pPr>
            <w:r w:rsidRPr="00715BA5">
              <w:rPr>
                <w:sz w:val="20"/>
                <w:szCs w:val="20"/>
                <w:lang w:val="sr-Cyrl-RS"/>
              </w:rPr>
              <w:t>Бугарски</w:t>
            </w:r>
          </w:p>
        </w:tc>
        <w:tc>
          <w:tcPr>
            <w:tcW w:w="2972" w:type="dxa"/>
          </w:tcPr>
          <w:p w:rsidR="00715BA5" w:rsidRPr="00715BA5" w:rsidRDefault="00715BA5" w:rsidP="00715BA5">
            <w:pPr>
              <w:spacing w:after="0"/>
              <w:jc w:val="center"/>
              <w:rPr>
                <w:sz w:val="20"/>
                <w:szCs w:val="20"/>
                <w:lang w:val="sr-Cyrl-RS"/>
              </w:rPr>
            </w:pPr>
            <w:r w:rsidRPr="00715BA5">
              <w:rPr>
                <w:sz w:val="20"/>
                <w:szCs w:val="20"/>
                <w:lang w:val="sr-Cyrl-RS"/>
              </w:rPr>
              <w:t>6</w:t>
            </w:r>
          </w:p>
        </w:tc>
      </w:tr>
      <w:tr w:rsidR="00715BA5" w:rsidRPr="00715BA5" w:rsidTr="009B5929">
        <w:trPr>
          <w:trHeight w:val="287"/>
        </w:trPr>
        <w:tc>
          <w:tcPr>
            <w:tcW w:w="2972" w:type="dxa"/>
          </w:tcPr>
          <w:p w:rsidR="00715BA5" w:rsidRPr="00715BA5" w:rsidRDefault="00715BA5" w:rsidP="00715BA5">
            <w:pPr>
              <w:spacing w:after="0"/>
              <w:jc w:val="both"/>
              <w:rPr>
                <w:sz w:val="20"/>
                <w:szCs w:val="20"/>
                <w:lang w:val="sr-Cyrl-RS"/>
              </w:rPr>
            </w:pPr>
            <w:r w:rsidRPr="00715BA5">
              <w:rPr>
                <w:sz w:val="20"/>
                <w:szCs w:val="20"/>
                <w:lang w:val="sr-Cyrl-RS"/>
              </w:rPr>
              <w:t>Мађарски</w:t>
            </w:r>
          </w:p>
        </w:tc>
        <w:tc>
          <w:tcPr>
            <w:tcW w:w="2972" w:type="dxa"/>
          </w:tcPr>
          <w:p w:rsidR="00715BA5" w:rsidRPr="00715BA5" w:rsidRDefault="00715BA5" w:rsidP="00715BA5">
            <w:pPr>
              <w:spacing w:after="0"/>
              <w:jc w:val="center"/>
              <w:rPr>
                <w:sz w:val="20"/>
                <w:szCs w:val="20"/>
                <w:lang w:val="sr-Cyrl-RS"/>
              </w:rPr>
            </w:pPr>
            <w:r w:rsidRPr="00715BA5">
              <w:rPr>
                <w:sz w:val="20"/>
                <w:szCs w:val="20"/>
                <w:lang w:val="sr-Cyrl-RS"/>
              </w:rPr>
              <w:t>5.157</w:t>
            </w:r>
          </w:p>
        </w:tc>
      </w:tr>
      <w:tr w:rsidR="00715BA5" w:rsidRPr="00715BA5" w:rsidTr="009B5929">
        <w:trPr>
          <w:trHeight w:val="278"/>
        </w:trPr>
        <w:tc>
          <w:tcPr>
            <w:tcW w:w="2972" w:type="dxa"/>
          </w:tcPr>
          <w:p w:rsidR="00715BA5" w:rsidRPr="00715BA5" w:rsidRDefault="00715BA5" w:rsidP="00715BA5">
            <w:pPr>
              <w:spacing w:after="0"/>
              <w:jc w:val="both"/>
              <w:rPr>
                <w:sz w:val="20"/>
                <w:szCs w:val="20"/>
                <w:lang w:val="sr-Cyrl-RS"/>
              </w:rPr>
            </w:pPr>
            <w:r w:rsidRPr="00715BA5">
              <w:rPr>
                <w:sz w:val="20"/>
                <w:szCs w:val="20"/>
                <w:lang w:val="sr-Cyrl-RS"/>
              </w:rPr>
              <w:t>Словачки</w:t>
            </w:r>
          </w:p>
        </w:tc>
        <w:tc>
          <w:tcPr>
            <w:tcW w:w="2972" w:type="dxa"/>
          </w:tcPr>
          <w:p w:rsidR="00715BA5" w:rsidRPr="00715BA5" w:rsidRDefault="00715BA5" w:rsidP="00715BA5">
            <w:pPr>
              <w:spacing w:after="0"/>
              <w:jc w:val="center"/>
              <w:rPr>
                <w:sz w:val="20"/>
                <w:szCs w:val="20"/>
                <w:lang w:val="sr-Cyrl-RS"/>
              </w:rPr>
            </w:pPr>
            <w:r w:rsidRPr="00715BA5">
              <w:rPr>
                <w:sz w:val="20"/>
                <w:szCs w:val="20"/>
                <w:lang w:val="sr-Cyrl-RS"/>
              </w:rPr>
              <w:t>155</w:t>
            </w:r>
          </w:p>
        </w:tc>
      </w:tr>
      <w:tr w:rsidR="00715BA5" w:rsidRPr="00715BA5" w:rsidTr="009B5929">
        <w:trPr>
          <w:trHeight w:val="278"/>
        </w:trPr>
        <w:tc>
          <w:tcPr>
            <w:tcW w:w="2972" w:type="dxa"/>
          </w:tcPr>
          <w:p w:rsidR="00715BA5" w:rsidRPr="00715BA5" w:rsidRDefault="00715BA5" w:rsidP="00715BA5">
            <w:pPr>
              <w:spacing w:after="0"/>
              <w:jc w:val="both"/>
              <w:rPr>
                <w:sz w:val="20"/>
                <w:szCs w:val="20"/>
                <w:lang w:val="sr-Cyrl-RS"/>
              </w:rPr>
            </w:pPr>
            <w:r w:rsidRPr="00715BA5">
              <w:rPr>
                <w:sz w:val="20"/>
                <w:szCs w:val="20"/>
                <w:lang w:val="sr-Cyrl-RS"/>
              </w:rPr>
              <w:t>Хрватски</w:t>
            </w:r>
          </w:p>
        </w:tc>
        <w:tc>
          <w:tcPr>
            <w:tcW w:w="2972" w:type="dxa"/>
          </w:tcPr>
          <w:p w:rsidR="00715BA5" w:rsidRPr="00715BA5" w:rsidRDefault="00715BA5" w:rsidP="00715BA5">
            <w:pPr>
              <w:spacing w:after="0"/>
              <w:jc w:val="center"/>
              <w:rPr>
                <w:sz w:val="20"/>
                <w:szCs w:val="20"/>
                <w:lang w:val="sr-Cyrl-RS"/>
              </w:rPr>
            </w:pPr>
            <w:r w:rsidRPr="00715BA5">
              <w:rPr>
                <w:sz w:val="20"/>
                <w:szCs w:val="20"/>
                <w:lang w:val="sr-Cyrl-RS"/>
              </w:rPr>
              <w:t>1.259</w:t>
            </w:r>
          </w:p>
        </w:tc>
      </w:tr>
      <w:tr w:rsidR="00715BA5" w:rsidRPr="00715BA5" w:rsidTr="009B5929">
        <w:trPr>
          <w:trHeight w:val="287"/>
        </w:trPr>
        <w:tc>
          <w:tcPr>
            <w:tcW w:w="2972" w:type="dxa"/>
          </w:tcPr>
          <w:p w:rsidR="00715BA5" w:rsidRPr="00715BA5" w:rsidRDefault="00715BA5" w:rsidP="00715BA5">
            <w:pPr>
              <w:spacing w:after="0"/>
              <w:jc w:val="both"/>
              <w:rPr>
                <w:sz w:val="20"/>
                <w:szCs w:val="20"/>
                <w:lang w:val="sr-Cyrl-RS"/>
              </w:rPr>
            </w:pPr>
            <w:r w:rsidRPr="00715BA5">
              <w:rPr>
                <w:sz w:val="20"/>
                <w:szCs w:val="20"/>
                <w:lang w:val="sr-Cyrl-RS"/>
              </w:rPr>
              <w:t>Укупно</w:t>
            </w:r>
          </w:p>
        </w:tc>
        <w:tc>
          <w:tcPr>
            <w:tcW w:w="2972" w:type="dxa"/>
          </w:tcPr>
          <w:p w:rsidR="00715BA5" w:rsidRPr="00715BA5" w:rsidRDefault="00715BA5" w:rsidP="00715BA5">
            <w:pPr>
              <w:spacing w:after="0"/>
              <w:jc w:val="center"/>
              <w:rPr>
                <w:sz w:val="20"/>
                <w:szCs w:val="20"/>
                <w:lang w:val="sr-Cyrl-RS"/>
              </w:rPr>
            </w:pPr>
            <w:r w:rsidRPr="00715BA5">
              <w:rPr>
                <w:sz w:val="20"/>
                <w:szCs w:val="20"/>
                <w:lang w:val="sr-Cyrl-RS"/>
              </w:rPr>
              <w:t>22.924</w:t>
            </w:r>
          </w:p>
        </w:tc>
      </w:tr>
    </w:tbl>
    <w:p w:rsidR="00715BA5" w:rsidRDefault="00715BA5" w:rsidP="00715BA5">
      <w:pPr>
        <w:spacing w:after="0"/>
        <w:jc w:val="both"/>
        <w:rPr>
          <w:sz w:val="24"/>
          <w:szCs w:val="24"/>
          <w:lang w:val="sr-Cyrl-RS"/>
        </w:rPr>
      </w:pPr>
    </w:p>
    <w:p w:rsidR="00666C31" w:rsidRDefault="00666C31" w:rsidP="00666C31">
      <w:pPr>
        <w:spacing w:after="0"/>
        <w:ind w:firstLine="720"/>
        <w:jc w:val="both"/>
        <w:rPr>
          <w:sz w:val="24"/>
          <w:szCs w:val="24"/>
          <w:lang w:val="sr-Cyrl-RS"/>
        </w:rPr>
      </w:pPr>
      <w:r>
        <w:rPr>
          <w:sz w:val="24"/>
          <w:szCs w:val="24"/>
          <w:lang w:val="sr-Cyrl-RS"/>
        </w:rPr>
        <w:t>Број извода из матичних књига који нису штампани двојезично, а у којима су лична имена припадника националних мањина уписана и на њиховом језику је вишеструко већи. Томе је допринела и чињеница да је</w:t>
      </w:r>
      <w:r w:rsidRPr="009B5929">
        <w:rPr>
          <w:sz w:val="24"/>
          <w:szCs w:val="24"/>
          <w:lang w:val="sr-Cyrl-RS"/>
        </w:rPr>
        <w:t xml:space="preserve">, поступајући по препоруци Заштитиика грађана из Посебног извештаја о службеној употреби бугарског језика и </w:t>
      </w:r>
      <w:r w:rsidRPr="009B5929">
        <w:rPr>
          <w:sz w:val="24"/>
          <w:szCs w:val="24"/>
          <w:lang w:val="sr-Cyrl-RS"/>
        </w:rPr>
        <w:lastRenderedPageBreak/>
        <w:t>писма, Министарство државне управе и локалне самоуправе 16. децембра 2021. године упутило свим матичним службама инструкцију ради обавештавања грађана о праву на упис личног имена на језику и писму националне мањине, у којој је указано да је неопходно да све матичне службе на видном месту (огласне табле општинске/градске управе и интернет презентације општине/града) истакну обавештење о праву припадника националних мањина на упис личног имена на језику и писму националне мањине.</w:t>
      </w:r>
    </w:p>
    <w:p w:rsidR="006C1FBC" w:rsidRDefault="006C1FBC" w:rsidP="006C1FBC">
      <w:pPr>
        <w:spacing w:after="0"/>
        <w:ind w:firstLine="720"/>
        <w:jc w:val="both"/>
        <w:rPr>
          <w:sz w:val="24"/>
          <w:szCs w:val="24"/>
          <w:lang w:val="sr-Cyrl-RS"/>
        </w:rPr>
      </w:pPr>
      <w:r w:rsidRPr="006C1FBC">
        <w:rPr>
          <w:sz w:val="24"/>
          <w:szCs w:val="24"/>
          <w:lang w:val="sr-Cyrl-RS"/>
        </w:rPr>
        <w:t xml:space="preserve">Министарство државне управе и локалне самоуправе је сагласно прописима у 2020. години успоставило посебно секторско стручно усавршавање матичара у циљу обезбеђења унапређења постојећих и стицање нових знања, вештина и способности ове категорије запослених у јединицама локалне самоуправе за успешно извршавање послова вођења матичних књига и решавања у првостепеном управном поступку у области матичних књига, између осталог и у погледу правилне примене прописа која се односе на службену употребу језика и писма у вођењу матичних књига, упис податка о личном имену припадника националне мањине на језику и писму националне мањине, накнадни упис у матичне књиге са посебним освртом на поступак за упис чињенице рођења припадника ромске националне мањине у матичну књигу рођених, утврђивање времена и места рођења и упис чињенице рођења у матичну књигу рођених на основу решења суда. Припреми и доношењу програма обука претходи анализа потреба за стручним усавршавањем која се спроводи за сваку календарску годину. Секторски посебни програм обуке матичара за 2020. годину садржи </w:t>
      </w:r>
      <w:r w:rsidR="00FD4991">
        <w:rPr>
          <w:sz w:val="24"/>
          <w:szCs w:val="24"/>
          <w:lang w:val="sr-Cyrl-RS"/>
        </w:rPr>
        <w:t>седам</w:t>
      </w:r>
      <w:r w:rsidRPr="006C1FBC">
        <w:rPr>
          <w:sz w:val="24"/>
          <w:szCs w:val="24"/>
          <w:lang w:val="sr-Cyrl-RS"/>
        </w:rPr>
        <w:t xml:space="preserve"> области стручног усавршавања и 10 тематских целина. Овај програм је спроведен </w:t>
      </w:r>
      <w:r w:rsidR="00FD4991">
        <w:rPr>
          <w:sz w:val="24"/>
          <w:szCs w:val="24"/>
          <w:lang w:val="sr-Cyrl-RS"/>
        </w:rPr>
        <w:t xml:space="preserve">у целости. Одржана је 21 обука, а </w:t>
      </w:r>
      <w:r w:rsidRPr="006C1FBC">
        <w:rPr>
          <w:sz w:val="24"/>
          <w:szCs w:val="24"/>
          <w:lang w:val="sr-Cyrl-RS"/>
        </w:rPr>
        <w:t xml:space="preserve">похађало </w:t>
      </w:r>
      <w:r w:rsidR="00FD4991">
        <w:rPr>
          <w:sz w:val="24"/>
          <w:szCs w:val="24"/>
          <w:lang w:val="sr-Cyrl-RS"/>
        </w:rPr>
        <w:t xml:space="preserve">их је </w:t>
      </w:r>
      <w:r w:rsidRPr="006C1FBC">
        <w:rPr>
          <w:sz w:val="24"/>
          <w:szCs w:val="24"/>
          <w:lang w:val="sr-Cyrl-RS"/>
        </w:rPr>
        <w:t xml:space="preserve">718 матичара. Секторски посебни програм обуке матичара за 2021. годину је у значајној мери унапређен и садржи </w:t>
      </w:r>
      <w:r w:rsidR="00FD4991">
        <w:rPr>
          <w:sz w:val="24"/>
          <w:szCs w:val="24"/>
          <w:lang w:val="sr-Cyrl-RS"/>
        </w:rPr>
        <w:t>шест</w:t>
      </w:r>
      <w:r w:rsidRPr="006C1FBC">
        <w:rPr>
          <w:sz w:val="24"/>
          <w:szCs w:val="24"/>
          <w:lang w:val="sr-Cyrl-RS"/>
        </w:rPr>
        <w:t xml:space="preserve"> области стручног усавршавања и у оквиру њих 16 тематских целина. Овај програм је такође спроведен у целини. Реализовано је 28 обука са укупно 1.125 полазника обука. </w:t>
      </w:r>
      <w:r w:rsidR="00FD4991">
        <w:rPr>
          <w:sz w:val="24"/>
          <w:szCs w:val="24"/>
          <w:lang w:val="sr-Cyrl-RS"/>
        </w:rPr>
        <w:t>Остварен је н</w:t>
      </w:r>
      <w:r w:rsidRPr="006C1FBC">
        <w:rPr>
          <w:sz w:val="24"/>
          <w:szCs w:val="24"/>
          <w:lang w:val="sr-Cyrl-RS"/>
        </w:rPr>
        <w:t xml:space="preserve">апредак у броју полазника у 2021. години, будући да је у овом програму учествовало 37,9% више </w:t>
      </w:r>
      <w:r w:rsidR="00FD4991">
        <w:rPr>
          <w:sz w:val="24"/>
          <w:szCs w:val="24"/>
          <w:lang w:val="sr-Cyrl-RS"/>
        </w:rPr>
        <w:t>полазника</w:t>
      </w:r>
      <w:r w:rsidRPr="006C1FBC">
        <w:rPr>
          <w:sz w:val="24"/>
          <w:szCs w:val="24"/>
          <w:lang w:val="sr-Cyrl-RS"/>
        </w:rPr>
        <w:t xml:space="preserve"> у </w:t>
      </w:r>
      <w:r w:rsidR="00FD4991">
        <w:rPr>
          <w:sz w:val="24"/>
          <w:szCs w:val="24"/>
          <w:lang w:val="sr-Cyrl-RS"/>
        </w:rPr>
        <w:t>односу на претходну</w:t>
      </w:r>
      <w:r w:rsidRPr="006C1FBC">
        <w:rPr>
          <w:sz w:val="24"/>
          <w:szCs w:val="24"/>
          <w:lang w:val="sr-Cyrl-RS"/>
        </w:rPr>
        <w:t xml:space="preserve"> годин</w:t>
      </w:r>
      <w:r w:rsidR="00FD4991">
        <w:rPr>
          <w:sz w:val="24"/>
          <w:szCs w:val="24"/>
          <w:lang w:val="sr-Cyrl-RS"/>
        </w:rPr>
        <w:t>у.</w:t>
      </w:r>
      <w:r w:rsidRPr="006C1FBC">
        <w:rPr>
          <w:sz w:val="24"/>
          <w:szCs w:val="24"/>
          <w:lang w:val="sr-Cyrl-RS"/>
        </w:rPr>
        <w:t xml:space="preserve"> На основу претходно извршене анализе потреба за стручним усавршавањем матичара за 2022. годину, Министарство је донело и Секторски посебни програм обуке матичара за 2022. годину. На овај начин, </w:t>
      </w:r>
      <w:r w:rsidR="00A74E3E">
        <w:rPr>
          <w:sz w:val="24"/>
          <w:szCs w:val="24"/>
          <w:lang w:val="sr-Cyrl-RS"/>
        </w:rPr>
        <w:t>М</w:t>
      </w:r>
      <w:r w:rsidRPr="006C1FBC">
        <w:rPr>
          <w:sz w:val="24"/>
          <w:szCs w:val="24"/>
          <w:lang w:val="sr-Cyrl-RS"/>
        </w:rPr>
        <w:t>инистарство је обезбедило све потребне предуслове за континуирано стручно усавршавање матичара и заменика матичара у циљу што успешнијег извршавања послова вођења матичних књига.</w:t>
      </w:r>
    </w:p>
    <w:p w:rsidR="009B5929" w:rsidRDefault="009B5929" w:rsidP="00715BA5">
      <w:pPr>
        <w:spacing w:after="0"/>
        <w:jc w:val="both"/>
        <w:rPr>
          <w:sz w:val="24"/>
          <w:szCs w:val="24"/>
          <w:lang w:val="sr-Cyrl-RS"/>
        </w:rPr>
      </w:pPr>
    </w:p>
    <w:p w:rsidR="009307A4" w:rsidRDefault="009307A4" w:rsidP="009307A4">
      <w:pPr>
        <w:tabs>
          <w:tab w:val="left" w:pos="707"/>
        </w:tabs>
        <w:spacing w:after="0"/>
        <w:ind w:right="-46"/>
        <w:jc w:val="both"/>
        <w:rPr>
          <w:rFonts w:cs="Calibri"/>
          <w:i/>
          <w:sz w:val="24"/>
          <w:lang w:val="sr-Cyrl-RS"/>
        </w:rPr>
      </w:pPr>
      <w:r w:rsidRPr="009307A4">
        <w:rPr>
          <w:rFonts w:cs="Calibri"/>
          <w:i/>
          <w:sz w:val="24"/>
          <w:lang w:val="sr-Cyrl-RS"/>
        </w:rPr>
        <w:t>87. Саветодавни комитет понавља свој позив властима да обезбеде да потребне мере како би се осигурало да све локалне власти где је језик или где су језици мањина у службеној употреби испуњавају своју обавезу приказивања топографских ознака на одговарајућем језику или језицима мањина.</w:t>
      </w:r>
    </w:p>
    <w:p w:rsidR="009307A4" w:rsidRDefault="009307A4" w:rsidP="009307A4">
      <w:pPr>
        <w:tabs>
          <w:tab w:val="left" w:pos="707"/>
        </w:tabs>
        <w:spacing w:after="0"/>
        <w:ind w:right="-46"/>
        <w:jc w:val="both"/>
        <w:rPr>
          <w:rFonts w:cs="Calibri"/>
          <w:i/>
          <w:sz w:val="24"/>
          <w:lang w:val="sr-Cyrl-RS"/>
        </w:rPr>
      </w:pPr>
    </w:p>
    <w:p w:rsidR="009307A4" w:rsidRPr="009307A4" w:rsidRDefault="00C73A86" w:rsidP="009307A4">
      <w:pPr>
        <w:tabs>
          <w:tab w:val="left" w:pos="707"/>
        </w:tabs>
        <w:spacing w:after="0"/>
        <w:ind w:right="-46"/>
        <w:jc w:val="both"/>
        <w:rPr>
          <w:rFonts w:cs="Calibri"/>
          <w:sz w:val="24"/>
          <w:lang w:val="sr-Cyrl-RS"/>
        </w:rPr>
      </w:pPr>
      <w:r>
        <w:rPr>
          <w:rFonts w:cs="Calibri"/>
          <w:sz w:val="24"/>
          <w:lang w:val="sr-Cyrl-RS"/>
        </w:rPr>
        <w:tab/>
      </w:r>
      <w:r w:rsidR="009307A4" w:rsidRPr="009307A4">
        <w:rPr>
          <w:rFonts w:cs="Calibri"/>
          <w:sz w:val="24"/>
          <w:lang w:val="sr-Cyrl-RS"/>
        </w:rPr>
        <w:t xml:space="preserve">Упитници који су у 2020. години прослеђени јединицама локалне самоуправе </w:t>
      </w:r>
      <w:r w:rsidR="00FD4991">
        <w:rPr>
          <w:rFonts w:cs="Calibri"/>
          <w:sz w:val="24"/>
          <w:lang w:val="sr-Cyrl-RS"/>
        </w:rPr>
        <w:t xml:space="preserve">(ЈЛС) </w:t>
      </w:r>
      <w:r>
        <w:rPr>
          <w:rFonts w:cs="Calibri"/>
          <w:sz w:val="24"/>
          <w:lang w:val="sr-Cyrl-RS"/>
        </w:rPr>
        <w:t>од стране Канцеларије за људска и мањинска права,</w:t>
      </w:r>
      <w:r>
        <w:rPr>
          <w:rStyle w:val="FootnoteReference"/>
          <w:rFonts w:cs="Calibri"/>
          <w:sz w:val="24"/>
          <w:lang w:val="sr-Cyrl-RS"/>
        </w:rPr>
        <w:footnoteReference w:id="98"/>
      </w:r>
      <w:r>
        <w:rPr>
          <w:rFonts w:cs="Calibri"/>
          <w:sz w:val="24"/>
          <w:lang w:val="sr-Cyrl-RS"/>
        </w:rPr>
        <w:t xml:space="preserve"> а </w:t>
      </w:r>
      <w:r w:rsidR="009307A4" w:rsidRPr="009307A4">
        <w:rPr>
          <w:rFonts w:cs="Calibri"/>
          <w:sz w:val="24"/>
          <w:lang w:val="sr-Cyrl-RS"/>
        </w:rPr>
        <w:t xml:space="preserve">у циљу сагледавања </w:t>
      </w:r>
      <w:r w:rsidR="009307A4" w:rsidRPr="009307A4">
        <w:rPr>
          <w:rFonts w:cs="Calibri"/>
          <w:sz w:val="24"/>
          <w:lang w:val="sr-Cyrl-RS"/>
        </w:rPr>
        <w:lastRenderedPageBreak/>
        <w:t xml:space="preserve">употребе језика и писама националних мањина </w:t>
      </w:r>
      <w:r>
        <w:rPr>
          <w:rFonts w:cs="Calibri"/>
          <w:sz w:val="24"/>
          <w:lang w:val="sr-Cyrl-RS"/>
        </w:rPr>
        <w:t>у</w:t>
      </w:r>
      <w:r w:rsidR="009307A4" w:rsidRPr="009307A4">
        <w:rPr>
          <w:rFonts w:cs="Calibri"/>
          <w:sz w:val="24"/>
          <w:lang w:val="sr-Cyrl-RS"/>
        </w:rPr>
        <w:t xml:space="preserve"> </w:t>
      </w:r>
      <w:r w:rsidR="00FD4991">
        <w:rPr>
          <w:rFonts w:cs="Calibri"/>
          <w:sz w:val="24"/>
          <w:lang w:val="sr-Cyrl-RS"/>
        </w:rPr>
        <w:t>ЈЛС</w:t>
      </w:r>
      <w:r>
        <w:rPr>
          <w:rFonts w:cs="Calibri"/>
          <w:sz w:val="24"/>
          <w:lang w:val="sr-Cyrl-RS"/>
        </w:rPr>
        <w:t>,</w:t>
      </w:r>
      <w:r w:rsidR="009307A4" w:rsidRPr="009307A4">
        <w:rPr>
          <w:rFonts w:cs="Calibri"/>
          <w:sz w:val="24"/>
          <w:lang w:val="sr-Cyrl-RS"/>
        </w:rPr>
        <w:t xml:space="preserve"> садржали су и питања која се односе на исписивање назива места, других географских назива и јавних натписа. Од укупно 54 </w:t>
      </w:r>
      <w:r w:rsidR="004C2E0D">
        <w:rPr>
          <w:rFonts w:cs="Calibri"/>
          <w:sz w:val="24"/>
          <w:lang w:val="sr-Cyrl-RS"/>
        </w:rPr>
        <w:t>ЈЛС</w:t>
      </w:r>
      <w:r w:rsidR="009307A4" w:rsidRPr="009307A4">
        <w:rPr>
          <w:rFonts w:cs="Calibri"/>
          <w:sz w:val="24"/>
          <w:lang w:val="sr-Cyrl-RS"/>
        </w:rPr>
        <w:t xml:space="preserve"> у којима постоји службена употреба језика и писама националних мањина, своје одговоре на овај упитник доставиле су 32 или 59,26% </w:t>
      </w:r>
      <w:r w:rsidR="004C2E0D">
        <w:rPr>
          <w:rFonts w:cs="Calibri"/>
          <w:sz w:val="24"/>
          <w:lang w:val="sr-Cyrl-RS"/>
        </w:rPr>
        <w:t>ЈЛС</w:t>
      </w:r>
      <w:r w:rsidR="009307A4" w:rsidRPr="009307A4">
        <w:rPr>
          <w:rFonts w:cs="Calibri"/>
          <w:sz w:val="24"/>
          <w:lang w:val="sr-Cyrl-RS"/>
        </w:rPr>
        <w:t>.</w:t>
      </w:r>
    </w:p>
    <w:p w:rsidR="009307A4" w:rsidRPr="009307A4" w:rsidRDefault="009307A4" w:rsidP="009307A4">
      <w:pPr>
        <w:tabs>
          <w:tab w:val="left" w:pos="707"/>
        </w:tabs>
        <w:spacing w:after="0"/>
        <w:ind w:right="-46"/>
        <w:jc w:val="both"/>
        <w:rPr>
          <w:rFonts w:cs="Calibri"/>
          <w:sz w:val="24"/>
          <w:lang w:val="sr-Cyrl-RS"/>
        </w:rPr>
      </w:pPr>
      <w:r>
        <w:rPr>
          <w:rFonts w:cs="Calibri"/>
          <w:sz w:val="24"/>
          <w:lang w:val="sr-Cyrl-RS"/>
        </w:rPr>
        <w:tab/>
      </w:r>
      <w:r w:rsidRPr="009307A4">
        <w:rPr>
          <w:rFonts w:cs="Calibri"/>
          <w:sz w:val="24"/>
          <w:lang w:val="sr-Cyrl-RS"/>
        </w:rPr>
        <w:t xml:space="preserve">Од укупног броја </w:t>
      </w:r>
      <w:r w:rsidR="004C2E0D">
        <w:rPr>
          <w:rFonts w:cs="Calibri"/>
          <w:sz w:val="24"/>
          <w:lang w:val="sr-Cyrl-RS"/>
        </w:rPr>
        <w:t>ЈЛС</w:t>
      </w:r>
      <w:r w:rsidRPr="009307A4">
        <w:rPr>
          <w:rFonts w:cs="Calibri"/>
          <w:sz w:val="24"/>
          <w:lang w:val="sr-Cyrl-RS"/>
        </w:rPr>
        <w:t xml:space="preserve"> које су доставиле своје одговоре, њих 24 или 75 % је потврдно одговорило на питање да ли су табле са називима насељених места исписане и на језицима националних мањина који су у службеној употреби. Три </w:t>
      </w:r>
      <w:r w:rsidR="004C2E0D">
        <w:rPr>
          <w:rFonts w:cs="Calibri"/>
          <w:sz w:val="24"/>
          <w:lang w:val="sr-Cyrl-RS"/>
        </w:rPr>
        <w:t>ЈЛС</w:t>
      </w:r>
      <w:r w:rsidRPr="009307A4">
        <w:rPr>
          <w:rFonts w:cs="Calibri"/>
          <w:sz w:val="24"/>
          <w:lang w:val="sr-Cyrl-RS"/>
        </w:rPr>
        <w:t>, иако су доставиле упитнике, нису уопште одговориле на то питање, док је 5 или 15,62% од оних које су доставиле упитнике, истакло одговор на основу кога је јасно да се релевантне законске одредбе о исписивању назива насељених места на језицима и писмима националних мањина који су у службеној употреби не поштују</w:t>
      </w:r>
      <w:r w:rsidR="00C73A86">
        <w:rPr>
          <w:rFonts w:cs="Calibri"/>
          <w:sz w:val="24"/>
          <w:lang w:val="sr-Cyrl-RS"/>
        </w:rPr>
        <w:t xml:space="preserve"> у потпуности</w:t>
      </w:r>
      <w:r w:rsidRPr="009307A4">
        <w:rPr>
          <w:rFonts w:cs="Calibri"/>
          <w:sz w:val="24"/>
          <w:lang w:val="sr-Cyrl-RS"/>
        </w:rPr>
        <w:t xml:space="preserve">. Од 24 </w:t>
      </w:r>
      <w:r w:rsidR="004C2E0D">
        <w:rPr>
          <w:rFonts w:cs="Calibri"/>
          <w:sz w:val="24"/>
          <w:lang w:val="sr-Cyrl-RS"/>
        </w:rPr>
        <w:t>ЈЛС</w:t>
      </w:r>
      <w:r w:rsidRPr="009307A4">
        <w:rPr>
          <w:rFonts w:cs="Calibri"/>
          <w:sz w:val="24"/>
          <w:lang w:val="sr-Cyrl-RS"/>
        </w:rPr>
        <w:t xml:space="preserve"> у којима су табле с називима насељених места исписане на језицима националних мањина</w:t>
      </w:r>
      <w:r w:rsidR="00A74E3E">
        <w:rPr>
          <w:rFonts w:cs="Calibri"/>
          <w:sz w:val="24"/>
          <w:lang w:val="sr-Cyrl-RS"/>
        </w:rPr>
        <w:t>,</w:t>
      </w:r>
      <w:r w:rsidRPr="009307A4">
        <w:rPr>
          <w:rFonts w:cs="Calibri"/>
          <w:sz w:val="24"/>
          <w:lang w:val="sr-Cyrl-RS"/>
        </w:rPr>
        <w:t xml:space="preserve"> све су навеле да су такве табле исписане на свим језицима који су у службеној употреби. </w:t>
      </w:r>
      <w:r w:rsidR="004C2E0D">
        <w:rPr>
          <w:rFonts w:cs="Calibri"/>
          <w:sz w:val="24"/>
          <w:lang w:val="sr-Cyrl-RS"/>
        </w:rPr>
        <w:t>ЈЛС</w:t>
      </w:r>
      <w:r w:rsidRPr="009307A4">
        <w:rPr>
          <w:rFonts w:cs="Calibri"/>
          <w:sz w:val="24"/>
          <w:lang w:val="sr-Cyrl-RS"/>
        </w:rPr>
        <w:t xml:space="preserve"> које су одговориле да табле с називима насељених места нису исписане на језицима и писмима националних мањина који су у службеној употреби у упитнику су били понуђени одговори у погледу разлога таквог изостанка. </w:t>
      </w:r>
      <w:r w:rsidR="004C2E0D">
        <w:rPr>
          <w:rFonts w:cs="Calibri"/>
          <w:sz w:val="24"/>
          <w:lang w:val="sr-Cyrl-RS"/>
        </w:rPr>
        <w:t>ЈЛС</w:t>
      </w:r>
      <w:r w:rsidRPr="009307A4">
        <w:rPr>
          <w:rFonts w:cs="Calibri"/>
          <w:sz w:val="24"/>
          <w:lang w:val="sr-Cyrl-RS"/>
        </w:rPr>
        <w:t xml:space="preserve"> у којима табле с називима насељених места нису исписане на језицима националних мањина који су у службеној употреби, </w:t>
      </w:r>
      <w:r w:rsidR="00C73A86" w:rsidRPr="00C73A86">
        <w:rPr>
          <w:rFonts w:cs="Calibri"/>
          <w:sz w:val="24"/>
          <w:lang w:val="sr-Cyrl-RS"/>
        </w:rPr>
        <w:t xml:space="preserve">навеле </w:t>
      </w:r>
      <w:r w:rsidR="00C73A86">
        <w:rPr>
          <w:rFonts w:cs="Calibri"/>
          <w:sz w:val="24"/>
          <w:lang w:val="sr-Cyrl-RS"/>
        </w:rPr>
        <w:t xml:space="preserve">су </w:t>
      </w:r>
      <w:r w:rsidR="00C73A86" w:rsidRPr="00C73A86">
        <w:rPr>
          <w:rFonts w:cs="Calibri"/>
          <w:sz w:val="24"/>
          <w:lang w:val="sr-Cyrl-RS"/>
        </w:rPr>
        <w:t xml:space="preserve">различите разлоге таквог изостанка </w:t>
      </w:r>
      <w:r w:rsidR="00C73A86">
        <w:rPr>
          <w:rFonts w:cs="Calibri"/>
          <w:sz w:val="24"/>
          <w:lang w:val="sr-Cyrl-RS"/>
        </w:rPr>
        <w:t xml:space="preserve">– од помањкања </w:t>
      </w:r>
      <w:r w:rsidRPr="009307A4">
        <w:rPr>
          <w:rFonts w:cs="Calibri"/>
          <w:sz w:val="24"/>
          <w:lang w:val="sr-Cyrl-RS"/>
        </w:rPr>
        <w:t>финансијск</w:t>
      </w:r>
      <w:r w:rsidR="00C73A86">
        <w:rPr>
          <w:rFonts w:cs="Calibri"/>
          <w:sz w:val="24"/>
          <w:lang w:val="sr-Cyrl-RS"/>
        </w:rPr>
        <w:t>их</w:t>
      </w:r>
      <w:r w:rsidRPr="009307A4">
        <w:rPr>
          <w:rFonts w:cs="Calibri"/>
          <w:sz w:val="24"/>
          <w:lang w:val="sr-Cyrl-RS"/>
        </w:rPr>
        <w:t xml:space="preserve"> средст</w:t>
      </w:r>
      <w:r w:rsidR="00C73A86">
        <w:rPr>
          <w:rFonts w:cs="Calibri"/>
          <w:sz w:val="24"/>
          <w:lang w:val="sr-Cyrl-RS"/>
        </w:rPr>
        <w:t>а</w:t>
      </w:r>
      <w:r w:rsidRPr="009307A4">
        <w:rPr>
          <w:rFonts w:cs="Calibri"/>
          <w:sz w:val="24"/>
          <w:lang w:val="sr-Cyrl-RS"/>
        </w:rPr>
        <w:t xml:space="preserve">ва за те намене, </w:t>
      </w:r>
      <w:r w:rsidR="00C73A86">
        <w:rPr>
          <w:rFonts w:cs="Calibri"/>
          <w:sz w:val="24"/>
          <w:lang w:val="sr-Cyrl-RS"/>
        </w:rPr>
        <w:t>до</w:t>
      </w:r>
      <w:r w:rsidRPr="009307A4">
        <w:rPr>
          <w:rFonts w:cs="Calibri"/>
          <w:sz w:val="24"/>
          <w:lang w:val="sr-Cyrl-RS"/>
        </w:rPr>
        <w:t xml:space="preserve"> формулације да „већина назива насељених места на територији општине, посебно у руралном брдско-планинском подручју уопште није обележена“.</w:t>
      </w:r>
    </w:p>
    <w:p w:rsidR="006B0D37" w:rsidRDefault="00552342" w:rsidP="00B922D4">
      <w:pPr>
        <w:spacing w:after="0"/>
        <w:ind w:firstLine="720"/>
        <w:jc w:val="both"/>
        <w:rPr>
          <w:sz w:val="24"/>
          <w:szCs w:val="24"/>
          <w:lang w:val="sr-Cyrl-RS"/>
        </w:rPr>
      </w:pPr>
      <w:r>
        <w:rPr>
          <w:sz w:val="24"/>
          <w:szCs w:val="24"/>
          <w:lang w:val="sr-Cyrl-RS"/>
        </w:rPr>
        <w:t>И</w:t>
      </w:r>
      <w:r w:rsidR="00977386" w:rsidRPr="00977386">
        <w:rPr>
          <w:sz w:val="24"/>
          <w:szCs w:val="24"/>
          <w:lang w:val="sr-Cyrl-RS"/>
        </w:rPr>
        <w:t xml:space="preserve">страживање </w:t>
      </w:r>
      <w:r w:rsidR="00977386">
        <w:rPr>
          <w:sz w:val="24"/>
          <w:szCs w:val="24"/>
          <w:lang w:val="sr-Cyrl-RS"/>
        </w:rPr>
        <w:t>које је у 2020. години спроведено у сара</w:t>
      </w:r>
      <w:r w:rsidR="00C73A86">
        <w:rPr>
          <w:sz w:val="24"/>
          <w:szCs w:val="24"/>
          <w:lang w:val="sr-Cyrl-RS"/>
        </w:rPr>
        <w:t>д</w:t>
      </w:r>
      <w:r w:rsidR="00977386">
        <w:rPr>
          <w:sz w:val="24"/>
          <w:szCs w:val="24"/>
          <w:lang w:val="sr-Cyrl-RS"/>
        </w:rPr>
        <w:t xml:space="preserve">њи </w:t>
      </w:r>
      <w:r w:rsidR="00977386" w:rsidRPr="00977386">
        <w:rPr>
          <w:sz w:val="24"/>
          <w:szCs w:val="24"/>
          <w:lang w:val="sr-Cyrl-RS"/>
        </w:rPr>
        <w:t>Сталне конференције општина и градова и Шведске асоцијације локалних власти и региона</w:t>
      </w:r>
      <w:r w:rsidR="00C73A86">
        <w:rPr>
          <w:sz w:val="24"/>
          <w:szCs w:val="24"/>
          <w:lang w:val="sr-Cyrl-RS"/>
        </w:rPr>
        <w:t>,</w:t>
      </w:r>
      <w:r w:rsidR="00BF13E8">
        <w:rPr>
          <w:sz w:val="24"/>
          <w:szCs w:val="24"/>
          <w:lang w:val="sr-Cyrl-RS"/>
        </w:rPr>
        <w:t xml:space="preserve"> које је поменуто у одговору на препоруку 3. </w:t>
      </w:r>
      <w:r w:rsidR="00A74E3E">
        <w:rPr>
          <w:sz w:val="24"/>
          <w:szCs w:val="24"/>
          <w:lang w:val="sr-Cyrl-RS"/>
        </w:rPr>
        <w:t xml:space="preserve">из Резолуције </w:t>
      </w:r>
      <w:r w:rsidR="00BF13E8">
        <w:rPr>
          <w:sz w:val="24"/>
          <w:szCs w:val="24"/>
          <w:lang w:val="sr-Cyrl-RS"/>
        </w:rPr>
        <w:t xml:space="preserve">Комитета министара, </w:t>
      </w:r>
      <w:r w:rsidR="00C73A86">
        <w:rPr>
          <w:sz w:val="24"/>
          <w:szCs w:val="24"/>
          <w:lang w:val="sr-Cyrl-RS"/>
        </w:rPr>
        <w:t xml:space="preserve">односило </w:t>
      </w:r>
      <w:r w:rsidR="00BF13E8">
        <w:rPr>
          <w:sz w:val="24"/>
          <w:szCs w:val="24"/>
          <w:lang w:val="sr-Cyrl-RS"/>
        </w:rPr>
        <w:t xml:space="preserve">се </w:t>
      </w:r>
      <w:r w:rsidR="00C73A86">
        <w:rPr>
          <w:sz w:val="24"/>
          <w:szCs w:val="24"/>
          <w:lang w:val="sr-Cyrl-RS"/>
        </w:rPr>
        <w:t>и на службену употребу језика и писама,</w:t>
      </w:r>
      <w:r w:rsidR="00977386" w:rsidRPr="00977386">
        <w:rPr>
          <w:sz w:val="24"/>
          <w:szCs w:val="24"/>
          <w:lang w:val="sr-Cyrl-RS"/>
        </w:rPr>
        <w:t xml:space="preserve"> </w:t>
      </w:r>
      <w:r w:rsidR="00C73A86">
        <w:rPr>
          <w:sz w:val="24"/>
          <w:szCs w:val="24"/>
          <w:lang w:val="sr-Cyrl-RS"/>
        </w:rPr>
        <w:t>обухватило је</w:t>
      </w:r>
      <w:r w:rsidR="00977386" w:rsidRPr="00977386">
        <w:rPr>
          <w:sz w:val="24"/>
          <w:szCs w:val="24"/>
          <w:lang w:val="sr-Cyrl-RS"/>
        </w:rPr>
        <w:t xml:space="preserve"> 16 </w:t>
      </w:r>
      <w:r w:rsidR="004C2E0D">
        <w:rPr>
          <w:sz w:val="24"/>
          <w:szCs w:val="24"/>
          <w:lang w:val="sr-Cyrl-RS"/>
        </w:rPr>
        <w:t>ЈЛС</w:t>
      </w:r>
      <w:r w:rsidR="00C73A86">
        <w:rPr>
          <w:sz w:val="24"/>
          <w:szCs w:val="24"/>
          <w:lang w:val="sr-Cyrl-RS"/>
        </w:rPr>
        <w:t>.</w:t>
      </w:r>
      <w:r w:rsidR="00C73A86">
        <w:rPr>
          <w:rStyle w:val="FootnoteReference"/>
          <w:sz w:val="24"/>
          <w:szCs w:val="24"/>
          <w:lang w:val="sr-Cyrl-RS"/>
        </w:rPr>
        <w:footnoteReference w:id="99"/>
      </w:r>
      <w:r w:rsidR="00977386" w:rsidRPr="00977386">
        <w:rPr>
          <w:sz w:val="24"/>
          <w:szCs w:val="24"/>
          <w:lang w:val="sr-Cyrl-RS"/>
        </w:rPr>
        <w:t xml:space="preserve"> </w:t>
      </w:r>
      <w:r w:rsidR="004C2E0D" w:rsidRPr="006B0D37">
        <w:rPr>
          <w:sz w:val="24"/>
          <w:szCs w:val="24"/>
          <w:lang w:val="sr-Cyrl-RS"/>
        </w:rPr>
        <w:t xml:space="preserve">Међу наведеним општинама и градовима одговоре нису послале 4 ЈЛС, па је коначан узорак за анализу 12. </w:t>
      </w:r>
      <w:r w:rsidR="00421C25" w:rsidRPr="00421C25">
        <w:rPr>
          <w:sz w:val="24"/>
          <w:szCs w:val="24"/>
          <w:lang w:val="sr-Cyrl-RS"/>
        </w:rPr>
        <w:t xml:space="preserve">Од </w:t>
      </w:r>
      <w:r w:rsidR="004C2E0D">
        <w:rPr>
          <w:sz w:val="24"/>
          <w:szCs w:val="24"/>
          <w:lang w:val="sr-Cyrl-RS"/>
        </w:rPr>
        <w:t>12</w:t>
      </w:r>
      <w:r w:rsidR="00421C25" w:rsidRPr="00421C25">
        <w:rPr>
          <w:sz w:val="24"/>
          <w:szCs w:val="24"/>
          <w:lang w:val="sr-Cyrl-RS"/>
        </w:rPr>
        <w:t xml:space="preserve"> ЈЛС</w:t>
      </w:r>
      <w:r w:rsidR="004C2E0D">
        <w:rPr>
          <w:sz w:val="24"/>
          <w:szCs w:val="24"/>
          <w:lang w:val="sr-Cyrl-RS"/>
        </w:rPr>
        <w:t xml:space="preserve"> које су доставиле одговоре</w:t>
      </w:r>
      <w:r w:rsidR="00421C25" w:rsidRPr="00421C25">
        <w:rPr>
          <w:sz w:val="24"/>
          <w:szCs w:val="24"/>
          <w:lang w:val="sr-Cyrl-RS"/>
        </w:rPr>
        <w:t xml:space="preserve">, језици националних мањина су у службеној употреби </w:t>
      </w:r>
      <w:r w:rsidR="004C2E0D">
        <w:rPr>
          <w:sz w:val="24"/>
          <w:szCs w:val="24"/>
          <w:lang w:val="sr-Cyrl-RS"/>
        </w:rPr>
        <w:t>на целој територији 7 ЈЛС</w:t>
      </w:r>
      <w:r w:rsidR="00421C25" w:rsidRPr="00421C25">
        <w:rPr>
          <w:sz w:val="24"/>
          <w:szCs w:val="24"/>
          <w:lang w:val="sr-Cyrl-RS"/>
        </w:rPr>
        <w:t>, као и у неколико насељених места у 3 ЈЛС.</w:t>
      </w:r>
      <w:r w:rsidR="00421C25">
        <w:rPr>
          <w:sz w:val="24"/>
          <w:szCs w:val="24"/>
          <w:lang w:val="sr-Cyrl-RS"/>
        </w:rPr>
        <w:t xml:space="preserve"> </w:t>
      </w:r>
    </w:p>
    <w:p w:rsidR="00F65E0C" w:rsidRDefault="00F65E0C" w:rsidP="00B922D4">
      <w:pPr>
        <w:spacing w:after="0"/>
        <w:ind w:firstLine="720"/>
        <w:jc w:val="both"/>
        <w:rPr>
          <w:sz w:val="24"/>
          <w:szCs w:val="24"/>
          <w:lang w:val="sr-Cyrl-RS"/>
        </w:rPr>
      </w:pPr>
      <w:r w:rsidRPr="00977386">
        <w:rPr>
          <w:sz w:val="24"/>
          <w:szCs w:val="24"/>
          <w:lang w:val="sr-Cyrl-RS"/>
        </w:rPr>
        <w:t>Мере исписивања назива општине/града, насељених места, тргова и улица и других топонима на језицима националних мањина у службеној употреби, према њиховој традицији и правопису спров</w:t>
      </w:r>
      <w:r w:rsidR="006B0D37">
        <w:rPr>
          <w:sz w:val="24"/>
          <w:szCs w:val="24"/>
          <w:lang w:val="sr-Cyrl-RS"/>
        </w:rPr>
        <w:t>е</w:t>
      </w:r>
      <w:r w:rsidRPr="00977386">
        <w:rPr>
          <w:sz w:val="24"/>
          <w:szCs w:val="24"/>
          <w:lang w:val="sr-Cyrl-RS"/>
        </w:rPr>
        <w:t xml:space="preserve">ло је 5 ЈЛС из узорка, док су исту меру у </w:t>
      </w:r>
      <w:r w:rsidR="00B922D4">
        <w:rPr>
          <w:sz w:val="24"/>
          <w:szCs w:val="24"/>
          <w:lang w:val="sr-Cyrl-RS"/>
        </w:rPr>
        <w:t xml:space="preserve">појединим </w:t>
      </w:r>
      <w:r w:rsidRPr="00977386">
        <w:rPr>
          <w:sz w:val="24"/>
          <w:szCs w:val="24"/>
          <w:lang w:val="sr-Cyrl-RS"/>
        </w:rPr>
        <w:t xml:space="preserve">насељеним местима </w:t>
      </w:r>
      <w:r w:rsidR="00B922D4">
        <w:rPr>
          <w:sz w:val="24"/>
          <w:szCs w:val="24"/>
          <w:lang w:val="sr-Cyrl-RS"/>
        </w:rPr>
        <w:t xml:space="preserve">на својој територији </w:t>
      </w:r>
      <w:r w:rsidRPr="00977386">
        <w:rPr>
          <w:sz w:val="24"/>
          <w:szCs w:val="24"/>
          <w:lang w:val="sr-Cyrl-RS"/>
        </w:rPr>
        <w:t>спров</w:t>
      </w:r>
      <w:r w:rsidR="00453FB2">
        <w:rPr>
          <w:sz w:val="24"/>
          <w:szCs w:val="24"/>
          <w:lang w:val="sr-Cyrl-RS"/>
        </w:rPr>
        <w:t>е</w:t>
      </w:r>
      <w:r w:rsidRPr="00977386">
        <w:rPr>
          <w:sz w:val="24"/>
          <w:szCs w:val="24"/>
          <w:lang w:val="sr-Cyrl-RS"/>
        </w:rPr>
        <w:t>ле 4 ЈЛС</w:t>
      </w:r>
      <w:r w:rsidR="00453FB2">
        <w:rPr>
          <w:sz w:val="24"/>
          <w:szCs w:val="24"/>
          <w:lang w:val="sr-Cyrl-RS"/>
        </w:rPr>
        <w:t>.</w:t>
      </w:r>
    </w:p>
    <w:p w:rsidR="00F65E0C" w:rsidRDefault="006B0D37" w:rsidP="00B922D4">
      <w:pPr>
        <w:spacing w:after="0"/>
        <w:ind w:firstLine="720"/>
        <w:jc w:val="both"/>
        <w:rPr>
          <w:sz w:val="24"/>
          <w:szCs w:val="24"/>
          <w:lang w:val="sr-Cyrl-RS"/>
        </w:rPr>
      </w:pPr>
      <w:r>
        <w:rPr>
          <w:sz w:val="24"/>
          <w:szCs w:val="24"/>
          <w:lang w:val="sr-Cyrl-RS"/>
        </w:rPr>
        <w:t>У овом истраживању</w:t>
      </w:r>
      <w:r w:rsidR="00BF13E8">
        <w:rPr>
          <w:sz w:val="24"/>
          <w:szCs w:val="24"/>
          <w:lang w:val="sr-Cyrl-RS"/>
        </w:rPr>
        <w:t>,</w:t>
      </w:r>
      <w:r>
        <w:rPr>
          <w:sz w:val="24"/>
          <w:szCs w:val="24"/>
          <w:lang w:val="sr-Cyrl-RS"/>
        </w:rPr>
        <w:t xml:space="preserve"> на основу испитаног узорка</w:t>
      </w:r>
      <w:r w:rsidR="00BF13E8">
        <w:rPr>
          <w:sz w:val="24"/>
          <w:szCs w:val="24"/>
          <w:lang w:val="sr-Cyrl-RS"/>
        </w:rPr>
        <w:t>,</w:t>
      </w:r>
      <w:r w:rsidR="00421C25" w:rsidRPr="00421C25">
        <w:rPr>
          <w:sz w:val="24"/>
          <w:szCs w:val="24"/>
          <w:lang w:val="sr-Cyrl-RS"/>
        </w:rPr>
        <w:t xml:space="preserve"> закључује</w:t>
      </w:r>
      <w:r w:rsidR="00BF13E8">
        <w:rPr>
          <w:sz w:val="24"/>
          <w:szCs w:val="24"/>
          <w:lang w:val="sr-Cyrl-RS"/>
        </w:rPr>
        <w:t xml:space="preserve"> се</w:t>
      </w:r>
      <w:r w:rsidR="00421C25" w:rsidRPr="00421C25">
        <w:rPr>
          <w:sz w:val="24"/>
          <w:szCs w:val="24"/>
          <w:lang w:val="sr-Cyrl-RS"/>
        </w:rPr>
        <w:t xml:space="preserve"> </w:t>
      </w:r>
      <w:r w:rsidRPr="006B0D37">
        <w:rPr>
          <w:sz w:val="24"/>
          <w:szCs w:val="24"/>
          <w:lang w:val="sr-Cyrl-RS"/>
        </w:rPr>
        <w:t>да се</w:t>
      </w:r>
      <w:r w:rsidR="00421C25">
        <w:rPr>
          <w:sz w:val="24"/>
          <w:szCs w:val="24"/>
          <w:lang w:val="sr-Cyrl-RS"/>
        </w:rPr>
        <w:t xml:space="preserve"> </w:t>
      </w:r>
      <w:r w:rsidRPr="006B0D37">
        <w:rPr>
          <w:sz w:val="24"/>
          <w:szCs w:val="24"/>
          <w:lang w:val="sr-Cyrl-RS"/>
        </w:rPr>
        <w:t xml:space="preserve">постављају топографски називи </w:t>
      </w:r>
      <w:r>
        <w:rPr>
          <w:sz w:val="24"/>
          <w:szCs w:val="24"/>
          <w:lang w:val="sr-Cyrl-RS"/>
        </w:rPr>
        <w:t>и</w:t>
      </w:r>
      <w:r w:rsidRPr="006B0D37">
        <w:rPr>
          <w:sz w:val="24"/>
          <w:szCs w:val="24"/>
          <w:lang w:val="sr-Cyrl-RS"/>
        </w:rPr>
        <w:t xml:space="preserve"> на</w:t>
      </w:r>
      <w:r>
        <w:rPr>
          <w:sz w:val="24"/>
          <w:szCs w:val="24"/>
          <w:lang w:val="sr-Cyrl-RS"/>
        </w:rPr>
        <w:t>зиви улица у насељеним местима, а нижи</w:t>
      </w:r>
      <w:r w:rsidRPr="006B0D37">
        <w:rPr>
          <w:sz w:val="24"/>
          <w:szCs w:val="24"/>
          <w:lang w:val="sr-Cyrl-RS"/>
        </w:rPr>
        <w:t xml:space="preserve"> ниво заштите права је уочен у погледу вишејезичних</w:t>
      </w:r>
      <w:r>
        <w:rPr>
          <w:sz w:val="24"/>
          <w:szCs w:val="24"/>
          <w:lang w:val="sr-Cyrl-RS"/>
        </w:rPr>
        <w:t xml:space="preserve"> </w:t>
      </w:r>
      <w:r w:rsidRPr="006B0D37">
        <w:rPr>
          <w:sz w:val="24"/>
          <w:szCs w:val="24"/>
          <w:lang w:val="sr-Cyrl-RS"/>
        </w:rPr>
        <w:t>обавештења грађанима да имају право на службену употребу језика.</w:t>
      </w:r>
    </w:p>
    <w:p w:rsidR="002A1AA5" w:rsidRPr="008D203C" w:rsidRDefault="002A1AA5" w:rsidP="002A1AA5">
      <w:pPr>
        <w:spacing w:after="0"/>
        <w:ind w:firstLine="720"/>
        <w:jc w:val="both"/>
        <w:rPr>
          <w:sz w:val="24"/>
          <w:szCs w:val="24"/>
          <w:lang w:val="sr-Cyrl-RS"/>
        </w:rPr>
      </w:pPr>
      <w:r w:rsidRPr="008D203C">
        <w:rPr>
          <w:sz w:val="24"/>
          <w:szCs w:val="24"/>
          <w:lang w:val="sr-Cyrl-RS"/>
        </w:rPr>
        <w:t>Ради сагледавања стања у погледу исписаности и означавања назива насељених места, на таблама/саобраћајним зна</w:t>
      </w:r>
      <w:r w:rsidR="004C2E0D" w:rsidRPr="008D203C">
        <w:rPr>
          <w:sz w:val="24"/>
          <w:szCs w:val="24"/>
          <w:lang w:val="sr-Cyrl-RS"/>
        </w:rPr>
        <w:t xml:space="preserve">ковима Назив насељеног места </w:t>
      </w:r>
      <w:r w:rsidRPr="008D203C">
        <w:rPr>
          <w:sz w:val="24"/>
          <w:szCs w:val="24"/>
          <w:lang w:val="sr-Cyrl-RS"/>
        </w:rPr>
        <w:t>(III- 23)  –</w:t>
      </w:r>
      <w:r w:rsidR="004C2E0D" w:rsidRPr="008D203C">
        <w:rPr>
          <w:sz w:val="24"/>
          <w:szCs w:val="24"/>
          <w:lang w:val="sr-Cyrl-RS"/>
        </w:rPr>
        <w:t xml:space="preserve"> улаз у насељено место и </w:t>
      </w:r>
      <w:r w:rsidRPr="008D203C">
        <w:rPr>
          <w:sz w:val="24"/>
          <w:szCs w:val="24"/>
          <w:lang w:val="sr-Cyrl-RS"/>
        </w:rPr>
        <w:t xml:space="preserve">Завшетак насељеног места (III- 23.1) – излаз из насељеног места на језицима националних мањина који су у службеној употреби, као и због потреба планирања редовних инспекцијских надзора у области службене употребе језика и </w:t>
      </w:r>
      <w:r w:rsidRPr="008D203C">
        <w:rPr>
          <w:sz w:val="24"/>
          <w:szCs w:val="24"/>
          <w:lang w:val="sr-Cyrl-RS"/>
        </w:rPr>
        <w:lastRenderedPageBreak/>
        <w:t>писама и планирања буџетских средстава, Покрајински секретаријат за образовање, прописе, управу и националне мањине – националне заједнице је доставио свим ЈЛС на територији АП</w:t>
      </w:r>
      <w:r w:rsidR="004C2E0D" w:rsidRPr="008D203C">
        <w:rPr>
          <w:sz w:val="24"/>
          <w:szCs w:val="24"/>
          <w:lang w:val="sr-Cyrl-RS"/>
        </w:rPr>
        <w:t xml:space="preserve"> </w:t>
      </w:r>
      <w:r w:rsidRPr="008D203C">
        <w:rPr>
          <w:sz w:val="24"/>
          <w:szCs w:val="24"/>
          <w:lang w:val="sr-Cyrl-RS"/>
        </w:rPr>
        <w:t>В</w:t>
      </w:r>
      <w:r w:rsidR="004C2E0D" w:rsidRPr="008D203C">
        <w:rPr>
          <w:sz w:val="24"/>
          <w:szCs w:val="24"/>
          <w:lang w:val="sr-Cyrl-RS"/>
        </w:rPr>
        <w:t>ојводине</w:t>
      </w:r>
      <w:r w:rsidRPr="008D203C">
        <w:rPr>
          <w:sz w:val="24"/>
          <w:szCs w:val="24"/>
          <w:lang w:val="sr-Cyrl-RS"/>
        </w:rPr>
        <w:t xml:space="preserve"> упитнике у којима је било потребно попунити податке о постојању/непостојању таквих знакова, разлог</w:t>
      </w:r>
      <w:r w:rsidR="00A74E3E" w:rsidRPr="008D203C">
        <w:rPr>
          <w:sz w:val="24"/>
          <w:szCs w:val="24"/>
          <w:lang w:val="sr-Cyrl-RS"/>
        </w:rPr>
        <w:t>е</w:t>
      </w:r>
      <w:r w:rsidRPr="008D203C">
        <w:rPr>
          <w:sz w:val="24"/>
          <w:szCs w:val="24"/>
          <w:lang w:val="sr-Cyrl-RS"/>
        </w:rPr>
        <w:t xml:space="preserve"> за непостојање и приложити фотодокуметацију наведних знакова. Од 45 ЈЛС на територији АП</w:t>
      </w:r>
      <w:r w:rsidR="004C2E0D" w:rsidRPr="008D203C">
        <w:rPr>
          <w:sz w:val="24"/>
          <w:szCs w:val="24"/>
          <w:lang w:val="sr-Cyrl-RS"/>
        </w:rPr>
        <w:t xml:space="preserve"> </w:t>
      </w:r>
      <w:r w:rsidRPr="008D203C">
        <w:rPr>
          <w:sz w:val="24"/>
          <w:szCs w:val="24"/>
          <w:lang w:val="sr-Cyrl-RS"/>
        </w:rPr>
        <w:t>В</w:t>
      </w:r>
      <w:r w:rsidR="004C2E0D" w:rsidRPr="008D203C">
        <w:rPr>
          <w:sz w:val="24"/>
          <w:szCs w:val="24"/>
          <w:lang w:val="sr-Cyrl-RS"/>
        </w:rPr>
        <w:t>ојводине</w:t>
      </w:r>
      <w:r w:rsidRPr="008D203C">
        <w:rPr>
          <w:sz w:val="24"/>
          <w:szCs w:val="24"/>
          <w:lang w:val="sr-Cyrl-RS"/>
        </w:rPr>
        <w:t>, 42 ЈЛС су одговориле и доставиле попуњени упитни</w:t>
      </w:r>
      <w:r w:rsidR="007F77C4" w:rsidRPr="008D203C">
        <w:rPr>
          <w:sz w:val="24"/>
          <w:szCs w:val="24"/>
          <w:lang w:val="sr-Cyrl-RS"/>
        </w:rPr>
        <w:t>к</w:t>
      </w:r>
      <w:r w:rsidRPr="008D203C">
        <w:rPr>
          <w:sz w:val="24"/>
          <w:szCs w:val="24"/>
          <w:lang w:val="sr-Cyrl-RS"/>
        </w:rPr>
        <w:t>, а само 3 нису доставиле попуњени упитник.</w:t>
      </w:r>
    </w:p>
    <w:p w:rsidR="00A74E3E" w:rsidRPr="008D203C" w:rsidRDefault="00A74E3E" w:rsidP="00A74E3E">
      <w:pPr>
        <w:spacing w:after="0"/>
        <w:ind w:firstLine="720"/>
        <w:jc w:val="both"/>
        <w:rPr>
          <w:sz w:val="24"/>
          <w:szCs w:val="24"/>
          <w:lang w:val="sr-Cyrl-RS"/>
        </w:rPr>
      </w:pPr>
      <w:r w:rsidRPr="008D203C">
        <w:rPr>
          <w:sz w:val="24"/>
          <w:szCs w:val="24"/>
          <w:lang w:val="sr-Cyrl-RS"/>
        </w:rPr>
        <w:t>У погледу табли на улазима у насељено место, од укупно 389 евидентираних насељених места у упитнику, табл</w:t>
      </w:r>
      <w:r w:rsidR="004C2E0D" w:rsidRPr="008D203C">
        <w:rPr>
          <w:sz w:val="24"/>
          <w:szCs w:val="24"/>
          <w:lang w:val="sr-Cyrl-RS"/>
        </w:rPr>
        <w:t>е</w:t>
      </w:r>
      <w:r w:rsidRPr="008D203C">
        <w:rPr>
          <w:sz w:val="24"/>
          <w:szCs w:val="24"/>
          <w:lang w:val="sr-Cyrl-RS"/>
        </w:rPr>
        <w:t xml:space="preserve"> са исписаним називима на свим језицима у службеној употреби постој</w:t>
      </w:r>
      <w:r w:rsidR="004C2E0D" w:rsidRPr="008D203C">
        <w:rPr>
          <w:sz w:val="24"/>
          <w:szCs w:val="24"/>
          <w:lang w:val="sr-Cyrl-RS"/>
        </w:rPr>
        <w:t>е</w:t>
      </w:r>
      <w:r w:rsidRPr="008D203C">
        <w:rPr>
          <w:sz w:val="24"/>
          <w:szCs w:val="24"/>
          <w:lang w:val="sr-Cyrl-RS"/>
        </w:rPr>
        <w:t xml:space="preserve"> код 217 насељених места (58 %), а код 172 насељен</w:t>
      </w:r>
      <w:r w:rsidR="004C2E0D" w:rsidRPr="008D203C">
        <w:rPr>
          <w:sz w:val="24"/>
          <w:szCs w:val="24"/>
          <w:lang w:val="sr-Cyrl-RS"/>
        </w:rPr>
        <w:t>а</w:t>
      </w:r>
      <w:r w:rsidRPr="008D203C">
        <w:rPr>
          <w:sz w:val="24"/>
          <w:szCs w:val="24"/>
          <w:lang w:val="sr-Cyrl-RS"/>
        </w:rPr>
        <w:t xml:space="preserve"> места (42%) не постоје табле са исписаним називима на свим језицима у службеној употреби. У погледу табли на излазима из насељених места, од укупно 389 насељених места, табл</w:t>
      </w:r>
      <w:r w:rsidR="004C2E0D" w:rsidRPr="008D203C">
        <w:rPr>
          <w:sz w:val="24"/>
          <w:szCs w:val="24"/>
          <w:lang w:val="sr-Cyrl-RS"/>
        </w:rPr>
        <w:t>е</w:t>
      </w:r>
      <w:r w:rsidRPr="008D203C">
        <w:rPr>
          <w:sz w:val="24"/>
          <w:szCs w:val="24"/>
          <w:lang w:val="sr-Cyrl-RS"/>
        </w:rPr>
        <w:t xml:space="preserve"> са исписаним називима на свим језицима у сл</w:t>
      </w:r>
      <w:r w:rsidR="004C2E0D" w:rsidRPr="008D203C">
        <w:rPr>
          <w:sz w:val="24"/>
          <w:szCs w:val="24"/>
          <w:lang w:val="sr-Cyrl-RS"/>
        </w:rPr>
        <w:t>ужбеној</w:t>
      </w:r>
      <w:r w:rsidRPr="008D203C">
        <w:rPr>
          <w:sz w:val="24"/>
          <w:szCs w:val="24"/>
          <w:lang w:val="sr-Cyrl-RS"/>
        </w:rPr>
        <w:t xml:space="preserve"> употреби постој</w:t>
      </w:r>
      <w:r w:rsidR="004C2E0D" w:rsidRPr="008D203C">
        <w:rPr>
          <w:sz w:val="24"/>
          <w:szCs w:val="24"/>
          <w:lang w:val="sr-Cyrl-RS"/>
        </w:rPr>
        <w:t>е</w:t>
      </w:r>
      <w:r w:rsidRPr="008D203C">
        <w:rPr>
          <w:sz w:val="24"/>
          <w:szCs w:val="24"/>
          <w:lang w:val="sr-Cyrl-RS"/>
        </w:rPr>
        <w:t xml:space="preserve"> код 174 насељен</w:t>
      </w:r>
      <w:r w:rsidR="004C2E0D" w:rsidRPr="008D203C">
        <w:rPr>
          <w:sz w:val="24"/>
          <w:szCs w:val="24"/>
          <w:lang w:val="sr-Cyrl-RS"/>
        </w:rPr>
        <w:t xml:space="preserve">а </w:t>
      </w:r>
      <w:r w:rsidRPr="008D203C">
        <w:rPr>
          <w:sz w:val="24"/>
          <w:szCs w:val="24"/>
          <w:lang w:val="sr-Cyrl-RS"/>
        </w:rPr>
        <w:t xml:space="preserve">места (45 %), а код 215 насељених места (55 %) не постоје табле са исписаним називима на свим језицима у службеној употреби. Треба напоменути да код </w:t>
      </w:r>
      <w:r w:rsidR="0015427C" w:rsidRPr="008D203C">
        <w:rPr>
          <w:sz w:val="24"/>
          <w:szCs w:val="24"/>
          <w:lang w:val="sr-Cyrl-RS"/>
        </w:rPr>
        <w:t>појединих</w:t>
      </w:r>
      <w:r w:rsidRPr="008D203C">
        <w:rPr>
          <w:sz w:val="24"/>
          <w:szCs w:val="24"/>
          <w:lang w:val="sr-Cyrl-RS"/>
        </w:rPr>
        <w:t xml:space="preserve"> </w:t>
      </w:r>
      <w:r w:rsidR="004C2E0D" w:rsidRPr="008D203C">
        <w:rPr>
          <w:sz w:val="24"/>
          <w:szCs w:val="24"/>
          <w:lang w:val="sr-Cyrl-RS"/>
        </w:rPr>
        <w:t>ЈЛС</w:t>
      </w:r>
      <w:r w:rsidRPr="008D203C">
        <w:rPr>
          <w:sz w:val="24"/>
          <w:szCs w:val="24"/>
          <w:lang w:val="sr-Cyrl-RS"/>
        </w:rPr>
        <w:t xml:space="preserve">, односно насељених места у тим </w:t>
      </w:r>
      <w:r w:rsidR="004C2E0D" w:rsidRPr="008D203C">
        <w:rPr>
          <w:sz w:val="24"/>
          <w:szCs w:val="24"/>
          <w:lang w:val="sr-Cyrl-RS"/>
        </w:rPr>
        <w:t>ЈЛС</w:t>
      </w:r>
      <w:r w:rsidRPr="008D203C">
        <w:rPr>
          <w:sz w:val="24"/>
          <w:szCs w:val="24"/>
          <w:lang w:val="sr-Cyrl-RS"/>
        </w:rPr>
        <w:t xml:space="preserve">, ни не постоји обавеза исписивања назива на језицима националних мањина у свим насељеним местима, пошто су ти језици уведени у службену употребу само на делу територије </w:t>
      </w:r>
      <w:r w:rsidR="004C2E0D" w:rsidRPr="008D203C">
        <w:rPr>
          <w:sz w:val="24"/>
          <w:szCs w:val="24"/>
          <w:lang w:val="sr-Cyrl-RS"/>
        </w:rPr>
        <w:t>ЈЛС</w:t>
      </w:r>
      <w:r w:rsidRPr="008D203C">
        <w:rPr>
          <w:sz w:val="24"/>
          <w:szCs w:val="24"/>
          <w:lang w:val="sr-Cyrl-RS"/>
        </w:rPr>
        <w:t>.</w:t>
      </w:r>
    </w:p>
    <w:p w:rsidR="00A74E3E" w:rsidRPr="008D203C" w:rsidRDefault="00A74E3E" w:rsidP="00A74E3E">
      <w:pPr>
        <w:spacing w:after="0"/>
        <w:ind w:firstLine="720"/>
        <w:jc w:val="both"/>
        <w:rPr>
          <w:sz w:val="24"/>
          <w:szCs w:val="24"/>
          <w:lang w:val="sr-Cyrl-RS"/>
        </w:rPr>
      </w:pPr>
      <w:r w:rsidRPr="008D203C">
        <w:rPr>
          <w:sz w:val="24"/>
          <w:szCs w:val="24"/>
          <w:lang w:val="sr-Cyrl-RS"/>
        </w:rPr>
        <w:t>Код оних насељених места где табле (улазне/излазне) са називима насељених места постоје на свим јез</w:t>
      </w:r>
      <w:r w:rsidR="0015427C" w:rsidRPr="008D203C">
        <w:rPr>
          <w:sz w:val="24"/>
          <w:szCs w:val="24"/>
          <w:lang w:val="sr-Cyrl-RS"/>
        </w:rPr>
        <w:t>ицима</w:t>
      </w:r>
      <w:r w:rsidRPr="008D203C">
        <w:rPr>
          <w:sz w:val="24"/>
          <w:szCs w:val="24"/>
          <w:lang w:val="sr-Cyrl-RS"/>
        </w:rPr>
        <w:t xml:space="preserve"> у сл</w:t>
      </w:r>
      <w:r w:rsidR="0015427C" w:rsidRPr="008D203C">
        <w:rPr>
          <w:sz w:val="24"/>
          <w:szCs w:val="24"/>
          <w:lang w:val="sr-Cyrl-RS"/>
        </w:rPr>
        <w:t>ужбеној</w:t>
      </w:r>
      <w:r w:rsidRPr="008D203C">
        <w:rPr>
          <w:sz w:val="24"/>
          <w:szCs w:val="24"/>
          <w:lang w:val="sr-Cyrl-RS"/>
        </w:rPr>
        <w:t xml:space="preserve"> употреби, уочљиво је да само код  око 25%  тих насељених места табле са називима на свим јез</w:t>
      </w:r>
      <w:r w:rsidR="0015427C" w:rsidRPr="008D203C">
        <w:rPr>
          <w:sz w:val="24"/>
          <w:szCs w:val="24"/>
          <w:lang w:val="sr-Cyrl-RS"/>
        </w:rPr>
        <w:t>ицима</w:t>
      </w:r>
      <w:r w:rsidRPr="008D203C">
        <w:rPr>
          <w:sz w:val="24"/>
          <w:szCs w:val="24"/>
          <w:lang w:val="sr-Cyrl-RS"/>
        </w:rPr>
        <w:t xml:space="preserve"> у сл</w:t>
      </w:r>
      <w:r w:rsidR="0015427C" w:rsidRPr="008D203C">
        <w:rPr>
          <w:sz w:val="24"/>
          <w:szCs w:val="24"/>
          <w:lang w:val="sr-Cyrl-RS"/>
        </w:rPr>
        <w:t>ужбеној</w:t>
      </w:r>
      <w:r w:rsidRPr="008D203C">
        <w:rPr>
          <w:sz w:val="24"/>
          <w:szCs w:val="24"/>
          <w:lang w:val="sr-Cyrl-RS"/>
        </w:rPr>
        <w:t xml:space="preserve"> употреби постоје на свим путним правцима, односно свим улазима и излазима из насељених места. </w:t>
      </w:r>
      <w:r w:rsidR="0015427C" w:rsidRPr="008D203C">
        <w:rPr>
          <w:sz w:val="24"/>
          <w:szCs w:val="24"/>
          <w:lang w:val="sr-Cyrl-RS"/>
        </w:rPr>
        <w:t xml:space="preserve">У осталим случајевима табле </w:t>
      </w:r>
      <w:r w:rsidRPr="008D203C">
        <w:rPr>
          <w:sz w:val="24"/>
          <w:szCs w:val="24"/>
          <w:lang w:val="sr-Cyrl-RS"/>
        </w:rPr>
        <w:t xml:space="preserve">су постављене претежно на главним путним правцима, односно државним путевима за чије је одржавање и постављање саобраћајне сигнализације задужено ЈП „Путеви Србије“, а ређе су табле </w:t>
      </w:r>
      <w:r w:rsidR="0015427C" w:rsidRPr="008D203C">
        <w:rPr>
          <w:sz w:val="24"/>
          <w:szCs w:val="24"/>
          <w:lang w:val="sr-Cyrl-RS"/>
        </w:rPr>
        <w:t xml:space="preserve">које су </w:t>
      </w:r>
      <w:r w:rsidRPr="008D203C">
        <w:rPr>
          <w:sz w:val="24"/>
          <w:szCs w:val="24"/>
          <w:lang w:val="sr-Cyrl-RS"/>
        </w:rPr>
        <w:t>постављене и на локалним путевима, за чије је одржавање и постављање саобраћајне сигнализације задужено одређено локално јавно предузеће.</w:t>
      </w:r>
    </w:p>
    <w:p w:rsidR="002A1AA5" w:rsidRPr="008D203C" w:rsidRDefault="002A1AA5" w:rsidP="002A1AA5">
      <w:pPr>
        <w:spacing w:after="0"/>
        <w:ind w:firstLine="720"/>
        <w:jc w:val="both"/>
        <w:rPr>
          <w:sz w:val="24"/>
          <w:szCs w:val="24"/>
          <w:lang w:val="sr-Cyrl-RS"/>
        </w:rPr>
      </w:pPr>
      <w:r w:rsidRPr="008D203C">
        <w:rPr>
          <w:sz w:val="24"/>
          <w:szCs w:val="24"/>
          <w:lang w:val="sr-Cyrl-RS"/>
        </w:rPr>
        <w:t xml:space="preserve">Током 2018. године Секретаријат је успоставио успешну сарадњу са ЈП „Путеви Србије“, Сектором за одржавање државних путева I и II реда - </w:t>
      </w:r>
      <w:r w:rsidR="004C2E0D" w:rsidRPr="008D203C">
        <w:rPr>
          <w:sz w:val="24"/>
          <w:szCs w:val="24"/>
          <w:lang w:val="sr-Cyrl-RS"/>
        </w:rPr>
        <w:t>О</w:t>
      </w:r>
      <w:r w:rsidRPr="008D203C">
        <w:rPr>
          <w:sz w:val="24"/>
          <w:szCs w:val="24"/>
          <w:lang w:val="sr-Cyrl-RS"/>
        </w:rPr>
        <w:t>дељење одржавања и заштите путева Нови Сад</w:t>
      </w:r>
      <w:r w:rsidR="008D203C" w:rsidRPr="008D203C">
        <w:rPr>
          <w:sz w:val="24"/>
          <w:szCs w:val="24"/>
          <w:lang w:val="sr-Cyrl-RS"/>
        </w:rPr>
        <w:t>,</w:t>
      </w:r>
      <w:r w:rsidRPr="008D203C">
        <w:rPr>
          <w:sz w:val="24"/>
          <w:szCs w:val="24"/>
          <w:lang w:val="sr-Cyrl-RS"/>
        </w:rPr>
        <w:t xml:space="preserve"> у погледу питања службене употребе језика и писама на саобраћајним знаковима. Поводом учесталих обраћања и притужби од стране више националних савета националних мањина у вези са уклањањем старих и постављањ</w:t>
      </w:r>
      <w:r w:rsidR="00777C59" w:rsidRPr="008D203C">
        <w:rPr>
          <w:sz w:val="24"/>
          <w:szCs w:val="24"/>
          <w:lang w:val="sr-Cyrl-RS"/>
        </w:rPr>
        <w:t>ем</w:t>
      </w:r>
      <w:r w:rsidRPr="008D203C">
        <w:rPr>
          <w:sz w:val="24"/>
          <w:szCs w:val="24"/>
          <w:lang w:val="sr-Cyrl-RS"/>
        </w:rPr>
        <w:t xml:space="preserve"> нових табли са називима насељених места, Секретаријат је указао да је у одређеним случајевима постављање нових табли извршено супротно прописима којима се регулише службена употреба језика и писма. У одређеним насељеним местима, приликом замене табли на државним путевима, по налогу ЈП „Путеви Србије“, означавање назива насељеног места је извршено без узимања у обзир и правилне примене статута одређених градова и општина  у смислу да на таблама које означавају насељено место није исписан назив места на свим језицима који су статутима општина/градова у службеној употреби на територији одређене </w:t>
      </w:r>
      <w:r w:rsidR="008D203C" w:rsidRPr="008D203C">
        <w:rPr>
          <w:sz w:val="24"/>
          <w:szCs w:val="24"/>
          <w:lang w:val="sr-Cyrl-RS"/>
        </w:rPr>
        <w:t>ЈЛС</w:t>
      </w:r>
      <w:r w:rsidRPr="008D203C">
        <w:rPr>
          <w:sz w:val="24"/>
          <w:szCs w:val="24"/>
          <w:lang w:val="sr-Cyrl-RS"/>
        </w:rPr>
        <w:t xml:space="preserve">. Секретаријат је тражио од ЈП „Путева Србије“ да предузме све неопходне мере и да постави, у што краћем року, нове табле у складу са статутима </w:t>
      </w:r>
      <w:r w:rsidR="008D203C" w:rsidRPr="008D203C">
        <w:rPr>
          <w:sz w:val="24"/>
          <w:szCs w:val="24"/>
          <w:lang w:val="sr-Cyrl-RS"/>
        </w:rPr>
        <w:t>ЈЛС</w:t>
      </w:r>
      <w:r w:rsidRPr="008D203C">
        <w:rPr>
          <w:sz w:val="24"/>
          <w:szCs w:val="24"/>
          <w:lang w:val="sr-Cyrl-RS"/>
        </w:rPr>
        <w:t xml:space="preserve"> и прописима који се односе на службену употребу језика националних мањина, као и да о предузетим мерама обавести Секретаријат. </w:t>
      </w:r>
      <w:r w:rsidR="00A971A9" w:rsidRPr="008D203C">
        <w:rPr>
          <w:sz w:val="24"/>
          <w:szCs w:val="24"/>
          <w:lang w:val="sr-Cyrl-RS"/>
        </w:rPr>
        <w:t xml:space="preserve">ЈП „Путеви Србије“ је након ове интервенције Секретаријата започело с </w:t>
      </w:r>
      <w:r w:rsidR="00A971A9" w:rsidRPr="008D203C">
        <w:rPr>
          <w:sz w:val="24"/>
          <w:szCs w:val="24"/>
          <w:lang w:val="sr-Cyrl-RS"/>
        </w:rPr>
        <w:lastRenderedPageBreak/>
        <w:t>променема табли</w:t>
      </w:r>
      <w:r w:rsidR="00777C59" w:rsidRPr="008D203C">
        <w:rPr>
          <w:sz w:val="24"/>
          <w:szCs w:val="24"/>
          <w:lang w:val="sr-Cyrl-RS"/>
        </w:rPr>
        <w:t>, те су заједничким радом Секретаријата и ЈП „Путеви Србије“ горенаведени проценти и бројеви постављених табли кориговани у позитивном смислу.</w:t>
      </w:r>
    </w:p>
    <w:p w:rsidR="00777C59" w:rsidRPr="008D203C" w:rsidRDefault="00777C59" w:rsidP="002A1AA5">
      <w:pPr>
        <w:spacing w:after="0"/>
        <w:ind w:firstLine="720"/>
        <w:jc w:val="both"/>
        <w:rPr>
          <w:sz w:val="24"/>
          <w:szCs w:val="24"/>
          <w:lang w:val="sr-Cyrl-RS"/>
        </w:rPr>
      </w:pPr>
      <w:r w:rsidRPr="008D203C">
        <w:rPr>
          <w:sz w:val="24"/>
          <w:szCs w:val="24"/>
          <w:lang w:val="sr-Cyrl-RS"/>
        </w:rPr>
        <w:t xml:space="preserve">Непотпуно исписивање табли на свим језицима који су уведени у службену употребу, поред осталих раније поменутих разлога, резултат је и чињенице да неки национални савети нису утврдили традиционалне називе за сва насељена места у одређеним </w:t>
      </w:r>
      <w:r w:rsidR="008D203C" w:rsidRPr="008D203C">
        <w:rPr>
          <w:sz w:val="24"/>
          <w:szCs w:val="24"/>
          <w:lang w:val="sr-Cyrl-RS"/>
        </w:rPr>
        <w:t>ЈЛС</w:t>
      </w:r>
      <w:r w:rsidRPr="008D203C">
        <w:rPr>
          <w:sz w:val="24"/>
          <w:szCs w:val="24"/>
          <w:lang w:val="sr-Cyrl-RS"/>
        </w:rPr>
        <w:t xml:space="preserve"> у којима је језик њихове мањине уведен у службену употребу, већ су традиционалне називе утврдили само за места у којима у претежном проценту живе припадници те националне мањине (нпр. Национални савет румунске националне мањине је за општину Бела Црква утврдио традиционалне називе само за места Гребенац и Бела Црква, иако је румунски језик и писмо у службеној употреби на целој територији те општине).</w:t>
      </w:r>
    </w:p>
    <w:p w:rsidR="002A1AA5" w:rsidRDefault="00777C59" w:rsidP="002A1AA5">
      <w:pPr>
        <w:spacing w:after="0"/>
        <w:ind w:firstLine="720"/>
        <w:jc w:val="both"/>
        <w:rPr>
          <w:sz w:val="24"/>
          <w:szCs w:val="24"/>
          <w:lang w:val="sr-Cyrl-RS"/>
        </w:rPr>
      </w:pPr>
      <w:r w:rsidRPr="008D203C">
        <w:rPr>
          <w:sz w:val="24"/>
          <w:szCs w:val="24"/>
          <w:lang w:val="sr-Cyrl-RS"/>
        </w:rPr>
        <w:t>С тим у вези</w:t>
      </w:r>
      <w:r w:rsidR="002A1AA5" w:rsidRPr="008D203C">
        <w:rPr>
          <w:sz w:val="24"/>
          <w:szCs w:val="24"/>
          <w:lang w:val="sr-Cyrl-RS"/>
        </w:rPr>
        <w:t xml:space="preserve">, </w:t>
      </w:r>
      <w:r w:rsidRPr="008D203C">
        <w:rPr>
          <w:sz w:val="24"/>
          <w:szCs w:val="24"/>
          <w:lang w:val="sr-Cyrl-RS"/>
        </w:rPr>
        <w:t>С</w:t>
      </w:r>
      <w:r w:rsidR="002A1AA5" w:rsidRPr="008D203C">
        <w:rPr>
          <w:sz w:val="24"/>
          <w:szCs w:val="24"/>
          <w:lang w:val="sr-Cyrl-RS"/>
        </w:rPr>
        <w:t xml:space="preserve">екретаријат </w:t>
      </w:r>
      <w:r w:rsidRPr="008D203C">
        <w:rPr>
          <w:sz w:val="24"/>
          <w:szCs w:val="24"/>
          <w:lang w:val="sr-Cyrl-RS"/>
        </w:rPr>
        <w:t>је</w:t>
      </w:r>
      <w:r w:rsidR="002A1AA5" w:rsidRPr="008D203C">
        <w:rPr>
          <w:sz w:val="24"/>
          <w:szCs w:val="24"/>
          <w:lang w:val="sr-Cyrl-RS"/>
        </w:rPr>
        <w:t xml:space="preserve"> путем инспекције за службену употребу језика и писма упутио свим националним саветима националних мањина који имају своје језике уведене у службену употребу на територији </w:t>
      </w:r>
      <w:r w:rsidRPr="008D203C">
        <w:rPr>
          <w:sz w:val="24"/>
          <w:szCs w:val="24"/>
          <w:lang w:val="sr-Cyrl-RS"/>
        </w:rPr>
        <w:t>АП</w:t>
      </w:r>
      <w:r w:rsidR="002A1AA5" w:rsidRPr="008D203C">
        <w:rPr>
          <w:sz w:val="24"/>
          <w:szCs w:val="24"/>
          <w:lang w:val="sr-Cyrl-RS"/>
        </w:rPr>
        <w:t xml:space="preserve"> Војводине допис којим их подсећа на потребу потпуног и свеобухватног утврђивања традиционалних назива насељених места на њиховом језику.</w:t>
      </w:r>
      <w:r w:rsidR="002A1AA5" w:rsidRPr="002A1AA5">
        <w:rPr>
          <w:sz w:val="24"/>
          <w:szCs w:val="24"/>
          <w:lang w:val="sr-Cyrl-RS"/>
        </w:rPr>
        <w:t xml:space="preserve"> </w:t>
      </w:r>
    </w:p>
    <w:p w:rsidR="00FA2562" w:rsidRPr="00AF4E96" w:rsidRDefault="00FA2562" w:rsidP="00FA2562">
      <w:pPr>
        <w:spacing w:after="0"/>
        <w:ind w:firstLine="720"/>
        <w:jc w:val="both"/>
        <w:rPr>
          <w:sz w:val="24"/>
          <w:szCs w:val="24"/>
          <w:lang w:val="sr-Cyrl-RS"/>
        </w:rPr>
      </w:pPr>
      <w:r w:rsidRPr="00AF4E96">
        <w:rPr>
          <w:rFonts w:eastAsia="SimSun"/>
          <w:sz w:val="24"/>
          <w:szCs w:val="24"/>
          <w:lang w:val="sr-Cyrl-RS" w:eastAsia="zh-CN"/>
        </w:rPr>
        <w:t xml:space="preserve">У </w:t>
      </w:r>
      <w:r w:rsidR="00BF13E8">
        <w:rPr>
          <w:rFonts w:eastAsia="SimSun"/>
          <w:sz w:val="24"/>
          <w:szCs w:val="24"/>
          <w:lang w:val="sr-Cyrl-RS" w:eastAsia="zh-CN"/>
        </w:rPr>
        <w:t xml:space="preserve">циљу унапређења приказивања </w:t>
      </w:r>
      <w:r w:rsidR="00BF13E8" w:rsidRPr="00BF13E8">
        <w:rPr>
          <w:rFonts w:eastAsia="SimSun"/>
          <w:sz w:val="24"/>
          <w:szCs w:val="24"/>
          <w:lang w:val="sr-Cyrl-RS" w:eastAsia="zh-CN"/>
        </w:rPr>
        <w:t>топографских ознака на одговарајућем језику или језицима мањина</w:t>
      </w:r>
      <w:r w:rsidR="00BF13E8">
        <w:rPr>
          <w:rFonts w:eastAsia="SimSun"/>
          <w:sz w:val="24"/>
          <w:szCs w:val="24"/>
          <w:lang w:val="sr-Cyrl-RS" w:eastAsia="zh-CN"/>
        </w:rPr>
        <w:t>, Покрајински секретаријат за</w:t>
      </w:r>
      <w:r w:rsidR="00BF13E8" w:rsidRPr="00BF13E8">
        <w:rPr>
          <w:rFonts w:eastAsia="SimSun"/>
          <w:sz w:val="24"/>
          <w:szCs w:val="24"/>
          <w:lang w:val="sr-Cyrl-RS" w:eastAsia="zh-CN"/>
        </w:rPr>
        <w:t xml:space="preserve"> образовање, прописе, управу и националне мањине – националне заједнице</w:t>
      </w:r>
      <w:r w:rsidR="00BF13E8">
        <w:rPr>
          <w:rFonts w:eastAsia="SimSun"/>
          <w:sz w:val="24"/>
          <w:szCs w:val="24"/>
          <w:lang w:val="sr-Cyrl-RS" w:eastAsia="zh-CN"/>
        </w:rPr>
        <w:t xml:space="preserve"> АП Војводине редовно расписује </w:t>
      </w:r>
      <w:r w:rsidR="00BF13E8" w:rsidRPr="00BF13E8">
        <w:rPr>
          <w:rFonts w:eastAsia="SimSun"/>
          <w:sz w:val="24"/>
          <w:szCs w:val="24"/>
          <w:lang w:val="sr-Cyrl-RS" w:eastAsia="zh-CN"/>
        </w:rPr>
        <w:t xml:space="preserve"> </w:t>
      </w:r>
      <w:r w:rsidRPr="00AF4E96">
        <w:rPr>
          <w:rFonts w:eastAsia="SimSun"/>
          <w:sz w:val="24"/>
          <w:szCs w:val="24"/>
          <w:lang w:val="sr-Cyrl-RS" w:eastAsia="zh-CN"/>
        </w:rPr>
        <w:t>к</w:t>
      </w:r>
      <w:r w:rsidRPr="00AF4E96">
        <w:rPr>
          <w:sz w:val="24"/>
          <w:szCs w:val="24"/>
          <w:shd w:val="clear" w:color="auto" w:fill="FFFFFF"/>
          <w:lang w:val="sr-Cyrl-RS"/>
        </w:rPr>
        <w:t>онкурс</w:t>
      </w:r>
      <w:r w:rsidR="00BF13E8">
        <w:rPr>
          <w:sz w:val="24"/>
          <w:szCs w:val="24"/>
          <w:shd w:val="clear" w:color="auto" w:fill="FFFFFF"/>
          <w:lang w:val="sr-Cyrl-RS"/>
        </w:rPr>
        <w:t>е</w:t>
      </w:r>
      <w:r w:rsidRPr="00AF4E96">
        <w:rPr>
          <w:sz w:val="24"/>
          <w:szCs w:val="24"/>
          <w:shd w:val="clear" w:color="auto" w:fill="FFFFFF"/>
          <w:lang w:val="sr-Cyrl-RS"/>
        </w:rPr>
        <w:t xml:space="preserve"> за расподелу буџетских средстава органима и организацијама на територију АП Војводине у чијем раду су у службеној употреби језици и писма националних мањина</w:t>
      </w:r>
      <w:r w:rsidR="00BF13E8">
        <w:rPr>
          <w:sz w:val="24"/>
          <w:szCs w:val="24"/>
          <w:shd w:val="clear" w:color="auto" w:fill="FFFFFF"/>
          <w:lang w:val="sr-Cyrl-RS"/>
        </w:rPr>
        <w:t>.</w:t>
      </w:r>
      <w:r w:rsidRPr="00AF4E96">
        <w:rPr>
          <w:sz w:val="24"/>
          <w:szCs w:val="24"/>
          <w:shd w:val="clear" w:color="auto" w:fill="FFFFFF"/>
          <w:lang w:val="sr-Cyrl-RS"/>
        </w:rPr>
        <w:t xml:space="preserve"> </w:t>
      </w:r>
      <w:r w:rsidR="00BF13E8">
        <w:rPr>
          <w:sz w:val="24"/>
          <w:szCs w:val="24"/>
          <w:shd w:val="clear" w:color="auto" w:fill="FFFFFF"/>
          <w:lang w:val="sr-Cyrl-RS"/>
        </w:rPr>
        <w:t>На конкурсима се,</w:t>
      </w:r>
      <w:r>
        <w:rPr>
          <w:sz w:val="24"/>
          <w:szCs w:val="24"/>
          <w:shd w:val="clear" w:color="auto" w:fill="FFFFFF"/>
          <w:lang w:val="sr-Cyrl-RS"/>
        </w:rPr>
        <w:t xml:space="preserve"> између осталог,</w:t>
      </w:r>
      <w:r w:rsidRPr="00AF4E96">
        <w:rPr>
          <w:sz w:val="24"/>
          <w:szCs w:val="24"/>
          <w:shd w:val="clear" w:color="auto" w:fill="FFFFFF"/>
          <w:lang w:val="sr-Cyrl-RS"/>
        </w:rPr>
        <w:t xml:space="preserve"> </w:t>
      </w:r>
      <w:r w:rsidRPr="00AF4E96">
        <w:rPr>
          <w:rFonts w:eastAsia="SimSun"/>
          <w:sz w:val="24"/>
          <w:szCs w:val="24"/>
          <w:lang w:val="sr-Cyrl-RS" w:eastAsia="zh-CN"/>
        </w:rPr>
        <w:t>додељуј</w:t>
      </w:r>
      <w:r w:rsidR="00BF13E8">
        <w:rPr>
          <w:rFonts w:eastAsia="SimSun"/>
          <w:sz w:val="24"/>
          <w:szCs w:val="24"/>
          <w:lang w:val="sr-Cyrl-RS" w:eastAsia="zh-CN"/>
        </w:rPr>
        <w:t>у</w:t>
      </w:r>
      <w:r w:rsidRPr="00AF4E96">
        <w:rPr>
          <w:rFonts w:eastAsia="SimSun"/>
          <w:sz w:val="24"/>
          <w:szCs w:val="24"/>
          <w:lang w:val="sr-Cyrl-RS" w:eastAsia="zh-CN"/>
        </w:rPr>
        <w:t xml:space="preserve"> </w:t>
      </w:r>
      <w:r>
        <w:rPr>
          <w:rFonts w:eastAsia="SimSun"/>
          <w:sz w:val="24"/>
          <w:szCs w:val="24"/>
          <w:lang w:val="sr-Cyrl-RS" w:eastAsia="zh-CN"/>
        </w:rPr>
        <w:t xml:space="preserve">и </w:t>
      </w:r>
      <w:r w:rsidRPr="00AF4E96">
        <w:rPr>
          <w:rFonts w:eastAsia="SimSun"/>
          <w:sz w:val="24"/>
          <w:szCs w:val="24"/>
          <w:lang w:val="sr-Cyrl-RS" w:eastAsia="zh-CN"/>
        </w:rPr>
        <w:t>средства</w:t>
      </w:r>
      <w:r w:rsidRPr="00AF4E96">
        <w:rPr>
          <w:sz w:val="24"/>
          <w:szCs w:val="24"/>
          <w:shd w:val="clear" w:color="auto" w:fill="FFFFFF"/>
          <w:lang w:val="sr-Cyrl-RS"/>
        </w:rPr>
        <w:t xml:space="preserve"> за израду вишејезичких </w:t>
      </w:r>
      <w:r w:rsidRPr="00AF4E96">
        <w:rPr>
          <w:sz w:val="24"/>
          <w:szCs w:val="24"/>
          <w:lang w:val="sr-Cyrl-RS"/>
        </w:rPr>
        <w:t>табли с називима органа и организација, насељених места и називима улица и сл</w:t>
      </w:r>
      <w:r w:rsidRPr="00AF4E96">
        <w:rPr>
          <w:sz w:val="24"/>
          <w:szCs w:val="24"/>
          <w:shd w:val="clear" w:color="auto" w:fill="FFFFFF"/>
          <w:lang w:val="sr-Cyrl-RS"/>
        </w:rPr>
        <w:t xml:space="preserve">. </w:t>
      </w:r>
      <w:r w:rsidRPr="00AF4E96">
        <w:rPr>
          <w:color w:val="000000"/>
          <w:sz w:val="24"/>
          <w:szCs w:val="24"/>
          <w:lang w:val="sr-Cyrl-RS"/>
        </w:rPr>
        <w:t xml:space="preserve">Информације о средствима која су на овим конкурсима додељена за постављање табли с </w:t>
      </w:r>
      <w:r w:rsidRPr="00AF4E96">
        <w:rPr>
          <w:sz w:val="24"/>
          <w:szCs w:val="24"/>
          <w:lang w:val="sr-Cyrl-RS"/>
        </w:rPr>
        <w:t>називима органа и организација, насељених места и називима улица садржане су у доњој табели.</w:t>
      </w:r>
    </w:p>
    <w:p w:rsidR="00FA2562" w:rsidRPr="00BB0334" w:rsidRDefault="00FA2562" w:rsidP="00FA2562">
      <w:pPr>
        <w:spacing w:after="0"/>
        <w:ind w:firstLine="720"/>
        <w:jc w:val="both"/>
        <w:rPr>
          <w:i/>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693"/>
        <w:gridCol w:w="2847"/>
      </w:tblGrid>
      <w:tr w:rsidR="00FA2562" w:rsidRPr="00491D5A" w:rsidTr="0072368C">
        <w:trPr>
          <w:trHeight w:val="236"/>
        </w:trPr>
        <w:tc>
          <w:tcPr>
            <w:tcW w:w="8654" w:type="dxa"/>
            <w:gridSpan w:val="3"/>
            <w:shd w:val="clear" w:color="auto" w:fill="auto"/>
          </w:tcPr>
          <w:p w:rsidR="00FA2562" w:rsidRDefault="00FA2562" w:rsidP="0072368C">
            <w:pPr>
              <w:spacing w:after="0" w:line="240" w:lineRule="auto"/>
              <w:jc w:val="center"/>
              <w:rPr>
                <w:sz w:val="20"/>
                <w:szCs w:val="20"/>
              </w:rPr>
            </w:pPr>
            <w:r w:rsidRPr="00F65041">
              <w:rPr>
                <w:sz w:val="20"/>
                <w:szCs w:val="20"/>
                <w:lang w:val="sr-Cyrl-RS"/>
              </w:rPr>
              <w:t>Трошкови израде и постављања вишејезичних табли</w:t>
            </w:r>
          </w:p>
        </w:tc>
      </w:tr>
      <w:tr w:rsidR="00FA2562" w:rsidRPr="00491D5A" w:rsidTr="0072368C">
        <w:trPr>
          <w:trHeight w:val="236"/>
        </w:trPr>
        <w:tc>
          <w:tcPr>
            <w:tcW w:w="3114" w:type="dxa"/>
            <w:shd w:val="clear" w:color="auto" w:fill="auto"/>
          </w:tcPr>
          <w:p w:rsidR="00FA2562" w:rsidRPr="00F65041" w:rsidRDefault="00FA2562" w:rsidP="0072368C">
            <w:pPr>
              <w:spacing w:after="0" w:line="240" w:lineRule="auto"/>
              <w:jc w:val="center"/>
              <w:rPr>
                <w:sz w:val="20"/>
                <w:szCs w:val="20"/>
                <w:lang w:val="sr-Cyrl-RS"/>
              </w:rPr>
            </w:pPr>
            <w:r>
              <w:rPr>
                <w:sz w:val="20"/>
                <w:szCs w:val="20"/>
                <w:lang w:val="sr-Cyrl-RS"/>
              </w:rPr>
              <w:t>Година</w:t>
            </w:r>
          </w:p>
        </w:tc>
        <w:tc>
          <w:tcPr>
            <w:tcW w:w="2693" w:type="dxa"/>
            <w:shd w:val="clear" w:color="auto" w:fill="auto"/>
          </w:tcPr>
          <w:p w:rsidR="00FA2562" w:rsidRPr="00F65041" w:rsidRDefault="00FA2562" w:rsidP="0072368C">
            <w:pPr>
              <w:spacing w:after="0" w:line="240" w:lineRule="auto"/>
              <w:jc w:val="center"/>
              <w:rPr>
                <w:sz w:val="20"/>
                <w:szCs w:val="20"/>
                <w:lang w:val="sr-Cyrl-RS"/>
              </w:rPr>
            </w:pPr>
            <w:r>
              <w:rPr>
                <w:sz w:val="20"/>
                <w:szCs w:val="20"/>
                <w:lang w:val="sr-Cyrl-RS"/>
              </w:rPr>
              <w:t>Број подржаних пројеката</w:t>
            </w:r>
          </w:p>
        </w:tc>
        <w:tc>
          <w:tcPr>
            <w:tcW w:w="2847" w:type="dxa"/>
            <w:shd w:val="clear" w:color="auto" w:fill="auto"/>
          </w:tcPr>
          <w:p w:rsidR="00FA2562" w:rsidRPr="00F65041" w:rsidRDefault="00FA2562" w:rsidP="0072368C">
            <w:pPr>
              <w:spacing w:after="0" w:line="240" w:lineRule="auto"/>
              <w:jc w:val="center"/>
              <w:rPr>
                <w:sz w:val="20"/>
                <w:szCs w:val="20"/>
                <w:lang w:val="sr-Cyrl-RS"/>
              </w:rPr>
            </w:pPr>
            <w:r>
              <w:rPr>
                <w:sz w:val="20"/>
                <w:szCs w:val="20"/>
                <w:lang w:val="sr-Cyrl-RS"/>
              </w:rPr>
              <w:t>Износ средстава</w:t>
            </w:r>
          </w:p>
        </w:tc>
      </w:tr>
      <w:tr w:rsidR="00FA2562" w:rsidRPr="00491D5A" w:rsidTr="0072368C">
        <w:trPr>
          <w:trHeight w:val="236"/>
        </w:trPr>
        <w:tc>
          <w:tcPr>
            <w:tcW w:w="3114" w:type="dxa"/>
            <w:shd w:val="clear" w:color="auto" w:fill="auto"/>
          </w:tcPr>
          <w:p w:rsidR="00FA2562" w:rsidRDefault="00FA2562" w:rsidP="0072368C">
            <w:pPr>
              <w:spacing w:after="0" w:line="240" w:lineRule="auto"/>
              <w:rPr>
                <w:sz w:val="20"/>
                <w:szCs w:val="20"/>
                <w:lang w:val="sr-Cyrl-RS"/>
              </w:rPr>
            </w:pPr>
            <w:r>
              <w:rPr>
                <w:sz w:val="20"/>
                <w:szCs w:val="20"/>
                <w:lang w:val="sr-Cyrl-RS"/>
              </w:rPr>
              <w:t>2017.</w:t>
            </w:r>
          </w:p>
        </w:tc>
        <w:tc>
          <w:tcPr>
            <w:tcW w:w="2693" w:type="dxa"/>
            <w:shd w:val="clear" w:color="auto" w:fill="auto"/>
          </w:tcPr>
          <w:p w:rsidR="00FA2562" w:rsidRDefault="00FA2562" w:rsidP="0072368C">
            <w:pPr>
              <w:spacing w:after="0" w:line="240" w:lineRule="auto"/>
              <w:jc w:val="right"/>
              <w:rPr>
                <w:sz w:val="20"/>
                <w:szCs w:val="20"/>
                <w:lang w:val="sr-Cyrl-RS"/>
              </w:rPr>
            </w:pPr>
            <w:r>
              <w:rPr>
                <w:sz w:val="20"/>
                <w:szCs w:val="20"/>
                <w:lang w:val="sr-Cyrl-RS"/>
              </w:rPr>
              <w:t>57</w:t>
            </w:r>
          </w:p>
        </w:tc>
        <w:tc>
          <w:tcPr>
            <w:tcW w:w="2847" w:type="dxa"/>
            <w:shd w:val="clear" w:color="auto" w:fill="auto"/>
          </w:tcPr>
          <w:p w:rsidR="00FA2562" w:rsidRDefault="00FA2562" w:rsidP="0072368C">
            <w:pPr>
              <w:spacing w:after="0" w:line="240" w:lineRule="auto"/>
              <w:jc w:val="right"/>
              <w:rPr>
                <w:sz w:val="20"/>
                <w:szCs w:val="20"/>
                <w:lang w:val="sr-Cyrl-RS"/>
              </w:rPr>
            </w:pPr>
            <w:r>
              <w:rPr>
                <w:sz w:val="20"/>
                <w:szCs w:val="20"/>
                <w:lang w:val="sr-Cyrl-RS"/>
              </w:rPr>
              <w:t>6</w:t>
            </w:r>
            <w:r w:rsidRPr="0075623D">
              <w:rPr>
                <w:sz w:val="20"/>
                <w:szCs w:val="20"/>
                <w:lang w:val="sr-Cyrl-RS"/>
              </w:rPr>
              <w:t>.</w:t>
            </w:r>
            <w:r>
              <w:rPr>
                <w:sz w:val="20"/>
                <w:szCs w:val="20"/>
                <w:lang w:val="sr-Cyrl-RS"/>
              </w:rPr>
              <w:t>834</w:t>
            </w:r>
            <w:r w:rsidRPr="0075623D">
              <w:rPr>
                <w:sz w:val="20"/>
                <w:szCs w:val="20"/>
                <w:lang w:val="sr-Cyrl-RS"/>
              </w:rPr>
              <w:t>.000,00</w:t>
            </w:r>
          </w:p>
        </w:tc>
      </w:tr>
      <w:tr w:rsidR="00FA2562" w:rsidRPr="00491D5A" w:rsidTr="0072368C">
        <w:trPr>
          <w:trHeight w:val="236"/>
        </w:trPr>
        <w:tc>
          <w:tcPr>
            <w:tcW w:w="3114" w:type="dxa"/>
            <w:shd w:val="clear" w:color="auto" w:fill="auto"/>
          </w:tcPr>
          <w:p w:rsidR="00FA2562" w:rsidRPr="00F65041" w:rsidRDefault="00FA2562" w:rsidP="0072368C">
            <w:pPr>
              <w:spacing w:after="0" w:line="240" w:lineRule="auto"/>
              <w:rPr>
                <w:sz w:val="20"/>
                <w:szCs w:val="20"/>
                <w:highlight w:val="yellow"/>
                <w:lang w:val="sr-Cyrl-RS"/>
              </w:rPr>
            </w:pPr>
            <w:r w:rsidRPr="00F65041">
              <w:rPr>
                <w:sz w:val="20"/>
                <w:szCs w:val="20"/>
                <w:lang w:val="sr-Cyrl-RS"/>
              </w:rPr>
              <w:t>2018</w:t>
            </w:r>
            <w:r>
              <w:rPr>
                <w:sz w:val="20"/>
                <w:szCs w:val="20"/>
                <w:lang w:val="sr-Cyrl-RS"/>
              </w:rPr>
              <w:t>.</w:t>
            </w:r>
          </w:p>
        </w:tc>
        <w:tc>
          <w:tcPr>
            <w:tcW w:w="2693" w:type="dxa"/>
            <w:shd w:val="clear" w:color="auto" w:fill="auto"/>
          </w:tcPr>
          <w:p w:rsidR="00FA2562" w:rsidRPr="00F65041" w:rsidRDefault="00FA2562" w:rsidP="0072368C">
            <w:pPr>
              <w:spacing w:after="0" w:line="240" w:lineRule="auto"/>
              <w:jc w:val="right"/>
              <w:rPr>
                <w:sz w:val="20"/>
                <w:szCs w:val="20"/>
              </w:rPr>
            </w:pPr>
            <w:r w:rsidRPr="00F65041">
              <w:rPr>
                <w:sz w:val="20"/>
                <w:szCs w:val="20"/>
              </w:rPr>
              <w:t>62</w:t>
            </w:r>
          </w:p>
        </w:tc>
        <w:tc>
          <w:tcPr>
            <w:tcW w:w="2847" w:type="dxa"/>
            <w:shd w:val="clear" w:color="auto" w:fill="auto"/>
          </w:tcPr>
          <w:p w:rsidR="00FA2562" w:rsidRPr="00F65041" w:rsidRDefault="00FA2562" w:rsidP="0072368C">
            <w:pPr>
              <w:spacing w:after="0" w:line="240" w:lineRule="auto"/>
              <w:jc w:val="right"/>
              <w:rPr>
                <w:sz w:val="20"/>
                <w:szCs w:val="20"/>
              </w:rPr>
            </w:pPr>
            <w:r w:rsidRPr="00F65041">
              <w:rPr>
                <w:sz w:val="20"/>
                <w:szCs w:val="20"/>
              </w:rPr>
              <w:t>7.117.000,00</w:t>
            </w:r>
          </w:p>
        </w:tc>
      </w:tr>
      <w:tr w:rsidR="00FA2562" w:rsidRPr="00491D5A" w:rsidTr="0072368C">
        <w:trPr>
          <w:trHeight w:val="236"/>
        </w:trPr>
        <w:tc>
          <w:tcPr>
            <w:tcW w:w="3114" w:type="dxa"/>
            <w:shd w:val="clear" w:color="auto" w:fill="auto"/>
          </w:tcPr>
          <w:p w:rsidR="00FA2562" w:rsidRPr="00F65041" w:rsidRDefault="00FA2562" w:rsidP="0072368C">
            <w:pPr>
              <w:spacing w:after="0" w:line="240" w:lineRule="auto"/>
              <w:rPr>
                <w:sz w:val="20"/>
                <w:szCs w:val="20"/>
                <w:highlight w:val="yellow"/>
                <w:lang w:val="sr-Cyrl-RS"/>
              </w:rPr>
            </w:pPr>
            <w:r w:rsidRPr="00F65041">
              <w:rPr>
                <w:sz w:val="20"/>
                <w:szCs w:val="20"/>
                <w:lang w:val="sr-Cyrl-RS"/>
              </w:rPr>
              <w:t>2019</w:t>
            </w:r>
            <w:r>
              <w:rPr>
                <w:sz w:val="20"/>
                <w:szCs w:val="20"/>
                <w:lang w:val="sr-Cyrl-RS"/>
              </w:rPr>
              <w:t>.</w:t>
            </w:r>
          </w:p>
        </w:tc>
        <w:tc>
          <w:tcPr>
            <w:tcW w:w="2693" w:type="dxa"/>
            <w:shd w:val="clear" w:color="auto" w:fill="auto"/>
          </w:tcPr>
          <w:p w:rsidR="00FA2562" w:rsidRPr="00F65041" w:rsidRDefault="00FA2562" w:rsidP="0072368C">
            <w:pPr>
              <w:spacing w:after="0" w:line="240" w:lineRule="auto"/>
              <w:jc w:val="right"/>
              <w:rPr>
                <w:sz w:val="20"/>
                <w:szCs w:val="20"/>
              </w:rPr>
            </w:pPr>
            <w:r w:rsidRPr="00F65041">
              <w:rPr>
                <w:sz w:val="20"/>
                <w:szCs w:val="20"/>
              </w:rPr>
              <w:t>44</w:t>
            </w:r>
          </w:p>
        </w:tc>
        <w:tc>
          <w:tcPr>
            <w:tcW w:w="2847" w:type="dxa"/>
            <w:shd w:val="clear" w:color="auto" w:fill="auto"/>
          </w:tcPr>
          <w:p w:rsidR="00FA2562" w:rsidRPr="00F65041" w:rsidRDefault="00FA2562" w:rsidP="0072368C">
            <w:pPr>
              <w:spacing w:after="0" w:line="240" w:lineRule="auto"/>
              <w:jc w:val="right"/>
              <w:rPr>
                <w:sz w:val="20"/>
                <w:szCs w:val="20"/>
              </w:rPr>
            </w:pPr>
            <w:r w:rsidRPr="00F65041">
              <w:rPr>
                <w:sz w:val="20"/>
                <w:szCs w:val="20"/>
              </w:rPr>
              <w:t>5.573.000,00</w:t>
            </w:r>
          </w:p>
        </w:tc>
      </w:tr>
      <w:tr w:rsidR="00FA2562" w:rsidRPr="00491D5A" w:rsidTr="0072368C">
        <w:trPr>
          <w:trHeight w:val="125"/>
        </w:trPr>
        <w:tc>
          <w:tcPr>
            <w:tcW w:w="3114" w:type="dxa"/>
            <w:shd w:val="clear" w:color="auto" w:fill="auto"/>
          </w:tcPr>
          <w:p w:rsidR="00FA2562" w:rsidRPr="00F65041" w:rsidRDefault="00FA2562" w:rsidP="0072368C">
            <w:pPr>
              <w:spacing w:after="0" w:line="240" w:lineRule="auto"/>
              <w:rPr>
                <w:sz w:val="20"/>
                <w:szCs w:val="20"/>
                <w:lang w:val="sr-Cyrl-RS"/>
              </w:rPr>
            </w:pPr>
            <w:r w:rsidRPr="00F65041">
              <w:rPr>
                <w:sz w:val="20"/>
                <w:szCs w:val="20"/>
                <w:lang w:val="sr-Cyrl-RS"/>
              </w:rPr>
              <w:t>2020</w:t>
            </w:r>
            <w:r>
              <w:rPr>
                <w:sz w:val="20"/>
                <w:szCs w:val="20"/>
                <w:lang w:val="sr-Cyrl-RS"/>
              </w:rPr>
              <w:t>.</w:t>
            </w:r>
          </w:p>
        </w:tc>
        <w:tc>
          <w:tcPr>
            <w:tcW w:w="2693" w:type="dxa"/>
            <w:shd w:val="clear" w:color="auto" w:fill="auto"/>
          </w:tcPr>
          <w:p w:rsidR="00FA2562" w:rsidRPr="00F65041" w:rsidRDefault="00FA2562" w:rsidP="0072368C">
            <w:pPr>
              <w:spacing w:after="0" w:line="240" w:lineRule="auto"/>
              <w:jc w:val="right"/>
              <w:rPr>
                <w:sz w:val="20"/>
                <w:szCs w:val="20"/>
              </w:rPr>
            </w:pPr>
            <w:r w:rsidRPr="00F65041">
              <w:rPr>
                <w:sz w:val="20"/>
                <w:szCs w:val="20"/>
              </w:rPr>
              <w:t>48</w:t>
            </w:r>
          </w:p>
        </w:tc>
        <w:tc>
          <w:tcPr>
            <w:tcW w:w="2847" w:type="dxa"/>
            <w:shd w:val="clear" w:color="auto" w:fill="auto"/>
          </w:tcPr>
          <w:p w:rsidR="00FA2562" w:rsidRPr="00F65041" w:rsidRDefault="00FA2562" w:rsidP="0072368C">
            <w:pPr>
              <w:spacing w:after="0" w:line="240" w:lineRule="auto"/>
              <w:jc w:val="right"/>
              <w:rPr>
                <w:sz w:val="20"/>
                <w:szCs w:val="20"/>
              </w:rPr>
            </w:pPr>
            <w:r w:rsidRPr="00F65041">
              <w:rPr>
                <w:sz w:val="20"/>
                <w:szCs w:val="20"/>
              </w:rPr>
              <w:t>6.937.000,00</w:t>
            </w:r>
          </w:p>
        </w:tc>
      </w:tr>
      <w:tr w:rsidR="00FA2562" w:rsidRPr="00491D5A" w:rsidTr="0072368C">
        <w:trPr>
          <w:trHeight w:val="42"/>
        </w:trPr>
        <w:tc>
          <w:tcPr>
            <w:tcW w:w="3114" w:type="dxa"/>
            <w:shd w:val="clear" w:color="auto" w:fill="auto"/>
          </w:tcPr>
          <w:p w:rsidR="00FA2562" w:rsidRPr="0075623D" w:rsidRDefault="00FA2562" w:rsidP="0072368C">
            <w:pPr>
              <w:spacing w:after="0" w:line="240" w:lineRule="auto"/>
              <w:rPr>
                <w:sz w:val="20"/>
                <w:szCs w:val="20"/>
                <w:lang w:val="sr-Cyrl-RS"/>
              </w:rPr>
            </w:pPr>
            <w:r w:rsidRPr="00F65041">
              <w:rPr>
                <w:sz w:val="20"/>
                <w:szCs w:val="20"/>
              </w:rPr>
              <w:t>2021</w:t>
            </w:r>
            <w:r>
              <w:rPr>
                <w:sz w:val="20"/>
                <w:szCs w:val="20"/>
                <w:lang w:val="sr-Cyrl-RS"/>
              </w:rPr>
              <w:t>.</w:t>
            </w:r>
          </w:p>
        </w:tc>
        <w:tc>
          <w:tcPr>
            <w:tcW w:w="2693" w:type="dxa"/>
            <w:shd w:val="clear" w:color="auto" w:fill="auto"/>
          </w:tcPr>
          <w:p w:rsidR="00FA2562" w:rsidRPr="00F65041" w:rsidRDefault="00FA2562" w:rsidP="0072368C">
            <w:pPr>
              <w:spacing w:after="0" w:line="240" w:lineRule="auto"/>
              <w:jc w:val="right"/>
              <w:rPr>
                <w:sz w:val="20"/>
                <w:szCs w:val="20"/>
                <w:lang w:val="sr-Cyrl-RS"/>
              </w:rPr>
            </w:pPr>
            <w:r>
              <w:rPr>
                <w:sz w:val="20"/>
                <w:szCs w:val="20"/>
                <w:lang w:val="sr-Cyrl-RS"/>
              </w:rPr>
              <w:t>62</w:t>
            </w:r>
          </w:p>
        </w:tc>
        <w:tc>
          <w:tcPr>
            <w:tcW w:w="2847" w:type="dxa"/>
            <w:shd w:val="clear" w:color="auto" w:fill="auto"/>
          </w:tcPr>
          <w:p w:rsidR="00FA2562" w:rsidRPr="00F65041" w:rsidRDefault="00FA2562" w:rsidP="0072368C">
            <w:pPr>
              <w:spacing w:after="0" w:line="240" w:lineRule="auto"/>
              <w:jc w:val="right"/>
              <w:rPr>
                <w:sz w:val="20"/>
                <w:szCs w:val="20"/>
              </w:rPr>
            </w:pPr>
            <w:r w:rsidRPr="0078082C">
              <w:rPr>
                <w:sz w:val="20"/>
                <w:szCs w:val="20"/>
              </w:rPr>
              <w:t>5.0</w:t>
            </w:r>
            <w:r>
              <w:rPr>
                <w:sz w:val="20"/>
                <w:szCs w:val="20"/>
              </w:rPr>
              <w:t>1</w:t>
            </w:r>
            <w:r w:rsidRPr="0078082C">
              <w:rPr>
                <w:sz w:val="20"/>
                <w:szCs w:val="20"/>
              </w:rPr>
              <w:t>9.500,00</w:t>
            </w:r>
          </w:p>
        </w:tc>
      </w:tr>
    </w:tbl>
    <w:p w:rsidR="00FA2562" w:rsidRDefault="00FA2562" w:rsidP="00AD7EA3">
      <w:pPr>
        <w:spacing w:after="0"/>
        <w:jc w:val="both"/>
        <w:rPr>
          <w:sz w:val="24"/>
          <w:szCs w:val="24"/>
          <w:lang w:val="sr-Cyrl-RS"/>
        </w:rPr>
      </w:pPr>
    </w:p>
    <w:p w:rsidR="004375A2" w:rsidRPr="00F333CD" w:rsidRDefault="004375A2" w:rsidP="00F333CD">
      <w:pPr>
        <w:pStyle w:val="Heading2"/>
        <w:jc w:val="center"/>
        <w:rPr>
          <w:rFonts w:ascii="Times New Roman" w:hAnsi="Times New Roman" w:cs="Times New Roman"/>
          <w:b/>
          <w:sz w:val="24"/>
          <w:szCs w:val="24"/>
          <w:lang w:val="sr-Cyrl-RS"/>
        </w:rPr>
      </w:pPr>
      <w:bookmarkStart w:id="29" w:name="_Toc111191344"/>
      <w:r w:rsidRPr="00F333CD">
        <w:rPr>
          <w:rFonts w:ascii="Times New Roman" w:hAnsi="Times New Roman" w:cs="Times New Roman"/>
          <w:b/>
          <w:color w:val="auto"/>
          <w:sz w:val="24"/>
          <w:szCs w:val="24"/>
          <w:lang w:val="sr-Cyrl-RS"/>
        </w:rPr>
        <w:t>Члан 12. Оквирне конвенције</w:t>
      </w:r>
      <w:bookmarkEnd w:id="29"/>
    </w:p>
    <w:p w:rsidR="004375A2" w:rsidRPr="00F333CD" w:rsidRDefault="004375A2" w:rsidP="00F333CD">
      <w:pPr>
        <w:pStyle w:val="Heading3"/>
        <w:jc w:val="center"/>
        <w:rPr>
          <w:rFonts w:ascii="Times New Roman" w:hAnsi="Times New Roman" w:cs="Times New Roman"/>
          <w:b/>
          <w:lang w:val="sr-Cyrl-RS"/>
        </w:rPr>
      </w:pPr>
      <w:bookmarkStart w:id="30" w:name="_Toc111191345"/>
      <w:r w:rsidRPr="00F333CD">
        <w:rPr>
          <w:rFonts w:ascii="Times New Roman" w:hAnsi="Times New Roman" w:cs="Times New Roman"/>
          <w:b/>
          <w:color w:val="auto"/>
          <w:lang w:val="sr-Cyrl-RS"/>
        </w:rPr>
        <w:t>Промоција мултикултуралне и интеркултуралне перспективе у образовању</w:t>
      </w:r>
      <w:bookmarkEnd w:id="30"/>
    </w:p>
    <w:p w:rsidR="004375A2" w:rsidRDefault="004375A2" w:rsidP="004375A2">
      <w:pPr>
        <w:spacing w:after="0"/>
        <w:jc w:val="both"/>
        <w:rPr>
          <w:i/>
          <w:sz w:val="24"/>
          <w:szCs w:val="24"/>
        </w:rPr>
      </w:pPr>
    </w:p>
    <w:p w:rsidR="004375A2" w:rsidRDefault="004375A2" w:rsidP="004375A2">
      <w:pPr>
        <w:spacing w:after="0"/>
        <w:jc w:val="both"/>
        <w:rPr>
          <w:i/>
          <w:sz w:val="24"/>
          <w:szCs w:val="24"/>
          <w:lang w:val="sr-Cyrl-RS"/>
        </w:rPr>
      </w:pPr>
      <w:r>
        <w:rPr>
          <w:i/>
          <w:sz w:val="24"/>
          <w:szCs w:val="24"/>
          <w:lang w:val="sr-Cyrl-RS"/>
        </w:rPr>
        <w:t xml:space="preserve">94. </w:t>
      </w:r>
      <w:r w:rsidR="00D41A11" w:rsidRPr="00D41A11">
        <w:rPr>
          <w:i/>
          <w:sz w:val="24"/>
          <w:szCs w:val="24"/>
          <w:lang w:val="sr-Cyrl-RS"/>
        </w:rPr>
        <w:t>Саветодавни комитет позива власти да значајно појачају своје напоре на промовисању мултикултуралне и интеркултурне перспективе у образовању, укључујући и развијање програма размене између заједница што је пре могуће и најкасније до истека рока за пети државни извештај, на сваком нивоу образовања.</w:t>
      </w:r>
    </w:p>
    <w:p w:rsidR="00177943" w:rsidRDefault="00177943" w:rsidP="004375A2">
      <w:pPr>
        <w:spacing w:after="0"/>
        <w:jc w:val="both"/>
        <w:rPr>
          <w:i/>
          <w:sz w:val="24"/>
          <w:szCs w:val="24"/>
          <w:lang w:val="sr-Cyrl-RS"/>
        </w:rPr>
      </w:pPr>
    </w:p>
    <w:p w:rsidR="00177943" w:rsidRPr="00177943" w:rsidRDefault="00177943" w:rsidP="00177943">
      <w:pPr>
        <w:spacing w:after="0"/>
        <w:jc w:val="both"/>
        <w:rPr>
          <w:i/>
          <w:sz w:val="24"/>
          <w:szCs w:val="24"/>
          <w:lang w:val="sr-Cyrl-RS"/>
        </w:rPr>
      </w:pPr>
      <w:r>
        <w:rPr>
          <w:i/>
          <w:sz w:val="24"/>
          <w:szCs w:val="24"/>
          <w:lang w:val="sr-Cyrl-RS"/>
        </w:rPr>
        <w:t xml:space="preserve">95. </w:t>
      </w:r>
      <w:r w:rsidRPr="00177943">
        <w:rPr>
          <w:i/>
          <w:sz w:val="24"/>
          <w:szCs w:val="24"/>
          <w:lang w:val="sr-Cyrl-RS"/>
        </w:rPr>
        <w:t xml:space="preserve">Саветодавни комитет позива власти да обезбеде, што је пре могуће а најкасније пре рока за пети државни извештај, да кроз процес који укључује делотворно учешће припадника националних мањина, наставни планови и наставни материјали из историје </w:t>
      </w:r>
      <w:r w:rsidRPr="00177943">
        <w:rPr>
          <w:i/>
          <w:sz w:val="24"/>
          <w:szCs w:val="24"/>
          <w:lang w:val="sr-Cyrl-RS"/>
        </w:rPr>
        <w:lastRenderedPageBreak/>
        <w:t>промовишу поштовање свих група у друштву и пружају широко знање о мањинама чинећи саставни део српског друштва, као и да обезбеде да се вишеструке перспективе подстичу у историјским и савременим истраживањима.</w:t>
      </w:r>
    </w:p>
    <w:p w:rsidR="00177943" w:rsidRPr="00177943" w:rsidRDefault="00177943" w:rsidP="00177943">
      <w:pPr>
        <w:spacing w:after="0"/>
        <w:jc w:val="both"/>
        <w:rPr>
          <w:i/>
          <w:sz w:val="24"/>
          <w:szCs w:val="24"/>
          <w:lang w:val="sr-Cyrl-RS"/>
        </w:rPr>
      </w:pPr>
    </w:p>
    <w:p w:rsidR="00177943" w:rsidRDefault="00177943" w:rsidP="00177943">
      <w:pPr>
        <w:spacing w:after="0"/>
        <w:jc w:val="both"/>
        <w:rPr>
          <w:i/>
          <w:sz w:val="24"/>
          <w:szCs w:val="24"/>
          <w:lang w:val="sr-Cyrl-RS"/>
        </w:rPr>
      </w:pPr>
      <w:r>
        <w:rPr>
          <w:i/>
          <w:sz w:val="24"/>
          <w:szCs w:val="24"/>
          <w:lang w:val="sr-Cyrl-RS"/>
        </w:rPr>
        <w:t xml:space="preserve">96. </w:t>
      </w:r>
      <w:r w:rsidRPr="00177943">
        <w:rPr>
          <w:i/>
          <w:sz w:val="24"/>
          <w:szCs w:val="24"/>
          <w:lang w:val="sr-Cyrl-RS"/>
        </w:rPr>
        <w:t>Саветодавни комитет охрабрује власти да у консултацијама са представницима националних мањина промовишу могуће моделе двојезичног или вишејезичног образовања.</w:t>
      </w:r>
    </w:p>
    <w:p w:rsidR="00D41A11" w:rsidRDefault="00D41A11" w:rsidP="004375A2">
      <w:pPr>
        <w:spacing w:after="0"/>
        <w:jc w:val="both"/>
        <w:rPr>
          <w:i/>
          <w:sz w:val="24"/>
          <w:szCs w:val="24"/>
          <w:lang w:val="sr-Cyrl-RS"/>
        </w:rPr>
      </w:pPr>
    </w:p>
    <w:p w:rsidR="00D41A11" w:rsidRPr="00D41A11" w:rsidRDefault="00D41A11" w:rsidP="00D41A11">
      <w:pPr>
        <w:spacing w:after="0"/>
        <w:ind w:firstLine="720"/>
        <w:jc w:val="both"/>
        <w:rPr>
          <w:sz w:val="24"/>
          <w:szCs w:val="24"/>
          <w:lang w:val="sr-Cyrl-RS"/>
        </w:rPr>
      </w:pPr>
      <w:r w:rsidRPr="00723A62">
        <w:rPr>
          <w:sz w:val="24"/>
          <w:szCs w:val="24"/>
          <w:lang w:val="sr-Cyrl-RS"/>
        </w:rPr>
        <w:t>Одговор</w:t>
      </w:r>
      <w:r w:rsidR="00723A62" w:rsidRPr="00723A62">
        <w:rPr>
          <w:sz w:val="24"/>
          <w:szCs w:val="24"/>
          <w:lang w:val="sr-Cyrl-RS"/>
        </w:rPr>
        <w:t>и</w:t>
      </w:r>
      <w:r w:rsidRPr="00723A62">
        <w:rPr>
          <w:sz w:val="24"/>
          <w:szCs w:val="24"/>
          <w:lang w:val="sr-Cyrl-RS"/>
        </w:rPr>
        <w:t xml:space="preserve"> на ов</w:t>
      </w:r>
      <w:r w:rsidR="00723A62" w:rsidRPr="00723A62">
        <w:rPr>
          <w:sz w:val="24"/>
          <w:szCs w:val="24"/>
          <w:lang w:val="sr-Cyrl-RS"/>
        </w:rPr>
        <w:t>е препоруке садржани су</w:t>
      </w:r>
      <w:r w:rsidRPr="00723A62">
        <w:rPr>
          <w:sz w:val="24"/>
          <w:szCs w:val="24"/>
          <w:lang w:val="sr-Cyrl-RS"/>
        </w:rPr>
        <w:t xml:space="preserve"> у одговору на препоруку </w:t>
      </w:r>
      <w:r w:rsidRPr="00723A62">
        <w:rPr>
          <w:sz w:val="24"/>
          <w:szCs w:val="24"/>
        </w:rPr>
        <w:t>4</w:t>
      </w:r>
      <w:r w:rsidRPr="00723A62">
        <w:rPr>
          <w:sz w:val="24"/>
          <w:szCs w:val="24"/>
          <w:lang w:val="sr-Cyrl-RS"/>
        </w:rPr>
        <w:t>. из Резолуције Комитета министара.</w:t>
      </w:r>
    </w:p>
    <w:p w:rsidR="00AD7EA3" w:rsidRDefault="00AD7EA3" w:rsidP="00AD7EA3">
      <w:pPr>
        <w:spacing w:after="0"/>
        <w:jc w:val="both"/>
        <w:rPr>
          <w:sz w:val="24"/>
          <w:szCs w:val="24"/>
          <w:lang w:val="sr-Cyrl-RS"/>
        </w:rPr>
      </w:pPr>
    </w:p>
    <w:p w:rsidR="00177943" w:rsidRPr="00F333CD" w:rsidRDefault="00177943" w:rsidP="00F333CD">
      <w:pPr>
        <w:pStyle w:val="Heading3"/>
        <w:jc w:val="center"/>
        <w:rPr>
          <w:rFonts w:ascii="Times New Roman" w:hAnsi="Times New Roman" w:cs="Times New Roman"/>
          <w:b/>
          <w:lang w:val="sr-Cyrl-RS"/>
        </w:rPr>
      </w:pPr>
      <w:bookmarkStart w:id="31" w:name="_Toc111191346"/>
      <w:r w:rsidRPr="00F333CD">
        <w:rPr>
          <w:rFonts w:ascii="Times New Roman" w:hAnsi="Times New Roman" w:cs="Times New Roman"/>
          <w:b/>
          <w:color w:val="auto"/>
          <w:lang w:val="sr-Cyrl-RS"/>
        </w:rPr>
        <w:t>Приступ образовању за Роме</w:t>
      </w:r>
      <w:bookmarkEnd w:id="31"/>
    </w:p>
    <w:p w:rsidR="00177943" w:rsidRDefault="00177943" w:rsidP="00177943">
      <w:pPr>
        <w:spacing w:after="0"/>
        <w:jc w:val="both"/>
        <w:rPr>
          <w:b/>
          <w:i/>
          <w:sz w:val="24"/>
          <w:szCs w:val="24"/>
          <w:lang w:val="sr-Cyrl-RS"/>
        </w:rPr>
      </w:pPr>
    </w:p>
    <w:p w:rsidR="00177943" w:rsidRDefault="00177943" w:rsidP="00177943">
      <w:pPr>
        <w:spacing w:after="0"/>
        <w:jc w:val="both"/>
        <w:rPr>
          <w:i/>
          <w:sz w:val="24"/>
          <w:szCs w:val="24"/>
          <w:lang w:val="sr-Cyrl-RS"/>
        </w:rPr>
      </w:pPr>
      <w:r w:rsidRPr="00515352">
        <w:rPr>
          <w:i/>
          <w:sz w:val="24"/>
          <w:szCs w:val="24"/>
          <w:lang w:val="sr-Cyrl-RS"/>
        </w:rPr>
        <w:t xml:space="preserve">99. </w:t>
      </w:r>
      <w:r w:rsidRPr="00177943">
        <w:rPr>
          <w:i/>
          <w:sz w:val="24"/>
          <w:szCs w:val="24"/>
          <w:lang w:val="sr-Cyrl-RS"/>
        </w:rPr>
        <w:t>Саветодавни комитет апелује на власти да појачају своје напоре да елиминишу све облике сегрегације ромске деце и да их укључе у редовно образовање. Ситуацију на свим нивоима треба пажљиво пратити како би се избегла било каква сегрегација заснована на етничкој припадности.</w:t>
      </w:r>
    </w:p>
    <w:p w:rsidR="00177943" w:rsidRDefault="00177943" w:rsidP="00177943">
      <w:pPr>
        <w:spacing w:after="0"/>
        <w:jc w:val="both"/>
        <w:rPr>
          <w:i/>
          <w:sz w:val="24"/>
          <w:szCs w:val="24"/>
          <w:lang w:val="sr-Cyrl-RS"/>
        </w:rPr>
      </w:pPr>
    </w:p>
    <w:p w:rsidR="00177943" w:rsidRDefault="00177943" w:rsidP="00177943">
      <w:pPr>
        <w:spacing w:after="0"/>
        <w:jc w:val="both"/>
        <w:rPr>
          <w:i/>
          <w:sz w:val="24"/>
          <w:szCs w:val="24"/>
          <w:lang w:val="sr-Cyrl-RS"/>
        </w:rPr>
      </w:pPr>
      <w:r>
        <w:rPr>
          <w:i/>
          <w:sz w:val="24"/>
          <w:szCs w:val="24"/>
          <w:lang w:val="sr-Cyrl-RS"/>
        </w:rPr>
        <w:t xml:space="preserve">100. </w:t>
      </w:r>
      <w:r w:rsidRPr="00177943">
        <w:rPr>
          <w:i/>
          <w:sz w:val="24"/>
          <w:szCs w:val="24"/>
          <w:lang w:val="sr-Cyrl-RS"/>
        </w:rPr>
        <w:t>Саветодавни комитет позива власти да удвоструче своје напоре у борби против одсуствовања из школе и раног напуштања школовања међу ромском децом. Такви напори би требало да укључују проширење и развој дугорочног коришћења педагошких асистената који могу помоћи ромској деци и њиховим породицама у контакту и укључивању у образовни систем.</w:t>
      </w:r>
    </w:p>
    <w:p w:rsidR="00177943" w:rsidRDefault="00177943" w:rsidP="00177943">
      <w:pPr>
        <w:spacing w:after="0"/>
        <w:jc w:val="both"/>
        <w:rPr>
          <w:i/>
          <w:sz w:val="24"/>
          <w:szCs w:val="24"/>
          <w:lang w:val="sr-Cyrl-RS"/>
        </w:rPr>
      </w:pPr>
    </w:p>
    <w:p w:rsidR="00177943" w:rsidRDefault="00177943" w:rsidP="00177943">
      <w:pPr>
        <w:spacing w:after="0"/>
        <w:ind w:firstLine="720"/>
        <w:jc w:val="both"/>
        <w:rPr>
          <w:sz w:val="24"/>
          <w:szCs w:val="24"/>
          <w:lang w:val="sr-Cyrl-RS"/>
        </w:rPr>
      </w:pPr>
      <w:r>
        <w:rPr>
          <w:sz w:val="24"/>
          <w:szCs w:val="24"/>
          <w:lang w:val="sr-Cyrl-RS"/>
        </w:rPr>
        <w:t>Одговор</w:t>
      </w:r>
      <w:r w:rsidR="007B3F8F">
        <w:rPr>
          <w:sz w:val="24"/>
          <w:szCs w:val="24"/>
          <w:lang w:val="sr-Cyrl-RS"/>
        </w:rPr>
        <w:t>и</w:t>
      </w:r>
      <w:r>
        <w:rPr>
          <w:sz w:val="24"/>
          <w:szCs w:val="24"/>
          <w:lang w:val="sr-Cyrl-RS"/>
        </w:rPr>
        <w:t xml:space="preserve"> на ове препоруке садржан</w:t>
      </w:r>
      <w:r w:rsidR="007B3F8F">
        <w:rPr>
          <w:sz w:val="24"/>
          <w:szCs w:val="24"/>
          <w:lang w:val="sr-Cyrl-RS"/>
        </w:rPr>
        <w:t>и</w:t>
      </w:r>
      <w:r>
        <w:rPr>
          <w:sz w:val="24"/>
          <w:szCs w:val="24"/>
          <w:lang w:val="sr-Cyrl-RS"/>
        </w:rPr>
        <w:t xml:space="preserve"> </w:t>
      </w:r>
      <w:r w:rsidR="007B3F8F">
        <w:rPr>
          <w:sz w:val="24"/>
          <w:szCs w:val="24"/>
          <w:lang w:val="sr-Cyrl-RS"/>
        </w:rPr>
        <w:t>су</w:t>
      </w:r>
      <w:r>
        <w:rPr>
          <w:sz w:val="24"/>
          <w:szCs w:val="24"/>
          <w:lang w:val="sr-Cyrl-RS"/>
        </w:rPr>
        <w:t xml:space="preserve"> у одговору на препоруку 1. из Резолуције Комитета министара.</w:t>
      </w:r>
    </w:p>
    <w:p w:rsidR="007B3F8F" w:rsidRPr="00510181" w:rsidRDefault="007B3F8F" w:rsidP="007B3F8F">
      <w:pPr>
        <w:spacing w:after="0"/>
        <w:ind w:firstLine="720"/>
        <w:jc w:val="both"/>
        <w:rPr>
          <w:sz w:val="24"/>
          <w:szCs w:val="24"/>
          <w:lang w:val="sr-Cyrl-RS"/>
        </w:rPr>
      </w:pPr>
      <w:r w:rsidRPr="007B3F8F">
        <w:rPr>
          <w:sz w:val="24"/>
          <w:szCs w:val="24"/>
          <w:lang w:val="sr-Cyrl-RS"/>
        </w:rPr>
        <w:t xml:space="preserve">У вези са налазом Саветодавног комитета </w:t>
      </w:r>
      <w:r w:rsidRPr="00370D11">
        <w:rPr>
          <w:i/>
          <w:sz w:val="24"/>
          <w:szCs w:val="24"/>
          <w:lang w:val="sr-Cyrl-RS"/>
        </w:rPr>
        <w:t>да рани и присилни бракови остају и недовољно и неадекватно решено питање, према извештајима цивилног друштва, што додатно отежава погођеним ученицима да приступе образовању</w:t>
      </w:r>
      <w:r w:rsidRPr="007B3F8F">
        <w:rPr>
          <w:sz w:val="24"/>
          <w:szCs w:val="24"/>
          <w:lang w:val="sr-Cyrl-RS"/>
        </w:rPr>
        <w:t>, истичемо следеће.</w:t>
      </w:r>
    </w:p>
    <w:p w:rsidR="007B3F8F" w:rsidRPr="007B3F8F" w:rsidRDefault="007B3F8F" w:rsidP="007B3F8F">
      <w:pPr>
        <w:spacing w:after="0"/>
        <w:ind w:firstLine="720"/>
        <w:jc w:val="both"/>
        <w:rPr>
          <w:rFonts w:eastAsia="Times New Roman"/>
          <w:sz w:val="24"/>
          <w:szCs w:val="24"/>
          <w:lang w:val="sr-Cyrl-RS" w:eastAsia="sr-Latn-RS"/>
        </w:rPr>
      </w:pPr>
      <w:r w:rsidRPr="007B3F8F">
        <w:rPr>
          <w:rFonts w:eastAsia="Times New Roman"/>
          <w:sz w:val="24"/>
          <w:szCs w:val="24"/>
          <w:lang w:eastAsia="sr-Latn-RS"/>
        </w:rPr>
        <w:t xml:space="preserve">У </w:t>
      </w:r>
      <w:r w:rsidRPr="007B3F8F">
        <w:rPr>
          <w:rFonts w:eastAsia="Times New Roman"/>
          <w:sz w:val="24"/>
          <w:szCs w:val="24"/>
          <w:lang w:val="sr-Cyrl-RS" w:eastAsia="sr-Latn-RS"/>
        </w:rPr>
        <w:t xml:space="preserve">Републици </w:t>
      </w:r>
      <w:r w:rsidRPr="007B3F8F">
        <w:rPr>
          <w:rFonts w:eastAsia="Times New Roman"/>
          <w:sz w:val="24"/>
          <w:szCs w:val="24"/>
          <w:lang w:eastAsia="sr-Latn-RS"/>
        </w:rPr>
        <w:t xml:space="preserve">Србији су дечји присилни бракови забрањени законом и представљају кривично дело. У </w:t>
      </w:r>
      <w:r w:rsidRPr="00051036">
        <w:rPr>
          <w:rFonts w:eastAsia="Times New Roman"/>
          <w:sz w:val="24"/>
          <w:szCs w:val="24"/>
          <w:lang w:eastAsia="sr-Latn-RS"/>
        </w:rPr>
        <w:t>Породичном закону</w:t>
      </w:r>
      <w:r w:rsidRPr="007B3F8F">
        <w:rPr>
          <w:rFonts w:eastAsia="Times New Roman"/>
          <w:sz w:val="24"/>
          <w:szCs w:val="24"/>
          <w:lang w:eastAsia="sr-Latn-RS"/>
        </w:rPr>
        <w:t xml:space="preserve"> експлицитно се наводи да се брак може склопити само на основу слободног пристанка будућих супружника (чл</w:t>
      </w:r>
      <w:r w:rsidRPr="007B3F8F">
        <w:rPr>
          <w:rFonts w:eastAsia="Times New Roman"/>
          <w:sz w:val="24"/>
          <w:szCs w:val="24"/>
          <w:lang w:val="sr-Cyrl-RS" w:eastAsia="sr-Latn-RS"/>
        </w:rPr>
        <w:t>ан</w:t>
      </w:r>
      <w:r w:rsidRPr="007B3F8F">
        <w:rPr>
          <w:rFonts w:eastAsia="Times New Roman"/>
          <w:sz w:val="24"/>
          <w:szCs w:val="24"/>
          <w:lang w:eastAsia="sr-Latn-RS"/>
        </w:rPr>
        <w:t xml:space="preserve"> 3), да га не може склопити лице које није навршило 18</w:t>
      </w:r>
      <w:r w:rsidRPr="007B3F8F">
        <w:rPr>
          <w:rFonts w:eastAsia="Times New Roman"/>
          <w:sz w:val="24"/>
          <w:szCs w:val="24"/>
          <w:lang w:val="sr-Cyrl-RS" w:eastAsia="sr-Latn-RS"/>
        </w:rPr>
        <w:t>.</w:t>
      </w:r>
      <w:r w:rsidRPr="007B3F8F">
        <w:rPr>
          <w:rFonts w:eastAsia="Times New Roman"/>
          <w:sz w:val="24"/>
          <w:szCs w:val="24"/>
          <w:lang w:eastAsia="sr-Latn-RS"/>
        </w:rPr>
        <w:t xml:space="preserve"> годину живота</w:t>
      </w:r>
      <w:r w:rsidRPr="007B3F8F">
        <w:rPr>
          <w:rFonts w:eastAsia="Times New Roman"/>
          <w:sz w:val="24"/>
          <w:szCs w:val="24"/>
          <w:lang w:val="sr-Cyrl-RS" w:eastAsia="sr-Latn-RS"/>
        </w:rPr>
        <w:t>, као и да суд може, из оправданих разлога, дозволити склапање брака малолетном лицу које је навршило 16. годину живота, а достигло је телесну и душевну зрелост потребну за вршење права и дужности у браку</w:t>
      </w:r>
      <w:r w:rsidRPr="007B3F8F">
        <w:rPr>
          <w:rFonts w:eastAsia="Times New Roman"/>
          <w:sz w:val="24"/>
          <w:szCs w:val="24"/>
          <w:lang w:eastAsia="sr-Latn-RS"/>
        </w:rPr>
        <w:t xml:space="preserve"> (чл</w:t>
      </w:r>
      <w:r w:rsidRPr="007B3F8F">
        <w:rPr>
          <w:rFonts w:eastAsia="Times New Roman"/>
          <w:sz w:val="24"/>
          <w:szCs w:val="24"/>
          <w:lang w:val="sr-Cyrl-RS" w:eastAsia="sr-Latn-RS"/>
        </w:rPr>
        <w:t>ан</w:t>
      </w:r>
      <w:r w:rsidRPr="007B3F8F">
        <w:rPr>
          <w:rFonts w:eastAsia="Times New Roman"/>
          <w:sz w:val="24"/>
          <w:szCs w:val="24"/>
          <w:lang w:eastAsia="sr-Latn-RS"/>
        </w:rPr>
        <w:t xml:space="preserve"> 23), односно да је брак рушљив ако га је склопило малолетно лице без дозволе суда (члан 37). </w:t>
      </w:r>
    </w:p>
    <w:p w:rsidR="007B3F8F" w:rsidRPr="007B3F8F" w:rsidRDefault="007B3F8F" w:rsidP="007B3F8F">
      <w:pPr>
        <w:spacing w:after="0"/>
        <w:ind w:firstLine="720"/>
        <w:jc w:val="both"/>
        <w:rPr>
          <w:rFonts w:eastAsia="Times New Roman"/>
          <w:sz w:val="24"/>
          <w:szCs w:val="24"/>
          <w:lang w:val="sr-Cyrl-RS" w:eastAsia="sr-Latn-RS"/>
        </w:rPr>
      </w:pPr>
      <w:r w:rsidRPr="007B3F8F">
        <w:rPr>
          <w:rFonts w:eastAsia="Times New Roman"/>
          <w:sz w:val="24"/>
          <w:szCs w:val="24"/>
          <w:lang w:val="sr-Cyrl-RS" w:eastAsia="sr-Latn-RS"/>
        </w:rPr>
        <w:t xml:space="preserve">Кривични законик прописује санкције за кршење загарантованих права детета, односно за праксу дечјих бракова. Тако се у члану 190. став 1. прописује казна затвора од три године пунолетном лицу које живи у ванбрачној заједници са малолетником, а иста таква казна прописује се и родитељу, усвојиоцу или стараоцу који малолетнику омогући да живи у ванбрачној заједници са пунолетним лицем или га на то наведе (став 2). Даље се у члану 191. прописује новчана или казна затвора ономе ко малолетно лице </w:t>
      </w:r>
      <w:r w:rsidRPr="007B3F8F">
        <w:rPr>
          <w:rFonts w:eastAsia="Times New Roman"/>
          <w:sz w:val="24"/>
          <w:szCs w:val="24"/>
          <w:lang w:val="sr-Cyrl-RS" w:eastAsia="sr-Latn-RS"/>
        </w:rPr>
        <w:lastRenderedPageBreak/>
        <w:t>противправно задржи или одузме од родитеља, усвојиоца, стараоца или другог лица, односно установе, којима је оно поверено или онемогућава извршење одлуке којом је малолетно лице поверено одређеном лицу.</w:t>
      </w:r>
    </w:p>
    <w:p w:rsidR="007B3F8F" w:rsidRDefault="007B3F8F" w:rsidP="007B3F8F">
      <w:pPr>
        <w:spacing w:after="0"/>
        <w:ind w:firstLine="720"/>
        <w:jc w:val="both"/>
        <w:rPr>
          <w:sz w:val="24"/>
          <w:szCs w:val="24"/>
          <w:lang w:val="sr-Cyrl-RS"/>
        </w:rPr>
      </w:pPr>
      <w:r w:rsidRPr="003B2126">
        <w:rPr>
          <w:sz w:val="24"/>
          <w:szCs w:val="24"/>
          <w:lang w:val="sr-Cyrl-RS"/>
        </w:rPr>
        <w:t xml:space="preserve">Према резултатима </w:t>
      </w:r>
      <w:r w:rsidR="00370D11">
        <w:rPr>
          <w:sz w:val="24"/>
          <w:szCs w:val="24"/>
        </w:rPr>
        <w:t>MICS</w:t>
      </w:r>
      <w:r w:rsidRPr="003B2126">
        <w:rPr>
          <w:sz w:val="24"/>
          <w:szCs w:val="24"/>
          <w:lang w:val="sr-Cyrl-RS"/>
        </w:rPr>
        <w:t xml:space="preserve"> 6 истраживања из 2019. године</w:t>
      </w:r>
      <w:r w:rsidR="00370D11">
        <w:rPr>
          <w:sz w:val="24"/>
          <w:szCs w:val="24"/>
        </w:rPr>
        <w:t>,</w:t>
      </w:r>
      <w:r w:rsidRPr="003B2126">
        <w:rPr>
          <w:sz w:val="24"/>
          <w:szCs w:val="24"/>
          <w:lang w:val="sr-Cyrl-RS"/>
        </w:rPr>
        <w:t xml:space="preserve"> </w:t>
      </w:r>
      <w:r>
        <w:rPr>
          <w:sz w:val="24"/>
          <w:szCs w:val="24"/>
          <w:lang w:val="sr-Cyrl-RS"/>
        </w:rPr>
        <w:t>укупно 34</w:t>
      </w:r>
      <w:r w:rsidRPr="003B2126">
        <w:rPr>
          <w:sz w:val="24"/>
          <w:szCs w:val="24"/>
          <w:lang w:val="sr-Cyrl-RS"/>
        </w:rPr>
        <w:t>% младих жена старости 15–19 година из ромских насеља је удато или живи у ванбрачној заједници, али тај показатељ расте на 41 % код жена из најсиромашнијих домаћинстава. Пре навршене 15. године удало се 16 %, а пре навршене 18. године 56 % жена старости 20–24 године. Код жена старости 20–24 године ступање у</w:t>
      </w:r>
      <w:r>
        <w:rPr>
          <w:sz w:val="24"/>
          <w:szCs w:val="24"/>
          <w:lang w:val="sr-Cyrl-RS"/>
        </w:rPr>
        <w:t xml:space="preserve"> </w:t>
      </w:r>
      <w:r w:rsidRPr="003B2126">
        <w:rPr>
          <w:sz w:val="24"/>
          <w:szCs w:val="24"/>
          <w:lang w:val="sr-Cyrl-RS"/>
        </w:rPr>
        <w:t>брак пре 15. и пре 18. године много је чешће код</w:t>
      </w:r>
      <w:r>
        <w:rPr>
          <w:sz w:val="24"/>
          <w:szCs w:val="24"/>
          <w:lang w:val="sr-Cyrl-RS"/>
        </w:rPr>
        <w:t xml:space="preserve"> </w:t>
      </w:r>
      <w:r w:rsidRPr="003B2126">
        <w:rPr>
          <w:sz w:val="24"/>
          <w:szCs w:val="24"/>
          <w:lang w:val="sr-Cyrl-RS"/>
        </w:rPr>
        <w:t>оних са основним образовањем него код оних са средњим и високим образовањем. Такође, рани бракови су карактеристичнији</w:t>
      </w:r>
      <w:r>
        <w:rPr>
          <w:sz w:val="24"/>
          <w:szCs w:val="24"/>
          <w:lang w:val="sr-Cyrl-RS"/>
        </w:rPr>
        <w:t xml:space="preserve"> </w:t>
      </w:r>
      <w:r w:rsidRPr="003B2126">
        <w:rPr>
          <w:sz w:val="24"/>
          <w:szCs w:val="24"/>
          <w:lang w:val="sr-Cyrl-RS"/>
        </w:rPr>
        <w:t>за жене из сиромашнијих домаћинстава (73 %).</w:t>
      </w:r>
    </w:p>
    <w:p w:rsidR="007B3F8F" w:rsidRPr="00256948" w:rsidRDefault="007B3F8F" w:rsidP="007B3F8F">
      <w:pPr>
        <w:spacing w:after="0"/>
        <w:ind w:firstLine="720"/>
        <w:jc w:val="both"/>
        <w:rPr>
          <w:rFonts w:eastAsia="Times New Roman"/>
          <w:sz w:val="24"/>
          <w:szCs w:val="24"/>
          <w:lang w:val="sr-Cyrl-RS" w:eastAsia="en-GB"/>
        </w:rPr>
      </w:pPr>
      <w:r w:rsidRPr="00256948">
        <w:rPr>
          <w:rFonts w:eastAsia="Times New Roman"/>
          <w:sz w:val="24"/>
          <w:szCs w:val="24"/>
          <w:lang w:eastAsia="sr-Latn-RS"/>
        </w:rPr>
        <w:t>Влада Србије предузима кораке како би се пружио системски и институционални одговор од стране државе и друштва неопходан за нестајање праксе дечјег брака</w:t>
      </w:r>
      <w:r w:rsidRPr="00256948">
        <w:rPr>
          <w:rFonts w:eastAsia="Times New Roman"/>
          <w:sz w:val="24"/>
          <w:szCs w:val="24"/>
          <w:lang w:val="sr-Cyrl-RS" w:eastAsia="sr-Latn-RS"/>
        </w:rPr>
        <w:t>.</w:t>
      </w:r>
    </w:p>
    <w:p w:rsidR="007B3F8F" w:rsidRPr="003B2126" w:rsidRDefault="007B3F8F" w:rsidP="007B3F8F">
      <w:pPr>
        <w:spacing w:after="0"/>
        <w:jc w:val="both"/>
        <w:rPr>
          <w:sz w:val="24"/>
          <w:szCs w:val="24"/>
          <w:lang w:val="sr-Cyrl-RS"/>
        </w:rPr>
      </w:pPr>
      <w:r w:rsidRPr="003B2126">
        <w:rPr>
          <w:sz w:val="24"/>
          <w:szCs w:val="24"/>
          <w:lang w:val="sr-Cyrl-RS"/>
        </w:rPr>
        <w:tab/>
        <w:t>С обзиром на вишеслојност овог феномена</w:t>
      </w:r>
      <w:r w:rsidR="00370D11">
        <w:rPr>
          <w:sz w:val="24"/>
          <w:szCs w:val="24"/>
        </w:rPr>
        <w:t>,</w:t>
      </w:r>
      <w:r w:rsidRPr="003B2126">
        <w:rPr>
          <w:sz w:val="24"/>
          <w:szCs w:val="24"/>
          <w:lang w:val="sr-Cyrl-RS"/>
        </w:rPr>
        <w:t xml:space="preserve"> на иницијативу Координационог тела за родну равноправност Владе Србије и УНИЦЕФ-а у Србији</w:t>
      </w:r>
      <w:r w:rsidR="00370D11">
        <w:rPr>
          <w:sz w:val="24"/>
          <w:szCs w:val="24"/>
        </w:rPr>
        <w:t>,</w:t>
      </w:r>
      <w:r w:rsidRPr="003B2126">
        <w:rPr>
          <w:sz w:val="24"/>
          <w:szCs w:val="24"/>
          <w:lang w:val="sr-Cyrl-RS"/>
        </w:rPr>
        <w:t xml:space="preserve"> 2019. године основана је Национална коалиција за окончање дечјих бракова. Општи циљ Националне коалиције, је да се кроз усмерену и координисану акцију релевантних актера допринесе окончању дечјих бракова у Србији, нарочито у ромској популацији, кроз заговарање за отклањање институционалних и друштвених препрека за спровођење релевантних законодавних и стратешких оквира, као и промоцију примера добре праксе који се реализују у партнерству локалних заједница, невладиног, владиног и приватног сектора и медија. </w:t>
      </w:r>
    </w:p>
    <w:p w:rsidR="007B3F8F" w:rsidRPr="003B2126" w:rsidRDefault="007B3F8F" w:rsidP="007B3F8F">
      <w:pPr>
        <w:spacing w:after="0"/>
        <w:jc w:val="both"/>
        <w:rPr>
          <w:sz w:val="24"/>
          <w:szCs w:val="24"/>
          <w:lang w:val="sr-Cyrl-RS"/>
        </w:rPr>
      </w:pPr>
      <w:r w:rsidRPr="003B2126">
        <w:rPr>
          <w:sz w:val="24"/>
          <w:szCs w:val="24"/>
          <w:lang w:val="sr-Cyrl-RS"/>
        </w:rPr>
        <w:tab/>
        <w:t>Национална коалиција за окончање дечјих бракова је у 2021. години покренула медијску кампању „Детињство, не брак“ са циљем да скрене пажњу на</w:t>
      </w:r>
      <w:r w:rsidR="006E5624">
        <w:rPr>
          <w:sz w:val="24"/>
          <w:szCs w:val="24"/>
          <w:lang w:val="sr-Cyrl-RS"/>
        </w:rPr>
        <w:t xml:space="preserve"> проблем и распрострањеност деч</w:t>
      </w:r>
      <w:r w:rsidRPr="003B2126">
        <w:rPr>
          <w:sz w:val="24"/>
          <w:szCs w:val="24"/>
          <w:lang w:val="sr-Cyrl-RS"/>
        </w:rPr>
        <w:t>јих бракова</w:t>
      </w:r>
      <w:r>
        <w:rPr>
          <w:sz w:val="24"/>
          <w:szCs w:val="24"/>
          <w:lang w:val="sr-Cyrl-RS"/>
        </w:rPr>
        <w:t>,</w:t>
      </w:r>
      <w:r w:rsidRPr="003B2126">
        <w:rPr>
          <w:sz w:val="24"/>
          <w:szCs w:val="24"/>
          <w:lang w:val="sr-Cyrl-RS"/>
        </w:rPr>
        <w:t xml:space="preserve"> али и да покаже примере жена и девојака чије су породице увиделе важност образовања девојчица и на тај начин им пружиле подршку у адекватном расту и развоју. Ова медијска кампања представљена је свим јединицма локалне самоуправе у Републици Србији</w:t>
      </w:r>
      <w:r w:rsidR="006E5624">
        <w:rPr>
          <w:sz w:val="24"/>
          <w:szCs w:val="24"/>
        </w:rPr>
        <w:t>,</w:t>
      </w:r>
      <w:r w:rsidRPr="003B2126">
        <w:rPr>
          <w:sz w:val="24"/>
          <w:szCs w:val="24"/>
          <w:lang w:val="sr-Cyrl-RS"/>
        </w:rPr>
        <w:t xml:space="preserve"> као и свим националним и међународним актерима уз позив да се прикључе кампањи и тиме допринесу подизању свести јавности о проблему дечјих бракова. Према подацима којима располаже канцеларија УНИЦЕФ-а у Србији</w:t>
      </w:r>
      <w:r w:rsidR="006E5624">
        <w:rPr>
          <w:sz w:val="24"/>
          <w:szCs w:val="24"/>
        </w:rPr>
        <w:t>,</w:t>
      </w:r>
      <w:r w:rsidRPr="003B2126">
        <w:rPr>
          <w:sz w:val="24"/>
          <w:szCs w:val="24"/>
          <w:lang w:val="sr-Cyrl-RS"/>
        </w:rPr>
        <w:t xml:space="preserve"> током трајања кампање </w:t>
      </w:r>
      <w:r w:rsidR="006E5624">
        <w:rPr>
          <w:sz w:val="24"/>
          <w:szCs w:val="24"/>
          <w:lang w:val="sr-Cyrl-RS"/>
        </w:rPr>
        <w:t>четири</w:t>
      </w:r>
      <w:r w:rsidRPr="003B2126">
        <w:rPr>
          <w:sz w:val="24"/>
          <w:szCs w:val="24"/>
          <w:lang w:val="sr-Cyrl-RS"/>
        </w:rPr>
        <w:t xml:space="preserve"> видеа која промовишу примере добре праксе приказани су 637.000 пута. Такође, према њиховим мерењима</w:t>
      </w:r>
      <w:r w:rsidR="006E5624">
        <w:rPr>
          <w:sz w:val="24"/>
          <w:szCs w:val="24"/>
          <w:lang w:val="sr-Cyrl-RS"/>
        </w:rPr>
        <w:t>,</w:t>
      </w:r>
      <w:r w:rsidRPr="003B2126">
        <w:rPr>
          <w:sz w:val="24"/>
          <w:szCs w:val="24"/>
          <w:lang w:val="sr-Cyrl-RS"/>
        </w:rPr>
        <w:t xml:space="preserve"> кампања је досегла </w:t>
      </w:r>
      <w:r w:rsidR="00A93B38">
        <w:rPr>
          <w:sz w:val="24"/>
          <w:szCs w:val="24"/>
          <w:lang w:val="sr-Cyrl-RS"/>
        </w:rPr>
        <w:t xml:space="preserve">до </w:t>
      </w:r>
      <w:r w:rsidRPr="003B2126">
        <w:rPr>
          <w:sz w:val="24"/>
          <w:szCs w:val="24"/>
          <w:lang w:val="sr-Cyrl-RS"/>
        </w:rPr>
        <w:t>530.000 корисника друштвених мрежа.</w:t>
      </w:r>
    </w:p>
    <w:p w:rsidR="007B3F8F" w:rsidRPr="003B2126" w:rsidRDefault="007B3F8F" w:rsidP="007B3F8F">
      <w:pPr>
        <w:spacing w:after="0"/>
        <w:jc w:val="both"/>
        <w:rPr>
          <w:sz w:val="24"/>
          <w:szCs w:val="24"/>
          <w:lang w:val="sr-Cyrl-RS"/>
        </w:rPr>
      </w:pPr>
      <w:r w:rsidRPr="003B2126">
        <w:rPr>
          <w:sz w:val="24"/>
          <w:szCs w:val="24"/>
          <w:lang w:val="sr-Cyrl-RS"/>
        </w:rPr>
        <w:tab/>
        <w:t xml:space="preserve">Национална коалиција за окончање дечјих бракова наставиће да кроз активности својих чланица али и заједничко деловање доприноси окончању дечјих бракова у Србији кроз оснаживање система да адекватно одговори на проблем дечјих бракова али и кампање које за циљ имају да подигну свест о овом феномену. </w:t>
      </w:r>
    </w:p>
    <w:p w:rsidR="007B3F8F" w:rsidRPr="003B2126" w:rsidRDefault="007B3F8F" w:rsidP="007B3F8F">
      <w:pPr>
        <w:spacing w:after="0"/>
        <w:jc w:val="both"/>
        <w:rPr>
          <w:sz w:val="24"/>
          <w:szCs w:val="24"/>
          <w:lang w:val="sr-Cyrl-RS"/>
        </w:rPr>
      </w:pPr>
      <w:r w:rsidRPr="003B2126">
        <w:rPr>
          <w:sz w:val="24"/>
          <w:szCs w:val="24"/>
          <w:lang w:val="sr-Cyrl-RS"/>
        </w:rPr>
        <w:tab/>
        <w:t>Током 2018. године Републички завод за социјалну заштиту у сарадњи са УНИЦЕФ-ом урадио је „Анализу праксе центара за социјални рад у вези са дечијим браковима“. Као одговор на препоруку у оквиру истраживања</w:t>
      </w:r>
      <w:r w:rsidR="00A93B38">
        <w:rPr>
          <w:sz w:val="24"/>
          <w:szCs w:val="24"/>
          <w:lang w:val="sr-Cyrl-RS"/>
        </w:rPr>
        <w:t>,</w:t>
      </w:r>
      <w:r w:rsidRPr="003B2126">
        <w:rPr>
          <w:sz w:val="24"/>
          <w:szCs w:val="24"/>
          <w:lang w:val="sr-Cyrl-RS"/>
        </w:rPr>
        <w:t xml:space="preserve"> </w:t>
      </w:r>
      <w:r w:rsidR="00A93B38">
        <w:rPr>
          <w:sz w:val="24"/>
          <w:szCs w:val="24"/>
          <w:lang w:val="sr-Cyrl-RS"/>
        </w:rPr>
        <w:t>м</w:t>
      </w:r>
      <w:r w:rsidRPr="003B2126">
        <w:rPr>
          <w:sz w:val="24"/>
          <w:szCs w:val="24"/>
          <w:lang w:val="sr-Cyrl-RS"/>
        </w:rPr>
        <w:t>инистарство надлежно за с</w:t>
      </w:r>
      <w:r>
        <w:rPr>
          <w:sz w:val="24"/>
          <w:szCs w:val="24"/>
          <w:lang w:val="sr-Cyrl-RS"/>
        </w:rPr>
        <w:t>о</w:t>
      </w:r>
      <w:r w:rsidRPr="003B2126">
        <w:rPr>
          <w:sz w:val="24"/>
          <w:szCs w:val="24"/>
          <w:lang w:val="sr-Cyrl-RS"/>
        </w:rPr>
        <w:t>цојалну заштиту је донело 2019. године Инструкцију о начину рада центара за социјални рад – органа ста</w:t>
      </w:r>
      <w:r w:rsidR="006E5624">
        <w:rPr>
          <w:sz w:val="24"/>
          <w:szCs w:val="24"/>
          <w:lang w:val="sr-Cyrl-RS"/>
        </w:rPr>
        <w:t>ратељства у заштити деце од деч</w:t>
      </w:r>
      <w:r w:rsidRPr="003B2126">
        <w:rPr>
          <w:sz w:val="24"/>
          <w:szCs w:val="24"/>
          <w:lang w:val="sr-Cyrl-RS"/>
        </w:rPr>
        <w:t xml:space="preserve">јих бракова. На основу </w:t>
      </w:r>
      <w:r w:rsidR="00A93B38">
        <w:rPr>
          <w:sz w:val="24"/>
          <w:szCs w:val="24"/>
          <w:lang w:val="sr-Cyrl-RS"/>
        </w:rPr>
        <w:t>ове и</w:t>
      </w:r>
      <w:r w:rsidRPr="003B2126">
        <w:rPr>
          <w:sz w:val="24"/>
          <w:szCs w:val="24"/>
          <w:lang w:val="sr-Cyrl-RS"/>
        </w:rPr>
        <w:t>нструкције, Републички завод за социјалну заштиту израђује годишње извештаје. Према извештају</w:t>
      </w:r>
      <w:r w:rsidR="00A93B38">
        <w:rPr>
          <w:sz w:val="24"/>
          <w:szCs w:val="24"/>
          <w:lang w:val="sr-Cyrl-RS"/>
        </w:rPr>
        <w:t xml:space="preserve"> за 2020. годину,</w:t>
      </w:r>
      <w:r w:rsidRPr="003B2126">
        <w:rPr>
          <w:sz w:val="24"/>
          <w:szCs w:val="24"/>
          <w:lang w:val="sr-Cyrl-RS"/>
        </w:rPr>
        <w:t xml:space="preserve"> током </w:t>
      </w:r>
      <w:r w:rsidR="00A93B38">
        <w:rPr>
          <w:sz w:val="24"/>
          <w:szCs w:val="24"/>
          <w:lang w:val="sr-Cyrl-RS"/>
        </w:rPr>
        <w:t>те</w:t>
      </w:r>
      <w:r w:rsidRPr="003B2126">
        <w:rPr>
          <w:sz w:val="24"/>
          <w:szCs w:val="24"/>
          <w:lang w:val="sr-Cyrl-RS"/>
        </w:rPr>
        <w:t xml:space="preserve"> године центри за социјални рад идентификовали су 191 дете жртву дечјег брака</w:t>
      </w:r>
      <w:r w:rsidR="006E5624">
        <w:rPr>
          <w:sz w:val="24"/>
          <w:szCs w:val="24"/>
          <w:lang w:val="sr-Cyrl-RS"/>
        </w:rPr>
        <w:t>,</w:t>
      </w:r>
      <w:r w:rsidRPr="003B2126">
        <w:rPr>
          <w:sz w:val="24"/>
          <w:szCs w:val="24"/>
          <w:lang w:val="sr-Cyrl-RS"/>
        </w:rPr>
        <w:t xml:space="preserve"> од којих </w:t>
      </w:r>
      <w:r w:rsidR="006E5624">
        <w:rPr>
          <w:sz w:val="24"/>
          <w:szCs w:val="24"/>
          <w:lang w:val="sr-Cyrl-RS"/>
        </w:rPr>
        <w:t xml:space="preserve">је </w:t>
      </w:r>
      <w:r w:rsidRPr="003B2126">
        <w:rPr>
          <w:sz w:val="24"/>
          <w:szCs w:val="24"/>
          <w:lang w:val="sr-Cyrl-RS"/>
        </w:rPr>
        <w:t xml:space="preserve">11 дечака и 180 девојчица. </w:t>
      </w:r>
      <w:r w:rsidRPr="003B2126">
        <w:rPr>
          <w:sz w:val="24"/>
          <w:szCs w:val="24"/>
          <w:lang w:val="sr-Cyrl-RS"/>
        </w:rPr>
        <w:lastRenderedPageBreak/>
        <w:t>Имајући у виду општине које нису доставиле податке, основано је претпоставити да је укупан број деце жртава дечјег брака већи. Стога је неопходно додатно ојачавати јединице локалне самоуправе да препознају проблем дечјих бракова и важност праћења ове појаве како би се на основу података планирале адекватне и правовремене активности превенције и одговора на случајеве насиља.</w:t>
      </w:r>
    </w:p>
    <w:p w:rsidR="007B3F8F" w:rsidRPr="003B2126" w:rsidRDefault="007B3F8F" w:rsidP="007B3F8F">
      <w:pPr>
        <w:spacing w:after="0"/>
        <w:jc w:val="both"/>
        <w:rPr>
          <w:sz w:val="24"/>
          <w:szCs w:val="24"/>
          <w:lang w:val="sr-Cyrl-RS"/>
        </w:rPr>
      </w:pPr>
      <w:r w:rsidRPr="003B2126">
        <w:rPr>
          <w:sz w:val="24"/>
          <w:szCs w:val="24"/>
          <w:lang w:val="sr-Cyrl-RS"/>
        </w:rPr>
        <w:tab/>
        <w:t xml:space="preserve">Рани брак један је од разлога за осипање ученика, нарочито девојчица из система образовања. Стога је креиран модел за превенцију осипања, који садржи мере на нивоу школе које су обухватиле систем за рану идентификацију и интервенцију за ученике под ризиком од осипања који представља главну компоненту модела, затим мере за унапређивање укључивања родитеља у школу и мере вршњачке подршке, као и обуке за наставнике и нови школски модел допунске наставе. </w:t>
      </w:r>
    </w:p>
    <w:p w:rsidR="007B3F8F" w:rsidRPr="003B2126" w:rsidRDefault="007B3F8F" w:rsidP="007B3F8F">
      <w:pPr>
        <w:spacing w:after="0"/>
        <w:jc w:val="both"/>
        <w:rPr>
          <w:sz w:val="24"/>
          <w:szCs w:val="24"/>
          <w:lang w:val="sr-Cyrl-RS"/>
        </w:rPr>
      </w:pPr>
      <w:r w:rsidRPr="003B2126">
        <w:rPr>
          <w:sz w:val="24"/>
          <w:szCs w:val="24"/>
          <w:lang w:val="sr-Cyrl-RS"/>
        </w:rPr>
        <w:tab/>
        <w:t>Стопа осипања у школама у којима је пр</w:t>
      </w:r>
      <w:r w:rsidR="006970EC">
        <w:rPr>
          <w:sz w:val="24"/>
          <w:szCs w:val="24"/>
          <w:lang w:val="sr-Cyrl-RS"/>
        </w:rPr>
        <w:t>и</w:t>
      </w:r>
      <w:r w:rsidRPr="003B2126">
        <w:rPr>
          <w:sz w:val="24"/>
          <w:szCs w:val="24"/>
          <w:lang w:val="sr-Cyrl-RS"/>
        </w:rPr>
        <w:t>мењиван модел за</w:t>
      </w:r>
      <w:r>
        <w:rPr>
          <w:sz w:val="24"/>
          <w:szCs w:val="24"/>
          <w:lang w:val="sr-Cyrl-RS"/>
        </w:rPr>
        <w:t xml:space="preserve"> превенцију смањена је за 53,2%</w:t>
      </w:r>
      <w:r w:rsidRPr="003B2126">
        <w:rPr>
          <w:sz w:val="24"/>
          <w:szCs w:val="24"/>
          <w:lang w:val="sr-Cyrl-RS"/>
        </w:rPr>
        <w:t xml:space="preserve"> у односу на претходн</w:t>
      </w:r>
      <w:r w:rsidR="00A93B38">
        <w:rPr>
          <w:sz w:val="24"/>
          <w:szCs w:val="24"/>
          <w:lang w:val="sr-Cyrl-RS"/>
        </w:rPr>
        <w:t>е</w:t>
      </w:r>
      <w:r w:rsidRPr="003B2126">
        <w:rPr>
          <w:sz w:val="24"/>
          <w:szCs w:val="24"/>
          <w:lang w:val="sr-Cyrl-RS"/>
        </w:rPr>
        <w:t xml:space="preserve"> </w:t>
      </w:r>
      <w:r w:rsidR="00A93B38">
        <w:rPr>
          <w:sz w:val="24"/>
          <w:szCs w:val="24"/>
          <w:lang w:val="sr-Cyrl-RS"/>
        </w:rPr>
        <w:t>податке</w:t>
      </w:r>
      <w:r w:rsidRPr="003B2126">
        <w:rPr>
          <w:sz w:val="24"/>
          <w:szCs w:val="24"/>
          <w:lang w:val="sr-Cyrl-RS"/>
        </w:rPr>
        <w:t xml:space="preserve">, и показатељ је да индивидуализоване мере подршке дају резултате. Да би се запослени у образовању оснажили да препознају ученике у ризику од осипања и да им пруже адекватну подршку, на листу обука од јавног интереса </w:t>
      </w:r>
      <w:r w:rsidR="006E5624">
        <w:rPr>
          <w:sz w:val="24"/>
          <w:szCs w:val="24"/>
          <w:lang w:val="sr-Cyrl-RS"/>
        </w:rPr>
        <w:t xml:space="preserve">уведен </w:t>
      </w:r>
      <w:r w:rsidRPr="003B2126">
        <w:rPr>
          <w:sz w:val="24"/>
          <w:szCs w:val="24"/>
          <w:lang w:val="sr-Cyrl-RS"/>
        </w:rPr>
        <w:t>је програм обуке за рану идентификацију и спречавање осипања ученика и урађени су приручници за школе на ову тему. Акредитована су још три програма и спроведене обуке за јачање капацитета преко 2</w:t>
      </w:r>
      <w:r w:rsidR="006E5624">
        <w:rPr>
          <w:sz w:val="24"/>
          <w:szCs w:val="24"/>
          <w:lang w:val="sr-Cyrl-RS"/>
        </w:rPr>
        <w:t>.</w:t>
      </w:r>
      <w:r w:rsidRPr="003B2126">
        <w:rPr>
          <w:sz w:val="24"/>
          <w:szCs w:val="24"/>
          <w:lang w:val="sr-Cyrl-RS"/>
        </w:rPr>
        <w:t>000 запослених у образовању за превенцију осипања, активности на укључивању и учешћу све деце и ученика кроз образовање.</w:t>
      </w:r>
    </w:p>
    <w:p w:rsidR="007B3F8F" w:rsidRDefault="007B3F8F" w:rsidP="007B3F8F">
      <w:pPr>
        <w:spacing w:after="0"/>
        <w:jc w:val="both"/>
        <w:rPr>
          <w:b/>
          <w:i/>
          <w:sz w:val="24"/>
          <w:szCs w:val="24"/>
          <w:lang w:val="sr-Cyrl-RS"/>
        </w:rPr>
      </w:pPr>
    </w:p>
    <w:p w:rsidR="00177943" w:rsidRPr="00F333CD" w:rsidRDefault="00177943" w:rsidP="00F333CD">
      <w:pPr>
        <w:pStyle w:val="Heading2"/>
        <w:jc w:val="center"/>
        <w:rPr>
          <w:rFonts w:ascii="Times New Roman" w:hAnsi="Times New Roman" w:cs="Times New Roman"/>
          <w:b/>
          <w:sz w:val="24"/>
          <w:szCs w:val="24"/>
          <w:lang w:val="sr-Cyrl-RS"/>
        </w:rPr>
      </w:pPr>
      <w:bookmarkStart w:id="32" w:name="_Toc111191347"/>
      <w:r w:rsidRPr="00F333CD">
        <w:rPr>
          <w:rFonts w:ascii="Times New Roman" w:hAnsi="Times New Roman" w:cs="Times New Roman"/>
          <w:b/>
          <w:color w:val="auto"/>
          <w:sz w:val="24"/>
          <w:szCs w:val="24"/>
          <w:lang w:val="sr-Cyrl-RS"/>
        </w:rPr>
        <w:t>Члан 14. Оквирне конвенције</w:t>
      </w:r>
      <w:bookmarkEnd w:id="32"/>
    </w:p>
    <w:p w:rsidR="00177943" w:rsidRPr="00F333CD" w:rsidRDefault="00177943" w:rsidP="00F333CD">
      <w:pPr>
        <w:pStyle w:val="Heading3"/>
        <w:jc w:val="center"/>
        <w:rPr>
          <w:rFonts w:ascii="Times New Roman" w:hAnsi="Times New Roman" w:cs="Times New Roman"/>
          <w:b/>
          <w:lang w:val="sr-Cyrl-RS"/>
        </w:rPr>
      </w:pPr>
      <w:bookmarkStart w:id="33" w:name="_Toc111191348"/>
      <w:r w:rsidRPr="00F333CD">
        <w:rPr>
          <w:rFonts w:ascii="Times New Roman" w:hAnsi="Times New Roman" w:cs="Times New Roman"/>
          <w:b/>
          <w:color w:val="auto"/>
          <w:lang w:val="sr-Cyrl-RS"/>
        </w:rPr>
        <w:t>Настава на језицима мањине и настава језика мањине, укључујући наставне материјале</w:t>
      </w:r>
      <w:bookmarkEnd w:id="33"/>
    </w:p>
    <w:p w:rsidR="00177943" w:rsidRPr="00515352" w:rsidRDefault="00177943" w:rsidP="00177943">
      <w:pPr>
        <w:spacing w:after="0"/>
        <w:jc w:val="center"/>
        <w:rPr>
          <w:b/>
          <w:sz w:val="24"/>
          <w:szCs w:val="24"/>
          <w:lang w:val="sr-Cyrl-RS"/>
        </w:rPr>
      </w:pPr>
    </w:p>
    <w:p w:rsidR="00177943" w:rsidRDefault="00177943" w:rsidP="00177943">
      <w:pPr>
        <w:spacing w:after="0"/>
        <w:jc w:val="both"/>
        <w:rPr>
          <w:sz w:val="24"/>
          <w:szCs w:val="24"/>
          <w:lang w:val="sr-Cyrl-RS"/>
        </w:rPr>
      </w:pPr>
      <w:r>
        <w:rPr>
          <w:i/>
          <w:sz w:val="24"/>
          <w:szCs w:val="24"/>
          <w:lang w:val="sr-Cyrl-RS"/>
        </w:rPr>
        <w:t xml:space="preserve">105. </w:t>
      </w:r>
      <w:r w:rsidR="00D77101" w:rsidRPr="00D77101">
        <w:rPr>
          <w:i/>
          <w:sz w:val="24"/>
          <w:szCs w:val="24"/>
          <w:lang w:val="sr-Cyrl-RS"/>
        </w:rPr>
        <w:t>Саветодавни комитет позива власти да предузму неопходне мере за попуњавање једногодишњег јаза између ревизије националног наставног плана и програма и издања ревидираних материјала на језицима мањина. Такође позива власти да пронађу одговарајуће и брзо спроводљиво решење за материјале на албанском језику.</w:t>
      </w:r>
    </w:p>
    <w:p w:rsidR="00177943" w:rsidRDefault="00177943" w:rsidP="00AD7EA3">
      <w:pPr>
        <w:spacing w:after="0"/>
        <w:jc w:val="both"/>
        <w:rPr>
          <w:sz w:val="24"/>
          <w:szCs w:val="24"/>
          <w:lang w:val="sr-Cyrl-RS"/>
        </w:rPr>
      </w:pPr>
    </w:p>
    <w:p w:rsidR="00021C03" w:rsidRDefault="00021C03" w:rsidP="00A53AB8">
      <w:pPr>
        <w:spacing w:after="0"/>
        <w:ind w:firstLine="720"/>
        <w:jc w:val="both"/>
        <w:rPr>
          <w:sz w:val="24"/>
          <w:szCs w:val="24"/>
          <w:lang w:val="sr-Cyrl-RS"/>
        </w:rPr>
      </w:pPr>
      <w:r w:rsidRPr="00021C03">
        <w:rPr>
          <w:sz w:val="24"/>
          <w:szCs w:val="24"/>
          <w:lang w:val="sr-Cyrl-RS"/>
        </w:rPr>
        <w:t>Након подношења Четвртог периодичног извештаја Република Србија је наставила да улаже напоре у циљу обезбеђивања свих недостајућих уџбеника, посебно се усмеривши на решавања питања обезбеђивања уџбеника на албанском језику. Процес прибављања недостајућих нискотиражних уџбеника на језицима националне мањине значајно је унапређен формирањем Центра за нискотиражне уџбенике и доношењем Правилника о издавању нискотиражних уџбеника.</w:t>
      </w:r>
      <w:r w:rsidR="003A60E4">
        <w:rPr>
          <w:rStyle w:val="FootnoteReference"/>
          <w:sz w:val="24"/>
          <w:szCs w:val="24"/>
          <w:lang w:val="sr-Cyrl-RS"/>
        </w:rPr>
        <w:footnoteReference w:id="100"/>
      </w:r>
    </w:p>
    <w:p w:rsidR="00021C03" w:rsidRDefault="00021C03" w:rsidP="00A53AB8">
      <w:pPr>
        <w:spacing w:after="0"/>
        <w:ind w:firstLine="720"/>
        <w:jc w:val="both"/>
        <w:rPr>
          <w:sz w:val="24"/>
          <w:szCs w:val="24"/>
          <w:lang w:val="sr-Cyrl-RS"/>
        </w:rPr>
      </w:pPr>
      <w:r>
        <w:rPr>
          <w:sz w:val="24"/>
          <w:szCs w:val="24"/>
          <w:lang w:val="sr-Cyrl-RS"/>
        </w:rPr>
        <w:t>Курикуларна реформа</w:t>
      </w:r>
      <w:r w:rsidR="003A60E4">
        <w:rPr>
          <w:sz w:val="24"/>
          <w:szCs w:val="24"/>
          <w:lang w:val="sr-Cyrl-RS"/>
        </w:rPr>
        <w:t xml:space="preserve"> образовног система</w:t>
      </w:r>
      <w:r w:rsidRPr="00021C03">
        <w:rPr>
          <w:sz w:val="24"/>
          <w:szCs w:val="24"/>
          <w:lang w:val="sr-Cyrl-RS"/>
        </w:rPr>
        <w:t xml:space="preserve">, </w:t>
      </w:r>
      <w:r>
        <w:rPr>
          <w:sz w:val="24"/>
          <w:szCs w:val="24"/>
          <w:lang w:val="sr-Cyrl-RS"/>
        </w:rPr>
        <w:t>која подразумева</w:t>
      </w:r>
      <w:r w:rsidRPr="00021C03">
        <w:rPr>
          <w:sz w:val="24"/>
          <w:szCs w:val="24"/>
          <w:lang w:val="sr-Cyrl-RS"/>
        </w:rPr>
        <w:t xml:space="preserve"> припреме нових програма наставе и учења за све предемете</w:t>
      </w:r>
      <w:r>
        <w:rPr>
          <w:sz w:val="24"/>
          <w:szCs w:val="24"/>
          <w:lang w:val="sr-Cyrl-RS"/>
        </w:rPr>
        <w:t>, отпочела је 2018. године</w:t>
      </w:r>
      <w:r w:rsidRPr="00021C03">
        <w:rPr>
          <w:sz w:val="24"/>
          <w:szCs w:val="24"/>
          <w:lang w:val="sr-Cyrl-RS"/>
        </w:rPr>
        <w:t xml:space="preserve">. Ово заправо значи да </w:t>
      </w:r>
      <w:r w:rsidR="003A60E4">
        <w:rPr>
          <w:sz w:val="24"/>
          <w:szCs w:val="24"/>
          <w:lang w:val="sr-Cyrl-RS"/>
        </w:rPr>
        <w:t>с</w:t>
      </w:r>
      <w:r w:rsidRPr="00021C03">
        <w:rPr>
          <w:sz w:val="24"/>
          <w:szCs w:val="24"/>
          <w:lang w:val="sr-Cyrl-RS"/>
        </w:rPr>
        <w:t>е припрема</w:t>
      </w:r>
      <w:r w:rsidR="003A60E4">
        <w:rPr>
          <w:sz w:val="24"/>
          <w:szCs w:val="24"/>
          <w:lang w:val="sr-Cyrl-RS"/>
        </w:rPr>
        <w:t>ју</w:t>
      </w:r>
      <w:r w:rsidRPr="00021C03">
        <w:rPr>
          <w:sz w:val="24"/>
          <w:szCs w:val="24"/>
          <w:lang w:val="sr-Cyrl-RS"/>
        </w:rPr>
        <w:t xml:space="preserve"> </w:t>
      </w:r>
      <w:r w:rsidR="003A60E4">
        <w:rPr>
          <w:sz w:val="24"/>
          <w:szCs w:val="24"/>
          <w:lang w:val="sr-Cyrl-RS"/>
        </w:rPr>
        <w:t xml:space="preserve">нови </w:t>
      </w:r>
      <w:r w:rsidRPr="00021C03">
        <w:rPr>
          <w:sz w:val="24"/>
          <w:szCs w:val="24"/>
          <w:lang w:val="sr-Cyrl-RS"/>
        </w:rPr>
        <w:t>уџбени</w:t>
      </w:r>
      <w:r w:rsidR="003A60E4">
        <w:rPr>
          <w:sz w:val="24"/>
          <w:szCs w:val="24"/>
          <w:lang w:val="sr-Cyrl-RS"/>
        </w:rPr>
        <w:t>ци</w:t>
      </w:r>
      <w:r w:rsidRPr="00021C03">
        <w:rPr>
          <w:sz w:val="24"/>
          <w:szCs w:val="24"/>
          <w:lang w:val="sr-Cyrl-RS"/>
        </w:rPr>
        <w:t xml:space="preserve"> за сваки предмет и разред који одговарају новим програмима наставе и учења. Кад се објави нови програм наставе и учења за одређени разред, издавачи могу да почну припрему нових уџбеника. Након што се ови уџбеници одобре, уколико су у питању уџбеници на српском језику, може да започне процедура </w:t>
      </w:r>
      <w:r w:rsidRPr="00021C03">
        <w:rPr>
          <w:sz w:val="24"/>
          <w:szCs w:val="24"/>
          <w:lang w:val="sr-Cyrl-RS"/>
        </w:rPr>
        <w:lastRenderedPageBreak/>
        <w:t xml:space="preserve">превода и одобравање превода на мањинске језике, што показује и зашто постоји одређени </w:t>
      </w:r>
      <w:r w:rsidR="00A53AB8">
        <w:rPr>
          <w:sz w:val="24"/>
          <w:szCs w:val="24"/>
          <w:lang w:val="sr-Cyrl-RS"/>
        </w:rPr>
        <w:t xml:space="preserve">временски </w:t>
      </w:r>
      <w:r w:rsidRPr="00021C03">
        <w:rPr>
          <w:sz w:val="24"/>
          <w:szCs w:val="24"/>
          <w:lang w:val="sr-Cyrl-RS"/>
        </w:rPr>
        <w:t xml:space="preserve">јаз између </w:t>
      </w:r>
      <w:r w:rsidR="00A53AB8">
        <w:rPr>
          <w:sz w:val="24"/>
          <w:szCs w:val="24"/>
          <w:lang w:val="sr-Cyrl-RS"/>
        </w:rPr>
        <w:t xml:space="preserve">увођења у наставни процес </w:t>
      </w:r>
      <w:r w:rsidRPr="00021C03">
        <w:rPr>
          <w:sz w:val="24"/>
          <w:szCs w:val="24"/>
          <w:lang w:val="sr-Cyrl-RS"/>
        </w:rPr>
        <w:t>уџбеника на језицима националних мањина и уџбеника на српском језику. Међутим, издавачи могу да раде и на издавању ауторских уџбеника на мањинским језицима (што је најчешће случај за матерњи језик и књижевност, и предмете од националног значаја за националну мањину – историја, географија, музичка и ликовна култура, свет око нас/природа и друштво) и у тим случајевима нема значајног кашњења.</w:t>
      </w:r>
    </w:p>
    <w:p w:rsidR="00D77101" w:rsidRDefault="003A60E4" w:rsidP="00A53AB8">
      <w:pPr>
        <w:spacing w:after="0"/>
        <w:ind w:firstLine="720"/>
        <w:jc w:val="both"/>
        <w:rPr>
          <w:sz w:val="24"/>
          <w:szCs w:val="24"/>
          <w:lang w:val="sr-Cyrl-RS"/>
        </w:rPr>
      </w:pPr>
      <w:r>
        <w:rPr>
          <w:sz w:val="24"/>
          <w:szCs w:val="24"/>
          <w:lang w:val="sr-Cyrl-RS"/>
        </w:rPr>
        <w:t>До сада су у</w:t>
      </w:r>
      <w:r w:rsidR="00D77101" w:rsidRPr="00D77101">
        <w:rPr>
          <w:sz w:val="24"/>
          <w:szCs w:val="24"/>
          <w:lang w:val="sr-Cyrl-RS"/>
        </w:rPr>
        <w:t xml:space="preserve">својени реформисани програми наставе и учења за основну школу за предмет Матерњи језик и Матерњи језик и књижевност за </w:t>
      </w:r>
      <w:r>
        <w:rPr>
          <w:sz w:val="24"/>
          <w:szCs w:val="24"/>
          <w:lang w:val="sr-Cyrl-RS"/>
        </w:rPr>
        <w:t xml:space="preserve">свих </w:t>
      </w:r>
      <w:r w:rsidR="00F471CC">
        <w:rPr>
          <w:sz w:val="24"/>
          <w:szCs w:val="24"/>
          <w:lang w:val="sr-Cyrl-RS"/>
        </w:rPr>
        <w:t xml:space="preserve">осам </w:t>
      </w:r>
      <w:r w:rsidR="00D77101" w:rsidRPr="00D77101">
        <w:rPr>
          <w:sz w:val="24"/>
          <w:szCs w:val="24"/>
          <w:lang w:val="sr-Cyrl-RS"/>
        </w:rPr>
        <w:t>језика националних ма</w:t>
      </w:r>
      <w:r w:rsidR="000B1337">
        <w:rPr>
          <w:sz w:val="24"/>
          <w:szCs w:val="24"/>
          <w:lang w:val="sr-Cyrl-RS"/>
        </w:rPr>
        <w:t>њ</w:t>
      </w:r>
      <w:r w:rsidR="00D77101" w:rsidRPr="00D77101">
        <w:rPr>
          <w:sz w:val="24"/>
          <w:szCs w:val="24"/>
          <w:lang w:val="sr-Cyrl-RS"/>
        </w:rPr>
        <w:t>ина који остварују целокупно образовање на свом матерњем језику. Поред тога</w:t>
      </w:r>
      <w:r w:rsidR="00A53AB8">
        <w:rPr>
          <w:sz w:val="24"/>
          <w:szCs w:val="24"/>
          <w:lang w:val="sr-Cyrl-RS"/>
        </w:rPr>
        <w:t>,</w:t>
      </w:r>
      <w:r w:rsidR="00D77101" w:rsidRPr="00D77101">
        <w:rPr>
          <w:sz w:val="24"/>
          <w:szCs w:val="24"/>
          <w:lang w:val="sr-Cyrl-RS"/>
        </w:rPr>
        <w:t xml:space="preserve"> усвојени су и реформисани програми наставе и учења за изборни програм Матерњи језик/говор са елементима националне културе за 16 језика/говора. Такође</w:t>
      </w:r>
      <w:r w:rsidR="00F471CC">
        <w:rPr>
          <w:sz w:val="24"/>
          <w:szCs w:val="24"/>
          <w:lang w:val="sr-Cyrl-RS"/>
        </w:rPr>
        <w:t>,</w:t>
      </w:r>
      <w:r w:rsidR="00D77101" w:rsidRPr="00D77101">
        <w:rPr>
          <w:sz w:val="24"/>
          <w:szCs w:val="24"/>
          <w:lang w:val="sr-Cyrl-RS"/>
        </w:rPr>
        <w:t xml:space="preserve"> усвојени су и реформисани програми наставе и учења и за средње школе и гимназије које остварују наставу на једном од </w:t>
      </w:r>
      <w:r w:rsidR="00F471CC">
        <w:rPr>
          <w:sz w:val="24"/>
          <w:szCs w:val="24"/>
          <w:lang w:val="sr-Cyrl-RS"/>
        </w:rPr>
        <w:t xml:space="preserve">осам </w:t>
      </w:r>
      <w:r w:rsidR="00D77101" w:rsidRPr="00D77101">
        <w:rPr>
          <w:sz w:val="24"/>
          <w:szCs w:val="24"/>
          <w:lang w:val="sr-Cyrl-RS"/>
        </w:rPr>
        <w:t xml:space="preserve">језика националне мањине. </w:t>
      </w:r>
      <w:r w:rsidR="00A53AB8">
        <w:rPr>
          <w:sz w:val="24"/>
          <w:szCs w:val="24"/>
          <w:lang w:val="sr-Cyrl-RS"/>
        </w:rPr>
        <w:t xml:space="preserve"> </w:t>
      </w:r>
    </w:p>
    <w:p w:rsidR="003A60E4" w:rsidRDefault="003A60E4" w:rsidP="00A53AB8">
      <w:pPr>
        <w:spacing w:after="0"/>
        <w:ind w:firstLine="720"/>
        <w:jc w:val="both"/>
        <w:rPr>
          <w:sz w:val="24"/>
          <w:szCs w:val="24"/>
          <w:lang w:val="sr-Cyrl-RS"/>
        </w:rPr>
      </w:pPr>
      <w:r>
        <w:rPr>
          <w:sz w:val="24"/>
          <w:szCs w:val="24"/>
          <w:lang w:val="sr-Cyrl-RS"/>
        </w:rPr>
        <w:t>Битно је истаћи</w:t>
      </w:r>
      <w:r w:rsidRPr="003A60E4">
        <w:rPr>
          <w:sz w:val="24"/>
          <w:szCs w:val="24"/>
          <w:lang w:val="sr-Cyrl-RS"/>
        </w:rPr>
        <w:t xml:space="preserve"> да су национални савети националних мањина иницијатори припреме уџбеника, као и да они припремају Листу одабраних уџбеника на језицима национал</w:t>
      </w:r>
      <w:r>
        <w:rPr>
          <w:sz w:val="24"/>
          <w:szCs w:val="24"/>
          <w:lang w:val="sr-Cyrl-RS"/>
        </w:rPr>
        <w:t>них мањина у сарадњи са школама</w:t>
      </w:r>
      <w:r w:rsidRPr="003A60E4">
        <w:rPr>
          <w:sz w:val="24"/>
          <w:szCs w:val="24"/>
          <w:lang w:val="sr-Cyrl-RS"/>
        </w:rPr>
        <w:t xml:space="preserve">. </w:t>
      </w:r>
    </w:p>
    <w:p w:rsidR="003A60E4" w:rsidRPr="003A60E4" w:rsidRDefault="003A60E4" w:rsidP="00A53AB8">
      <w:pPr>
        <w:spacing w:after="0"/>
        <w:ind w:firstLine="720"/>
        <w:jc w:val="both"/>
        <w:rPr>
          <w:sz w:val="24"/>
          <w:szCs w:val="24"/>
          <w:lang w:val="sr-Cyrl-RS"/>
        </w:rPr>
      </w:pPr>
      <w:r w:rsidRPr="003A60E4">
        <w:rPr>
          <w:sz w:val="24"/>
          <w:szCs w:val="24"/>
          <w:lang w:val="sr-Cyrl-RS"/>
        </w:rPr>
        <w:t>У Каталогу уџбеника на језицима националних мањина за школску 2022/23. годину</w:t>
      </w:r>
      <w:r w:rsidR="00510398">
        <w:rPr>
          <w:rStyle w:val="FootnoteReference"/>
          <w:sz w:val="24"/>
          <w:szCs w:val="24"/>
          <w:lang w:val="sr-Cyrl-RS"/>
        </w:rPr>
        <w:footnoteReference w:id="101"/>
      </w:r>
      <w:r w:rsidRPr="003A60E4">
        <w:rPr>
          <w:sz w:val="24"/>
          <w:szCs w:val="24"/>
          <w:lang w:val="sr-Cyrl-RS"/>
        </w:rPr>
        <w:t xml:space="preserve"> доступно је укупно је 946 уџбеничких јединица, од којих је 482 објављено по реформисаним програмима наставе и учења. Додатно, у Каталогу се налаз</w:t>
      </w:r>
      <w:r w:rsidR="006E5624">
        <w:rPr>
          <w:sz w:val="24"/>
          <w:szCs w:val="24"/>
          <w:lang w:val="sr-Cyrl-RS"/>
        </w:rPr>
        <w:t>е</w:t>
      </w:r>
      <w:r w:rsidRPr="003A60E4">
        <w:rPr>
          <w:sz w:val="24"/>
          <w:szCs w:val="24"/>
          <w:lang w:val="sr-Cyrl-RS"/>
        </w:rPr>
        <w:t xml:space="preserve"> и 24 уџбеника за обавезни предмет Српски као нематерњи језик. </w:t>
      </w:r>
    </w:p>
    <w:p w:rsidR="00D77101" w:rsidRDefault="00510398" w:rsidP="00A53AB8">
      <w:pPr>
        <w:spacing w:after="0"/>
        <w:ind w:firstLine="720"/>
        <w:jc w:val="both"/>
        <w:rPr>
          <w:sz w:val="24"/>
          <w:szCs w:val="24"/>
          <w:lang w:val="sr-Cyrl-RS"/>
        </w:rPr>
      </w:pPr>
      <w:r>
        <w:rPr>
          <w:sz w:val="24"/>
          <w:szCs w:val="24"/>
          <w:lang w:val="sr-Cyrl-RS"/>
        </w:rPr>
        <w:t>З</w:t>
      </w:r>
      <w:r w:rsidR="00D77101" w:rsidRPr="00D77101">
        <w:rPr>
          <w:sz w:val="24"/>
          <w:szCs w:val="24"/>
          <w:lang w:val="sr-Cyrl-RS"/>
        </w:rPr>
        <w:t>начај</w:t>
      </w:r>
      <w:r>
        <w:rPr>
          <w:sz w:val="24"/>
          <w:szCs w:val="24"/>
          <w:lang w:val="sr-Cyrl-RS"/>
        </w:rPr>
        <w:t>ан</w:t>
      </w:r>
      <w:r w:rsidR="00D77101" w:rsidRPr="00D77101">
        <w:rPr>
          <w:sz w:val="24"/>
          <w:szCs w:val="24"/>
          <w:lang w:val="sr-Cyrl-RS"/>
        </w:rPr>
        <w:t xml:space="preserve"> помак </w:t>
      </w:r>
      <w:r>
        <w:rPr>
          <w:sz w:val="24"/>
          <w:szCs w:val="24"/>
          <w:lang w:val="sr-Cyrl-RS"/>
        </w:rPr>
        <w:t xml:space="preserve">учињен </w:t>
      </w:r>
      <w:r w:rsidR="00D77101" w:rsidRPr="00D77101">
        <w:rPr>
          <w:sz w:val="24"/>
          <w:szCs w:val="24"/>
          <w:lang w:val="sr-Cyrl-RS"/>
        </w:rPr>
        <w:t>је успостављање</w:t>
      </w:r>
      <w:r>
        <w:rPr>
          <w:sz w:val="24"/>
          <w:szCs w:val="24"/>
          <w:lang w:val="sr-Cyrl-RS"/>
        </w:rPr>
        <w:t>м</w:t>
      </w:r>
      <w:r w:rsidR="00D77101" w:rsidRPr="00D77101">
        <w:rPr>
          <w:sz w:val="24"/>
          <w:szCs w:val="24"/>
          <w:lang w:val="sr-Cyrl-RS"/>
        </w:rPr>
        <w:t xml:space="preserve"> ефикасније сарадње у области прибављања недостајућих уџбеника на албанском језику. Ресорна министарства Републике Србије и Републике Албаније формирал</w:t>
      </w:r>
      <w:r>
        <w:rPr>
          <w:sz w:val="24"/>
          <w:szCs w:val="24"/>
          <w:lang w:val="sr-Cyrl-RS"/>
        </w:rPr>
        <w:t>а</w:t>
      </w:r>
      <w:r w:rsidR="00D77101" w:rsidRPr="00D77101">
        <w:rPr>
          <w:sz w:val="24"/>
          <w:szCs w:val="24"/>
          <w:lang w:val="sr-Cyrl-RS"/>
        </w:rPr>
        <w:t xml:space="preserve"> су мешовите радне групе експерата, које раде на моделима прибављања уџбеника на албанском</w:t>
      </w:r>
      <w:r>
        <w:rPr>
          <w:sz w:val="24"/>
          <w:szCs w:val="24"/>
          <w:lang w:val="sr-Cyrl-RS"/>
        </w:rPr>
        <w:t>,</w:t>
      </w:r>
      <w:r w:rsidR="00D77101" w:rsidRPr="00D77101">
        <w:rPr>
          <w:sz w:val="24"/>
          <w:szCs w:val="24"/>
          <w:lang w:val="sr-Cyrl-RS"/>
        </w:rPr>
        <w:t xml:space="preserve"> односно српском језику. У Радној групи коју је министар просвете Републике Србије формирао у мају 2019. године</w:t>
      </w:r>
      <w:r w:rsidR="00A53AB8">
        <w:rPr>
          <w:sz w:val="24"/>
          <w:szCs w:val="24"/>
          <w:lang w:val="sr-Cyrl-RS"/>
        </w:rPr>
        <w:t xml:space="preserve">, осим представника надлежних органа, </w:t>
      </w:r>
      <w:r w:rsidR="00D77101" w:rsidRPr="00D77101">
        <w:rPr>
          <w:sz w:val="24"/>
          <w:szCs w:val="24"/>
          <w:lang w:val="sr-Cyrl-RS"/>
        </w:rPr>
        <w:t xml:space="preserve">налазе се </w:t>
      </w:r>
      <w:r w:rsidR="00A53AB8">
        <w:rPr>
          <w:sz w:val="24"/>
          <w:szCs w:val="24"/>
          <w:lang w:val="sr-Cyrl-RS"/>
        </w:rPr>
        <w:t xml:space="preserve">и </w:t>
      </w:r>
      <w:r w:rsidR="00D77101" w:rsidRPr="00D77101">
        <w:rPr>
          <w:sz w:val="24"/>
          <w:szCs w:val="24"/>
          <w:lang w:val="sr-Cyrl-RS"/>
        </w:rPr>
        <w:t>представници Националног савета албанске националне мањине</w:t>
      </w:r>
      <w:r w:rsidR="00A53AB8">
        <w:rPr>
          <w:sz w:val="24"/>
          <w:szCs w:val="24"/>
          <w:lang w:val="sr-Cyrl-RS"/>
        </w:rPr>
        <w:t xml:space="preserve"> и</w:t>
      </w:r>
      <w:r w:rsidR="00D77101" w:rsidRPr="00D77101">
        <w:rPr>
          <w:sz w:val="24"/>
          <w:szCs w:val="24"/>
          <w:lang w:val="sr-Cyrl-RS"/>
        </w:rPr>
        <w:t xml:space="preserve"> Координационог тела Владе Републике Србије за општине Прешево, Бујановац и Медвеђа. </w:t>
      </w:r>
      <w:r w:rsidR="00A53AB8">
        <w:rPr>
          <w:sz w:val="24"/>
          <w:szCs w:val="24"/>
          <w:lang w:val="sr-Cyrl-RS"/>
        </w:rPr>
        <w:t xml:space="preserve">Рад ове групе </w:t>
      </w:r>
      <w:r w:rsidR="00D77101" w:rsidRPr="00D77101">
        <w:rPr>
          <w:sz w:val="24"/>
          <w:szCs w:val="24"/>
          <w:lang w:val="sr-Cyrl-RS"/>
        </w:rPr>
        <w:t>је</w:t>
      </w:r>
      <w:r w:rsidR="00A53AB8">
        <w:rPr>
          <w:sz w:val="24"/>
          <w:szCs w:val="24"/>
          <w:lang w:val="sr-Cyrl-RS"/>
        </w:rPr>
        <w:t xml:space="preserve"> резултирао</w:t>
      </w:r>
      <w:r w:rsidR="00D77101" w:rsidRPr="00D77101">
        <w:rPr>
          <w:sz w:val="24"/>
          <w:szCs w:val="24"/>
          <w:lang w:val="sr-Cyrl-RS"/>
        </w:rPr>
        <w:t xml:space="preserve"> афирмативни</w:t>
      </w:r>
      <w:r w:rsidR="00A53AB8">
        <w:rPr>
          <w:sz w:val="24"/>
          <w:szCs w:val="24"/>
          <w:lang w:val="sr-Cyrl-RS"/>
        </w:rPr>
        <w:t>м</w:t>
      </w:r>
      <w:r w:rsidR="00D77101" w:rsidRPr="00D77101">
        <w:rPr>
          <w:sz w:val="24"/>
          <w:szCs w:val="24"/>
          <w:lang w:val="sr-Cyrl-RS"/>
        </w:rPr>
        <w:t xml:space="preserve"> приступ</w:t>
      </w:r>
      <w:r w:rsidR="00A53AB8">
        <w:rPr>
          <w:sz w:val="24"/>
          <w:szCs w:val="24"/>
          <w:lang w:val="sr-Cyrl-RS"/>
        </w:rPr>
        <w:t xml:space="preserve">ом у </w:t>
      </w:r>
      <w:r w:rsidR="00D77101" w:rsidRPr="00D77101">
        <w:rPr>
          <w:sz w:val="24"/>
          <w:szCs w:val="24"/>
          <w:lang w:val="sr-Cyrl-RS"/>
        </w:rPr>
        <w:t>одобравањ</w:t>
      </w:r>
      <w:r w:rsidR="00A53AB8">
        <w:rPr>
          <w:sz w:val="24"/>
          <w:szCs w:val="24"/>
          <w:lang w:val="sr-Cyrl-RS"/>
        </w:rPr>
        <w:t>у</w:t>
      </w:r>
      <w:r w:rsidR="00D77101" w:rsidRPr="00D77101">
        <w:rPr>
          <w:sz w:val="24"/>
          <w:szCs w:val="24"/>
          <w:lang w:val="sr-Cyrl-RS"/>
        </w:rPr>
        <w:t xml:space="preserve"> уџбеника на албанском језику</w:t>
      </w:r>
      <w:r w:rsidR="00A53AB8">
        <w:rPr>
          <w:sz w:val="24"/>
          <w:szCs w:val="24"/>
          <w:lang w:val="sr-Cyrl-RS"/>
        </w:rPr>
        <w:t>.</w:t>
      </w:r>
      <w:r w:rsidR="00D77101" w:rsidRPr="00D77101">
        <w:rPr>
          <w:sz w:val="24"/>
          <w:szCs w:val="24"/>
          <w:lang w:val="sr-Cyrl-RS"/>
        </w:rPr>
        <w:t xml:space="preserve"> </w:t>
      </w:r>
      <w:r w:rsidR="00A53AB8">
        <w:rPr>
          <w:sz w:val="24"/>
          <w:szCs w:val="24"/>
          <w:lang w:val="sr-Cyrl-RS"/>
        </w:rPr>
        <w:t>Наиме,</w:t>
      </w:r>
      <w:r w:rsidR="00D77101" w:rsidRPr="00D77101">
        <w:rPr>
          <w:sz w:val="24"/>
          <w:szCs w:val="24"/>
          <w:lang w:val="sr-Cyrl-RS"/>
        </w:rPr>
        <w:t xml:space="preserve"> Комисиј</w:t>
      </w:r>
      <w:r w:rsidR="00A53AB8">
        <w:rPr>
          <w:sz w:val="24"/>
          <w:szCs w:val="24"/>
          <w:lang w:val="sr-Cyrl-RS"/>
        </w:rPr>
        <w:t>а</w:t>
      </w:r>
      <w:r w:rsidR="00D77101" w:rsidRPr="00D77101">
        <w:rPr>
          <w:sz w:val="24"/>
          <w:szCs w:val="24"/>
          <w:lang w:val="sr-Cyrl-RS"/>
        </w:rPr>
        <w:t xml:space="preserve"> за стручну оцену квалитета рукописа уџбеника на албанском језику за основну </w:t>
      </w:r>
      <w:r>
        <w:rPr>
          <w:sz w:val="24"/>
          <w:szCs w:val="24"/>
          <w:lang w:val="sr-Cyrl-RS"/>
        </w:rPr>
        <w:t>школу је у периоду од 2019. до</w:t>
      </w:r>
      <w:r w:rsidR="00D77101" w:rsidRPr="00D77101">
        <w:rPr>
          <w:sz w:val="24"/>
          <w:szCs w:val="24"/>
          <w:lang w:val="sr-Cyrl-RS"/>
        </w:rPr>
        <w:t xml:space="preserve"> 2022</w:t>
      </w:r>
      <w:r>
        <w:rPr>
          <w:sz w:val="24"/>
          <w:szCs w:val="24"/>
          <w:lang w:val="sr-Cyrl-RS"/>
        </w:rPr>
        <w:t>.</w:t>
      </w:r>
      <w:r w:rsidR="00D77101" w:rsidRPr="00D77101">
        <w:rPr>
          <w:sz w:val="24"/>
          <w:szCs w:val="24"/>
          <w:lang w:val="sr-Cyrl-RS"/>
        </w:rPr>
        <w:t xml:space="preserve"> прегледала и одобрила 43 рукописа уџбеника на албанском језику, који су постали део Каталог</w:t>
      </w:r>
      <w:r>
        <w:rPr>
          <w:sz w:val="24"/>
          <w:szCs w:val="24"/>
          <w:lang w:val="sr-Cyrl-RS"/>
        </w:rPr>
        <w:t>а</w:t>
      </w:r>
      <w:r w:rsidR="00D77101" w:rsidRPr="00D77101">
        <w:rPr>
          <w:sz w:val="24"/>
          <w:szCs w:val="24"/>
          <w:lang w:val="sr-Cyrl-RS"/>
        </w:rPr>
        <w:t xml:space="preserve"> уџбе</w:t>
      </w:r>
      <w:r>
        <w:rPr>
          <w:sz w:val="24"/>
          <w:szCs w:val="24"/>
          <w:lang w:val="sr-Cyrl-RS"/>
        </w:rPr>
        <w:t>н</w:t>
      </w:r>
      <w:r w:rsidR="00D77101" w:rsidRPr="00D77101">
        <w:rPr>
          <w:sz w:val="24"/>
          <w:szCs w:val="24"/>
          <w:lang w:val="sr-Cyrl-RS"/>
        </w:rPr>
        <w:t>ика на језицима националних мањина. Објављени уџбеници су рађени према реформисаном програму наставе и учења. За рад у предшкол</w:t>
      </w:r>
      <w:r w:rsidR="000B1337">
        <w:rPr>
          <w:sz w:val="24"/>
          <w:szCs w:val="24"/>
          <w:lang w:val="sr-Cyrl-RS"/>
        </w:rPr>
        <w:t>с</w:t>
      </w:r>
      <w:r w:rsidR="00D77101" w:rsidRPr="00D77101">
        <w:rPr>
          <w:sz w:val="24"/>
          <w:szCs w:val="24"/>
          <w:lang w:val="sr-Cyrl-RS"/>
        </w:rPr>
        <w:t>ким установама и наставу у основним и средњим школама за школску 2022</w:t>
      </w:r>
      <w:r w:rsidR="00A53AB8">
        <w:rPr>
          <w:sz w:val="24"/>
          <w:szCs w:val="24"/>
          <w:lang w:val="sr-Cyrl-RS"/>
        </w:rPr>
        <w:t xml:space="preserve">/2023. годину на рапослагању су </w:t>
      </w:r>
      <w:r w:rsidR="00D77101" w:rsidRPr="00D77101">
        <w:rPr>
          <w:sz w:val="24"/>
          <w:szCs w:val="24"/>
          <w:lang w:val="sr-Cyrl-RS"/>
        </w:rPr>
        <w:t>62 уџбеничк</w:t>
      </w:r>
      <w:r w:rsidR="00A53AB8">
        <w:rPr>
          <w:sz w:val="24"/>
          <w:szCs w:val="24"/>
          <w:lang w:val="sr-Cyrl-RS"/>
        </w:rPr>
        <w:t>е</w:t>
      </w:r>
      <w:r w:rsidR="00D77101" w:rsidRPr="00D77101">
        <w:rPr>
          <w:sz w:val="24"/>
          <w:szCs w:val="24"/>
          <w:lang w:val="sr-Cyrl-RS"/>
        </w:rPr>
        <w:t xml:space="preserve"> јединиц</w:t>
      </w:r>
      <w:r w:rsidR="00A53AB8">
        <w:rPr>
          <w:sz w:val="24"/>
          <w:szCs w:val="24"/>
          <w:lang w:val="sr-Cyrl-RS"/>
        </w:rPr>
        <w:t>е</w:t>
      </w:r>
      <w:r w:rsidR="00D77101" w:rsidRPr="00D77101">
        <w:rPr>
          <w:sz w:val="24"/>
          <w:szCs w:val="24"/>
          <w:lang w:val="sr-Cyrl-RS"/>
        </w:rPr>
        <w:t xml:space="preserve"> на албанском језику, од којих је 47 јединица по реформисаним програмима наставе и учења. Овоме треба придодати и </w:t>
      </w:r>
      <w:r w:rsidR="00A53AB8">
        <w:rPr>
          <w:sz w:val="24"/>
          <w:szCs w:val="24"/>
          <w:lang w:val="sr-Cyrl-RS"/>
        </w:rPr>
        <w:t>четири</w:t>
      </w:r>
      <w:r w:rsidR="00D77101" w:rsidRPr="00D77101">
        <w:rPr>
          <w:sz w:val="24"/>
          <w:szCs w:val="24"/>
          <w:lang w:val="sr-Cyrl-RS"/>
        </w:rPr>
        <w:t xml:space="preserve"> уџбеника за обавезни предмет Српски као нематерњи језик. Као посебна подршка ученицима који наставу похађају на албанском језику израђен је Српско-албански</w:t>
      </w:r>
      <w:r>
        <w:rPr>
          <w:sz w:val="24"/>
          <w:szCs w:val="24"/>
          <w:lang w:val="sr-Cyrl-RS"/>
        </w:rPr>
        <w:t>/</w:t>
      </w:r>
      <w:r w:rsidR="00D77101" w:rsidRPr="00D77101">
        <w:rPr>
          <w:sz w:val="24"/>
          <w:szCs w:val="24"/>
          <w:lang w:val="sr-Cyrl-RS"/>
        </w:rPr>
        <w:t>албанско-српски Мали речник/Fjalor i vogël</w:t>
      </w:r>
      <w:r>
        <w:rPr>
          <w:rStyle w:val="FootnoteReference"/>
          <w:sz w:val="24"/>
          <w:szCs w:val="24"/>
          <w:lang w:val="sr-Cyrl-RS"/>
        </w:rPr>
        <w:footnoteReference w:id="102"/>
      </w:r>
      <w:r w:rsidR="00D77101" w:rsidRPr="00D77101">
        <w:rPr>
          <w:sz w:val="24"/>
          <w:szCs w:val="24"/>
          <w:lang w:val="sr-Cyrl-RS"/>
        </w:rPr>
        <w:t xml:space="preserve"> који је промовисан је и </w:t>
      </w:r>
      <w:r w:rsidR="00D77101" w:rsidRPr="00D77101">
        <w:rPr>
          <w:sz w:val="24"/>
          <w:szCs w:val="24"/>
          <w:lang w:val="sr-Cyrl-RS"/>
        </w:rPr>
        <w:lastRenderedPageBreak/>
        <w:t xml:space="preserve">дистрибуиран у 16 основних школа са наставом на албанском језику у општинама Прешево, Бујановац и Медвеђа. </w:t>
      </w:r>
    </w:p>
    <w:p w:rsidR="00510398" w:rsidRDefault="00510398" w:rsidP="00831CE8">
      <w:pPr>
        <w:spacing w:after="0"/>
        <w:ind w:firstLine="720"/>
        <w:jc w:val="both"/>
        <w:rPr>
          <w:sz w:val="24"/>
          <w:szCs w:val="24"/>
          <w:lang w:val="sr-Cyrl-RS"/>
        </w:rPr>
      </w:pPr>
      <w:r w:rsidRPr="00510398">
        <w:rPr>
          <w:sz w:val="24"/>
          <w:szCs w:val="24"/>
          <w:lang w:val="sr-Cyrl-RS"/>
        </w:rPr>
        <w:t>У</w:t>
      </w:r>
      <w:r w:rsidR="00A53AB8">
        <w:rPr>
          <w:sz w:val="24"/>
          <w:szCs w:val="24"/>
          <w:lang w:val="sr-Cyrl-RS"/>
        </w:rPr>
        <w:t xml:space="preserve"> контексту обезбеђивања уџбеника на албанском језику</w:t>
      </w:r>
      <w:r w:rsidR="00831CE8">
        <w:rPr>
          <w:sz w:val="24"/>
          <w:szCs w:val="24"/>
          <w:lang w:val="sr-Cyrl-RS"/>
        </w:rPr>
        <w:t>, важно је истаћи да је</w:t>
      </w:r>
      <w:r w:rsidRPr="00510398">
        <w:rPr>
          <w:sz w:val="24"/>
          <w:szCs w:val="24"/>
          <w:lang w:val="sr-Cyrl-RS"/>
        </w:rPr>
        <w:t xml:space="preserve"> </w:t>
      </w:r>
      <w:r w:rsidR="00831CE8" w:rsidRPr="00831CE8">
        <w:rPr>
          <w:sz w:val="24"/>
          <w:szCs w:val="24"/>
          <w:lang w:val="sr-Cyrl-RS"/>
        </w:rPr>
        <w:t xml:space="preserve">Служба Координационог тела </w:t>
      </w:r>
      <w:r w:rsidR="00831CE8">
        <w:rPr>
          <w:sz w:val="24"/>
          <w:szCs w:val="24"/>
          <w:lang w:val="sr-Cyrl-RS"/>
        </w:rPr>
        <w:t xml:space="preserve">у </w:t>
      </w:r>
      <w:r w:rsidRPr="00510398">
        <w:rPr>
          <w:sz w:val="24"/>
          <w:szCs w:val="24"/>
          <w:lang w:val="sr-Cyrl-RS"/>
        </w:rPr>
        <w:t>сарадњи са Министарством просвете, науке и технолошког развоја и Националним саветом албанске националне мањине, за школску 2020/2021. годину</w:t>
      </w:r>
      <w:r w:rsidR="00831CE8">
        <w:rPr>
          <w:sz w:val="24"/>
          <w:szCs w:val="24"/>
          <w:lang w:val="sr-Cyrl-RS"/>
        </w:rPr>
        <w:t>,</w:t>
      </w:r>
      <w:r w:rsidRPr="00510398">
        <w:rPr>
          <w:sz w:val="24"/>
          <w:szCs w:val="24"/>
          <w:lang w:val="sr-Cyrl-RS"/>
        </w:rPr>
        <w:t xml:space="preserve"> обезбедила додатна средства Националном савету за плаћење такси </w:t>
      </w:r>
      <w:r w:rsidR="00831CE8">
        <w:rPr>
          <w:sz w:val="24"/>
          <w:szCs w:val="24"/>
          <w:lang w:val="sr-Cyrl-RS"/>
        </w:rPr>
        <w:t>одговарајућо</w:t>
      </w:r>
      <w:r w:rsidR="00F471CC">
        <w:rPr>
          <w:sz w:val="24"/>
          <w:szCs w:val="24"/>
          <w:lang w:val="sr-Cyrl-RS"/>
        </w:rPr>
        <w:t>ј</w:t>
      </w:r>
      <w:r w:rsidR="00831CE8">
        <w:rPr>
          <w:sz w:val="24"/>
          <w:szCs w:val="24"/>
          <w:lang w:val="sr-Cyrl-RS"/>
        </w:rPr>
        <w:t xml:space="preserve"> </w:t>
      </w:r>
      <w:r w:rsidRPr="00510398">
        <w:rPr>
          <w:sz w:val="24"/>
          <w:szCs w:val="24"/>
          <w:lang w:val="sr-Cyrl-RS"/>
        </w:rPr>
        <w:t>издавачкој кући у износу од 1.080.000,00 динара. Овим средствима је обезбеђено 15 нових уџбеника за основне школе у којима се похађа настава на  албанском језику.</w:t>
      </w:r>
      <w:r w:rsidR="00831CE8">
        <w:rPr>
          <w:sz w:val="24"/>
          <w:szCs w:val="24"/>
          <w:lang w:val="sr-Cyrl-RS"/>
        </w:rPr>
        <w:t xml:space="preserve"> </w:t>
      </w:r>
      <w:r w:rsidRPr="00510398">
        <w:rPr>
          <w:sz w:val="24"/>
          <w:szCs w:val="24"/>
          <w:lang w:val="sr-Cyrl-RS"/>
        </w:rPr>
        <w:t>За исте намене је за школску 2021/2022. годину издвојено 1.165.430,00 динара, и то за обезбеђивање недостајућих седам уџбеничких комплета и 12 уџбеника за основне школе у којима се похађа настава на албанском језику.</w:t>
      </w:r>
    </w:p>
    <w:p w:rsidR="00514320" w:rsidRDefault="00514320" w:rsidP="00510398">
      <w:pPr>
        <w:spacing w:after="0"/>
        <w:jc w:val="both"/>
        <w:rPr>
          <w:sz w:val="24"/>
          <w:szCs w:val="24"/>
          <w:lang w:val="sr-Cyrl-RS"/>
        </w:rPr>
      </w:pPr>
    </w:p>
    <w:p w:rsidR="00514320" w:rsidRDefault="00514320" w:rsidP="00510398">
      <w:pPr>
        <w:spacing w:after="0"/>
        <w:jc w:val="both"/>
        <w:rPr>
          <w:i/>
          <w:sz w:val="24"/>
          <w:szCs w:val="24"/>
          <w:lang w:val="sr-Cyrl-RS"/>
        </w:rPr>
      </w:pPr>
      <w:r>
        <w:rPr>
          <w:i/>
          <w:sz w:val="24"/>
          <w:szCs w:val="24"/>
          <w:lang w:val="sr-Cyrl-RS"/>
        </w:rPr>
        <w:t xml:space="preserve">106. </w:t>
      </w:r>
      <w:r w:rsidRPr="00514320">
        <w:rPr>
          <w:i/>
          <w:sz w:val="24"/>
          <w:szCs w:val="24"/>
          <w:lang w:val="sr-Cyrl-RS"/>
        </w:rPr>
        <w:t>Саветодавни комитет подстиче власти да побољшају доступност и квалитет наставе на државном језику, укључујући и када се он подучава као други језик, кроз уравнотежен приступ који садржи паралелне мере за заштиту и унапређење мањинских језика.</w:t>
      </w:r>
    </w:p>
    <w:p w:rsidR="00514320" w:rsidRDefault="00514320" w:rsidP="00510398">
      <w:pPr>
        <w:spacing w:after="0"/>
        <w:jc w:val="both"/>
        <w:rPr>
          <w:i/>
          <w:sz w:val="24"/>
          <w:szCs w:val="24"/>
          <w:lang w:val="sr-Cyrl-RS"/>
        </w:rPr>
      </w:pPr>
    </w:p>
    <w:p w:rsidR="00514320" w:rsidRDefault="00514320" w:rsidP="00514320">
      <w:pPr>
        <w:spacing w:after="0"/>
        <w:ind w:firstLine="720"/>
        <w:jc w:val="both"/>
        <w:rPr>
          <w:sz w:val="24"/>
          <w:szCs w:val="24"/>
          <w:lang w:val="sr-Cyrl-RS"/>
        </w:rPr>
      </w:pPr>
      <w:r w:rsidRPr="00514320">
        <w:rPr>
          <w:sz w:val="24"/>
          <w:szCs w:val="24"/>
          <w:lang w:val="sr-Cyrl-RS"/>
        </w:rPr>
        <w:t xml:space="preserve">Одговор на ову препоруку садржан је у одговору на препоруку </w:t>
      </w:r>
      <w:r>
        <w:rPr>
          <w:sz w:val="24"/>
          <w:szCs w:val="24"/>
          <w:lang w:val="sr-Cyrl-RS"/>
        </w:rPr>
        <w:t>11</w:t>
      </w:r>
      <w:r w:rsidRPr="00514320">
        <w:rPr>
          <w:sz w:val="24"/>
          <w:szCs w:val="24"/>
          <w:lang w:val="sr-Cyrl-RS"/>
        </w:rPr>
        <w:t>. из Резолуције Комитета министара.</w:t>
      </w:r>
    </w:p>
    <w:p w:rsidR="0056662A" w:rsidRDefault="0056662A" w:rsidP="0056662A">
      <w:pPr>
        <w:spacing w:after="0"/>
        <w:jc w:val="both"/>
        <w:rPr>
          <w:sz w:val="24"/>
          <w:szCs w:val="24"/>
          <w:lang w:val="sr-Cyrl-RS"/>
        </w:rPr>
      </w:pPr>
    </w:p>
    <w:p w:rsidR="0056662A" w:rsidRPr="00F333CD" w:rsidRDefault="0056662A" w:rsidP="00F333CD">
      <w:pPr>
        <w:pStyle w:val="Heading2"/>
        <w:jc w:val="center"/>
        <w:rPr>
          <w:rFonts w:ascii="Times New Roman" w:hAnsi="Times New Roman" w:cs="Times New Roman"/>
          <w:b/>
          <w:sz w:val="24"/>
          <w:szCs w:val="24"/>
          <w:lang w:val="sr-Cyrl-RS"/>
        </w:rPr>
      </w:pPr>
      <w:bookmarkStart w:id="34" w:name="_Toc111191349"/>
      <w:r w:rsidRPr="00F333CD">
        <w:rPr>
          <w:rFonts w:ascii="Times New Roman" w:hAnsi="Times New Roman" w:cs="Times New Roman"/>
          <w:b/>
          <w:color w:val="auto"/>
          <w:sz w:val="24"/>
          <w:szCs w:val="24"/>
          <w:lang w:val="sr-Cyrl-RS"/>
        </w:rPr>
        <w:t>Члан 15. Оквирне конвенције</w:t>
      </w:r>
      <w:bookmarkEnd w:id="34"/>
    </w:p>
    <w:p w:rsidR="0056662A" w:rsidRPr="00F333CD" w:rsidRDefault="0056662A" w:rsidP="00F333CD">
      <w:pPr>
        <w:pStyle w:val="Heading3"/>
        <w:jc w:val="center"/>
        <w:rPr>
          <w:rFonts w:ascii="Times New Roman" w:hAnsi="Times New Roman" w:cs="Times New Roman"/>
          <w:b/>
          <w:lang w:val="sr-Cyrl-RS"/>
        </w:rPr>
      </w:pPr>
      <w:bookmarkStart w:id="35" w:name="_Toc111191350"/>
      <w:r w:rsidRPr="00F333CD">
        <w:rPr>
          <w:rFonts w:ascii="Times New Roman" w:hAnsi="Times New Roman" w:cs="Times New Roman"/>
          <w:b/>
          <w:color w:val="auto"/>
          <w:lang w:val="sr-Cyrl-RS"/>
        </w:rPr>
        <w:t>Институционални оквир за учешће националних мањина у процесу одлучивања</w:t>
      </w:r>
      <w:bookmarkEnd w:id="35"/>
    </w:p>
    <w:p w:rsidR="0056662A" w:rsidRPr="00E60AFC" w:rsidRDefault="0056662A" w:rsidP="0056662A">
      <w:pPr>
        <w:spacing w:after="0"/>
        <w:jc w:val="both"/>
        <w:rPr>
          <w:i/>
          <w:sz w:val="24"/>
          <w:szCs w:val="24"/>
          <w:lang w:val="sr-Cyrl-RS"/>
        </w:rPr>
      </w:pPr>
    </w:p>
    <w:p w:rsidR="0056662A" w:rsidRPr="009F4205" w:rsidRDefault="0056662A" w:rsidP="0056662A">
      <w:pPr>
        <w:spacing w:after="0"/>
        <w:jc w:val="both"/>
        <w:rPr>
          <w:i/>
          <w:sz w:val="24"/>
          <w:szCs w:val="24"/>
          <w:lang w:val="sr-Cyrl-RS"/>
        </w:rPr>
      </w:pPr>
      <w:r w:rsidRPr="009F4205">
        <w:rPr>
          <w:i/>
          <w:sz w:val="24"/>
          <w:szCs w:val="24"/>
          <w:lang w:val="sr-Cyrl-RS"/>
        </w:rPr>
        <w:t xml:space="preserve">114. </w:t>
      </w:r>
      <w:r w:rsidR="007D718E" w:rsidRPr="007D718E">
        <w:rPr>
          <w:i/>
          <w:sz w:val="24"/>
          <w:szCs w:val="24"/>
          <w:lang w:val="sr-Cyrl-RS"/>
        </w:rPr>
        <w:t>Саветодавни комитет позива власти да прате и периодично преиспитују спровођење Закона о националним саветима националних мањина у консултацији са самим саветима и да наруче независну квалитативну студију о функционисању савета, укључујући процену њихове инклузивности, независности и репрезентативности, као и њихове способности да покрену интеркултурални дијалог и ојачају међунационалне односе.</w:t>
      </w:r>
    </w:p>
    <w:p w:rsidR="0056662A" w:rsidRPr="009F4205" w:rsidRDefault="0056662A" w:rsidP="0056662A">
      <w:pPr>
        <w:spacing w:after="0"/>
        <w:jc w:val="both"/>
        <w:rPr>
          <w:i/>
          <w:sz w:val="24"/>
          <w:szCs w:val="24"/>
          <w:lang w:val="sr-Cyrl-RS"/>
        </w:rPr>
      </w:pPr>
    </w:p>
    <w:p w:rsidR="0056662A" w:rsidRDefault="0056662A" w:rsidP="0056662A">
      <w:pPr>
        <w:spacing w:after="0"/>
        <w:ind w:firstLine="720"/>
        <w:jc w:val="both"/>
        <w:rPr>
          <w:sz w:val="24"/>
          <w:szCs w:val="24"/>
          <w:lang w:val="sr-Cyrl-RS"/>
        </w:rPr>
      </w:pPr>
      <w:r>
        <w:rPr>
          <w:sz w:val="24"/>
          <w:szCs w:val="24"/>
          <w:lang w:val="sr-Cyrl-RS"/>
        </w:rPr>
        <w:t>Одговор на ову препоруку садржан је у одговору на препоруку 12. из Резолуције Комитета министара.</w:t>
      </w:r>
    </w:p>
    <w:p w:rsidR="0056662A" w:rsidRDefault="0056662A" w:rsidP="0056662A">
      <w:pPr>
        <w:spacing w:after="0"/>
        <w:jc w:val="both"/>
        <w:rPr>
          <w:sz w:val="24"/>
          <w:szCs w:val="24"/>
          <w:lang w:val="sr-Cyrl-RS"/>
        </w:rPr>
      </w:pPr>
    </w:p>
    <w:p w:rsidR="007D718E" w:rsidRDefault="007D718E" w:rsidP="0056662A">
      <w:pPr>
        <w:spacing w:after="0"/>
        <w:jc w:val="both"/>
        <w:rPr>
          <w:i/>
          <w:sz w:val="24"/>
          <w:szCs w:val="24"/>
          <w:lang w:val="sr-Cyrl-RS"/>
        </w:rPr>
      </w:pPr>
      <w:r w:rsidRPr="007D718E">
        <w:rPr>
          <w:i/>
          <w:sz w:val="24"/>
          <w:szCs w:val="24"/>
          <w:lang w:val="sr-Cyrl-RS"/>
        </w:rPr>
        <w:t>115.</w:t>
      </w:r>
      <w:r>
        <w:rPr>
          <w:i/>
          <w:sz w:val="24"/>
          <w:szCs w:val="24"/>
        </w:rPr>
        <w:t xml:space="preserve"> </w:t>
      </w:r>
      <w:r w:rsidRPr="007D718E">
        <w:rPr>
          <w:i/>
          <w:sz w:val="24"/>
          <w:szCs w:val="24"/>
          <w:lang w:val="sr-Cyrl-RS"/>
        </w:rPr>
        <w:t>Саветодавни комитет позива власти, а посебно на локалном нивоу, да осмисле и спроведу нове начине представљања и ефективног укључивања припадника националних мањина у процес доношења одлука, у свим подручјима у којима су традиционално настањене националне мањине или где живе у великом броју, укључујући и веће градове.</w:t>
      </w:r>
    </w:p>
    <w:p w:rsidR="007D718E" w:rsidRDefault="007D718E" w:rsidP="0056662A">
      <w:pPr>
        <w:spacing w:after="0"/>
        <w:jc w:val="both"/>
        <w:rPr>
          <w:i/>
          <w:sz w:val="24"/>
          <w:szCs w:val="24"/>
          <w:lang w:val="sr-Cyrl-RS"/>
        </w:rPr>
      </w:pPr>
    </w:p>
    <w:p w:rsidR="005567B0" w:rsidRDefault="00355C97" w:rsidP="00355C97">
      <w:pPr>
        <w:spacing w:after="0"/>
        <w:jc w:val="both"/>
        <w:rPr>
          <w:sz w:val="24"/>
          <w:szCs w:val="24"/>
          <w:lang w:val="sr-Cyrl-RS"/>
        </w:rPr>
      </w:pPr>
      <w:r>
        <w:rPr>
          <w:sz w:val="24"/>
          <w:szCs w:val="24"/>
          <w:lang w:val="sr-Cyrl-RS"/>
        </w:rPr>
        <w:tab/>
        <w:t xml:space="preserve">Власти Републике Србије указују да </w:t>
      </w:r>
      <w:r w:rsidR="00AE7A8C">
        <w:rPr>
          <w:sz w:val="24"/>
          <w:szCs w:val="24"/>
          <w:lang w:val="sr-Cyrl-RS"/>
        </w:rPr>
        <w:t xml:space="preserve">је екстензиван правни оквир за представљање и ефективно укључивања припадника националних мањина у процес доношења одлука од државног до локалног нивоа предвиђен Уставом и одговарајућим законодавством које се делотворно примењује, о чему је Саветодавни комитет у претходним извештајима и државним коментарима подробно обавештаван и о чему се у </w:t>
      </w:r>
      <w:r w:rsidR="00AE7A8C">
        <w:rPr>
          <w:sz w:val="24"/>
          <w:szCs w:val="24"/>
          <w:lang w:val="sr-Cyrl-RS"/>
        </w:rPr>
        <w:lastRenderedPageBreak/>
        <w:t xml:space="preserve">главном позитивно изјашњавао. У том смислу, истичемо да се осмишљавање и спровођење нових начина представљања </w:t>
      </w:r>
      <w:r w:rsidR="00AE7A8C" w:rsidRPr="00AE7A8C">
        <w:rPr>
          <w:sz w:val="24"/>
          <w:szCs w:val="24"/>
          <w:lang w:val="sr-Cyrl-RS"/>
        </w:rPr>
        <w:t>и ефективно</w:t>
      </w:r>
      <w:r w:rsidR="00AE7A8C">
        <w:rPr>
          <w:sz w:val="24"/>
          <w:szCs w:val="24"/>
          <w:lang w:val="sr-Cyrl-RS"/>
        </w:rPr>
        <w:t>г</w:t>
      </w:r>
      <w:r w:rsidR="00AE7A8C" w:rsidRPr="00AE7A8C">
        <w:rPr>
          <w:sz w:val="24"/>
          <w:szCs w:val="24"/>
          <w:lang w:val="sr-Cyrl-RS"/>
        </w:rPr>
        <w:t xml:space="preserve"> укључивања припадника националних мањина </w:t>
      </w:r>
      <w:r w:rsidR="00AE7A8C">
        <w:rPr>
          <w:sz w:val="24"/>
          <w:szCs w:val="24"/>
          <w:lang w:val="sr-Cyrl-RS"/>
        </w:rPr>
        <w:t xml:space="preserve">може односити на учешће организација цивилног друштва </w:t>
      </w:r>
      <w:r w:rsidR="005567B0">
        <w:rPr>
          <w:sz w:val="24"/>
          <w:szCs w:val="24"/>
          <w:lang w:val="sr-Cyrl-RS"/>
        </w:rPr>
        <w:t xml:space="preserve">које окупљају припаднике националних мањина </w:t>
      </w:r>
      <w:r w:rsidR="00AE7A8C">
        <w:rPr>
          <w:sz w:val="24"/>
          <w:szCs w:val="24"/>
          <w:lang w:val="sr-Cyrl-RS"/>
        </w:rPr>
        <w:t xml:space="preserve">и грађана </w:t>
      </w:r>
      <w:r w:rsidR="005567B0">
        <w:rPr>
          <w:sz w:val="24"/>
          <w:szCs w:val="24"/>
          <w:lang w:val="sr-Cyrl-RS"/>
        </w:rPr>
        <w:t xml:space="preserve">– припадника националних мањина </w:t>
      </w:r>
      <w:r w:rsidR="00AE7A8C" w:rsidRPr="00AE7A8C">
        <w:rPr>
          <w:sz w:val="24"/>
          <w:szCs w:val="24"/>
          <w:lang w:val="sr-Cyrl-RS"/>
        </w:rPr>
        <w:t>у процес</w:t>
      </w:r>
      <w:r w:rsidR="005567B0">
        <w:rPr>
          <w:sz w:val="24"/>
          <w:szCs w:val="24"/>
          <w:lang w:val="sr-Cyrl-RS"/>
        </w:rPr>
        <w:t>има</w:t>
      </w:r>
      <w:r w:rsidR="00AE7A8C" w:rsidRPr="00AE7A8C">
        <w:rPr>
          <w:sz w:val="24"/>
          <w:szCs w:val="24"/>
          <w:lang w:val="sr-Cyrl-RS"/>
        </w:rPr>
        <w:t xml:space="preserve"> креирања и спровођења јавних политика</w:t>
      </w:r>
      <w:r w:rsidR="005567B0">
        <w:rPr>
          <w:sz w:val="24"/>
          <w:szCs w:val="24"/>
          <w:lang w:val="sr-Cyrl-RS"/>
        </w:rPr>
        <w:t xml:space="preserve"> кроз подношење одговарајућих иницијатива, јавне консултације, јавне расправе</w:t>
      </w:r>
      <w:r w:rsidR="001C0CAC">
        <w:rPr>
          <w:sz w:val="24"/>
          <w:szCs w:val="24"/>
          <w:lang w:val="sr-Cyrl-RS"/>
        </w:rPr>
        <w:t>,</w:t>
      </w:r>
      <w:r w:rsidR="005567B0">
        <w:rPr>
          <w:sz w:val="24"/>
          <w:szCs w:val="24"/>
          <w:lang w:val="sr-Cyrl-RS"/>
        </w:rPr>
        <w:t xml:space="preserve"> итд. </w:t>
      </w:r>
    </w:p>
    <w:p w:rsidR="00355C97" w:rsidRDefault="005567B0" w:rsidP="005567B0">
      <w:pPr>
        <w:spacing w:after="0"/>
        <w:ind w:firstLine="720"/>
        <w:jc w:val="both"/>
        <w:rPr>
          <w:sz w:val="24"/>
          <w:szCs w:val="24"/>
          <w:lang w:val="sr-Cyrl-RS"/>
        </w:rPr>
      </w:pPr>
      <w:r>
        <w:rPr>
          <w:sz w:val="24"/>
          <w:szCs w:val="24"/>
          <w:lang w:val="sr-Cyrl-RS"/>
        </w:rPr>
        <w:t xml:space="preserve">Такав приступ препознат је и у </w:t>
      </w:r>
      <w:r w:rsidR="00355C97" w:rsidRPr="00F70F7F">
        <w:rPr>
          <w:sz w:val="24"/>
          <w:szCs w:val="24"/>
          <w:lang w:val="sr-Cyrl-RS"/>
        </w:rPr>
        <w:t>Стратегиј</w:t>
      </w:r>
      <w:r w:rsidRPr="00F70F7F">
        <w:rPr>
          <w:sz w:val="24"/>
          <w:szCs w:val="24"/>
          <w:lang w:val="sr-Cyrl-RS"/>
        </w:rPr>
        <w:t>и</w:t>
      </w:r>
      <w:r w:rsidR="00355C97" w:rsidRPr="00F70F7F">
        <w:rPr>
          <w:sz w:val="24"/>
          <w:szCs w:val="24"/>
          <w:lang w:val="sr-Cyrl-RS"/>
        </w:rPr>
        <w:t xml:space="preserve"> за стварање подстицајног окружења за развој цивилног друштва у Републици Србији за период од 2022-2030. године</w:t>
      </w:r>
      <w:r w:rsidR="00051036" w:rsidRPr="00F70F7F">
        <w:rPr>
          <w:rStyle w:val="FootnoteReference"/>
          <w:sz w:val="24"/>
          <w:szCs w:val="24"/>
          <w:lang w:val="sr-Cyrl-RS"/>
        </w:rPr>
        <w:footnoteReference w:id="103"/>
      </w:r>
      <w:r>
        <w:rPr>
          <w:sz w:val="24"/>
          <w:szCs w:val="24"/>
          <w:lang w:val="sr-Cyrl-RS"/>
        </w:rPr>
        <w:t xml:space="preserve"> у којој се истиче да за остварење </w:t>
      </w:r>
      <w:r w:rsidR="00355C97" w:rsidRPr="009743D3">
        <w:rPr>
          <w:sz w:val="24"/>
          <w:szCs w:val="24"/>
          <w:lang w:val="sr-Cyrl-RS"/>
        </w:rPr>
        <w:t>општих интереса, циљева и вредности цивилно друштво у првом реду</w:t>
      </w:r>
      <w:r w:rsidR="00355C97">
        <w:rPr>
          <w:sz w:val="24"/>
          <w:szCs w:val="24"/>
          <w:lang w:val="sr-Cyrl-RS"/>
        </w:rPr>
        <w:t xml:space="preserve"> </w:t>
      </w:r>
      <w:r w:rsidR="00355C97" w:rsidRPr="009743D3">
        <w:rPr>
          <w:sz w:val="24"/>
          <w:szCs w:val="24"/>
          <w:lang w:val="sr-Cyrl-RS"/>
        </w:rPr>
        <w:t>користи начела и механизме партиципативне демократије, у партенерском,</w:t>
      </w:r>
      <w:r w:rsidR="00355C97">
        <w:rPr>
          <w:sz w:val="24"/>
          <w:szCs w:val="24"/>
          <w:lang w:val="sr-Cyrl-RS"/>
        </w:rPr>
        <w:t xml:space="preserve"> </w:t>
      </w:r>
      <w:r w:rsidR="00355C97" w:rsidRPr="009743D3">
        <w:rPr>
          <w:sz w:val="24"/>
          <w:szCs w:val="24"/>
          <w:lang w:val="sr-Cyrl-RS"/>
        </w:rPr>
        <w:t>институционално и нормативно уређеном односу са органима јавне власти на</w:t>
      </w:r>
      <w:r w:rsidR="00355C97">
        <w:rPr>
          <w:sz w:val="24"/>
          <w:szCs w:val="24"/>
          <w:lang w:val="sr-Cyrl-RS"/>
        </w:rPr>
        <w:t xml:space="preserve"> </w:t>
      </w:r>
      <w:r w:rsidR="00355C97" w:rsidRPr="009743D3">
        <w:rPr>
          <w:sz w:val="24"/>
          <w:szCs w:val="24"/>
          <w:lang w:val="sr-Cyrl-RS"/>
        </w:rPr>
        <w:t>националном, покрајинском, а посебно на локалном нивоу. Користећи механизме</w:t>
      </w:r>
      <w:r w:rsidR="00355C97">
        <w:rPr>
          <w:sz w:val="24"/>
          <w:szCs w:val="24"/>
          <w:lang w:val="sr-Cyrl-RS"/>
        </w:rPr>
        <w:t xml:space="preserve"> </w:t>
      </w:r>
      <w:r w:rsidR="00355C97" w:rsidRPr="009743D3">
        <w:rPr>
          <w:sz w:val="24"/>
          <w:szCs w:val="24"/>
          <w:lang w:val="sr-Cyrl-RS"/>
        </w:rPr>
        <w:t>партиципативне демократије грађани као појединци или организовани у оквиру</w:t>
      </w:r>
      <w:r w:rsidR="00355C97">
        <w:rPr>
          <w:sz w:val="24"/>
          <w:szCs w:val="24"/>
          <w:lang w:val="sr-Cyrl-RS"/>
        </w:rPr>
        <w:t xml:space="preserve"> </w:t>
      </w:r>
      <w:r w:rsidR="00355C97" w:rsidRPr="009743D3">
        <w:rPr>
          <w:sz w:val="24"/>
          <w:szCs w:val="24"/>
          <w:lang w:val="sr-Cyrl-RS"/>
        </w:rPr>
        <w:t>организације цивилног друштва</w:t>
      </w:r>
      <w:r>
        <w:rPr>
          <w:sz w:val="24"/>
          <w:szCs w:val="24"/>
          <w:lang w:val="sr-Cyrl-RS"/>
        </w:rPr>
        <w:t xml:space="preserve">, према овој стратегији </w:t>
      </w:r>
      <w:r w:rsidR="00355C97" w:rsidRPr="009743D3">
        <w:rPr>
          <w:sz w:val="24"/>
          <w:szCs w:val="24"/>
          <w:lang w:val="sr-Cyrl-RS"/>
        </w:rPr>
        <w:t>имају могућност да утичу на процесе доношења</w:t>
      </w:r>
      <w:r w:rsidR="00355C97">
        <w:rPr>
          <w:sz w:val="24"/>
          <w:szCs w:val="24"/>
          <w:lang w:val="sr-Cyrl-RS"/>
        </w:rPr>
        <w:t xml:space="preserve"> </w:t>
      </w:r>
      <w:r w:rsidR="00355C97" w:rsidRPr="009743D3">
        <w:rPr>
          <w:sz w:val="24"/>
          <w:szCs w:val="24"/>
          <w:lang w:val="sr-Cyrl-RS"/>
        </w:rPr>
        <w:t>одлука и учествују у друштвено-политичком животу, не само у време избора, већ увек</w:t>
      </w:r>
      <w:r w:rsidR="00355C97">
        <w:rPr>
          <w:sz w:val="24"/>
          <w:szCs w:val="24"/>
          <w:lang w:val="sr-Cyrl-RS"/>
        </w:rPr>
        <w:t xml:space="preserve"> </w:t>
      </w:r>
      <w:r w:rsidR="00355C97" w:rsidRPr="009743D3">
        <w:rPr>
          <w:sz w:val="24"/>
          <w:szCs w:val="24"/>
          <w:lang w:val="sr-Cyrl-RS"/>
        </w:rPr>
        <w:t xml:space="preserve">када сматрају да је то потребно. </w:t>
      </w:r>
    </w:p>
    <w:p w:rsidR="005567B0" w:rsidRDefault="005567B0" w:rsidP="005567B0">
      <w:pPr>
        <w:spacing w:after="0"/>
        <w:ind w:firstLine="720"/>
        <w:jc w:val="both"/>
        <w:rPr>
          <w:sz w:val="24"/>
          <w:szCs w:val="24"/>
          <w:lang w:val="sr-Cyrl-RS"/>
        </w:rPr>
      </w:pPr>
      <w:r>
        <w:rPr>
          <w:sz w:val="24"/>
          <w:szCs w:val="24"/>
          <w:lang w:val="sr-Cyrl-RS"/>
        </w:rPr>
        <w:t xml:space="preserve">Такође, у </w:t>
      </w:r>
      <w:r w:rsidRPr="009743D3">
        <w:rPr>
          <w:sz w:val="24"/>
          <w:szCs w:val="24"/>
          <w:lang w:val="sr-Cyrl-RS"/>
        </w:rPr>
        <w:t>Стратегиј</w:t>
      </w:r>
      <w:r>
        <w:rPr>
          <w:sz w:val="24"/>
          <w:szCs w:val="24"/>
          <w:lang w:val="sr-Cyrl-RS"/>
        </w:rPr>
        <w:t>и</w:t>
      </w:r>
      <w:r w:rsidRPr="009743D3">
        <w:rPr>
          <w:sz w:val="24"/>
          <w:szCs w:val="24"/>
          <w:lang w:val="sr-Cyrl-RS"/>
        </w:rPr>
        <w:t xml:space="preserve"> </w:t>
      </w:r>
      <w:r>
        <w:rPr>
          <w:sz w:val="24"/>
          <w:szCs w:val="24"/>
          <w:lang w:val="sr-Cyrl-RS"/>
        </w:rPr>
        <w:t>за социјално укључивање Рома и Ромкиња истиче се да се ц</w:t>
      </w:r>
      <w:r w:rsidRPr="009743D3">
        <w:rPr>
          <w:sz w:val="24"/>
          <w:szCs w:val="24"/>
          <w:lang w:val="sr-Cyrl-RS"/>
        </w:rPr>
        <w:t>иљеви и мере које се</w:t>
      </w:r>
      <w:r>
        <w:rPr>
          <w:sz w:val="24"/>
          <w:szCs w:val="24"/>
          <w:lang w:val="sr-Cyrl-RS"/>
        </w:rPr>
        <w:t xml:space="preserve"> </w:t>
      </w:r>
      <w:r w:rsidRPr="009743D3">
        <w:rPr>
          <w:sz w:val="24"/>
          <w:szCs w:val="24"/>
          <w:lang w:val="sr-Cyrl-RS"/>
        </w:rPr>
        <w:t>предлажу</w:t>
      </w:r>
      <w:r>
        <w:rPr>
          <w:sz w:val="24"/>
          <w:szCs w:val="24"/>
          <w:lang w:val="sr-Cyrl-RS"/>
        </w:rPr>
        <w:t>, између осталог,</w:t>
      </w:r>
      <w:r w:rsidRPr="009743D3">
        <w:rPr>
          <w:sz w:val="24"/>
          <w:szCs w:val="24"/>
          <w:lang w:val="sr-Cyrl-RS"/>
        </w:rPr>
        <w:t xml:space="preserve"> заснивају на начелима</w:t>
      </w:r>
      <w:r>
        <w:rPr>
          <w:sz w:val="24"/>
          <w:szCs w:val="24"/>
          <w:lang w:val="sr-Cyrl-RS"/>
        </w:rPr>
        <w:t xml:space="preserve"> п</w:t>
      </w:r>
      <w:r w:rsidRPr="009743D3">
        <w:rPr>
          <w:sz w:val="24"/>
          <w:szCs w:val="24"/>
          <w:lang w:val="sr-Cyrl-RS"/>
        </w:rPr>
        <w:t>уно</w:t>
      </w:r>
      <w:r>
        <w:rPr>
          <w:sz w:val="24"/>
          <w:szCs w:val="24"/>
          <w:lang w:val="sr-Cyrl-RS"/>
        </w:rPr>
        <w:t>г</w:t>
      </w:r>
      <w:r w:rsidRPr="009743D3">
        <w:rPr>
          <w:sz w:val="24"/>
          <w:szCs w:val="24"/>
          <w:lang w:val="sr-Cyrl-RS"/>
        </w:rPr>
        <w:t xml:space="preserve"> учешћ</w:t>
      </w:r>
      <w:r>
        <w:rPr>
          <w:sz w:val="24"/>
          <w:szCs w:val="24"/>
          <w:lang w:val="sr-Cyrl-RS"/>
        </w:rPr>
        <w:t>а</w:t>
      </w:r>
      <w:r w:rsidRPr="009743D3">
        <w:rPr>
          <w:sz w:val="24"/>
          <w:szCs w:val="24"/>
          <w:lang w:val="sr-Cyrl-RS"/>
        </w:rPr>
        <w:t xml:space="preserve"> Рома и Ромкиња у свим фазама јавне политике које се тичу њих, </w:t>
      </w:r>
      <w:r>
        <w:rPr>
          <w:sz w:val="24"/>
          <w:szCs w:val="24"/>
          <w:lang w:val="sr-Cyrl-RS"/>
        </w:rPr>
        <w:t>као и на л</w:t>
      </w:r>
      <w:r w:rsidRPr="009743D3">
        <w:rPr>
          <w:sz w:val="24"/>
          <w:szCs w:val="24"/>
          <w:lang w:val="sr-Cyrl-RS"/>
        </w:rPr>
        <w:t>окализациј</w:t>
      </w:r>
      <w:r>
        <w:rPr>
          <w:sz w:val="24"/>
          <w:szCs w:val="24"/>
          <w:lang w:val="sr-Cyrl-RS"/>
        </w:rPr>
        <w:t>и</w:t>
      </w:r>
      <w:r w:rsidRPr="009743D3">
        <w:rPr>
          <w:sz w:val="24"/>
          <w:szCs w:val="24"/>
          <w:lang w:val="sr-Cyrl-RS"/>
        </w:rPr>
        <w:t xml:space="preserve"> мера, односно прилагођавањ</w:t>
      </w:r>
      <w:r>
        <w:rPr>
          <w:sz w:val="24"/>
          <w:szCs w:val="24"/>
          <w:lang w:val="sr-Cyrl-RS"/>
        </w:rPr>
        <w:t>у</w:t>
      </w:r>
      <w:r w:rsidRPr="009743D3">
        <w:rPr>
          <w:sz w:val="24"/>
          <w:szCs w:val="24"/>
          <w:lang w:val="sr-Cyrl-RS"/>
        </w:rPr>
        <w:t xml:space="preserve"> </w:t>
      </w:r>
      <w:r>
        <w:rPr>
          <w:sz w:val="24"/>
          <w:szCs w:val="24"/>
          <w:lang w:val="sr-Cyrl-RS"/>
        </w:rPr>
        <w:t xml:space="preserve">мера </w:t>
      </w:r>
      <w:r w:rsidRPr="009743D3">
        <w:rPr>
          <w:sz w:val="24"/>
          <w:szCs w:val="24"/>
          <w:lang w:val="sr-Cyrl-RS"/>
        </w:rPr>
        <w:t>локалном контексту и подрш</w:t>
      </w:r>
      <w:r>
        <w:rPr>
          <w:sz w:val="24"/>
          <w:szCs w:val="24"/>
          <w:lang w:val="sr-Cyrl-RS"/>
        </w:rPr>
        <w:t>ци</w:t>
      </w:r>
      <w:r w:rsidRPr="009743D3">
        <w:rPr>
          <w:sz w:val="24"/>
          <w:szCs w:val="24"/>
          <w:lang w:val="sr-Cyrl-RS"/>
        </w:rPr>
        <w:t xml:space="preserve"> </w:t>
      </w:r>
      <w:r w:rsidR="00416D14">
        <w:rPr>
          <w:sz w:val="24"/>
          <w:szCs w:val="24"/>
          <w:lang w:val="sr-Cyrl-RS"/>
        </w:rPr>
        <w:t xml:space="preserve">њиховом </w:t>
      </w:r>
      <w:r w:rsidRPr="009743D3">
        <w:rPr>
          <w:sz w:val="24"/>
          <w:szCs w:val="24"/>
          <w:lang w:val="sr-Cyrl-RS"/>
        </w:rPr>
        <w:t>учешћу у циклусу јавне политике за Роме и Ромкиње.</w:t>
      </w:r>
    </w:p>
    <w:p w:rsidR="006C1FBC" w:rsidRDefault="007F0984" w:rsidP="0056662A">
      <w:pPr>
        <w:spacing w:after="0"/>
        <w:jc w:val="both"/>
        <w:rPr>
          <w:sz w:val="24"/>
          <w:szCs w:val="24"/>
          <w:lang w:val="sr-Cyrl-RS"/>
        </w:rPr>
      </w:pPr>
      <w:r>
        <w:rPr>
          <w:sz w:val="24"/>
          <w:szCs w:val="24"/>
        </w:rPr>
        <w:tab/>
      </w:r>
      <w:r>
        <w:rPr>
          <w:sz w:val="24"/>
          <w:szCs w:val="24"/>
          <w:lang w:val="sr-Cyrl-RS"/>
        </w:rPr>
        <w:t xml:space="preserve">У контексту ове препоруке Саветодавног комитета важно је истаћи да је новим </w:t>
      </w:r>
      <w:r w:rsidRPr="00E97877">
        <w:rPr>
          <w:sz w:val="24"/>
          <w:szCs w:val="24"/>
          <w:lang w:val="sr-Cyrl-RS"/>
        </w:rPr>
        <w:t>Законом о планском систему</w:t>
      </w:r>
      <w:r w:rsidR="00E97877" w:rsidRPr="00E97877">
        <w:rPr>
          <w:rStyle w:val="FootnoteReference"/>
          <w:sz w:val="24"/>
          <w:szCs w:val="24"/>
          <w:lang w:val="sr-Cyrl-RS"/>
        </w:rPr>
        <w:footnoteReference w:id="104"/>
      </w:r>
      <w:r>
        <w:rPr>
          <w:sz w:val="24"/>
          <w:szCs w:val="24"/>
          <w:lang w:val="sr-Cyrl-RS"/>
        </w:rPr>
        <w:t xml:space="preserve"> предвиђено да је н</w:t>
      </w:r>
      <w:r w:rsidRPr="007F0984">
        <w:rPr>
          <w:sz w:val="24"/>
          <w:szCs w:val="24"/>
          <w:lang w:val="sr-Cyrl-RS"/>
        </w:rPr>
        <w:t xml:space="preserve">адлежни предлагач </w:t>
      </w:r>
      <w:r>
        <w:rPr>
          <w:sz w:val="24"/>
          <w:szCs w:val="24"/>
          <w:lang w:val="sr-Cyrl-RS"/>
        </w:rPr>
        <w:t xml:space="preserve">докумената јавних политика </w:t>
      </w:r>
      <w:r w:rsidRPr="007F0984">
        <w:rPr>
          <w:sz w:val="24"/>
          <w:szCs w:val="24"/>
          <w:lang w:val="sr-Cyrl-RS"/>
        </w:rPr>
        <w:t xml:space="preserve">дужан да омогући учешће свих заинтересованих страна и циљних група у процесу консултација, које спроводи током израде </w:t>
      </w:r>
      <w:r w:rsidR="00E97877">
        <w:rPr>
          <w:sz w:val="24"/>
          <w:szCs w:val="24"/>
          <w:lang w:val="sr-Cyrl-RS"/>
        </w:rPr>
        <w:t xml:space="preserve">ових </w:t>
      </w:r>
      <w:r w:rsidRPr="007F0984">
        <w:rPr>
          <w:sz w:val="24"/>
          <w:szCs w:val="24"/>
          <w:lang w:val="sr-Cyrl-RS"/>
        </w:rPr>
        <w:t>документа. У зависности од обухвата документа јавне политике</w:t>
      </w:r>
      <w:r w:rsidR="00F471CC">
        <w:rPr>
          <w:sz w:val="24"/>
          <w:szCs w:val="24"/>
          <w:lang w:val="sr-Cyrl-RS"/>
        </w:rPr>
        <w:t>,</w:t>
      </w:r>
      <w:r w:rsidRPr="007F0984">
        <w:rPr>
          <w:sz w:val="24"/>
          <w:szCs w:val="24"/>
          <w:lang w:val="sr-Cyrl-RS"/>
        </w:rPr>
        <w:t xml:space="preserve"> у процес консултација се укључују заинтересоване стране и циљне групе</w:t>
      </w:r>
      <w:r w:rsidR="00E97877">
        <w:rPr>
          <w:sz w:val="24"/>
          <w:szCs w:val="24"/>
          <w:lang w:val="sr-Cyrl-RS"/>
        </w:rPr>
        <w:t>, између осталог, из реда грађана</w:t>
      </w:r>
      <w:r w:rsidRPr="007F0984">
        <w:rPr>
          <w:sz w:val="24"/>
          <w:szCs w:val="24"/>
          <w:lang w:val="sr-Cyrl-RS"/>
        </w:rPr>
        <w:t>, удружења грађана и други</w:t>
      </w:r>
      <w:r w:rsidR="00E97877">
        <w:rPr>
          <w:sz w:val="24"/>
          <w:szCs w:val="24"/>
          <w:lang w:val="sr-Cyrl-RS"/>
        </w:rPr>
        <w:t>х организација цивилног друштва</w:t>
      </w:r>
      <w:r w:rsidRPr="007F0984">
        <w:rPr>
          <w:sz w:val="24"/>
          <w:szCs w:val="24"/>
          <w:lang w:val="sr-Cyrl-RS"/>
        </w:rPr>
        <w:t>.</w:t>
      </w:r>
      <w:r w:rsidR="00E97877">
        <w:rPr>
          <w:sz w:val="24"/>
          <w:szCs w:val="24"/>
          <w:lang w:val="sr-Cyrl-RS"/>
        </w:rPr>
        <w:t xml:space="preserve"> У документе јавних политика спадају стратегије, програми, концепти политике и акциони планови. Такође, у</w:t>
      </w:r>
      <w:r w:rsidR="006C1FBC" w:rsidRPr="006C1FBC">
        <w:rPr>
          <w:sz w:val="24"/>
          <w:szCs w:val="24"/>
          <w:lang w:val="sr-Cyrl-RS"/>
        </w:rPr>
        <w:t xml:space="preserve"> погледу укључивања припадника националних мањина у процес доношења </w:t>
      </w:r>
      <w:r w:rsidR="00E97877">
        <w:rPr>
          <w:sz w:val="24"/>
          <w:szCs w:val="24"/>
          <w:lang w:val="sr-Cyrl-RS"/>
        </w:rPr>
        <w:t>докумената развојног планирања</w:t>
      </w:r>
      <w:r w:rsidR="006C1FBC" w:rsidRPr="006C1FBC">
        <w:rPr>
          <w:sz w:val="24"/>
          <w:szCs w:val="24"/>
          <w:lang w:val="sr-Cyrl-RS"/>
        </w:rPr>
        <w:t>,</w:t>
      </w:r>
      <w:r w:rsidR="00E97877">
        <w:rPr>
          <w:sz w:val="24"/>
          <w:szCs w:val="24"/>
          <w:lang w:val="sr-Cyrl-RS"/>
        </w:rPr>
        <w:t xml:space="preserve"> као планских докумената најширег обухвата,</w:t>
      </w:r>
      <w:r w:rsidR="006C1FBC" w:rsidRPr="006C1FBC">
        <w:rPr>
          <w:sz w:val="24"/>
          <w:szCs w:val="24"/>
          <w:lang w:val="sr-Cyrl-RS"/>
        </w:rPr>
        <w:t xml:space="preserve"> указујемо да је у члану 11. став 2. Закона о локалној самоуправи прописано да се статутом предвиђа спровођење обавезног поступка јавне расправе</w:t>
      </w:r>
      <w:r w:rsidR="001C0CAC">
        <w:rPr>
          <w:sz w:val="24"/>
          <w:szCs w:val="24"/>
          <w:lang w:val="sr-Cyrl-RS"/>
        </w:rPr>
        <w:t>,</w:t>
      </w:r>
      <w:r w:rsidR="006C1FBC" w:rsidRPr="006C1FBC">
        <w:rPr>
          <w:sz w:val="24"/>
          <w:szCs w:val="24"/>
          <w:lang w:val="sr-Cyrl-RS"/>
        </w:rPr>
        <w:t xml:space="preserve"> </w:t>
      </w:r>
      <w:r w:rsidR="00E97877">
        <w:rPr>
          <w:sz w:val="24"/>
          <w:szCs w:val="24"/>
          <w:lang w:val="sr-Cyrl-RS"/>
        </w:rPr>
        <w:t xml:space="preserve">не само </w:t>
      </w:r>
      <w:r w:rsidR="006C1FBC" w:rsidRPr="006C1FBC">
        <w:rPr>
          <w:sz w:val="24"/>
          <w:szCs w:val="24"/>
          <w:lang w:val="sr-Cyrl-RS"/>
        </w:rPr>
        <w:t>приликом припреме статута</w:t>
      </w:r>
      <w:r w:rsidR="00E97877">
        <w:rPr>
          <w:sz w:val="24"/>
          <w:szCs w:val="24"/>
          <w:lang w:val="sr-Cyrl-RS"/>
        </w:rPr>
        <w:t xml:space="preserve"> и буџета јединице локалне самоуправе</w:t>
      </w:r>
      <w:r w:rsidR="006C1FBC" w:rsidRPr="006C1FBC">
        <w:rPr>
          <w:sz w:val="24"/>
          <w:szCs w:val="24"/>
          <w:lang w:val="sr-Cyrl-RS"/>
        </w:rPr>
        <w:t xml:space="preserve">, </w:t>
      </w:r>
      <w:r w:rsidR="00E97877">
        <w:rPr>
          <w:sz w:val="24"/>
          <w:szCs w:val="24"/>
          <w:lang w:val="sr-Cyrl-RS"/>
        </w:rPr>
        <w:t xml:space="preserve">већ и приликом припреме </w:t>
      </w:r>
      <w:r w:rsidR="006C1FBC" w:rsidRPr="006C1FBC">
        <w:rPr>
          <w:sz w:val="24"/>
          <w:szCs w:val="24"/>
          <w:lang w:val="sr-Cyrl-RS"/>
        </w:rPr>
        <w:t>стратешких планова разв</w:t>
      </w:r>
      <w:r w:rsidR="00E97877">
        <w:rPr>
          <w:sz w:val="24"/>
          <w:szCs w:val="24"/>
          <w:lang w:val="sr-Cyrl-RS"/>
        </w:rPr>
        <w:t xml:space="preserve">оја и </w:t>
      </w:r>
      <w:r w:rsidR="006C1FBC" w:rsidRPr="006C1FBC">
        <w:rPr>
          <w:sz w:val="24"/>
          <w:szCs w:val="24"/>
          <w:lang w:val="sr-Cyrl-RS"/>
        </w:rPr>
        <w:t>просторних и урбанистичких планова.</w:t>
      </w:r>
    </w:p>
    <w:p w:rsidR="009E54F7" w:rsidRPr="006C1FBC" w:rsidRDefault="00490DC0" w:rsidP="004E5EBB">
      <w:pPr>
        <w:spacing w:after="0"/>
        <w:ind w:firstLine="720"/>
        <w:jc w:val="both"/>
        <w:rPr>
          <w:sz w:val="24"/>
          <w:szCs w:val="24"/>
          <w:lang w:val="sr-Cyrl-RS"/>
        </w:rPr>
      </w:pPr>
      <w:r>
        <w:rPr>
          <w:sz w:val="24"/>
          <w:szCs w:val="24"/>
          <w:lang w:val="sr-Cyrl-RS"/>
        </w:rPr>
        <w:t xml:space="preserve">У контексту осмишљавања и спровођења </w:t>
      </w:r>
      <w:r w:rsidRPr="00490DC0">
        <w:rPr>
          <w:sz w:val="24"/>
          <w:szCs w:val="24"/>
          <w:lang w:val="sr-Cyrl-RS"/>
        </w:rPr>
        <w:t>нов</w:t>
      </w:r>
      <w:r>
        <w:rPr>
          <w:sz w:val="24"/>
          <w:szCs w:val="24"/>
          <w:lang w:val="sr-Cyrl-RS"/>
        </w:rPr>
        <w:t>их</w:t>
      </w:r>
      <w:r w:rsidRPr="00490DC0">
        <w:rPr>
          <w:sz w:val="24"/>
          <w:szCs w:val="24"/>
          <w:lang w:val="sr-Cyrl-RS"/>
        </w:rPr>
        <w:t xml:space="preserve"> начин</w:t>
      </w:r>
      <w:r>
        <w:rPr>
          <w:sz w:val="24"/>
          <w:szCs w:val="24"/>
          <w:lang w:val="sr-Cyrl-RS"/>
        </w:rPr>
        <w:t>а</w:t>
      </w:r>
      <w:r w:rsidRPr="00490DC0">
        <w:rPr>
          <w:sz w:val="24"/>
          <w:szCs w:val="24"/>
          <w:lang w:val="sr-Cyrl-RS"/>
        </w:rPr>
        <w:t xml:space="preserve"> представљања и ефективног укључивања припадника националних мањина у процес доношења одлука, </w:t>
      </w:r>
      <w:r>
        <w:rPr>
          <w:sz w:val="24"/>
          <w:szCs w:val="24"/>
          <w:lang w:val="sr-Cyrl-RS"/>
        </w:rPr>
        <w:t>важно је истаћи да се у</w:t>
      </w:r>
      <w:r w:rsidR="00F70F7F" w:rsidRPr="004E5EBB">
        <w:rPr>
          <w:sz w:val="24"/>
          <w:szCs w:val="24"/>
          <w:lang w:val="sr-Cyrl-RS"/>
        </w:rPr>
        <w:t xml:space="preserve"> </w:t>
      </w:r>
      <w:r w:rsidR="00F70F7F" w:rsidRPr="00490DC0">
        <w:rPr>
          <w:sz w:val="24"/>
          <w:szCs w:val="24"/>
          <w:lang w:val="sr-Cyrl-RS"/>
        </w:rPr>
        <w:t xml:space="preserve">Сектору за друштвени дијалог </w:t>
      </w:r>
      <w:r w:rsidRPr="00490DC0">
        <w:rPr>
          <w:sz w:val="24"/>
          <w:szCs w:val="24"/>
          <w:lang w:val="sr-Cyrl-RS"/>
        </w:rPr>
        <w:t xml:space="preserve">Министарства за људска и мањинска права и друштвени дијалог обављају </w:t>
      </w:r>
      <w:r w:rsidR="00F70F7F" w:rsidRPr="00490DC0">
        <w:rPr>
          <w:sz w:val="24"/>
          <w:szCs w:val="24"/>
          <w:lang w:val="sr-Cyrl-RS"/>
        </w:rPr>
        <w:t>послови које се односе</w:t>
      </w:r>
      <w:r w:rsidRPr="00490DC0">
        <w:rPr>
          <w:sz w:val="24"/>
          <w:szCs w:val="24"/>
          <w:lang w:val="sr-Cyrl-RS"/>
        </w:rPr>
        <w:t xml:space="preserve"> и</w:t>
      </w:r>
      <w:r w:rsidR="00F70F7F" w:rsidRPr="00490DC0">
        <w:rPr>
          <w:sz w:val="24"/>
          <w:szCs w:val="24"/>
          <w:lang w:val="sr-Cyrl-RS"/>
        </w:rPr>
        <w:t xml:space="preserve"> на прикупљање иницијатива и припремање, организацију, реализацију и праћење дијалога сваке врсте кроз отворене дебате, међу св</w:t>
      </w:r>
      <w:r w:rsidRPr="00490DC0">
        <w:rPr>
          <w:sz w:val="24"/>
          <w:szCs w:val="24"/>
          <w:lang w:val="sr-Cyrl-RS"/>
        </w:rPr>
        <w:t>им учесницима друштвеног живота,</w:t>
      </w:r>
      <w:r w:rsidR="00F70F7F" w:rsidRPr="00490DC0">
        <w:rPr>
          <w:sz w:val="24"/>
          <w:szCs w:val="24"/>
          <w:lang w:val="sr-Cyrl-RS"/>
        </w:rPr>
        <w:t xml:space="preserve"> као и</w:t>
      </w:r>
      <w:r w:rsidRPr="00490DC0">
        <w:rPr>
          <w:sz w:val="24"/>
          <w:szCs w:val="24"/>
          <w:lang w:val="sr-Cyrl-RS"/>
        </w:rPr>
        <w:t xml:space="preserve"> да се, </w:t>
      </w:r>
      <w:r w:rsidR="00F70F7F" w:rsidRPr="00490DC0">
        <w:rPr>
          <w:sz w:val="24"/>
          <w:szCs w:val="24"/>
          <w:lang w:val="sr-Cyrl-RS"/>
        </w:rPr>
        <w:t xml:space="preserve">уз </w:t>
      </w:r>
      <w:r w:rsidR="00F70F7F" w:rsidRPr="00490DC0">
        <w:rPr>
          <w:sz w:val="24"/>
          <w:szCs w:val="24"/>
          <w:lang w:val="sr-Cyrl-RS"/>
        </w:rPr>
        <w:lastRenderedPageBreak/>
        <w:t>подстицање толеранције и узајамног разумевања</w:t>
      </w:r>
      <w:r w:rsidRPr="00490DC0">
        <w:rPr>
          <w:sz w:val="24"/>
          <w:szCs w:val="24"/>
          <w:lang w:val="sr-Cyrl-RS"/>
        </w:rPr>
        <w:t xml:space="preserve">, креира </w:t>
      </w:r>
      <w:r w:rsidR="00F70F7F" w:rsidRPr="00490DC0">
        <w:rPr>
          <w:sz w:val="24"/>
          <w:szCs w:val="24"/>
          <w:lang w:val="sr-Cyrl-RS"/>
        </w:rPr>
        <w:t xml:space="preserve">политика развоја друштвеног дијалога </w:t>
      </w:r>
      <w:r w:rsidRPr="00490DC0">
        <w:rPr>
          <w:sz w:val="24"/>
          <w:szCs w:val="24"/>
          <w:lang w:val="sr-Cyrl-RS"/>
        </w:rPr>
        <w:t xml:space="preserve">и </w:t>
      </w:r>
      <w:r w:rsidR="00F70F7F" w:rsidRPr="00490DC0">
        <w:rPr>
          <w:sz w:val="24"/>
          <w:szCs w:val="24"/>
          <w:lang w:val="sr-Cyrl-RS"/>
        </w:rPr>
        <w:t>промовише унапређење међунационалних односа.</w:t>
      </w:r>
      <w:r w:rsidRPr="00490DC0">
        <w:rPr>
          <w:sz w:val="24"/>
          <w:szCs w:val="24"/>
          <w:lang w:val="sr-Cyrl-RS"/>
        </w:rPr>
        <w:t xml:space="preserve"> </w:t>
      </w:r>
      <w:r w:rsidR="009E54F7" w:rsidRPr="00490DC0">
        <w:rPr>
          <w:sz w:val="24"/>
          <w:szCs w:val="24"/>
          <w:lang w:val="sr-Cyrl-RS"/>
        </w:rPr>
        <w:t>Од оснивања Министарства, организован је већи број тематских друштвених дијалога, од којих су неки обухватили питања од значаја за остваривање права припадника националних мањина, као што су: „Eкономско оснаживање Рома и циљеви одрживог развоја у Србији“ и „Млади Роми и Ромкиње носиоци промена“, затим дијалог у вези са Предлогом стратегије развоја образовања и васпитања у Републици Србији до 2030. године - образовање националних мањина, као и два круга тематских дијалога усмерених на остваривање права припадника албанске националне мањине.</w:t>
      </w:r>
    </w:p>
    <w:p w:rsidR="006C1FBC" w:rsidRPr="007D718E" w:rsidRDefault="006C1FBC" w:rsidP="0056662A">
      <w:pPr>
        <w:spacing w:after="0"/>
        <w:jc w:val="both"/>
        <w:rPr>
          <w:i/>
          <w:sz w:val="24"/>
          <w:szCs w:val="24"/>
          <w:lang w:val="sr-Cyrl-RS"/>
        </w:rPr>
      </w:pPr>
    </w:p>
    <w:p w:rsidR="007D718E" w:rsidRDefault="007D718E" w:rsidP="0056662A">
      <w:pPr>
        <w:spacing w:after="0"/>
        <w:jc w:val="both"/>
        <w:rPr>
          <w:i/>
          <w:sz w:val="24"/>
          <w:szCs w:val="24"/>
          <w:lang w:val="sr-Cyrl-RS"/>
        </w:rPr>
      </w:pPr>
      <w:r>
        <w:rPr>
          <w:i/>
          <w:sz w:val="24"/>
          <w:szCs w:val="24"/>
          <w:lang w:val="sr-Cyrl-RS"/>
        </w:rPr>
        <w:t xml:space="preserve">116. </w:t>
      </w:r>
      <w:r w:rsidRPr="007D718E">
        <w:rPr>
          <w:i/>
          <w:sz w:val="24"/>
          <w:szCs w:val="24"/>
          <w:lang w:val="sr-Cyrl-RS"/>
        </w:rPr>
        <w:t>Саветодавни комитет подстиче власти да појачају своје напоре за политичку интеграцију Рома на националном и локалном нивоу, укључујући и систематско консултовање са њима у креирању политике и доношењу одлука о питањима која могу утицати на њихова права.</w:t>
      </w:r>
    </w:p>
    <w:p w:rsidR="007D718E" w:rsidRDefault="007D718E" w:rsidP="0056662A">
      <w:pPr>
        <w:spacing w:after="0"/>
        <w:jc w:val="both"/>
        <w:rPr>
          <w:i/>
          <w:sz w:val="24"/>
          <w:szCs w:val="24"/>
          <w:lang w:val="sr-Cyrl-RS"/>
        </w:rPr>
      </w:pPr>
    </w:p>
    <w:p w:rsidR="00493269" w:rsidRDefault="00F471CC" w:rsidP="00F471CC">
      <w:pPr>
        <w:spacing w:after="0"/>
        <w:ind w:firstLine="720"/>
        <w:jc w:val="both"/>
        <w:rPr>
          <w:sz w:val="24"/>
          <w:szCs w:val="24"/>
          <w:lang w:val="sr-Cyrl-RS"/>
        </w:rPr>
      </w:pPr>
      <w:r>
        <w:rPr>
          <w:sz w:val="24"/>
          <w:szCs w:val="24"/>
          <w:lang w:val="sr-Cyrl-RS"/>
        </w:rPr>
        <w:t>Одговор на ову препоруку дат је на више места у овом извештају, између осталог, и</w:t>
      </w:r>
      <w:r w:rsidRPr="00F471CC">
        <w:rPr>
          <w:sz w:val="24"/>
          <w:szCs w:val="24"/>
          <w:lang w:val="sr-Cyrl-RS"/>
        </w:rPr>
        <w:t xml:space="preserve"> у одговору на препоруку 1. из Резолуције Комитета министара.</w:t>
      </w:r>
    </w:p>
    <w:p w:rsidR="00493269" w:rsidRDefault="00493269" w:rsidP="0056662A">
      <w:pPr>
        <w:spacing w:after="0"/>
        <w:jc w:val="both"/>
        <w:rPr>
          <w:sz w:val="24"/>
          <w:szCs w:val="24"/>
          <w:lang w:val="sr-Cyrl-RS"/>
        </w:rPr>
      </w:pPr>
    </w:p>
    <w:p w:rsidR="00493269" w:rsidRPr="00F333CD" w:rsidRDefault="00493269" w:rsidP="00F333CD">
      <w:pPr>
        <w:pStyle w:val="Heading3"/>
        <w:jc w:val="center"/>
        <w:rPr>
          <w:rFonts w:ascii="Times New Roman" w:hAnsi="Times New Roman" w:cs="Times New Roman"/>
          <w:b/>
          <w:lang w:val="sr-Cyrl-RS"/>
        </w:rPr>
      </w:pPr>
      <w:bookmarkStart w:id="36" w:name="_Toc111191351"/>
      <w:r w:rsidRPr="00F333CD">
        <w:rPr>
          <w:rFonts w:ascii="Times New Roman" w:hAnsi="Times New Roman" w:cs="Times New Roman"/>
          <w:b/>
          <w:color w:val="auto"/>
          <w:lang w:val="sr-Cyrl-RS"/>
        </w:rPr>
        <w:t>Заступљеност националних мањина у изабраним телима и учешће у јавним пословима</w:t>
      </w:r>
      <w:bookmarkEnd w:id="36"/>
    </w:p>
    <w:p w:rsidR="00493269" w:rsidRDefault="00493269" w:rsidP="00493269">
      <w:pPr>
        <w:spacing w:after="0"/>
        <w:rPr>
          <w:b/>
          <w:sz w:val="24"/>
          <w:szCs w:val="24"/>
          <w:lang w:val="sr-Cyrl-RS"/>
        </w:rPr>
      </w:pPr>
    </w:p>
    <w:p w:rsidR="00493269" w:rsidRDefault="00493269" w:rsidP="00493269">
      <w:pPr>
        <w:spacing w:after="0"/>
        <w:jc w:val="both"/>
        <w:rPr>
          <w:i/>
          <w:sz w:val="24"/>
          <w:szCs w:val="24"/>
          <w:lang w:val="sr-Cyrl-RS"/>
        </w:rPr>
      </w:pPr>
      <w:r>
        <w:rPr>
          <w:i/>
          <w:sz w:val="24"/>
          <w:szCs w:val="24"/>
          <w:lang w:val="sr-Cyrl-RS"/>
        </w:rPr>
        <w:t xml:space="preserve">122. </w:t>
      </w:r>
      <w:r w:rsidRPr="00493269">
        <w:rPr>
          <w:i/>
          <w:sz w:val="24"/>
          <w:szCs w:val="24"/>
          <w:lang w:val="sr-Cyrl-RS"/>
        </w:rPr>
        <w:t>Саветодавни комитет позива власти да преиспитају одредбе које се односе на изборе чланова парламента и да се консултују у том смислу са представницима свих националних мањина, укључујући и бројчано мање.</w:t>
      </w:r>
    </w:p>
    <w:p w:rsidR="00493269" w:rsidRDefault="00493269" w:rsidP="00493269">
      <w:pPr>
        <w:spacing w:after="0"/>
        <w:jc w:val="both"/>
        <w:rPr>
          <w:i/>
          <w:sz w:val="24"/>
          <w:szCs w:val="24"/>
          <w:lang w:val="sr-Cyrl-RS"/>
        </w:rPr>
      </w:pPr>
    </w:p>
    <w:p w:rsidR="00493269" w:rsidRPr="00E60AFC" w:rsidRDefault="00680F3D" w:rsidP="00493269">
      <w:pPr>
        <w:spacing w:after="0"/>
        <w:ind w:firstLine="720"/>
        <w:jc w:val="both"/>
        <w:rPr>
          <w:sz w:val="24"/>
          <w:szCs w:val="24"/>
          <w:lang w:val="sr-Cyrl-RS"/>
        </w:rPr>
      </w:pPr>
      <w:r>
        <w:rPr>
          <w:sz w:val="24"/>
          <w:szCs w:val="24"/>
          <w:lang w:val="sr-Cyrl-RS"/>
        </w:rPr>
        <w:t xml:space="preserve">Као што је Саветодавни комитет у више државних извештаја обавештаван, предузимање афирмативних мера у области политичког живота започело је још 2004. године укидањем изборног цензуса, а настављено је </w:t>
      </w:r>
      <w:r w:rsidR="00B9083E">
        <w:rPr>
          <w:sz w:val="24"/>
          <w:szCs w:val="24"/>
          <w:lang w:val="sr-Cyrl-RS"/>
        </w:rPr>
        <w:t xml:space="preserve">усвајањем </w:t>
      </w:r>
      <w:r w:rsidR="00493269" w:rsidRPr="00E60AFC">
        <w:rPr>
          <w:sz w:val="24"/>
          <w:szCs w:val="24"/>
          <w:lang w:val="sr-Cyrl-RS"/>
        </w:rPr>
        <w:t>Закон</w:t>
      </w:r>
      <w:r w:rsidR="00B9083E">
        <w:rPr>
          <w:sz w:val="24"/>
          <w:szCs w:val="24"/>
          <w:lang w:val="sr-Cyrl-RS"/>
        </w:rPr>
        <w:t>а</w:t>
      </w:r>
      <w:r w:rsidR="00493269" w:rsidRPr="00E60AFC">
        <w:rPr>
          <w:sz w:val="24"/>
          <w:szCs w:val="24"/>
          <w:lang w:val="sr-Cyrl-RS"/>
        </w:rPr>
        <w:t xml:space="preserve"> о политичким странкама</w:t>
      </w:r>
      <w:r w:rsidR="00493269">
        <w:rPr>
          <w:rStyle w:val="FootnoteReference"/>
          <w:sz w:val="24"/>
          <w:szCs w:val="24"/>
          <w:lang w:val="sr-Cyrl-RS"/>
        </w:rPr>
        <w:footnoteReference w:id="105"/>
      </w:r>
      <w:r w:rsidR="00493269" w:rsidRPr="00E60AFC">
        <w:rPr>
          <w:sz w:val="24"/>
          <w:szCs w:val="24"/>
          <w:lang w:val="sr-Cyrl-RS"/>
        </w:rPr>
        <w:t xml:space="preserve"> којим је дефинисан појам поли</w:t>
      </w:r>
      <w:r w:rsidR="00B9083E">
        <w:rPr>
          <w:sz w:val="24"/>
          <w:szCs w:val="24"/>
          <w:lang w:val="sr-Cyrl-RS"/>
        </w:rPr>
        <w:t>тичке странке националне мањине.</w:t>
      </w:r>
      <w:r w:rsidR="00493269" w:rsidRPr="00E60AFC">
        <w:rPr>
          <w:sz w:val="24"/>
          <w:szCs w:val="24"/>
          <w:lang w:val="sr-Cyrl-RS"/>
        </w:rPr>
        <w:t xml:space="preserve"> </w:t>
      </w:r>
      <w:r w:rsidR="00B9083E">
        <w:rPr>
          <w:sz w:val="24"/>
          <w:szCs w:val="24"/>
          <w:lang w:val="sr-Cyrl-RS"/>
        </w:rPr>
        <w:t>Према том закону,</w:t>
      </w:r>
      <w:r w:rsidR="00493269" w:rsidRPr="00E60AFC">
        <w:rPr>
          <w:sz w:val="24"/>
          <w:szCs w:val="24"/>
          <w:lang w:val="sr-Cyrl-RS"/>
        </w:rPr>
        <w:t xml:space="preserve"> политичка странка националне мањине </w:t>
      </w:r>
      <w:r w:rsidR="00B9083E">
        <w:rPr>
          <w:sz w:val="24"/>
          <w:szCs w:val="24"/>
          <w:lang w:val="sr-Cyrl-RS"/>
        </w:rPr>
        <w:t xml:space="preserve">је </w:t>
      </w:r>
      <w:r w:rsidR="00493269" w:rsidRPr="00E60AFC">
        <w:rPr>
          <w:sz w:val="24"/>
          <w:szCs w:val="24"/>
          <w:lang w:val="sr-Cyrl-RS"/>
        </w:rPr>
        <w:t>политичка странка чије је деловање, између осталог, посебно усмерено на представљање и заступање интереса једне националне мањине и заштиту и унапређење права припадника те националне мањине у складу са Уставом, зак</w:t>
      </w:r>
      <w:r w:rsidR="00B9083E">
        <w:rPr>
          <w:sz w:val="24"/>
          <w:szCs w:val="24"/>
          <w:lang w:val="sr-Cyrl-RS"/>
        </w:rPr>
        <w:t>оном и међународним стандардима</w:t>
      </w:r>
      <w:r w:rsidR="00493269" w:rsidRPr="00E60AFC">
        <w:rPr>
          <w:sz w:val="24"/>
          <w:szCs w:val="24"/>
          <w:lang w:val="sr-Cyrl-RS"/>
        </w:rPr>
        <w:t>. Политичку странку националне мањине може основати најмање 1.000 пунолетних и пословно способних држављана Републике Србије, што је десет пута мање оснивача него што је потребно за оснивање политичке странке</w:t>
      </w:r>
      <w:r w:rsidR="00B33E89">
        <w:rPr>
          <w:sz w:val="24"/>
          <w:szCs w:val="24"/>
          <w:lang w:val="sr-Cyrl-RS"/>
        </w:rPr>
        <w:t>,</w:t>
      </w:r>
      <w:r w:rsidR="00493269" w:rsidRPr="00E60AFC">
        <w:rPr>
          <w:sz w:val="24"/>
          <w:szCs w:val="24"/>
          <w:lang w:val="sr-Cyrl-RS"/>
        </w:rPr>
        <w:t xml:space="preserve"> за коју је потребно 10.000 оснивача.</w:t>
      </w:r>
    </w:p>
    <w:p w:rsidR="005451B3" w:rsidRDefault="00320C21" w:rsidP="00493269">
      <w:pPr>
        <w:spacing w:after="0"/>
        <w:ind w:firstLine="720"/>
        <w:jc w:val="both"/>
        <w:rPr>
          <w:sz w:val="24"/>
          <w:szCs w:val="24"/>
          <w:lang w:val="sr-Cyrl-RS"/>
        </w:rPr>
      </w:pPr>
      <w:r>
        <w:rPr>
          <w:sz w:val="24"/>
          <w:szCs w:val="24"/>
          <w:lang w:val="sr-Cyrl-RS"/>
        </w:rPr>
        <w:t>Изменама изборног законодавства континуирано се у правни систем уводе нова афирмативна решења којима се стварају</w:t>
      </w:r>
      <w:r w:rsidRPr="00320C21">
        <w:rPr>
          <w:sz w:val="24"/>
          <w:szCs w:val="24"/>
          <w:lang w:val="sr-Cyrl-RS"/>
        </w:rPr>
        <w:t xml:space="preserve"> снажни предуслови за ефективно обезбеђивање учешћа припадника националних мањина у раду Народне скупштине и представничких тела на осталим нивоима власти</w:t>
      </w:r>
      <w:r>
        <w:rPr>
          <w:sz w:val="24"/>
          <w:szCs w:val="24"/>
          <w:lang w:val="sr-Cyrl-RS"/>
        </w:rPr>
        <w:t>.</w:t>
      </w:r>
      <w:r w:rsidRPr="00320C21">
        <w:rPr>
          <w:sz w:val="24"/>
          <w:szCs w:val="24"/>
          <w:lang w:val="sr-Cyrl-RS"/>
        </w:rPr>
        <w:t xml:space="preserve"> </w:t>
      </w:r>
      <w:r>
        <w:rPr>
          <w:sz w:val="24"/>
          <w:szCs w:val="24"/>
          <w:lang w:val="sr-Cyrl-RS"/>
        </w:rPr>
        <w:t>Тако је у</w:t>
      </w:r>
      <w:r w:rsidR="00493269" w:rsidRPr="00981507">
        <w:rPr>
          <w:sz w:val="24"/>
          <w:szCs w:val="24"/>
          <w:lang w:val="sr-Cyrl-RS"/>
        </w:rPr>
        <w:t xml:space="preserve"> 2020. години Народна скупштина донела Закон о изменама и допунама Закона о избору народних посланика</w:t>
      </w:r>
      <w:r w:rsidR="00B33E89">
        <w:rPr>
          <w:sz w:val="24"/>
          <w:szCs w:val="24"/>
          <w:lang w:val="sr-Cyrl-RS"/>
        </w:rPr>
        <w:t>.</w:t>
      </w:r>
      <w:r w:rsidR="00493269" w:rsidRPr="00981507">
        <w:rPr>
          <w:rStyle w:val="FootnoteReference"/>
          <w:sz w:val="24"/>
          <w:szCs w:val="24"/>
          <w:lang w:val="sr-Cyrl-RS"/>
        </w:rPr>
        <w:footnoteReference w:id="106"/>
      </w:r>
      <w:r w:rsidR="00493269" w:rsidRPr="00981507">
        <w:rPr>
          <w:sz w:val="24"/>
          <w:szCs w:val="24"/>
          <w:lang w:val="sr-Cyrl-RS"/>
        </w:rPr>
        <w:t xml:space="preserve"> Измене су, између </w:t>
      </w:r>
      <w:r w:rsidR="00493269" w:rsidRPr="00981507">
        <w:rPr>
          <w:sz w:val="24"/>
          <w:szCs w:val="24"/>
          <w:lang w:val="sr-Cyrl-RS"/>
        </w:rPr>
        <w:lastRenderedPageBreak/>
        <w:t xml:space="preserve">осталог, имале за циљ </w:t>
      </w:r>
      <w:r w:rsidR="00B9083E">
        <w:rPr>
          <w:sz w:val="24"/>
          <w:szCs w:val="24"/>
          <w:lang w:val="sr-Cyrl-RS"/>
        </w:rPr>
        <w:t xml:space="preserve">додатно </w:t>
      </w:r>
      <w:r w:rsidR="00493269" w:rsidRPr="00981507">
        <w:rPr>
          <w:sz w:val="24"/>
          <w:szCs w:val="24"/>
          <w:lang w:val="sr-Cyrl-RS"/>
        </w:rPr>
        <w:t xml:space="preserve">смањење </w:t>
      </w:r>
      <w:r w:rsidR="00B9083E">
        <w:rPr>
          <w:sz w:val="24"/>
          <w:szCs w:val="24"/>
          <w:lang w:val="sr-Cyrl-RS"/>
        </w:rPr>
        <w:t xml:space="preserve">општег </w:t>
      </w:r>
      <w:r w:rsidR="00493269" w:rsidRPr="00981507">
        <w:rPr>
          <w:sz w:val="24"/>
          <w:szCs w:val="24"/>
          <w:lang w:val="sr-Cyrl-RS"/>
        </w:rPr>
        <w:t>изборног цензуса са 5% на 3%, како би се омогућило учешће у расподели посланичких мандата и обезбедило да изборна воља грађана која није преовлађујућа буде политички артикулисана и на одговарајући начин заступљена у Народној скупштини.</w:t>
      </w:r>
      <w:r w:rsidR="00493269" w:rsidRPr="00981507">
        <w:rPr>
          <w:sz w:val="24"/>
          <w:szCs w:val="24"/>
        </w:rPr>
        <w:t xml:space="preserve"> </w:t>
      </w:r>
      <w:r w:rsidR="00493269" w:rsidRPr="00981507">
        <w:rPr>
          <w:sz w:val="24"/>
          <w:szCs w:val="24"/>
          <w:lang w:val="sr-Cyrl-RS"/>
        </w:rPr>
        <w:t>Изменама овог закона прописано је да политичке странке националних мањина и коалиције политичких странака националних мањина учествују у расподели мандата и кад су добиле мање од 3% гласова од укупн</w:t>
      </w:r>
      <w:r>
        <w:rPr>
          <w:sz w:val="24"/>
          <w:szCs w:val="24"/>
          <w:lang w:val="sr-Cyrl-RS"/>
        </w:rPr>
        <w:t>ог броја бирача који су гласали, на начин да се</w:t>
      </w:r>
      <w:r w:rsidRPr="00320C21">
        <w:rPr>
          <w:sz w:val="24"/>
          <w:szCs w:val="24"/>
          <w:lang w:val="sr-Cyrl-RS"/>
        </w:rPr>
        <w:t xml:space="preserve"> приликом расподеле мандата применом система највећег количника, количници </w:t>
      </w:r>
      <w:r>
        <w:rPr>
          <w:sz w:val="24"/>
          <w:szCs w:val="24"/>
          <w:lang w:val="sr-Cyrl-RS"/>
        </w:rPr>
        <w:t>тих</w:t>
      </w:r>
      <w:r w:rsidRPr="00320C21">
        <w:rPr>
          <w:sz w:val="24"/>
          <w:szCs w:val="24"/>
          <w:lang w:val="sr-Cyrl-RS"/>
        </w:rPr>
        <w:t xml:space="preserve"> изборних листа политичких странака националних мањина и коалиција политичких странака националних мањина увећавају за 35%</w:t>
      </w:r>
      <w:r>
        <w:rPr>
          <w:sz w:val="24"/>
          <w:szCs w:val="24"/>
          <w:lang w:val="sr-Cyrl-RS"/>
        </w:rPr>
        <w:t>.</w:t>
      </w:r>
      <w:r w:rsidR="00493269" w:rsidRPr="00981507">
        <w:rPr>
          <w:sz w:val="24"/>
          <w:szCs w:val="24"/>
          <w:lang w:val="sr-Cyrl-RS"/>
        </w:rPr>
        <w:t xml:space="preserve"> Осим тога, Законом о изменама и допуни закона о локалним изборима</w:t>
      </w:r>
      <w:r w:rsidR="00890979">
        <w:rPr>
          <w:rStyle w:val="FootnoteReference"/>
          <w:sz w:val="24"/>
          <w:szCs w:val="24"/>
          <w:lang w:val="sr-Cyrl-RS"/>
        </w:rPr>
        <w:footnoteReference w:id="107"/>
      </w:r>
      <w:r w:rsidR="00493269" w:rsidRPr="00981507">
        <w:rPr>
          <w:sz w:val="24"/>
          <w:szCs w:val="24"/>
          <w:lang w:val="sr-Cyrl-RS"/>
        </w:rPr>
        <w:t xml:space="preserve"> и Покрајинском скупштинском одлуком о изменама и допунама Покрајинске скупштинске одлуке о избору посланика у Скупштину Аутономне покрајине Војводине</w:t>
      </w:r>
      <w:r w:rsidR="00890979">
        <w:rPr>
          <w:rStyle w:val="FootnoteReference"/>
          <w:sz w:val="24"/>
          <w:szCs w:val="24"/>
          <w:lang w:val="sr-Cyrl-RS"/>
        </w:rPr>
        <w:footnoteReference w:id="108"/>
      </w:r>
      <w:r w:rsidR="00493269" w:rsidRPr="00981507">
        <w:rPr>
          <w:sz w:val="24"/>
          <w:szCs w:val="24"/>
          <w:lang w:val="sr-Cyrl-RS"/>
        </w:rPr>
        <w:t xml:space="preserve"> </w:t>
      </w:r>
      <w:r>
        <w:rPr>
          <w:sz w:val="24"/>
          <w:szCs w:val="24"/>
          <w:lang w:val="sr-Cyrl-RS"/>
        </w:rPr>
        <w:t xml:space="preserve">из исте године </w:t>
      </w:r>
      <w:r w:rsidR="00493269" w:rsidRPr="00981507">
        <w:rPr>
          <w:sz w:val="24"/>
          <w:szCs w:val="24"/>
          <w:lang w:val="sr-Cyrl-RS"/>
        </w:rPr>
        <w:t>предвиђено је да политичке странке националних мањина и коалиције политичких странака националних мањина учествују у расподели мандата на идентичан начин и на изборима за посланике у Скупштини АП Војводине и одборнике у локалним скупштинама.</w:t>
      </w:r>
      <w:r w:rsidR="00E200A9" w:rsidRPr="00E200A9">
        <w:rPr>
          <w:sz w:val="24"/>
          <w:szCs w:val="24"/>
          <w:lang w:val="sr-Cyrl-RS"/>
        </w:rPr>
        <w:t xml:space="preserve"> </w:t>
      </w:r>
    </w:p>
    <w:p w:rsidR="007D718E" w:rsidRDefault="005451B3" w:rsidP="005451B3">
      <w:pPr>
        <w:spacing w:after="0"/>
        <w:ind w:firstLine="720"/>
        <w:jc w:val="both"/>
        <w:rPr>
          <w:sz w:val="24"/>
          <w:szCs w:val="24"/>
          <w:lang w:val="sr-Cyrl-RS"/>
        </w:rPr>
      </w:pPr>
      <w:r w:rsidRPr="005451B3">
        <w:rPr>
          <w:sz w:val="24"/>
          <w:szCs w:val="24"/>
          <w:lang w:val="sr-Cyrl-RS"/>
        </w:rPr>
        <w:t>Нови Закон о избору народних посланика</w:t>
      </w:r>
      <w:r>
        <w:rPr>
          <w:rStyle w:val="FootnoteReference"/>
          <w:sz w:val="24"/>
          <w:szCs w:val="24"/>
          <w:lang w:val="sr-Cyrl-RS"/>
        </w:rPr>
        <w:footnoteReference w:id="109"/>
      </w:r>
      <w:r w:rsidRPr="005451B3">
        <w:rPr>
          <w:sz w:val="24"/>
          <w:szCs w:val="24"/>
          <w:lang w:val="sr-Cyrl-RS"/>
        </w:rPr>
        <w:t xml:space="preserve"> из 2022. године садржи идентична </w:t>
      </w:r>
      <w:r>
        <w:rPr>
          <w:sz w:val="24"/>
          <w:szCs w:val="24"/>
          <w:lang w:val="sr-Cyrl-RS"/>
        </w:rPr>
        <w:t xml:space="preserve">афирмативна </w:t>
      </w:r>
      <w:r w:rsidRPr="005451B3">
        <w:rPr>
          <w:sz w:val="24"/>
          <w:szCs w:val="24"/>
          <w:lang w:val="sr-Cyrl-RS"/>
        </w:rPr>
        <w:t xml:space="preserve">решења у поглeду изборног цензуса и расподеле мандата изборним листама политичких странака националних мањина. </w:t>
      </w:r>
      <w:r w:rsidR="009028C6">
        <w:rPr>
          <w:sz w:val="24"/>
          <w:szCs w:val="24"/>
          <w:lang w:val="sr-Cyrl-RS"/>
        </w:rPr>
        <w:t>Међутим</w:t>
      </w:r>
      <w:r w:rsidRPr="005451B3">
        <w:rPr>
          <w:sz w:val="24"/>
          <w:szCs w:val="24"/>
          <w:lang w:val="sr-Cyrl-RS"/>
        </w:rPr>
        <w:t xml:space="preserve">, </w:t>
      </w:r>
      <w:r w:rsidR="009028C6">
        <w:rPr>
          <w:sz w:val="24"/>
          <w:szCs w:val="24"/>
          <w:lang w:val="sr-Cyrl-RS"/>
        </w:rPr>
        <w:t>овим</w:t>
      </w:r>
      <w:r w:rsidRPr="005451B3">
        <w:rPr>
          <w:sz w:val="24"/>
          <w:szCs w:val="24"/>
          <w:lang w:val="sr-Cyrl-RS"/>
        </w:rPr>
        <w:t xml:space="preserve"> Законом прописан</w:t>
      </w:r>
      <w:r w:rsidR="009028C6">
        <w:rPr>
          <w:sz w:val="24"/>
          <w:szCs w:val="24"/>
          <w:lang w:val="sr-Cyrl-RS"/>
        </w:rPr>
        <w:t xml:space="preserve">а је још једна нова афирмативна мера. Наиме, </w:t>
      </w:r>
      <w:r w:rsidRPr="005451B3">
        <w:rPr>
          <w:sz w:val="24"/>
          <w:szCs w:val="24"/>
          <w:lang w:val="sr-Cyrl-RS"/>
        </w:rPr>
        <w:t xml:space="preserve">Републичка изборна комисија може прогласити изборну листу националне мањине ако подносилац изборне листе достави 5.000 оверених изјава бирача да подржавају изборну листу, у односу на 10.000 оверених изјава потребних за остале изборне листе. </w:t>
      </w:r>
      <w:r w:rsidR="009028C6">
        <w:rPr>
          <w:sz w:val="24"/>
          <w:szCs w:val="24"/>
          <w:lang w:val="sr-Cyrl-RS"/>
        </w:rPr>
        <w:t>Такође је и н</w:t>
      </w:r>
      <w:r w:rsidRPr="005451B3">
        <w:rPr>
          <w:sz w:val="24"/>
          <w:szCs w:val="24"/>
          <w:lang w:val="sr-Cyrl-RS"/>
        </w:rPr>
        <w:t xml:space="preserve">ови </w:t>
      </w:r>
      <w:r>
        <w:rPr>
          <w:sz w:val="24"/>
          <w:szCs w:val="24"/>
          <w:lang w:val="sr-Cyrl-RS"/>
        </w:rPr>
        <w:t>З</w:t>
      </w:r>
      <w:r w:rsidRPr="005451B3">
        <w:rPr>
          <w:sz w:val="24"/>
          <w:szCs w:val="24"/>
          <w:lang w:val="sr-Cyrl-RS"/>
        </w:rPr>
        <w:t>акон о локалним изборима</w:t>
      </w:r>
      <w:r>
        <w:rPr>
          <w:rStyle w:val="FootnoteReference"/>
          <w:sz w:val="24"/>
          <w:szCs w:val="24"/>
          <w:lang w:val="sr-Cyrl-RS"/>
        </w:rPr>
        <w:footnoteReference w:id="110"/>
      </w:r>
      <w:r w:rsidRPr="005451B3">
        <w:rPr>
          <w:sz w:val="24"/>
          <w:szCs w:val="24"/>
          <w:lang w:val="sr-Cyrl-RS"/>
        </w:rPr>
        <w:t xml:space="preserve"> из 2022. године </w:t>
      </w:r>
      <w:r w:rsidR="009028C6">
        <w:rPr>
          <w:sz w:val="24"/>
          <w:szCs w:val="24"/>
          <w:lang w:val="sr-Cyrl-RS"/>
        </w:rPr>
        <w:t>н</w:t>
      </w:r>
      <w:r w:rsidRPr="005451B3">
        <w:rPr>
          <w:sz w:val="24"/>
          <w:szCs w:val="24"/>
          <w:lang w:val="sr-Cyrl-RS"/>
        </w:rPr>
        <w:t xml:space="preserve">а сличан начин уредио ово питање, прописујући да изборна комисија може прогласити изборну листу националне мањине ако подносилац изборне листе достави број потписаних и оверених изјава бирача да подржавају изборну листу који је двоструко мањи од броја који се тражи по општим правилима овог закона. </w:t>
      </w:r>
      <w:r>
        <w:rPr>
          <w:sz w:val="24"/>
          <w:szCs w:val="24"/>
          <w:lang w:val="sr-Cyrl-RS"/>
        </w:rPr>
        <w:t>Када су у питању избори за Скупштину АП Војводине</w:t>
      </w:r>
      <w:r w:rsidR="009028C6">
        <w:rPr>
          <w:sz w:val="24"/>
          <w:szCs w:val="24"/>
          <w:lang w:val="sr-Cyrl-RS"/>
        </w:rPr>
        <w:t>,</w:t>
      </w:r>
      <w:r>
        <w:rPr>
          <w:sz w:val="24"/>
          <w:szCs w:val="24"/>
          <w:lang w:val="sr-Cyrl-RS"/>
        </w:rPr>
        <w:t xml:space="preserve"> </w:t>
      </w:r>
      <w:r w:rsidR="00890979" w:rsidRPr="00E200A9">
        <w:rPr>
          <w:sz w:val="24"/>
          <w:szCs w:val="24"/>
          <w:lang w:val="sr-Cyrl-RS"/>
        </w:rPr>
        <w:t>минималан број изјава бирача неопходних за проглашење изборних листа</w:t>
      </w:r>
      <w:r>
        <w:rPr>
          <w:sz w:val="24"/>
          <w:szCs w:val="24"/>
          <w:lang w:val="sr-Cyrl-RS"/>
        </w:rPr>
        <w:t xml:space="preserve"> политичких странака или коалиција политичких странака националних мањина</w:t>
      </w:r>
      <w:r w:rsidR="00890979">
        <w:rPr>
          <w:sz w:val="24"/>
          <w:szCs w:val="24"/>
          <w:lang w:val="sr-Cyrl-RS"/>
        </w:rPr>
        <w:t xml:space="preserve"> износи </w:t>
      </w:r>
      <w:r w:rsidR="00890979" w:rsidRPr="00E200A9">
        <w:rPr>
          <w:sz w:val="24"/>
          <w:szCs w:val="24"/>
          <w:lang w:val="sr-Cyrl-RS"/>
        </w:rPr>
        <w:t>3.000</w:t>
      </w:r>
      <w:r w:rsidR="009028C6">
        <w:rPr>
          <w:sz w:val="24"/>
          <w:szCs w:val="24"/>
          <w:lang w:val="sr-Cyrl-RS"/>
        </w:rPr>
        <w:t>, док је</w:t>
      </w:r>
      <w:r w:rsidR="00890979" w:rsidRPr="00E200A9">
        <w:rPr>
          <w:sz w:val="24"/>
          <w:szCs w:val="24"/>
          <w:lang w:val="sr-Cyrl-RS"/>
        </w:rPr>
        <w:t xml:space="preserve"> за ост</w:t>
      </w:r>
      <w:r w:rsidR="009028C6">
        <w:rPr>
          <w:sz w:val="24"/>
          <w:szCs w:val="24"/>
          <w:lang w:val="sr-Cyrl-RS"/>
        </w:rPr>
        <w:t>а</w:t>
      </w:r>
      <w:r w:rsidR="00890979" w:rsidRPr="00E200A9">
        <w:rPr>
          <w:sz w:val="24"/>
          <w:szCs w:val="24"/>
          <w:lang w:val="sr-Cyrl-RS"/>
        </w:rPr>
        <w:t xml:space="preserve">ле </w:t>
      </w:r>
      <w:r w:rsidR="009028C6">
        <w:rPr>
          <w:sz w:val="24"/>
          <w:szCs w:val="24"/>
          <w:lang w:val="sr-Cyrl-RS"/>
        </w:rPr>
        <w:t>изборне листе потребно</w:t>
      </w:r>
      <w:r w:rsidR="00890979" w:rsidRPr="00E200A9">
        <w:rPr>
          <w:sz w:val="24"/>
          <w:szCs w:val="24"/>
          <w:lang w:val="sr-Cyrl-RS"/>
        </w:rPr>
        <w:t xml:space="preserve"> 6</w:t>
      </w:r>
      <w:r w:rsidR="009028C6">
        <w:rPr>
          <w:sz w:val="24"/>
          <w:szCs w:val="24"/>
          <w:lang w:val="sr-Cyrl-RS"/>
        </w:rPr>
        <w:t>.</w:t>
      </w:r>
      <w:r w:rsidR="00890979" w:rsidRPr="00E200A9">
        <w:rPr>
          <w:sz w:val="24"/>
          <w:szCs w:val="24"/>
          <w:lang w:val="sr-Cyrl-RS"/>
        </w:rPr>
        <w:t xml:space="preserve">000 </w:t>
      </w:r>
      <w:r w:rsidR="009028C6">
        <w:rPr>
          <w:sz w:val="24"/>
          <w:szCs w:val="24"/>
          <w:lang w:val="sr-Cyrl-RS"/>
        </w:rPr>
        <w:t>оверених изјава бирача.</w:t>
      </w:r>
      <w:r w:rsidR="00890979" w:rsidRPr="00E200A9">
        <w:rPr>
          <w:sz w:val="24"/>
          <w:szCs w:val="24"/>
          <w:lang w:val="sr-Cyrl-RS"/>
        </w:rPr>
        <w:t xml:space="preserve">  </w:t>
      </w:r>
    </w:p>
    <w:p w:rsidR="00543C3D" w:rsidRDefault="009028C6" w:rsidP="00543C3D">
      <w:pPr>
        <w:spacing w:after="0"/>
        <w:jc w:val="both"/>
        <w:rPr>
          <w:sz w:val="24"/>
          <w:szCs w:val="24"/>
          <w:lang w:val="sr-Cyrl-RS"/>
        </w:rPr>
      </w:pPr>
      <w:r>
        <w:rPr>
          <w:sz w:val="24"/>
          <w:szCs w:val="24"/>
          <w:lang w:val="sr-Cyrl-RS"/>
        </w:rPr>
        <w:tab/>
      </w:r>
      <w:r w:rsidRPr="009028C6">
        <w:rPr>
          <w:sz w:val="24"/>
          <w:szCs w:val="24"/>
          <w:lang w:val="sr-Cyrl-RS"/>
        </w:rPr>
        <w:t>Према укупним резултатима избора за народне посланике Народне скупштине који су одржани 21. јуна 2020. године, изборне листе политичких странка или коалиција политичких странака националих мањина, укупно су освојиле 19 мандата.</w:t>
      </w:r>
    </w:p>
    <w:p w:rsidR="009028C6" w:rsidRDefault="009028C6" w:rsidP="00543C3D">
      <w:pPr>
        <w:spacing w:after="0"/>
        <w:jc w:val="both"/>
        <w:rPr>
          <w:sz w:val="24"/>
          <w:szCs w:val="24"/>
          <w:lang w:val="sr-Cyrl-RS"/>
        </w:rPr>
      </w:pPr>
    </w:p>
    <w:tbl>
      <w:tblPr>
        <w:tblStyle w:val="TableGrid"/>
        <w:tblW w:w="0" w:type="auto"/>
        <w:tblLook w:val="04A0" w:firstRow="1" w:lastRow="0" w:firstColumn="1" w:lastColumn="0" w:noHBand="0" w:noVBand="1"/>
      </w:tblPr>
      <w:tblGrid>
        <w:gridCol w:w="5524"/>
        <w:gridCol w:w="3458"/>
      </w:tblGrid>
      <w:tr w:rsidR="009028C6" w:rsidRPr="005249B1" w:rsidTr="00792AAA">
        <w:tc>
          <w:tcPr>
            <w:tcW w:w="5524" w:type="dxa"/>
          </w:tcPr>
          <w:p w:rsidR="009028C6" w:rsidRPr="005249B1" w:rsidRDefault="009028C6" w:rsidP="005249B1">
            <w:pPr>
              <w:spacing w:after="0"/>
              <w:jc w:val="center"/>
              <w:rPr>
                <w:sz w:val="20"/>
                <w:szCs w:val="20"/>
                <w:lang w:val="sr-Cyrl-RS"/>
              </w:rPr>
            </w:pPr>
            <w:r w:rsidRPr="005249B1">
              <w:rPr>
                <w:sz w:val="20"/>
                <w:szCs w:val="20"/>
              </w:rPr>
              <w:t>Назив изборне листе</w:t>
            </w:r>
          </w:p>
        </w:tc>
        <w:tc>
          <w:tcPr>
            <w:tcW w:w="3458" w:type="dxa"/>
          </w:tcPr>
          <w:p w:rsidR="009028C6" w:rsidRPr="005249B1" w:rsidRDefault="009028C6" w:rsidP="005249B1">
            <w:pPr>
              <w:spacing w:after="0"/>
              <w:jc w:val="center"/>
              <w:rPr>
                <w:sz w:val="20"/>
                <w:szCs w:val="20"/>
                <w:lang w:val="sr-Cyrl-RS"/>
              </w:rPr>
            </w:pPr>
            <w:r w:rsidRPr="005249B1">
              <w:rPr>
                <w:sz w:val="20"/>
                <w:szCs w:val="20"/>
              </w:rPr>
              <w:t>Број добијених мандата</w:t>
            </w:r>
          </w:p>
        </w:tc>
      </w:tr>
      <w:tr w:rsidR="009028C6" w:rsidRPr="005249B1" w:rsidTr="00792AAA">
        <w:tc>
          <w:tcPr>
            <w:tcW w:w="5524" w:type="dxa"/>
          </w:tcPr>
          <w:p w:rsidR="009028C6" w:rsidRPr="005249B1" w:rsidRDefault="009028C6" w:rsidP="005249B1">
            <w:pPr>
              <w:spacing w:after="0"/>
              <w:rPr>
                <w:sz w:val="20"/>
                <w:szCs w:val="20"/>
                <w:lang w:val="sr-Cyrl-RS"/>
              </w:rPr>
            </w:pPr>
            <w:r w:rsidRPr="005249B1">
              <w:rPr>
                <w:sz w:val="20"/>
                <w:szCs w:val="20"/>
              </w:rPr>
              <w:t>Vajdasági Magyar Szövetség – Pásztor István – Савез војвођанских Мађара – Иштван Пастор</w:t>
            </w:r>
          </w:p>
        </w:tc>
        <w:tc>
          <w:tcPr>
            <w:tcW w:w="3458" w:type="dxa"/>
          </w:tcPr>
          <w:p w:rsidR="009028C6" w:rsidRPr="005249B1" w:rsidRDefault="009028C6" w:rsidP="005249B1">
            <w:pPr>
              <w:spacing w:after="0"/>
              <w:jc w:val="center"/>
              <w:rPr>
                <w:sz w:val="20"/>
                <w:szCs w:val="20"/>
                <w:lang w:val="sr-Cyrl-RS"/>
              </w:rPr>
            </w:pPr>
            <w:r w:rsidRPr="005249B1">
              <w:rPr>
                <w:sz w:val="20"/>
                <w:szCs w:val="20"/>
              </w:rPr>
              <w:t>9</w:t>
            </w:r>
          </w:p>
        </w:tc>
      </w:tr>
      <w:tr w:rsidR="009028C6" w:rsidRPr="005249B1" w:rsidTr="00792AAA">
        <w:tc>
          <w:tcPr>
            <w:tcW w:w="5524" w:type="dxa"/>
          </w:tcPr>
          <w:p w:rsidR="009028C6" w:rsidRPr="005249B1" w:rsidRDefault="009028C6" w:rsidP="005249B1">
            <w:pPr>
              <w:spacing w:after="0"/>
              <w:rPr>
                <w:sz w:val="20"/>
                <w:szCs w:val="20"/>
                <w:lang w:val="sr-Cyrl-RS"/>
              </w:rPr>
            </w:pPr>
            <w:r w:rsidRPr="005249B1">
              <w:rPr>
                <w:sz w:val="20"/>
                <w:szCs w:val="20"/>
              </w:rPr>
              <w:t xml:space="preserve">Академик Муамер Зукорлић – Само право – Странка правде и помирења (СПП) – Демократска партија Македонаца (ДПМ) / Akademik Muamer Zukorlić – Samo pravo – Stranka </w:t>
            </w:r>
            <w:r w:rsidRPr="005249B1">
              <w:rPr>
                <w:sz w:val="20"/>
                <w:szCs w:val="20"/>
              </w:rPr>
              <w:lastRenderedPageBreak/>
              <w:t>pravde i pomirenja (SPP) – Demokratska partija Makedonaca (DPM) / Академик Муамер Зукорлић – Само право – Странка на правда и помиреније (СПП) – Демократска партија на Македонците (ДПМ)</w:t>
            </w:r>
          </w:p>
        </w:tc>
        <w:tc>
          <w:tcPr>
            <w:tcW w:w="3458" w:type="dxa"/>
          </w:tcPr>
          <w:p w:rsidR="009028C6" w:rsidRPr="005249B1" w:rsidRDefault="009028C6" w:rsidP="005249B1">
            <w:pPr>
              <w:spacing w:after="0"/>
              <w:jc w:val="center"/>
              <w:rPr>
                <w:sz w:val="20"/>
                <w:szCs w:val="20"/>
                <w:lang w:val="sr-Cyrl-RS"/>
              </w:rPr>
            </w:pPr>
            <w:r w:rsidRPr="005249B1">
              <w:rPr>
                <w:sz w:val="20"/>
                <w:szCs w:val="20"/>
              </w:rPr>
              <w:lastRenderedPageBreak/>
              <w:t>4</w:t>
            </w:r>
          </w:p>
        </w:tc>
      </w:tr>
      <w:tr w:rsidR="009028C6" w:rsidRPr="005249B1" w:rsidTr="00792AAA">
        <w:tc>
          <w:tcPr>
            <w:tcW w:w="5524" w:type="dxa"/>
          </w:tcPr>
          <w:p w:rsidR="009028C6" w:rsidRPr="005249B1" w:rsidRDefault="009028C6" w:rsidP="005249B1">
            <w:pPr>
              <w:spacing w:after="0"/>
              <w:rPr>
                <w:sz w:val="20"/>
                <w:szCs w:val="20"/>
                <w:lang w:val="sr-Cyrl-RS"/>
              </w:rPr>
            </w:pPr>
            <w:r w:rsidRPr="005249B1">
              <w:rPr>
                <w:sz w:val="20"/>
                <w:szCs w:val="20"/>
              </w:rPr>
              <w:t>„АЛБАНСКА ДЕМОКРАТСКА АЛТЕРНАТИВА – УЈЕДИЊЕНА ДОЛИНА“ „ALTERNATIVA DEMOKRATIKE SHQIPTARE – LUGINA E BASHKUAR“</w:t>
            </w:r>
          </w:p>
        </w:tc>
        <w:tc>
          <w:tcPr>
            <w:tcW w:w="3458" w:type="dxa"/>
          </w:tcPr>
          <w:p w:rsidR="009028C6" w:rsidRPr="005249B1" w:rsidRDefault="009028C6" w:rsidP="005249B1">
            <w:pPr>
              <w:spacing w:after="0"/>
              <w:jc w:val="center"/>
              <w:rPr>
                <w:sz w:val="20"/>
                <w:szCs w:val="20"/>
                <w:lang w:val="sr-Cyrl-RS"/>
              </w:rPr>
            </w:pPr>
            <w:r w:rsidRPr="005249B1">
              <w:rPr>
                <w:sz w:val="20"/>
                <w:szCs w:val="20"/>
              </w:rPr>
              <w:t>3</w:t>
            </w:r>
          </w:p>
        </w:tc>
      </w:tr>
      <w:tr w:rsidR="009028C6" w:rsidRPr="005249B1" w:rsidTr="00792AAA">
        <w:tc>
          <w:tcPr>
            <w:tcW w:w="5524" w:type="dxa"/>
          </w:tcPr>
          <w:p w:rsidR="009028C6" w:rsidRPr="005249B1" w:rsidRDefault="009028C6" w:rsidP="005249B1">
            <w:pPr>
              <w:spacing w:after="0"/>
              <w:rPr>
                <w:sz w:val="20"/>
                <w:szCs w:val="20"/>
              </w:rPr>
            </w:pPr>
            <w:r w:rsidRPr="005249B1">
              <w:rPr>
                <w:sz w:val="20"/>
                <w:szCs w:val="20"/>
              </w:rPr>
              <w:t xml:space="preserve">СДА Санџака – др Сулејман Угљанин </w:t>
            </w:r>
          </w:p>
          <w:p w:rsidR="009028C6" w:rsidRPr="005249B1" w:rsidRDefault="009028C6" w:rsidP="005249B1">
            <w:pPr>
              <w:spacing w:after="0"/>
              <w:rPr>
                <w:sz w:val="20"/>
                <w:szCs w:val="20"/>
                <w:lang w:val="sr-Cyrl-RS"/>
              </w:rPr>
            </w:pPr>
            <w:r w:rsidRPr="005249B1">
              <w:rPr>
                <w:sz w:val="20"/>
                <w:szCs w:val="20"/>
              </w:rPr>
              <w:t>SDA Sandžaka – dr. Sulejman Ugljanin</w:t>
            </w:r>
          </w:p>
        </w:tc>
        <w:tc>
          <w:tcPr>
            <w:tcW w:w="3458" w:type="dxa"/>
          </w:tcPr>
          <w:p w:rsidR="009028C6" w:rsidRPr="005249B1" w:rsidRDefault="009028C6" w:rsidP="005249B1">
            <w:pPr>
              <w:spacing w:after="0"/>
              <w:jc w:val="center"/>
              <w:rPr>
                <w:sz w:val="20"/>
                <w:szCs w:val="20"/>
                <w:lang w:val="sr-Cyrl-RS"/>
              </w:rPr>
            </w:pPr>
            <w:r w:rsidRPr="005249B1">
              <w:rPr>
                <w:sz w:val="20"/>
                <w:szCs w:val="20"/>
              </w:rPr>
              <w:t>3</w:t>
            </w:r>
          </w:p>
        </w:tc>
      </w:tr>
    </w:tbl>
    <w:p w:rsidR="009028C6" w:rsidRDefault="009028C6" w:rsidP="00543C3D">
      <w:pPr>
        <w:spacing w:after="0"/>
        <w:jc w:val="both"/>
        <w:rPr>
          <w:sz w:val="24"/>
          <w:szCs w:val="24"/>
          <w:lang w:val="sr-Cyrl-RS"/>
        </w:rPr>
      </w:pPr>
    </w:p>
    <w:p w:rsidR="00792AAA" w:rsidRPr="00B33E89" w:rsidRDefault="00792AAA" w:rsidP="00543C3D">
      <w:pPr>
        <w:spacing w:after="0"/>
        <w:jc w:val="both"/>
        <w:rPr>
          <w:sz w:val="24"/>
          <w:szCs w:val="24"/>
          <w:lang w:val="sr-Cyrl-RS"/>
        </w:rPr>
      </w:pPr>
      <w:r>
        <w:rPr>
          <w:sz w:val="24"/>
          <w:szCs w:val="24"/>
          <w:lang w:val="sr-Cyrl-RS"/>
        </w:rPr>
        <w:tab/>
      </w:r>
      <w:r w:rsidRPr="00792AAA">
        <w:rPr>
          <w:sz w:val="24"/>
          <w:szCs w:val="24"/>
          <w:lang w:val="sr-Cyrl-RS"/>
        </w:rPr>
        <w:t xml:space="preserve">Поред наведеног, према подацима којима располаже Одбор за административно-буџетска и мандатно-имунитетска питања Народне скупштине, у </w:t>
      </w:r>
      <w:r>
        <w:rPr>
          <w:sz w:val="24"/>
          <w:szCs w:val="24"/>
          <w:lang w:val="sr-Cyrl-RS"/>
        </w:rPr>
        <w:t>овом</w:t>
      </w:r>
      <w:r w:rsidRPr="00792AAA">
        <w:rPr>
          <w:sz w:val="24"/>
          <w:szCs w:val="24"/>
          <w:lang w:val="sr-Cyrl-RS"/>
        </w:rPr>
        <w:t xml:space="preserve"> сазив</w:t>
      </w:r>
      <w:r>
        <w:rPr>
          <w:sz w:val="24"/>
          <w:szCs w:val="24"/>
          <w:lang w:val="sr-Cyrl-RS"/>
        </w:rPr>
        <w:t>у</w:t>
      </w:r>
      <w:r w:rsidRPr="00792AAA">
        <w:rPr>
          <w:sz w:val="24"/>
          <w:szCs w:val="24"/>
          <w:lang w:val="sr-Cyrl-RS"/>
        </w:rPr>
        <w:t xml:space="preserve"> Народне скупштине постој</w:t>
      </w:r>
      <w:r>
        <w:rPr>
          <w:sz w:val="24"/>
          <w:szCs w:val="24"/>
          <w:lang w:val="sr-Cyrl-RS"/>
        </w:rPr>
        <w:t>ао је</w:t>
      </w:r>
      <w:r w:rsidRPr="00792AAA">
        <w:rPr>
          <w:sz w:val="24"/>
          <w:szCs w:val="24"/>
          <w:lang w:val="sr-Cyrl-RS"/>
        </w:rPr>
        <w:t xml:space="preserve"> значајан број народних посланика који су се изјаснили као припадници националних мањина, а мандат су освојили на изборним листама других политичких странака (а не на изборним листама странака националних мањина).</w:t>
      </w:r>
      <w:r w:rsidR="003D47EF">
        <w:rPr>
          <w:sz w:val="24"/>
          <w:szCs w:val="24"/>
          <w:lang w:val="sr-Cyrl-RS"/>
        </w:rPr>
        <w:t xml:space="preserve"> </w:t>
      </w:r>
      <w:r w:rsidR="003D47EF" w:rsidRPr="00B33E89">
        <w:rPr>
          <w:sz w:val="24"/>
          <w:szCs w:val="24"/>
          <w:lang w:val="sr-Cyrl-RS"/>
        </w:rPr>
        <w:t>Број народних посланика који су се изјаснили као припадници националних мањина представљен је у доњој табели.</w:t>
      </w:r>
    </w:p>
    <w:p w:rsidR="001C0CAC" w:rsidRPr="00B33E89" w:rsidRDefault="001C0CAC" w:rsidP="00543C3D">
      <w:pPr>
        <w:spacing w:after="0"/>
        <w:jc w:val="both"/>
        <w:rPr>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2"/>
      </w:tblGrid>
      <w:tr w:rsidR="001C0CAC" w:rsidRPr="00B33E89" w:rsidTr="003D47EF">
        <w:tc>
          <w:tcPr>
            <w:tcW w:w="5524" w:type="dxa"/>
            <w:tcBorders>
              <w:top w:val="single" w:sz="4" w:space="0" w:color="auto"/>
              <w:left w:val="single" w:sz="4" w:space="0" w:color="auto"/>
              <w:bottom w:val="single" w:sz="4" w:space="0" w:color="auto"/>
              <w:right w:val="single" w:sz="4" w:space="0" w:color="auto"/>
            </w:tcBorders>
            <w:hideMark/>
          </w:tcPr>
          <w:p w:rsidR="001C0CAC" w:rsidRPr="00B33E89" w:rsidRDefault="003D47EF" w:rsidP="001C0CAC">
            <w:pPr>
              <w:spacing w:after="0"/>
              <w:rPr>
                <w:sz w:val="20"/>
                <w:szCs w:val="20"/>
                <w:lang w:val="sr-Cyrl-RS"/>
              </w:rPr>
            </w:pPr>
            <w:r w:rsidRPr="00B33E89">
              <w:rPr>
                <w:sz w:val="20"/>
                <w:szCs w:val="20"/>
                <w:lang w:val="sr-Cyrl-RS"/>
              </w:rPr>
              <w:t>Албанци</w:t>
            </w:r>
          </w:p>
        </w:tc>
        <w:tc>
          <w:tcPr>
            <w:tcW w:w="3492" w:type="dxa"/>
            <w:tcBorders>
              <w:top w:val="single" w:sz="4" w:space="0" w:color="auto"/>
              <w:left w:val="single" w:sz="4" w:space="0" w:color="auto"/>
              <w:bottom w:val="single" w:sz="4" w:space="0" w:color="auto"/>
              <w:right w:val="single" w:sz="4" w:space="0" w:color="auto"/>
            </w:tcBorders>
            <w:hideMark/>
          </w:tcPr>
          <w:p w:rsidR="001C0CAC" w:rsidRPr="00B33E89" w:rsidRDefault="003D47EF" w:rsidP="003D47EF">
            <w:pPr>
              <w:spacing w:after="0"/>
              <w:jc w:val="center"/>
              <w:rPr>
                <w:sz w:val="20"/>
                <w:szCs w:val="20"/>
                <w:lang w:val="sr-Cyrl-RS"/>
              </w:rPr>
            </w:pPr>
            <w:r w:rsidRPr="00B33E89">
              <w:rPr>
                <w:sz w:val="20"/>
                <w:szCs w:val="20"/>
                <w:lang w:val="sr-Cyrl-RS"/>
              </w:rPr>
              <w:t>4</w:t>
            </w:r>
          </w:p>
        </w:tc>
      </w:tr>
      <w:tr w:rsidR="003D47EF" w:rsidRPr="00B33E89" w:rsidTr="003D47EF">
        <w:tc>
          <w:tcPr>
            <w:tcW w:w="5524" w:type="dxa"/>
            <w:tcBorders>
              <w:top w:val="single" w:sz="4" w:space="0" w:color="auto"/>
              <w:left w:val="single" w:sz="4" w:space="0" w:color="auto"/>
              <w:bottom w:val="single" w:sz="4" w:space="0" w:color="auto"/>
              <w:right w:val="single" w:sz="4" w:space="0" w:color="auto"/>
            </w:tcBorders>
          </w:tcPr>
          <w:p w:rsidR="003D47EF" w:rsidRPr="00B33E89" w:rsidRDefault="003D47EF" w:rsidP="003D47EF">
            <w:pPr>
              <w:spacing w:after="0"/>
              <w:rPr>
                <w:sz w:val="20"/>
                <w:szCs w:val="20"/>
                <w:lang w:val="sr-Cyrl-RS"/>
              </w:rPr>
            </w:pPr>
            <w:r w:rsidRPr="00B33E89">
              <w:rPr>
                <w:sz w:val="20"/>
                <w:szCs w:val="20"/>
                <w:lang w:val="sr-Cyrl-RS"/>
              </w:rPr>
              <w:t>Бошњаци</w:t>
            </w:r>
          </w:p>
        </w:tc>
        <w:tc>
          <w:tcPr>
            <w:tcW w:w="3492" w:type="dxa"/>
            <w:tcBorders>
              <w:top w:val="single" w:sz="4" w:space="0" w:color="auto"/>
              <w:left w:val="single" w:sz="4" w:space="0" w:color="auto"/>
              <w:bottom w:val="single" w:sz="4" w:space="0" w:color="auto"/>
              <w:right w:val="single" w:sz="4" w:space="0" w:color="auto"/>
            </w:tcBorders>
          </w:tcPr>
          <w:p w:rsidR="003D47EF" w:rsidRPr="00B33E89" w:rsidRDefault="003D47EF" w:rsidP="003D47EF">
            <w:pPr>
              <w:spacing w:after="0"/>
              <w:jc w:val="center"/>
              <w:rPr>
                <w:sz w:val="20"/>
                <w:szCs w:val="20"/>
                <w:lang w:val="en-US"/>
              </w:rPr>
            </w:pPr>
            <w:r w:rsidRPr="00B33E89">
              <w:rPr>
                <w:sz w:val="20"/>
                <w:szCs w:val="20"/>
                <w:lang w:val="en-US"/>
              </w:rPr>
              <w:t>9</w:t>
            </w:r>
          </w:p>
        </w:tc>
      </w:tr>
      <w:tr w:rsidR="003D47EF" w:rsidRPr="00B33E89" w:rsidTr="003D47EF">
        <w:tc>
          <w:tcPr>
            <w:tcW w:w="5524" w:type="dxa"/>
            <w:tcBorders>
              <w:top w:val="single" w:sz="4" w:space="0" w:color="auto"/>
              <w:left w:val="single" w:sz="4" w:space="0" w:color="auto"/>
              <w:bottom w:val="single" w:sz="4" w:space="0" w:color="auto"/>
              <w:right w:val="single" w:sz="4" w:space="0" w:color="auto"/>
            </w:tcBorders>
          </w:tcPr>
          <w:p w:rsidR="003D47EF" w:rsidRPr="00B33E89" w:rsidRDefault="003D47EF" w:rsidP="003D47EF">
            <w:pPr>
              <w:spacing w:after="0"/>
              <w:rPr>
                <w:sz w:val="20"/>
                <w:szCs w:val="20"/>
                <w:lang w:val="sr-Cyrl-RS"/>
              </w:rPr>
            </w:pPr>
            <w:r w:rsidRPr="00B33E89">
              <w:rPr>
                <w:sz w:val="20"/>
                <w:szCs w:val="20"/>
                <w:lang w:val="sr-Cyrl-RS"/>
              </w:rPr>
              <w:t>Бугари</w:t>
            </w:r>
          </w:p>
        </w:tc>
        <w:tc>
          <w:tcPr>
            <w:tcW w:w="3492" w:type="dxa"/>
            <w:tcBorders>
              <w:top w:val="single" w:sz="4" w:space="0" w:color="auto"/>
              <w:left w:val="single" w:sz="4" w:space="0" w:color="auto"/>
              <w:bottom w:val="single" w:sz="4" w:space="0" w:color="auto"/>
              <w:right w:val="single" w:sz="4" w:space="0" w:color="auto"/>
            </w:tcBorders>
          </w:tcPr>
          <w:p w:rsidR="003D47EF" w:rsidRPr="00B33E89" w:rsidRDefault="003D47EF" w:rsidP="003D47EF">
            <w:pPr>
              <w:spacing w:after="0"/>
              <w:jc w:val="center"/>
              <w:rPr>
                <w:sz w:val="20"/>
                <w:szCs w:val="20"/>
                <w:lang w:val="en-US"/>
              </w:rPr>
            </w:pPr>
            <w:r w:rsidRPr="00B33E89">
              <w:rPr>
                <w:sz w:val="20"/>
                <w:szCs w:val="20"/>
                <w:lang w:val="en-US"/>
              </w:rPr>
              <w:t>1</w:t>
            </w:r>
          </w:p>
        </w:tc>
      </w:tr>
      <w:tr w:rsidR="001C0CAC" w:rsidRPr="00B33E89" w:rsidTr="003D47EF">
        <w:tc>
          <w:tcPr>
            <w:tcW w:w="5524" w:type="dxa"/>
            <w:tcBorders>
              <w:top w:val="single" w:sz="4" w:space="0" w:color="auto"/>
              <w:left w:val="single" w:sz="4" w:space="0" w:color="auto"/>
              <w:bottom w:val="single" w:sz="4" w:space="0" w:color="auto"/>
              <w:right w:val="single" w:sz="4" w:space="0" w:color="auto"/>
            </w:tcBorders>
            <w:hideMark/>
          </w:tcPr>
          <w:p w:rsidR="001C0CAC" w:rsidRPr="00B33E89" w:rsidRDefault="001C0CAC" w:rsidP="001C0CAC">
            <w:pPr>
              <w:spacing w:after="0"/>
              <w:rPr>
                <w:sz w:val="20"/>
                <w:szCs w:val="20"/>
                <w:lang w:val="sr-Cyrl-RS"/>
              </w:rPr>
            </w:pPr>
            <w:r w:rsidRPr="00B33E89">
              <w:rPr>
                <w:sz w:val="20"/>
                <w:szCs w:val="20"/>
                <w:lang w:val="sr-Cyrl-RS"/>
              </w:rPr>
              <w:t>Мађари</w:t>
            </w:r>
          </w:p>
        </w:tc>
        <w:tc>
          <w:tcPr>
            <w:tcW w:w="3492" w:type="dxa"/>
            <w:tcBorders>
              <w:top w:val="single" w:sz="4" w:space="0" w:color="auto"/>
              <w:left w:val="single" w:sz="4" w:space="0" w:color="auto"/>
              <w:bottom w:val="single" w:sz="4" w:space="0" w:color="auto"/>
              <w:right w:val="single" w:sz="4" w:space="0" w:color="auto"/>
            </w:tcBorders>
            <w:hideMark/>
          </w:tcPr>
          <w:p w:rsidR="001C0CAC" w:rsidRPr="00B33E89" w:rsidRDefault="001C0CAC" w:rsidP="003D47EF">
            <w:pPr>
              <w:spacing w:after="0"/>
              <w:jc w:val="center"/>
              <w:rPr>
                <w:sz w:val="20"/>
                <w:szCs w:val="20"/>
                <w:lang w:val="en-US"/>
              </w:rPr>
            </w:pPr>
            <w:r w:rsidRPr="00B33E89">
              <w:rPr>
                <w:sz w:val="20"/>
                <w:szCs w:val="20"/>
                <w:lang w:val="en-US"/>
              </w:rPr>
              <w:t>11</w:t>
            </w:r>
          </w:p>
        </w:tc>
      </w:tr>
      <w:tr w:rsidR="001C0CAC" w:rsidRPr="003D47EF" w:rsidTr="003D47EF">
        <w:tc>
          <w:tcPr>
            <w:tcW w:w="5524" w:type="dxa"/>
            <w:tcBorders>
              <w:top w:val="single" w:sz="4" w:space="0" w:color="auto"/>
              <w:left w:val="single" w:sz="4" w:space="0" w:color="auto"/>
              <w:bottom w:val="single" w:sz="4" w:space="0" w:color="auto"/>
              <w:right w:val="single" w:sz="4" w:space="0" w:color="auto"/>
            </w:tcBorders>
          </w:tcPr>
          <w:p w:rsidR="001C0CAC" w:rsidRPr="00B33E89" w:rsidRDefault="003D47EF" w:rsidP="001C0CAC">
            <w:pPr>
              <w:spacing w:after="0"/>
              <w:rPr>
                <w:sz w:val="20"/>
                <w:szCs w:val="20"/>
                <w:lang w:val="sr-Cyrl-RS"/>
              </w:rPr>
            </w:pPr>
            <w:r w:rsidRPr="00B33E89">
              <w:rPr>
                <w:sz w:val="20"/>
                <w:szCs w:val="20"/>
                <w:lang w:val="sr-Cyrl-RS"/>
              </w:rPr>
              <w:t>Роми</w:t>
            </w:r>
          </w:p>
        </w:tc>
        <w:tc>
          <w:tcPr>
            <w:tcW w:w="3492" w:type="dxa"/>
            <w:tcBorders>
              <w:top w:val="single" w:sz="4" w:space="0" w:color="auto"/>
              <w:left w:val="single" w:sz="4" w:space="0" w:color="auto"/>
              <w:bottom w:val="single" w:sz="4" w:space="0" w:color="auto"/>
              <w:right w:val="single" w:sz="4" w:space="0" w:color="auto"/>
            </w:tcBorders>
          </w:tcPr>
          <w:p w:rsidR="001C0CAC" w:rsidRPr="003D47EF" w:rsidRDefault="003D47EF" w:rsidP="003D47EF">
            <w:pPr>
              <w:spacing w:after="0"/>
              <w:jc w:val="center"/>
              <w:rPr>
                <w:sz w:val="20"/>
                <w:szCs w:val="20"/>
                <w:lang w:val="sr-Cyrl-RS"/>
              </w:rPr>
            </w:pPr>
            <w:r w:rsidRPr="00B33E89">
              <w:rPr>
                <w:sz w:val="20"/>
                <w:szCs w:val="20"/>
                <w:lang w:val="sr-Cyrl-RS"/>
              </w:rPr>
              <w:t>2</w:t>
            </w:r>
          </w:p>
        </w:tc>
      </w:tr>
    </w:tbl>
    <w:p w:rsidR="001C0CAC" w:rsidRDefault="001C0CAC" w:rsidP="00543C3D">
      <w:pPr>
        <w:spacing w:after="0"/>
        <w:jc w:val="both"/>
        <w:rPr>
          <w:sz w:val="24"/>
          <w:szCs w:val="24"/>
          <w:lang w:val="sr-Cyrl-RS"/>
        </w:rPr>
      </w:pPr>
    </w:p>
    <w:p w:rsidR="00792AAA" w:rsidRDefault="00792AAA" w:rsidP="00792AAA">
      <w:pPr>
        <w:spacing w:after="0"/>
        <w:ind w:firstLine="720"/>
        <w:jc w:val="both"/>
        <w:rPr>
          <w:sz w:val="24"/>
          <w:szCs w:val="24"/>
          <w:lang w:val="sr-Cyrl-RS"/>
        </w:rPr>
      </w:pPr>
      <w:r w:rsidRPr="00792AAA">
        <w:rPr>
          <w:sz w:val="24"/>
          <w:szCs w:val="24"/>
          <w:lang w:val="sr-Cyrl-RS"/>
        </w:rPr>
        <w:t xml:space="preserve">Према укупним резултатима избора за посланике </w:t>
      </w:r>
      <w:r>
        <w:rPr>
          <w:sz w:val="24"/>
          <w:szCs w:val="24"/>
          <w:lang w:val="sr-Cyrl-RS"/>
        </w:rPr>
        <w:t>С</w:t>
      </w:r>
      <w:r w:rsidRPr="00792AAA">
        <w:rPr>
          <w:sz w:val="24"/>
          <w:szCs w:val="24"/>
          <w:lang w:val="sr-Cyrl-RS"/>
        </w:rPr>
        <w:t xml:space="preserve">купштине </w:t>
      </w:r>
      <w:r>
        <w:rPr>
          <w:sz w:val="24"/>
          <w:szCs w:val="24"/>
          <w:lang w:val="sr-Cyrl-RS"/>
        </w:rPr>
        <w:t xml:space="preserve">Аутономне покрајине Војводине </w:t>
      </w:r>
      <w:r w:rsidRPr="00792AAA">
        <w:rPr>
          <w:sz w:val="24"/>
          <w:szCs w:val="24"/>
          <w:lang w:val="sr-Cyrl-RS"/>
        </w:rPr>
        <w:t>који су одржани 21. јуна 2020. године, изборне листе политичких странка или коалиција политичких странака националих мањина, укупно су освојиле 1</w:t>
      </w:r>
      <w:r>
        <w:rPr>
          <w:sz w:val="24"/>
          <w:szCs w:val="24"/>
          <w:lang w:val="sr-Cyrl-RS"/>
        </w:rPr>
        <w:t>1</w:t>
      </w:r>
      <w:r w:rsidRPr="00792AAA">
        <w:rPr>
          <w:sz w:val="24"/>
          <w:szCs w:val="24"/>
          <w:lang w:val="sr-Cyrl-RS"/>
        </w:rPr>
        <w:t xml:space="preserve"> мандата.</w:t>
      </w:r>
    </w:p>
    <w:p w:rsidR="00792AAA" w:rsidRDefault="00792AAA" w:rsidP="00543C3D">
      <w:pPr>
        <w:spacing w:after="0"/>
        <w:jc w:val="both"/>
        <w:rPr>
          <w:sz w:val="24"/>
          <w:szCs w:val="24"/>
          <w:lang w:val="sr-Cyrl-RS"/>
        </w:rPr>
      </w:pPr>
    </w:p>
    <w:tbl>
      <w:tblPr>
        <w:tblStyle w:val="TableGrid"/>
        <w:tblW w:w="0" w:type="auto"/>
        <w:tblLook w:val="04A0" w:firstRow="1" w:lastRow="0" w:firstColumn="1" w:lastColumn="0" w:noHBand="0" w:noVBand="1"/>
      </w:tblPr>
      <w:tblGrid>
        <w:gridCol w:w="5524"/>
        <w:gridCol w:w="3458"/>
      </w:tblGrid>
      <w:tr w:rsidR="00792AAA" w:rsidRPr="005249B1" w:rsidTr="009756CB">
        <w:tc>
          <w:tcPr>
            <w:tcW w:w="5524" w:type="dxa"/>
          </w:tcPr>
          <w:p w:rsidR="00792AAA" w:rsidRPr="005249B1" w:rsidRDefault="00792AAA" w:rsidP="005249B1">
            <w:pPr>
              <w:spacing w:after="0"/>
              <w:jc w:val="center"/>
              <w:rPr>
                <w:sz w:val="20"/>
                <w:szCs w:val="20"/>
                <w:lang w:val="sr-Cyrl-RS"/>
              </w:rPr>
            </w:pPr>
            <w:r w:rsidRPr="005249B1">
              <w:rPr>
                <w:sz w:val="20"/>
                <w:szCs w:val="20"/>
              </w:rPr>
              <w:t>Назив изборне листе</w:t>
            </w:r>
          </w:p>
        </w:tc>
        <w:tc>
          <w:tcPr>
            <w:tcW w:w="3458" w:type="dxa"/>
          </w:tcPr>
          <w:p w:rsidR="00792AAA" w:rsidRPr="005249B1" w:rsidRDefault="00792AAA" w:rsidP="005249B1">
            <w:pPr>
              <w:spacing w:after="0"/>
              <w:jc w:val="center"/>
              <w:rPr>
                <w:sz w:val="20"/>
                <w:szCs w:val="20"/>
                <w:lang w:val="sr-Cyrl-RS"/>
              </w:rPr>
            </w:pPr>
            <w:r w:rsidRPr="005249B1">
              <w:rPr>
                <w:sz w:val="20"/>
                <w:szCs w:val="20"/>
              </w:rPr>
              <w:t>Број добијених мандата</w:t>
            </w:r>
          </w:p>
        </w:tc>
      </w:tr>
      <w:tr w:rsidR="00792AAA" w:rsidRPr="005249B1" w:rsidTr="009756CB">
        <w:tc>
          <w:tcPr>
            <w:tcW w:w="5524" w:type="dxa"/>
          </w:tcPr>
          <w:p w:rsidR="00792AAA" w:rsidRPr="005249B1" w:rsidRDefault="00792AAA" w:rsidP="005249B1">
            <w:pPr>
              <w:spacing w:after="0"/>
              <w:rPr>
                <w:sz w:val="20"/>
                <w:szCs w:val="20"/>
                <w:lang w:val="sr-Cyrl-RS"/>
              </w:rPr>
            </w:pPr>
            <w:r w:rsidRPr="005249B1">
              <w:rPr>
                <w:sz w:val="20"/>
                <w:szCs w:val="20"/>
              </w:rPr>
              <w:t>Vajdasági Magyar Szövetség – Pásztor István – Савез војвођанских Мађара – Иштван Пастор</w:t>
            </w:r>
          </w:p>
        </w:tc>
        <w:tc>
          <w:tcPr>
            <w:tcW w:w="3458" w:type="dxa"/>
          </w:tcPr>
          <w:p w:rsidR="00792AAA" w:rsidRPr="005249B1" w:rsidRDefault="00792AAA" w:rsidP="005249B1">
            <w:pPr>
              <w:spacing w:after="0"/>
              <w:jc w:val="center"/>
              <w:rPr>
                <w:sz w:val="20"/>
                <w:szCs w:val="20"/>
                <w:lang w:val="sr-Cyrl-RS"/>
              </w:rPr>
            </w:pPr>
            <w:r w:rsidRPr="005249B1">
              <w:rPr>
                <w:sz w:val="20"/>
                <w:szCs w:val="20"/>
                <w:lang w:val="sr-Cyrl-RS"/>
              </w:rPr>
              <w:t>11</w:t>
            </w:r>
          </w:p>
        </w:tc>
      </w:tr>
    </w:tbl>
    <w:p w:rsidR="00792AAA" w:rsidRDefault="00792AAA" w:rsidP="00543C3D">
      <w:pPr>
        <w:spacing w:after="0"/>
        <w:jc w:val="both"/>
        <w:rPr>
          <w:sz w:val="24"/>
          <w:szCs w:val="24"/>
          <w:lang w:val="sr-Cyrl-RS"/>
        </w:rPr>
      </w:pPr>
    </w:p>
    <w:p w:rsidR="00123B6E" w:rsidRDefault="00123B6E" w:rsidP="00123B6E">
      <w:pPr>
        <w:spacing w:after="0"/>
        <w:ind w:firstLine="720"/>
        <w:jc w:val="both"/>
        <w:rPr>
          <w:sz w:val="24"/>
          <w:szCs w:val="24"/>
          <w:lang w:val="sr-Cyrl-RS"/>
        </w:rPr>
      </w:pPr>
      <w:r>
        <w:rPr>
          <w:sz w:val="24"/>
          <w:szCs w:val="24"/>
          <w:lang w:val="sr-Cyrl-RS"/>
        </w:rPr>
        <w:t xml:space="preserve">Избори за одборнике у представничким телима на локалном нивоу одржани су  </w:t>
      </w:r>
      <w:r w:rsidRPr="00123B6E">
        <w:rPr>
          <w:sz w:val="24"/>
          <w:szCs w:val="24"/>
          <w:lang w:val="sr-Cyrl-RS"/>
        </w:rPr>
        <w:t>21. јуна 2020. године</w:t>
      </w:r>
      <w:r>
        <w:rPr>
          <w:sz w:val="24"/>
          <w:szCs w:val="24"/>
          <w:lang w:val="sr-Cyrl-RS"/>
        </w:rPr>
        <w:t xml:space="preserve"> у већем броју јединица локалне самоуправе. У табели која следи дати су расположиви подаци о броју освојених мандата политичких странака националних мањина или коалиција у којима су учествовале политичке странке националних мањина.</w:t>
      </w:r>
    </w:p>
    <w:p w:rsidR="00123B6E" w:rsidRDefault="00123B6E" w:rsidP="00123B6E">
      <w:pPr>
        <w:spacing w:after="0"/>
        <w:ind w:firstLine="720"/>
        <w:jc w:val="both"/>
        <w:rPr>
          <w:sz w:val="24"/>
          <w:szCs w:val="24"/>
          <w:lang w:val="sr-Cyrl-RS"/>
        </w:rPr>
      </w:pPr>
    </w:p>
    <w:tbl>
      <w:tblPr>
        <w:tblStyle w:val="TableGrid"/>
        <w:tblpPr w:leftFromText="180" w:rightFromText="180" w:vertAnchor="text" w:tblpY="1"/>
        <w:tblOverlap w:val="never"/>
        <w:tblW w:w="8749" w:type="dxa"/>
        <w:tblLook w:val="04A0" w:firstRow="1" w:lastRow="0" w:firstColumn="1" w:lastColumn="0" w:noHBand="0" w:noVBand="1"/>
      </w:tblPr>
      <w:tblGrid>
        <w:gridCol w:w="5665"/>
        <w:gridCol w:w="2410"/>
        <w:gridCol w:w="674"/>
      </w:tblGrid>
      <w:tr w:rsidR="00123B6E" w:rsidRPr="00123B6E" w:rsidTr="009756CB">
        <w:trPr>
          <w:trHeight w:val="309"/>
        </w:trPr>
        <w:tc>
          <w:tcPr>
            <w:tcW w:w="8749" w:type="dxa"/>
            <w:gridSpan w:val="3"/>
          </w:tcPr>
          <w:p w:rsidR="00123B6E" w:rsidRPr="00123B6E" w:rsidRDefault="00123B6E" w:rsidP="00123B6E">
            <w:pPr>
              <w:spacing w:after="0" w:line="240" w:lineRule="auto"/>
              <w:jc w:val="center"/>
              <w:rPr>
                <w:sz w:val="20"/>
                <w:szCs w:val="20"/>
                <w:lang w:val="sr-Cyrl-RS"/>
              </w:rPr>
            </w:pPr>
          </w:p>
          <w:p w:rsidR="00123B6E" w:rsidRPr="00123B6E" w:rsidRDefault="00123B6E" w:rsidP="00123B6E">
            <w:pPr>
              <w:spacing w:after="0" w:line="240" w:lineRule="auto"/>
              <w:jc w:val="center"/>
              <w:rPr>
                <w:sz w:val="20"/>
                <w:szCs w:val="20"/>
                <w:lang w:val="sr-Cyrl-RS"/>
              </w:rPr>
            </w:pPr>
            <w:r w:rsidRPr="00123B6E">
              <w:rPr>
                <w:sz w:val="20"/>
                <w:szCs w:val="20"/>
                <w:lang w:val="sr-Cyrl-RS"/>
              </w:rPr>
              <w:t>Албанска мањина</w:t>
            </w:r>
          </w:p>
          <w:p w:rsidR="00123B6E" w:rsidRPr="00123B6E" w:rsidRDefault="00123B6E" w:rsidP="00123B6E">
            <w:pPr>
              <w:spacing w:after="0" w:line="240" w:lineRule="auto"/>
              <w:jc w:val="center"/>
              <w:rPr>
                <w:sz w:val="20"/>
                <w:szCs w:val="20"/>
                <w:lang w:val="sr-Cyrl-RS"/>
              </w:rPr>
            </w:pPr>
          </w:p>
        </w:tc>
      </w:tr>
      <w:tr w:rsidR="00123B6E" w:rsidRPr="00123B6E" w:rsidTr="009756CB">
        <w:trPr>
          <w:trHeight w:val="309"/>
        </w:trPr>
        <w:tc>
          <w:tcPr>
            <w:tcW w:w="5665" w:type="dxa"/>
          </w:tcPr>
          <w:p w:rsidR="00123B6E" w:rsidRPr="00123B6E" w:rsidRDefault="00123B6E" w:rsidP="00123B6E">
            <w:pPr>
              <w:spacing w:after="0" w:line="240" w:lineRule="auto"/>
              <w:rPr>
                <w:sz w:val="20"/>
                <w:szCs w:val="20"/>
                <w:lang w:val="sr-Cyrl-RS"/>
              </w:rPr>
            </w:pPr>
            <w:r w:rsidRPr="00123B6E">
              <w:rPr>
                <w:sz w:val="20"/>
                <w:szCs w:val="20"/>
                <w:lang w:val="sr-Cyrl-RS"/>
              </w:rPr>
              <w:t>Демократска Партија – Др. Сц. Нагип Арифи – Partia Demokratike – Dr. Sc. Nagip Arifi</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Бујановац</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10</w:t>
            </w:r>
          </w:p>
        </w:tc>
      </w:tr>
      <w:tr w:rsidR="00123B6E" w:rsidRPr="00123B6E" w:rsidTr="009756CB">
        <w:trPr>
          <w:trHeight w:val="309"/>
        </w:trPr>
        <w:tc>
          <w:tcPr>
            <w:tcW w:w="5665" w:type="dxa"/>
          </w:tcPr>
          <w:p w:rsidR="00123B6E" w:rsidRPr="00123B6E" w:rsidRDefault="00123B6E" w:rsidP="00123B6E">
            <w:pPr>
              <w:spacing w:after="0" w:line="240" w:lineRule="auto"/>
              <w:rPr>
                <w:sz w:val="20"/>
                <w:szCs w:val="20"/>
                <w:lang w:val="sr-Cyrl-RS"/>
              </w:rPr>
            </w:pPr>
            <w:r w:rsidRPr="00123B6E">
              <w:rPr>
                <w:sz w:val="20"/>
                <w:szCs w:val="20"/>
                <w:lang w:val="sr-Cyrl-RS"/>
              </w:rPr>
              <w:t>ПАРТИЈА ЗА ДЕМОКРАТСКО ДЕЛОВАЊЕ – Дритон Реџепи – PARTIA PËR VEPRIM DEMOKRATIK – Driton Rexhepi</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Бујановац</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10</w:t>
            </w:r>
          </w:p>
        </w:tc>
      </w:tr>
      <w:tr w:rsidR="00123B6E" w:rsidRPr="00123B6E" w:rsidTr="009756CB">
        <w:trPr>
          <w:trHeight w:val="309"/>
        </w:trPr>
        <w:tc>
          <w:tcPr>
            <w:tcW w:w="5665" w:type="dxa"/>
          </w:tcPr>
          <w:p w:rsidR="00123B6E" w:rsidRPr="00123B6E" w:rsidRDefault="00123B6E" w:rsidP="00123B6E">
            <w:pPr>
              <w:spacing w:after="0" w:line="240" w:lineRule="auto"/>
              <w:rPr>
                <w:sz w:val="20"/>
                <w:szCs w:val="20"/>
                <w:lang w:val="sr-Cyrl-RS"/>
              </w:rPr>
            </w:pPr>
            <w:r w:rsidRPr="00123B6E">
              <w:rPr>
                <w:sz w:val="20"/>
                <w:szCs w:val="20"/>
                <w:lang w:val="sr-Cyrl-RS"/>
              </w:rPr>
              <w:t>АЛТЕРНАТИВА ЗА ПРОМЕНЕ – Арбер Пајазити – ALTERNATIVA PËR NDRYSHIM – Arbër Pajaziti</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Бујановац</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3</w:t>
            </w:r>
          </w:p>
        </w:tc>
      </w:tr>
      <w:tr w:rsidR="00123B6E" w:rsidRPr="00123B6E" w:rsidTr="009756CB">
        <w:trPr>
          <w:trHeight w:val="309"/>
        </w:trPr>
        <w:tc>
          <w:tcPr>
            <w:tcW w:w="5665" w:type="dxa"/>
          </w:tcPr>
          <w:p w:rsidR="00123B6E" w:rsidRPr="00123B6E" w:rsidRDefault="00123B6E" w:rsidP="00123B6E">
            <w:pPr>
              <w:spacing w:after="0" w:line="240" w:lineRule="auto"/>
              <w:rPr>
                <w:sz w:val="20"/>
                <w:szCs w:val="20"/>
              </w:rPr>
            </w:pPr>
            <w:r w:rsidRPr="00123B6E">
              <w:rPr>
                <w:sz w:val="20"/>
                <w:szCs w:val="20"/>
              </w:rPr>
              <w:lastRenderedPageBreak/>
              <w:t>ПОКРЕТ ЗА ДЕМОКРАТСКИ ПРОГРЕС – ШЋИПРИМ МУСЛИУ – LËVIZJA E PROGRESIT DEMOKRATIK – SHQIPRIM MUSLIU</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Бујановац</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4</w:t>
            </w:r>
          </w:p>
        </w:tc>
      </w:tr>
      <w:tr w:rsidR="00123B6E" w:rsidRPr="00123B6E" w:rsidTr="009756CB">
        <w:trPr>
          <w:trHeight w:val="309"/>
        </w:trPr>
        <w:tc>
          <w:tcPr>
            <w:tcW w:w="5665" w:type="dxa"/>
          </w:tcPr>
          <w:p w:rsidR="00123B6E" w:rsidRPr="00123B6E" w:rsidRDefault="00123B6E" w:rsidP="00123B6E">
            <w:pPr>
              <w:spacing w:after="0" w:line="240" w:lineRule="auto"/>
              <w:rPr>
                <w:sz w:val="20"/>
                <w:szCs w:val="20"/>
              </w:rPr>
            </w:pPr>
            <w:r w:rsidRPr="00123B6E">
              <w:rPr>
                <w:sz w:val="20"/>
                <w:szCs w:val="20"/>
              </w:rPr>
              <w:t>ДЕМОКРАТСКА УНИЈА АЛБАНАЦА – БАСРИ ВЕСЕЛИ – UNIONI DEMOKRATIK SHQIPTAR – BASRI VESELI</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Бујановац</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1</w:t>
            </w:r>
          </w:p>
        </w:tc>
      </w:tr>
      <w:tr w:rsidR="00123B6E" w:rsidRPr="00123B6E" w:rsidTr="009756CB">
        <w:trPr>
          <w:trHeight w:val="309"/>
        </w:trPr>
        <w:tc>
          <w:tcPr>
            <w:tcW w:w="8749" w:type="dxa"/>
            <w:gridSpan w:val="3"/>
          </w:tcPr>
          <w:p w:rsidR="00123B6E" w:rsidRPr="00123B6E" w:rsidRDefault="00123B6E" w:rsidP="00123B6E">
            <w:pPr>
              <w:spacing w:after="0" w:line="240" w:lineRule="auto"/>
              <w:jc w:val="center"/>
              <w:rPr>
                <w:sz w:val="20"/>
                <w:szCs w:val="20"/>
                <w:lang w:val="sr-Cyrl-RS"/>
              </w:rPr>
            </w:pPr>
          </w:p>
          <w:p w:rsidR="00123B6E" w:rsidRPr="00123B6E" w:rsidRDefault="00123B6E" w:rsidP="00123B6E">
            <w:pPr>
              <w:spacing w:after="0" w:line="240" w:lineRule="auto"/>
              <w:jc w:val="center"/>
              <w:rPr>
                <w:sz w:val="20"/>
                <w:szCs w:val="20"/>
                <w:lang w:val="sr-Cyrl-RS"/>
              </w:rPr>
            </w:pPr>
            <w:r w:rsidRPr="00123B6E">
              <w:rPr>
                <w:sz w:val="20"/>
                <w:szCs w:val="20"/>
                <w:lang w:val="sr-Cyrl-RS"/>
              </w:rPr>
              <w:t>Бошњачка мањина</w:t>
            </w:r>
          </w:p>
          <w:p w:rsidR="00123B6E" w:rsidRPr="00123B6E" w:rsidRDefault="00123B6E" w:rsidP="00123B6E">
            <w:pPr>
              <w:spacing w:after="0" w:line="240" w:lineRule="auto"/>
              <w:jc w:val="center"/>
              <w:rPr>
                <w:sz w:val="20"/>
                <w:szCs w:val="20"/>
                <w:lang w:val="sr-Cyrl-RS"/>
              </w:rPr>
            </w:pPr>
          </w:p>
        </w:tc>
      </w:tr>
      <w:tr w:rsidR="00123B6E" w:rsidRPr="00123B6E" w:rsidTr="009756CB">
        <w:trPr>
          <w:trHeight w:val="309"/>
        </w:trPr>
        <w:tc>
          <w:tcPr>
            <w:tcW w:w="5665" w:type="dxa"/>
          </w:tcPr>
          <w:p w:rsidR="00123B6E" w:rsidRPr="00123B6E" w:rsidRDefault="00123B6E" w:rsidP="00123B6E">
            <w:pPr>
              <w:spacing w:after="0" w:line="240" w:lineRule="auto"/>
              <w:rPr>
                <w:sz w:val="20"/>
                <w:szCs w:val="20"/>
              </w:rPr>
            </w:pPr>
            <w:r w:rsidRPr="00123B6E">
              <w:rPr>
                <w:sz w:val="20"/>
                <w:szCs w:val="20"/>
              </w:rPr>
              <w:t>„ЕВРОПСКИ НОВИ ПАЗАР – РАСИМ ЉАЈИЋ“ „EVROPSKI NOVI PAZAR – RASIM LJAJIĆ“</w:t>
            </w:r>
          </w:p>
          <w:p w:rsidR="00123B6E" w:rsidRPr="00123B6E" w:rsidRDefault="00123B6E" w:rsidP="00123B6E">
            <w:pPr>
              <w:spacing w:after="0" w:line="240" w:lineRule="auto"/>
              <w:rPr>
                <w:sz w:val="20"/>
                <w:szCs w:val="20"/>
              </w:rPr>
            </w:pPr>
            <w:r w:rsidRPr="00123B6E">
              <w:rPr>
                <w:sz w:val="20"/>
                <w:szCs w:val="20"/>
              </w:rPr>
              <w:t>(</w:t>
            </w:r>
            <w:r w:rsidRPr="00123B6E">
              <w:rPr>
                <w:sz w:val="20"/>
                <w:szCs w:val="20"/>
                <w:lang w:val="sr-Cyrl-RS"/>
              </w:rPr>
              <w:t xml:space="preserve">Коалиција </w:t>
            </w:r>
            <w:r w:rsidRPr="00123B6E">
              <w:rPr>
                <w:sz w:val="20"/>
                <w:szCs w:val="20"/>
              </w:rPr>
              <w:t>СДП, СДПС, СЗС, ЛДП, БЏ)</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Нови Пазар</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21</w:t>
            </w:r>
          </w:p>
        </w:tc>
      </w:tr>
      <w:tr w:rsidR="00123B6E" w:rsidRPr="00123B6E" w:rsidTr="009756CB">
        <w:trPr>
          <w:trHeight w:val="309"/>
        </w:trPr>
        <w:tc>
          <w:tcPr>
            <w:tcW w:w="5665" w:type="dxa"/>
          </w:tcPr>
          <w:p w:rsidR="00123B6E" w:rsidRPr="00123B6E" w:rsidRDefault="00123B6E" w:rsidP="00123B6E">
            <w:pPr>
              <w:spacing w:after="0" w:line="240" w:lineRule="auto"/>
              <w:rPr>
                <w:sz w:val="20"/>
                <w:szCs w:val="20"/>
              </w:rPr>
            </w:pPr>
            <w:r w:rsidRPr="00123B6E">
              <w:rPr>
                <w:sz w:val="20"/>
                <w:szCs w:val="20"/>
              </w:rPr>
              <w:t>ЗАЈЕДНО ЗА ПРИЈЕПОЉЕ – РАСИМ ЉАЈИЋ</w:t>
            </w:r>
          </w:p>
          <w:p w:rsidR="00123B6E" w:rsidRPr="00123B6E" w:rsidRDefault="00123B6E" w:rsidP="00123B6E">
            <w:pPr>
              <w:spacing w:after="0" w:line="240" w:lineRule="auto"/>
              <w:rPr>
                <w:sz w:val="20"/>
                <w:szCs w:val="20"/>
                <w:lang w:val="sr-Cyrl-RS"/>
              </w:rPr>
            </w:pPr>
            <w:r w:rsidRPr="00123B6E">
              <w:rPr>
                <w:sz w:val="20"/>
                <w:szCs w:val="20"/>
                <w:lang w:val="sr-Cyrl-RS"/>
              </w:rPr>
              <w:t>(Коалиција СДП-СДПС-ЛДП)</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Пријепоље</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11</w:t>
            </w:r>
          </w:p>
        </w:tc>
      </w:tr>
      <w:tr w:rsidR="00123B6E" w:rsidRPr="00123B6E" w:rsidTr="009756CB">
        <w:trPr>
          <w:trHeight w:val="309"/>
        </w:trPr>
        <w:tc>
          <w:tcPr>
            <w:tcW w:w="5665" w:type="dxa"/>
          </w:tcPr>
          <w:p w:rsidR="00123B6E" w:rsidRPr="00123B6E" w:rsidRDefault="00123B6E" w:rsidP="00123B6E">
            <w:pPr>
              <w:spacing w:after="0" w:line="240" w:lineRule="auto"/>
              <w:rPr>
                <w:sz w:val="20"/>
                <w:szCs w:val="20"/>
              </w:rPr>
            </w:pPr>
            <w:r w:rsidRPr="00123B6E">
              <w:rPr>
                <w:sz w:val="20"/>
                <w:szCs w:val="20"/>
              </w:rPr>
              <w:t>„EVROPSKA SJENICA – RASIM LJAJIĆ“</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Сјеница</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7</w:t>
            </w:r>
          </w:p>
        </w:tc>
      </w:tr>
      <w:tr w:rsidR="00123B6E" w:rsidRPr="00123B6E" w:rsidTr="009756CB">
        <w:trPr>
          <w:trHeight w:val="309"/>
        </w:trPr>
        <w:tc>
          <w:tcPr>
            <w:tcW w:w="5665" w:type="dxa"/>
          </w:tcPr>
          <w:p w:rsidR="00123B6E" w:rsidRPr="00123B6E" w:rsidRDefault="00123B6E" w:rsidP="00123B6E">
            <w:pPr>
              <w:spacing w:after="0" w:line="240" w:lineRule="auto"/>
              <w:rPr>
                <w:sz w:val="20"/>
                <w:szCs w:val="20"/>
              </w:rPr>
            </w:pPr>
            <w:r w:rsidRPr="00123B6E">
              <w:rPr>
                <w:sz w:val="20"/>
                <w:szCs w:val="20"/>
              </w:rPr>
              <w:t>Evropski Tutin</w:t>
            </w:r>
            <w:r w:rsidRPr="00123B6E">
              <w:rPr>
                <w:sz w:val="20"/>
                <w:szCs w:val="20"/>
                <w:lang w:val="sr-Cyrl-RS"/>
              </w:rPr>
              <w:t xml:space="preserve"> </w:t>
            </w:r>
            <w:r w:rsidRPr="00123B6E">
              <w:rPr>
                <w:sz w:val="20"/>
                <w:szCs w:val="20"/>
              </w:rPr>
              <w:t>- Rasim Ljajić</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Тутин</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2</w:t>
            </w:r>
          </w:p>
        </w:tc>
      </w:tr>
      <w:tr w:rsidR="00123B6E" w:rsidRPr="00123B6E" w:rsidTr="009756CB">
        <w:trPr>
          <w:trHeight w:val="309"/>
        </w:trPr>
        <w:tc>
          <w:tcPr>
            <w:tcW w:w="5665" w:type="dxa"/>
            <w:vMerge w:val="restart"/>
            <w:vAlign w:val="center"/>
          </w:tcPr>
          <w:p w:rsidR="00123B6E" w:rsidRPr="00123B6E" w:rsidRDefault="00123B6E" w:rsidP="00123B6E">
            <w:pPr>
              <w:spacing w:after="0" w:line="240" w:lineRule="auto"/>
              <w:rPr>
                <w:sz w:val="20"/>
                <w:szCs w:val="20"/>
                <w:lang w:val="sr-Cyrl-RS"/>
              </w:rPr>
            </w:pPr>
            <w:r w:rsidRPr="00123B6E">
              <w:rPr>
                <w:sz w:val="20"/>
                <w:szCs w:val="20"/>
                <w:lang w:val="sr-Cyrl-RS"/>
              </w:rPr>
              <w:t>„АКАДЕМИК МУАМЕР ЗУКОРЛИЋ – СТРАНКА ПРАВДЕ И ПОМИРЕЊА“ (СПП) „AKADEMIK MUAMER ZUKORLIĆ – STRANKA PRAVDE I POMIRENjA“ (SPP)</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Нови Пазар</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11</w:t>
            </w:r>
          </w:p>
        </w:tc>
      </w:tr>
      <w:tr w:rsidR="00123B6E" w:rsidRPr="00123B6E" w:rsidTr="009756CB">
        <w:trPr>
          <w:trHeight w:val="309"/>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Прибој</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2</w:t>
            </w:r>
          </w:p>
        </w:tc>
      </w:tr>
      <w:tr w:rsidR="00123B6E" w:rsidRPr="00123B6E" w:rsidTr="009756CB">
        <w:trPr>
          <w:trHeight w:val="309"/>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Пријепоље</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8</w:t>
            </w:r>
          </w:p>
        </w:tc>
      </w:tr>
      <w:tr w:rsidR="00123B6E" w:rsidRPr="00123B6E" w:rsidTr="009756CB">
        <w:trPr>
          <w:trHeight w:val="309"/>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Сјеница</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9</w:t>
            </w:r>
          </w:p>
        </w:tc>
      </w:tr>
      <w:tr w:rsidR="00123B6E" w:rsidRPr="00123B6E" w:rsidTr="009756CB">
        <w:trPr>
          <w:trHeight w:val="309"/>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Тутин</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11</w:t>
            </w:r>
          </w:p>
        </w:tc>
      </w:tr>
      <w:tr w:rsidR="00123B6E" w:rsidRPr="00123B6E" w:rsidTr="009756CB">
        <w:trPr>
          <w:trHeight w:val="309"/>
        </w:trPr>
        <w:tc>
          <w:tcPr>
            <w:tcW w:w="5665" w:type="dxa"/>
            <w:vMerge w:val="restart"/>
            <w:vAlign w:val="center"/>
          </w:tcPr>
          <w:p w:rsidR="00123B6E" w:rsidRPr="00123B6E" w:rsidRDefault="00123B6E" w:rsidP="00123B6E">
            <w:pPr>
              <w:spacing w:after="0" w:line="240" w:lineRule="auto"/>
              <w:rPr>
                <w:sz w:val="20"/>
                <w:szCs w:val="20"/>
              </w:rPr>
            </w:pPr>
            <w:r w:rsidRPr="00123B6E">
              <w:rPr>
                <w:sz w:val="20"/>
                <w:szCs w:val="20"/>
              </w:rPr>
              <w:t>„СДА САНЏАКА – ДР. СУЛЕЈМАН УГЉАНИН“ „SDA SANDŽAKA – DR. SULEJMAN UGLJANIN“</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Нови Пазар</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9</w:t>
            </w:r>
          </w:p>
        </w:tc>
      </w:tr>
      <w:tr w:rsidR="00123B6E" w:rsidRPr="00123B6E" w:rsidTr="009756CB">
        <w:trPr>
          <w:trHeight w:val="309"/>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Прибој</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2</w:t>
            </w:r>
          </w:p>
        </w:tc>
      </w:tr>
      <w:tr w:rsidR="00123B6E" w:rsidRPr="00123B6E" w:rsidTr="009756CB">
        <w:trPr>
          <w:trHeight w:val="309"/>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Пријепоље</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1</w:t>
            </w:r>
          </w:p>
        </w:tc>
      </w:tr>
      <w:tr w:rsidR="00123B6E" w:rsidRPr="00123B6E" w:rsidTr="009756CB">
        <w:trPr>
          <w:trHeight w:val="309"/>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Сјеница</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10</w:t>
            </w:r>
          </w:p>
        </w:tc>
      </w:tr>
      <w:tr w:rsidR="00123B6E" w:rsidRPr="00123B6E" w:rsidTr="009756CB">
        <w:trPr>
          <w:trHeight w:val="309"/>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Тутин</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18</w:t>
            </w:r>
          </w:p>
        </w:tc>
      </w:tr>
      <w:tr w:rsidR="00123B6E" w:rsidRPr="00123B6E" w:rsidTr="009756CB">
        <w:trPr>
          <w:trHeight w:val="309"/>
        </w:trPr>
        <w:tc>
          <w:tcPr>
            <w:tcW w:w="5665" w:type="dxa"/>
          </w:tcPr>
          <w:p w:rsidR="00123B6E" w:rsidRPr="00123B6E" w:rsidRDefault="00123B6E" w:rsidP="00123B6E">
            <w:pPr>
              <w:spacing w:after="0" w:line="240" w:lineRule="auto"/>
              <w:rPr>
                <w:sz w:val="20"/>
                <w:szCs w:val="20"/>
              </w:rPr>
            </w:pPr>
            <w:r w:rsidRPr="00123B6E">
              <w:rPr>
                <w:sz w:val="20"/>
                <w:szCs w:val="20"/>
              </w:rPr>
              <w:t>НАЈБОЉЕ ЗА ПРИБОЈ СДП-ЛДП ДР ЈАСМИНКО ТОСКИЋ ЈАСМИН ХОЏИЋ</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Прибој</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3</w:t>
            </w:r>
          </w:p>
        </w:tc>
      </w:tr>
      <w:tr w:rsidR="00123B6E" w:rsidRPr="00123B6E" w:rsidTr="009756CB">
        <w:trPr>
          <w:trHeight w:val="309"/>
        </w:trPr>
        <w:tc>
          <w:tcPr>
            <w:tcW w:w="5665" w:type="dxa"/>
          </w:tcPr>
          <w:p w:rsidR="00123B6E" w:rsidRPr="00123B6E" w:rsidRDefault="00123B6E" w:rsidP="00123B6E">
            <w:pPr>
              <w:spacing w:after="0" w:line="240" w:lineRule="auto"/>
              <w:rPr>
                <w:sz w:val="20"/>
                <w:szCs w:val="20"/>
              </w:rPr>
            </w:pPr>
            <w:r w:rsidRPr="00123B6E">
              <w:rPr>
                <w:sz w:val="20"/>
                <w:szCs w:val="20"/>
              </w:rPr>
              <w:t>ДПС ДР ЗУЛКЕФИЛ БАТО САДОВИЋ</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Пријепоље</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3</w:t>
            </w:r>
          </w:p>
        </w:tc>
      </w:tr>
      <w:tr w:rsidR="00123B6E" w:rsidRPr="00123B6E" w:rsidTr="009756CB">
        <w:trPr>
          <w:trHeight w:val="309"/>
        </w:trPr>
        <w:tc>
          <w:tcPr>
            <w:tcW w:w="8749" w:type="dxa"/>
            <w:gridSpan w:val="3"/>
          </w:tcPr>
          <w:p w:rsidR="00123B6E" w:rsidRPr="00123B6E" w:rsidRDefault="00123B6E" w:rsidP="00123B6E">
            <w:pPr>
              <w:spacing w:after="0" w:line="240" w:lineRule="auto"/>
              <w:jc w:val="center"/>
              <w:rPr>
                <w:sz w:val="20"/>
                <w:szCs w:val="20"/>
                <w:lang w:val="sr-Cyrl-RS"/>
              </w:rPr>
            </w:pPr>
          </w:p>
          <w:p w:rsidR="00123B6E" w:rsidRPr="00123B6E" w:rsidRDefault="00123B6E" w:rsidP="00123B6E">
            <w:pPr>
              <w:spacing w:after="0" w:line="240" w:lineRule="auto"/>
              <w:jc w:val="center"/>
              <w:rPr>
                <w:sz w:val="20"/>
                <w:szCs w:val="20"/>
                <w:lang w:val="sr-Cyrl-RS"/>
              </w:rPr>
            </w:pPr>
            <w:r w:rsidRPr="00123B6E">
              <w:rPr>
                <w:sz w:val="20"/>
                <w:szCs w:val="20"/>
                <w:lang w:val="sr-Cyrl-RS"/>
              </w:rPr>
              <w:t>Бугарска мањина</w:t>
            </w:r>
          </w:p>
          <w:p w:rsidR="00123B6E" w:rsidRPr="00123B6E" w:rsidRDefault="00123B6E" w:rsidP="00123B6E">
            <w:pPr>
              <w:spacing w:after="0" w:line="240" w:lineRule="auto"/>
              <w:jc w:val="center"/>
              <w:rPr>
                <w:sz w:val="20"/>
                <w:szCs w:val="20"/>
                <w:lang w:val="sr-Cyrl-RS"/>
              </w:rPr>
            </w:pPr>
          </w:p>
        </w:tc>
      </w:tr>
      <w:tr w:rsidR="00123B6E" w:rsidRPr="00123B6E" w:rsidTr="009756CB">
        <w:trPr>
          <w:trHeight w:val="309"/>
        </w:trPr>
        <w:tc>
          <w:tcPr>
            <w:tcW w:w="5665" w:type="dxa"/>
          </w:tcPr>
          <w:p w:rsidR="00123B6E" w:rsidRPr="00123B6E" w:rsidRDefault="00123B6E" w:rsidP="00123B6E">
            <w:pPr>
              <w:spacing w:after="0" w:line="240" w:lineRule="auto"/>
              <w:rPr>
                <w:sz w:val="20"/>
                <w:szCs w:val="20"/>
                <w:lang w:val="sr-Cyrl-RS"/>
              </w:rPr>
            </w:pPr>
            <w:r w:rsidRPr="00123B6E">
              <w:rPr>
                <w:sz w:val="20"/>
                <w:szCs w:val="20"/>
                <w:lang w:val="sr-Cyrl-RS"/>
              </w:rPr>
              <w:t>ИВИЦА ДАЧИЋ-„Социјалистичка партија Србије (СПС), Демократска партија Бугара (ДПБ)“</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Бабушница</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4</w:t>
            </w:r>
          </w:p>
        </w:tc>
      </w:tr>
      <w:tr w:rsidR="00123B6E" w:rsidRPr="00123B6E" w:rsidTr="009756CB">
        <w:trPr>
          <w:trHeight w:val="309"/>
        </w:trPr>
        <w:tc>
          <w:tcPr>
            <w:tcW w:w="5665" w:type="dxa"/>
          </w:tcPr>
          <w:p w:rsidR="00123B6E" w:rsidRPr="00123B6E" w:rsidRDefault="00123B6E" w:rsidP="00123B6E">
            <w:pPr>
              <w:spacing w:after="0" w:line="240" w:lineRule="auto"/>
              <w:rPr>
                <w:sz w:val="20"/>
                <w:szCs w:val="20"/>
              </w:rPr>
            </w:pPr>
            <w:r w:rsidRPr="00123B6E">
              <w:rPr>
                <w:sz w:val="20"/>
                <w:szCs w:val="20"/>
              </w:rPr>
              <w:t>ВЛАДИМИР ЗАХАРИЈЕВ-ТО СМО МИ-АЛЕКСАНДАР ВУЧИЋ-ЗА НАШУ ДЕЦУ</w:t>
            </w:r>
          </w:p>
          <w:p w:rsidR="00123B6E" w:rsidRPr="00123B6E" w:rsidRDefault="00123B6E" w:rsidP="00123B6E">
            <w:pPr>
              <w:spacing w:after="0" w:line="240" w:lineRule="auto"/>
              <w:rPr>
                <w:sz w:val="20"/>
                <w:szCs w:val="20"/>
              </w:rPr>
            </w:pPr>
            <w:r w:rsidRPr="00123B6E">
              <w:rPr>
                <w:sz w:val="20"/>
                <w:szCs w:val="20"/>
              </w:rPr>
              <w:t>ВЛАДИМИР ЗАХАРИЙЕВ-ТОВА СМЕ НИЕ-АЛЕКСАНДАР ВУЧИЧ-ЗА НАШИТЕ ДЕЦА</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Босилеград</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30</w:t>
            </w:r>
          </w:p>
        </w:tc>
      </w:tr>
      <w:tr w:rsidR="00123B6E" w:rsidRPr="00123B6E" w:rsidTr="009756CB">
        <w:trPr>
          <w:trHeight w:val="309"/>
        </w:trPr>
        <w:tc>
          <w:tcPr>
            <w:tcW w:w="5665" w:type="dxa"/>
          </w:tcPr>
          <w:p w:rsidR="00123B6E" w:rsidRPr="00123B6E" w:rsidRDefault="00123B6E" w:rsidP="00123B6E">
            <w:pPr>
              <w:spacing w:after="0" w:line="240" w:lineRule="auto"/>
              <w:rPr>
                <w:sz w:val="20"/>
                <w:szCs w:val="20"/>
              </w:rPr>
            </w:pPr>
            <w:r w:rsidRPr="00123B6E">
              <w:rPr>
                <w:sz w:val="20"/>
                <w:szCs w:val="20"/>
              </w:rPr>
              <w:t>ДЕМОКРТАСКА ПАРТИЈА БУГАРА – НЕБОЈША ИВАНОВ ДЕМОКРАТИЧЕСКА ПАРТИЯ НА БЪЛГАРИТЕ - НЕБОЙША ИВАНОВ</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Димитровград</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4</w:t>
            </w:r>
          </w:p>
        </w:tc>
      </w:tr>
      <w:tr w:rsidR="00123B6E" w:rsidRPr="00123B6E" w:rsidTr="009756CB">
        <w:trPr>
          <w:trHeight w:val="309"/>
        </w:trPr>
        <w:tc>
          <w:tcPr>
            <w:tcW w:w="8749" w:type="dxa"/>
            <w:gridSpan w:val="3"/>
          </w:tcPr>
          <w:p w:rsidR="00123B6E" w:rsidRPr="00123B6E" w:rsidRDefault="00123B6E" w:rsidP="00123B6E">
            <w:pPr>
              <w:spacing w:after="0" w:line="240" w:lineRule="auto"/>
              <w:jc w:val="center"/>
              <w:rPr>
                <w:sz w:val="20"/>
                <w:szCs w:val="20"/>
                <w:lang w:val="sr-Cyrl-RS"/>
              </w:rPr>
            </w:pPr>
          </w:p>
          <w:p w:rsidR="00123B6E" w:rsidRPr="00123B6E" w:rsidRDefault="00123B6E" w:rsidP="00123B6E">
            <w:pPr>
              <w:spacing w:after="0" w:line="240" w:lineRule="auto"/>
              <w:jc w:val="center"/>
              <w:rPr>
                <w:sz w:val="20"/>
                <w:szCs w:val="20"/>
                <w:lang w:val="sr-Cyrl-RS"/>
              </w:rPr>
            </w:pPr>
            <w:r w:rsidRPr="00123B6E">
              <w:rPr>
                <w:sz w:val="20"/>
                <w:szCs w:val="20"/>
                <w:lang w:val="sr-Cyrl-RS"/>
              </w:rPr>
              <w:t>Буњевачка мањина</w:t>
            </w:r>
          </w:p>
          <w:p w:rsidR="00123B6E" w:rsidRPr="00123B6E" w:rsidRDefault="00123B6E" w:rsidP="00123B6E">
            <w:pPr>
              <w:spacing w:after="0" w:line="240" w:lineRule="auto"/>
              <w:jc w:val="center"/>
              <w:rPr>
                <w:sz w:val="20"/>
                <w:szCs w:val="20"/>
                <w:lang w:val="sr-Cyrl-RS"/>
              </w:rPr>
            </w:pPr>
          </w:p>
        </w:tc>
      </w:tr>
      <w:tr w:rsidR="00123B6E" w:rsidRPr="00123B6E" w:rsidTr="009756CB">
        <w:trPr>
          <w:trHeight w:val="309"/>
        </w:trPr>
        <w:tc>
          <w:tcPr>
            <w:tcW w:w="5665" w:type="dxa"/>
          </w:tcPr>
          <w:p w:rsidR="00123B6E" w:rsidRPr="00123B6E" w:rsidRDefault="00123B6E" w:rsidP="00123B6E">
            <w:pPr>
              <w:spacing w:after="0" w:line="240" w:lineRule="auto"/>
              <w:rPr>
                <w:sz w:val="20"/>
                <w:szCs w:val="20"/>
              </w:rPr>
            </w:pPr>
            <w:r w:rsidRPr="00123B6E">
              <w:rPr>
                <w:sz w:val="20"/>
                <w:szCs w:val="20"/>
              </w:rPr>
              <w:t>БУЊЕВЦИ ЗА СУБОТИЦУ – САВЕЗ БАЧКИХ БУЊЕВАЦА</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Суботица</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2</w:t>
            </w:r>
          </w:p>
        </w:tc>
      </w:tr>
      <w:tr w:rsidR="00123B6E" w:rsidRPr="00123B6E" w:rsidTr="009756CB">
        <w:trPr>
          <w:trHeight w:val="309"/>
        </w:trPr>
        <w:tc>
          <w:tcPr>
            <w:tcW w:w="8749" w:type="dxa"/>
            <w:gridSpan w:val="3"/>
          </w:tcPr>
          <w:p w:rsidR="00123B6E" w:rsidRPr="00123B6E" w:rsidRDefault="00123B6E" w:rsidP="00123B6E">
            <w:pPr>
              <w:spacing w:after="0" w:line="240" w:lineRule="auto"/>
              <w:jc w:val="center"/>
              <w:rPr>
                <w:sz w:val="20"/>
                <w:szCs w:val="20"/>
                <w:lang w:val="sr-Cyrl-RS"/>
              </w:rPr>
            </w:pPr>
          </w:p>
          <w:p w:rsidR="00123B6E" w:rsidRPr="00123B6E" w:rsidRDefault="00123B6E" w:rsidP="00123B6E">
            <w:pPr>
              <w:spacing w:after="0" w:line="240" w:lineRule="auto"/>
              <w:jc w:val="center"/>
              <w:rPr>
                <w:sz w:val="20"/>
                <w:szCs w:val="20"/>
                <w:lang w:val="sr-Cyrl-RS"/>
              </w:rPr>
            </w:pPr>
            <w:r w:rsidRPr="00123B6E">
              <w:rPr>
                <w:sz w:val="20"/>
                <w:szCs w:val="20"/>
                <w:lang w:val="sr-Cyrl-RS"/>
              </w:rPr>
              <w:t>Влашка мањина</w:t>
            </w:r>
          </w:p>
          <w:p w:rsidR="00123B6E" w:rsidRPr="00123B6E" w:rsidRDefault="00123B6E" w:rsidP="00123B6E">
            <w:pPr>
              <w:spacing w:after="0" w:line="240" w:lineRule="auto"/>
              <w:jc w:val="center"/>
              <w:rPr>
                <w:sz w:val="20"/>
                <w:szCs w:val="20"/>
                <w:lang w:val="sr-Cyrl-RS"/>
              </w:rPr>
            </w:pPr>
          </w:p>
        </w:tc>
      </w:tr>
      <w:tr w:rsidR="00123B6E" w:rsidRPr="00123B6E" w:rsidTr="009756CB">
        <w:trPr>
          <w:trHeight w:val="309"/>
        </w:trPr>
        <w:tc>
          <w:tcPr>
            <w:tcW w:w="5665" w:type="dxa"/>
            <w:vMerge w:val="restart"/>
            <w:vAlign w:val="center"/>
          </w:tcPr>
          <w:p w:rsidR="00123B6E" w:rsidRPr="00123B6E" w:rsidRDefault="00123B6E" w:rsidP="00123B6E">
            <w:pPr>
              <w:spacing w:after="0" w:line="240" w:lineRule="auto"/>
              <w:rPr>
                <w:sz w:val="20"/>
                <w:szCs w:val="20"/>
                <w:lang w:val="sr-Cyrl-RS"/>
              </w:rPr>
            </w:pPr>
            <w:r w:rsidRPr="00123B6E">
              <w:rPr>
                <w:sz w:val="20"/>
                <w:szCs w:val="20"/>
                <w:lang w:val="sr-Cyrl-RS"/>
              </w:rPr>
              <w:t xml:space="preserve">Влашка странка Мост </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Бољевац</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2</w:t>
            </w:r>
          </w:p>
        </w:tc>
      </w:tr>
      <w:tr w:rsidR="00123B6E" w:rsidRPr="00123B6E" w:rsidTr="009756CB">
        <w:trPr>
          <w:trHeight w:val="309"/>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Кучево</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1</w:t>
            </w:r>
          </w:p>
        </w:tc>
      </w:tr>
      <w:tr w:rsidR="00123B6E" w:rsidRPr="00123B6E" w:rsidTr="009756CB">
        <w:trPr>
          <w:trHeight w:val="309"/>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Петровац на Млави</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2</w:t>
            </w:r>
          </w:p>
        </w:tc>
      </w:tr>
      <w:tr w:rsidR="00123B6E" w:rsidRPr="00123B6E" w:rsidTr="009756CB">
        <w:trPr>
          <w:trHeight w:val="309"/>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Пожаревац</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2</w:t>
            </w:r>
          </w:p>
        </w:tc>
      </w:tr>
      <w:tr w:rsidR="00123B6E" w:rsidRPr="00123B6E" w:rsidTr="009756CB">
        <w:trPr>
          <w:trHeight w:val="309"/>
        </w:trPr>
        <w:tc>
          <w:tcPr>
            <w:tcW w:w="5665" w:type="dxa"/>
          </w:tcPr>
          <w:p w:rsidR="00123B6E" w:rsidRPr="00123B6E" w:rsidRDefault="00123B6E" w:rsidP="00123B6E">
            <w:pPr>
              <w:spacing w:after="0" w:line="240" w:lineRule="auto"/>
              <w:rPr>
                <w:sz w:val="20"/>
                <w:szCs w:val="20"/>
                <w:lang w:val="sr-Cyrl-RS"/>
              </w:rPr>
            </w:pPr>
            <w:r w:rsidRPr="00123B6E">
              <w:rPr>
                <w:sz w:val="20"/>
                <w:szCs w:val="20"/>
                <w:lang w:val="sr-Cyrl-RS"/>
              </w:rPr>
              <w:t>Заједно за Бољевац – ДЕЈАН КАРАБАШЕВИЋ - Влашка Народна Странка</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Бољевац</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2</w:t>
            </w:r>
          </w:p>
        </w:tc>
      </w:tr>
      <w:tr w:rsidR="00123B6E" w:rsidRPr="00123B6E" w:rsidTr="009756CB">
        <w:trPr>
          <w:trHeight w:val="309"/>
        </w:trPr>
        <w:tc>
          <w:tcPr>
            <w:tcW w:w="5665" w:type="dxa"/>
          </w:tcPr>
          <w:p w:rsidR="00123B6E" w:rsidRPr="00123B6E" w:rsidRDefault="00123B6E" w:rsidP="00123B6E">
            <w:pPr>
              <w:spacing w:after="0" w:line="240" w:lineRule="auto"/>
              <w:rPr>
                <w:sz w:val="20"/>
                <w:szCs w:val="20"/>
              </w:rPr>
            </w:pPr>
            <w:r w:rsidRPr="00123B6E">
              <w:rPr>
                <w:sz w:val="20"/>
                <w:szCs w:val="20"/>
              </w:rPr>
              <w:lastRenderedPageBreak/>
              <w:t>ЗАЈЕДНО ЗА ПРОМЕНЕ КОАЛИЦИЈА ЈЕДИНСТВЕНА СРБИЈА – ВЛАШКА НАРОДНА СТРАНКА</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Кучево</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2</w:t>
            </w:r>
          </w:p>
        </w:tc>
      </w:tr>
      <w:tr w:rsidR="00123B6E" w:rsidRPr="00123B6E" w:rsidTr="009756CB">
        <w:trPr>
          <w:trHeight w:val="309"/>
        </w:trPr>
        <w:tc>
          <w:tcPr>
            <w:tcW w:w="5665" w:type="dxa"/>
          </w:tcPr>
          <w:p w:rsidR="00123B6E" w:rsidRPr="00123B6E" w:rsidRDefault="00123B6E" w:rsidP="00123B6E">
            <w:pPr>
              <w:spacing w:after="0" w:line="240" w:lineRule="auto"/>
              <w:rPr>
                <w:sz w:val="20"/>
                <w:szCs w:val="20"/>
              </w:rPr>
            </w:pPr>
            <w:r w:rsidRPr="00123B6E">
              <w:rPr>
                <w:sz w:val="20"/>
                <w:szCs w:val="20"/>
              </w:rPr>
              <w:t>ИСТИНА – ADAVIERA</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Нови Сад</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1</w:t>
            </w:r>
          </w:p>
        </w:tc>
      </w:tr>
      <w:tr w:rsidR="00123B6E" w:rsidRPr="00123B6E" w:rsidTr="009756CB">
        <w:trPr>
          <w:trHeight w:val="309"/>
        </w:trPr>
        <w:tc>
          <w:tcPr>
            <w:tcW w:w="8749" w:type="dxa"/>
            <w:gridSpan w:val="3"/>
          </w:tcPr>
          <w:p w:rsidR="00123B6E" w:rsidRPr="00123B6E" w:rsidRDefault="00123B6E" w:rsidP="00123B6E">
            <w:pPr>
              <w:spacing w:after="0" w:line="240" w:lineRule="auto"/>
              <w:jc w:val="center"/>
              <w:rPr>
                <w:sz w:val="20"/>
                <w:szCs w:val="20"/>
                <w:lang w:val="sr-Cyrl-RS"/>
              </w:rPr>
            </w:pPr>
          </w:p>
          <w:p w:rsidR="00123B6E" w:rsidRPr="00123B6E" w:rsidRDefault="00123B6E" w:rsidP="00123B6E">
            <w:pPr>
              <w:spacing w:after="0" w:line="240" w:lineRule="auto"/>
              <w:jc w:val="center"/>
              <w:rPr>
                <w:sz w:val="20"/>
                <w:szCs w:val="20"/>
                <w:lang w:val="sr-Cyrl-RS"/>
              </w:rPr>
            </w:pPr>
            <w:r w:rsidRPr="00123B6E">
              <w:rPr>
                <w:sz w:val="20"/>
                <w:szCs w:val="20"/>
                <w:lang w:val="sr-Cyrl-RS"/>
              </w:rPr>
              <w:t>Мађарска мањина</w:t>
            </w:r>
          </w:p>
          <w:p w:rsidR="00123B6E" w:rsidRPr="00123B6E" w:rsidRDefault="00123B6E" w:rsidP="00123B6E">
            <w:pPr>
              <w:spacing w:after="0" w:line="240" w:lineRule="auto"/>
              <w:jc w:val="center"/>
              <w:rPr>
                <w:sz w:val="20"/>
                <w:szCs w:val="20"/>
                <w:lang w:val="sr-Cyrl-RS"/>
              </w:rPr>
            </w:pPr>
          </w:p>
        </w:tc>
      </w:tr>
      <w:tr w:rsidR="00123B6E" w:rsidRPr="00123B6E" w:rsidTr="009756CB">
        <w:trPr>
          <w:trHeight w:val="309"/>
        </w:trPr>
        <w:tc>
          <w:tcPr>
            <w:tcW w:w="5665" w:type="dxa"/>
            <w:vMerge w:val="restart"/>
            <w:vAlign w:val="center"/>
          </w:tcPr>
          <w:p w:rsidR="00123B6E" w:rsidRPr="00123B6E" w:rsidRDefault="00123B6E" w:rsidP="00123B6E">
            <w:pPr>
              <w:spacing w:after="0" w:line="240" w:lineRule="auto"/>
              <w:rPr>
                <w:sz w:val="20"/>
                <w:szCs w:val="20"/>
              </w:rPr>
            </w:pPr>
            <w:r w:rsidRPr="00123B6E">
              <w:rPr>
                <w:sz w:val="20"/>
                <w:szCs w:val="20"/>
              </w:rPr>
              <w:t>VAJDASÁGI MAGYAR SZÖVETSÉG – PÁSZTOR ISTVÁN</w:t>
            </w:r>
            <w:r w:rsidRPr="00123B6E">
              <w:rPr>
                <w:sz w:val="20"/>
                <w:szCs w:val="20"/>
                <w:lang w:val="sr-Cyrl-RS"/>
              </w:rPr>
              <w:t xml:space="preserve"> </w:t>
            </w:r>
            <w:r w:rsidRPr="00123B6E">
              <w:rPr>
                <w:sz w:val="20"/>
                <w:szCs w:val="20"/>
              </w:rPr>
              <w:t>– САВЕЗ ВОЈВОЂАНСКИХ МАЂАРА - ИШТВАН ПАСТОР</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Ада</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 xml:space="preserve">11 </w:t>
            </w:r>
          </w:p>
        </w:tc>
      </w:tr>
      <w:tr w:rsidR="00123B6E" w:rsidRPr="00123B6E" w:rsidTr="009756CB">
        <w:trPr>
          <w:trHeight w:val="323"/>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Апатин</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2</w:t>
            </w:r>
          </w:p>
        </w:tc>
      </w:tr>
      <w:tr w:rsidR="00123B6E" w:rsidRPr="00123B6E" w:rsidTr="009756CB">
        <w:trPr>
          <w:trHeight w:val="323"/>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Бачка Топола</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19</w:t>
            </w:r>
          </w:p>
        </w:tc>
      </w:tr>
      <w:tr w:rsidR="00123B6E" w:rsidRPr="00123B6E" w:rsidTr="009756CB">
        <w:trPr>
          <w:trHeight w:val="323"/>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Бечеј</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11</w:t>
            </w:r>
          </w:p>
        </w:tc>
      </w:tr>
      <w:tr w:rsidR="00123B6E" w:rsidRPr="00123B6E" w:rsidTr="009756CB">
        <w:trPr>
          <w:trHeight w:val="323"/>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Житиште</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3</w:t>
            </w:r>
          </w:p>
        </w:tc>
      </w:tr>
      <w:tr w:rsidR="00123B6E" w:rsidRPr="00123B6E" w:rsidTr="009756CB">
        <w:trPr>
          <w:trHeight w:val="323"/>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Зрењанин</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3</w:t>
            </w:r>
          </w:p>
        </w:tc>
      </w:tr>
      <w:tr w:rsidR="00123B6E" w:rsidRPr="00123B6E" w:rsidTr="009756CB">
        <w:trPr>
          <w:trHeight w:val="323"/>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Кањижа</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20</w:t>
            </w:r>
          </w:p>
        </w:tc>
      </w:tr>
      <w:tr w:rsidR="00123B6E" w:rsidRPr="00123B6E" w:rsidTr="009756CB">
        <w:trPr>
          <w:trHeight w:val="323"/>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Кикинда</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2</w:t>
            </w:r>
          </w:p>
        </w:tc>
      </w:tr>
      <w:tr w:rsidR="00123B6E" w:rsidRPr="00123B6E" w:rsidTr="009756CB">
        <w:trPr>
          <w:trHeight w:val="323"/>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Ковачица</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1</w:t>
            </w:r>
          </w:p>
        </w:tc>
      </w:tr>
      <w:tr w:rsidR="00123B6E" w:rsidRPr="00123B6E" w:rsidTr="009756CB">
        <w:trPr>
          <w:trHeight w:val="323"/>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Ковин</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3</w:t>
            </w:r>
          </w:p>
        </w:tc>
      </w:tr>
      <w:tr w:rsidR="00123B6E" w:rsidRPr="00123B6E" w:rsidTr="009756CB">
        <w:trPr>
          <w:trHeight w:val="323"/>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Мали Иђош</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12</w:t>
            </w:r>
          </w:p>
        </w:tc>
      </w:tr>
      <w:tr w:rsidR="00123B6E" w:rsidRPr="00123B6E" w:rsidTr="009756CB">
        <w:trPr>
          <w:trHeight w:val="323"/>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Нова Црња</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2</w:t>
            </w:r>
          </w:p>
        </w:tc>
      </w:tr>
      <w:tr w:rsidR="00123B6E" w:rsidRPr="00123B6E" w:rsidTr="009756CB">
        <w:trPr>
          <w:trHeight w:val="323"/>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Нови Бечеј</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2</w:t>
            </w:r>
          </w:p>
        </w:tc>
      </w:tr>
      <w:tr w:rsidR="00123B6E" w:rsidRPr="00123B6E" w:rsidTr="009756CB">
        <w:trPr>
          <w:trHeight w:val="323"/>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Нови Кнежевац</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10</w:t>
            </w:r>
          </w:p>
        </w:tc>
      </w:tr>
      <w:tr w:rsidR="00123B6E" w:rsidRPr="00123B6E" w:rsidTr="009756CB">
        <w:trPr>
          <w:trHeight w:val="323"/>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Нови Сад</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2</w:t>
            </w:r>
          </w:p>
        </w:tc>
      </w:tr>
      <w:tr w:rsidR="00123B6E" w:rsidRPr="00123B6E" w:rsidTr="009756CB">
        <w:trPr>
          <w:trHeight w:val="323"/>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Панчево</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2</w:t>
            </w:r>
          </w:p>
        </w:tc>
      </w:tr>
      <w:tr w:rsidR="00123B6E" w:rsidRPr="00123B6E" w:rsidTr="009756CB">
        <w:trPr>
          <w:trHeight w:val="323"/>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Сента</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13</w:t>
            </w:r>
          </w:p>
        </w:tc>
      </w:tr>
      <w:tr w:rsidR="00123B6E" w:rsidRPr="00123B6E" w:rsidTr="009756CB">
        <w:trPr>
          <w:trHeight w:val="323"/>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Сомбор</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5</w:t>
            </w:r>
          </w:p>
        </w:tc>
      </w:tr>
      <w:tr w:rsidR="00123B6E" w:rsidRPr="00123B6E" w:rsidTr="009756CB">
        <w:trPr>
          <w:trHeight w:val="323"/>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Србобран</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2</w:t>
            </w:r>
          </w:p>
        </w:tc>
      </w:tr>
      <w:tr w:rsidR="00123B6E" w:rsidRPr="00123B6E" w:rsidTr="009756CB">
        <w:trPr>
          <w:trHeight w:val="323"/>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Суботица</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22</w:t>
            </w:r>
          </w:p>
        </w:tc>
      </w:tr>
      <w:tr w:rsidR="00123B6E" w:rsidRPr="00123B6E" w:rsidTr="009756CB">
        <w:trPr>
          <w:trHeight w:val="323"/>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Темерин</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6</w:t>
            </w:r>
          </w:p>
        </w:tc>
      </w:tr>
      <w:tr w:rsidR="00123B6E" w:rsidRPr="00123B6E" w:rsidTr="009756CB">
        <w:trPr>
          <w:trHeight w:val="323"/>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Чока</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9</w:t>
            </w:r>
          </w:p>
        </w:tc>
      </w:tr>
      <w:tr w:rsidR="00123B6E" w:rsidRPr="00123B6E" w:rsidTr="009756CB">
        <w:trPr>
          <w:trHeight w:val="309"/>
        </w:trPr>
        <w:tc>
          <w:tcPr>
            <w:tcW w:w="5665" w:type="dxa"/>
          </w:tcPr>
          <w:p w:rsidR="00123B6E" w:rsidRPr="00123B6E" w:rsidRDefault="00123B6E" w:rsidP="00123B6E">
            <w:pPr>
              <w:spacing w:after="0" w:line="240" w:lineRule="auto"/>
              <w:rPr>
                <w:sz w:val="20"/>
                <w:szCs w:val="20"/>
              </w:rPr>
            </w:pPr>
            <w:r w:rsidRPr="00123B6E">
              <w:rPr>
                <w:sz w:val="20"/>
                <w:szCs w:val="20"/>
              </w:rPr>
              <w:t xml:space="preserve">„UKROK – ÖSSZEFOGÁS - TANDARI” -TANDARI ZOLTÁN   -   „UKROK - UJEDINJENI - TANDARI“ – ZOLTAN TANDARI  </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Кањижа</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2</w:t>
            </w:r>
          </w:p>
        </w:tc>
      </w:tr>
      <w:tr w:rsidR="00123B6E" w:rsidRPr="00123B6E" w:rsidTr="009756CB">
        <w:trPr>
          <w:trHeight w:val="309"/>
        </w:trPr>
        <w:tc>
          <w:tcPr>
            <w:tcW w:w="5665" w:type="dxa"/>
          </w:tcPr>
          <w:p w:rsidR="00123B6E" w:rsidRPr="00123B6E" w:rsidRDefault="00123B6E" w:rsidP="00123B6E">
            <w:pPr>
              <w:spacing w:after="0" w:line="240" w:lineRule="auto"/>
              <w:rPr>
                <w:sz w:val="20"/>
                <w:szCs w:val="20"/>
              </w:rPr>
            </w:pPr>
            <w:r w:rsidRPr="00123B6E">
              <w:rPr>
                <w:sz w:val="20"/>
                <w:szCs w:val="20"/>
              </w:rPr>
              <w:t>ГРУПА ГРАЂАНА ЗАЈЕДНО ЗА БОЉУ СЕНТУ - POLGÁROK CSOPORTJA EGYÜTT A  JOBB ZENTÁÉRT</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Сента</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3</w:t>
            </w:r>
          </w:p>
        </w:tc>
      </w:tr>
      <w:tr w:rsidR="00123B6E" w:rsidRPr="00123B6E" w:rsidTr="009756CB">
        <w:trPr>
          <w:trHeight w:val="309"/>
        </w:trPr>
        <w:tc>
          <w:tcPr>
            <w:tcW w:w="5665" w:type="dxa"/>
          </w:tcPr>
          <w:p w:rsidR="00123B6E" w:rsidRPr="00123B6E" w:rsidRDefault="00123B6E" w:rsidP="00123B6E">
            <w:pPr>
              <w:spacing w:after="0" w:line="240" w:lineRule="auto"/>
              <w:rPr>
                <w:sz w:val="20"/>
                <w:szCs w:val="20"/>
              </w:rPr>
            </w:pPr>
            <w:r w:rsidRPr="00123B6E">
              <w:rPr>
                <w:sz w:val="20"/>
                <w:szCs w:val="20"/>
              </w:rPr>
              <w:t>ШАНДОР ЈОЖЕФ - ГРУПА ГРАЂАНА "ГРАЂАНСКИ ПОКРЕТ ЗА СЕНТУ" - SÁNDOR JÓZSEF - "POLGÁRI MOZGALOM ZENTÁÉRT" POLGÁROK CSOPORTJA - ŠANDOR JOŽEF - GRUPA GRAĐANA "GRAĐANSKI POKRET ZA SENTU"</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Сента</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3</w:t>
            </w:r>
          </w:p>
        </w:tc>
      </w:tr>
      <w:tr w:rsidR="00123B6E" w:rsidRPr="00123B6E" w:rsidTr="009756CB">
        <w:trPr>
          <w:trHeight w:val="309"/>
        </w:trPr>
        <w:tc>
          <w:tcPr>
            <w:tcW w:w="5665" w:type="dxa"/>
          </w:tcPr>
          <w:p w:rsidR="00123B6E" w:rsidRPr="00123B6E" w:rsidRDefault="00123B6E" w:rsidP="00123B6E">
            <w:pPr>
              <w:spacing w:after="0" w:line="240" w:lineRule="auto"/>
              <w:rPr>
                <w:sz w:val="20"/>
                <w:szCs w:val="20"/>
                <w:lang w:val="sr-Cyrl-RS"/>
              </w:rPr>
            </w:pPr>
            <w:r w:rsidRPr="00123B6E">
              <w:rPr>
                <w:sz w:val="20"/>
                <w:szCs w:val="20"/>
                <w:lang w:val="sr-Cyrl-RS"/>
              </w:rPr>
              <w:t>Група грађана „Савез за Србобран, Турију и Надаљ -Szövetség Szenttamásért, Turiáért, Nádaljáért“</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Србобран</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1</w:t>
            </w:r>
          </w:p>
        </w:tc>
      </w:tr>
      <w:tr w:rsidR="00123B6E" w:rsidRPr="00123B6E" w:rsidTr="009756CB">
        <w:trPr>
          <w:trHeight w:val="309"/>
        </w:trPr>
        <w:tc>
          <w:tcPr>
            <w:tcW w:w="5665" w:type="dxa"/>
          </w:tcPr>
          <w:p w:rsidR="00123B6E" w:rsidRPr="00123B6E" w:rsidRDefault="00123B6E" w:rsidP="00123B6E">
            <w:pPr>
              <w:spacing w:after="0" w:line="240" w:lineRule="auto"/>
              <w:rPr>
                <w:sz w:val="20"/>
                <w:szCs w:val="20"/>
              </w:rPr>
            </w:pPr>
            <w:r w:rsidRPr="00123B6E">
              <w:rPr>
                <w:sz w:val="20"/>
                <w:szCs w:val="20"/>
              </w:rPr>
              <w:t>"JENŐ MAGLAI – ГРУПА ГРАЂАНА „ПОКРЕТ ГРАЂАНСКЕ СУБОТИЦЕ“ MAGLAI JENŐ – „SZABADKA POLGÁRI MOZGALMA” POLGÁROK CSOPORTJA JENŐ MAGLAI - GRUPA GRAĐANA „POKRET GRAĐANSKE SUBOTICE"</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Суботица</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4</w:t>
            </w:r>
          </w:p>
        </w:tc>
      </w:tr>
      <w:tr w:rsidR="00123B6E" w:rsidRPr="00123B6E" w:rsidTr="009756CB">
        <w:trPr>
          <w:trHeight w:val="309"/>
        </w:trPr>
        <w:tc>
          <w:tcPr>
            <w:tcW w:w="8749" w:type="dxa"/>
            <w:gridSpan w:val="3"/>
          </w:tcPr>
          <w:p w:rsidR="00123B6E" w:rsidRPr="00123B6E" w:rsidRDefault="00123B6E" w:rsidP="00123B6E">
            <w:pPr>
              <w:spacing w:after="0" w:line="240" w:lineRule="auto"/>
              <w:jc w:val="center"/>
              <w:rPr>
                <w:sz w:val="20"/>
                <w:szCs w:val="20"/>
                <w:lang w:val="sr-Cyrl-RS"/>
              </w:rPr>
            </w:pPr>
          </w:p>
          <w:p w:rsidR="00123B6E" w:rsidRPr="00123B6E" w:rsidRDefault="00123B6E" w:rsidP="00123B6E">
            <w:pPr>
              <w:spacing w:after="0" w:line="240" w:lineRule="auto"/>
              <w:jc w:val="center"/>
              <w:rPr>
                <w:sz w:val="20"/>
                <w:szCs w:val="20"/>
                <w:lang w:val="sr-Cyrl-RS"/>
              </w:rPr>
            </w:pPr>
            <w:r w:rsidRPr="00123B6E">
              <w:rPr>
                <w:sz w:val="20"/>
                <w:szCs w:val="20"/>
                <w:lang w:val="sr-Cyrl-RS"/>
              </w:rPr>
              <w:t>Македонска мањина</w:t>
            </w:r>
          </w:p>
          <w:p w:rsidR="00123B6E" w:rsidRPr="00123B6E" w:rsidRDefault="00123B6E" w:rsidP="00123B6E">
            <w:pPr>
              <w:spacing w:after="0" w:line="240" w:lineRule="auto"/>
              <w:jc w:val="center"/>
              <w:rPr>
                <w:sz w:val="20"/>
                <w:szCs w:val="20"/>
                <w:lang w:val="sr-Cyrl-RS"/>
              </w:rPr>
            </w:pPr>
          </w:p>
        </w:tc>
      </w:tr>
      <w:tr w:rsidR="00123B6E" w:rsidRPr="00123B6E" w:rsidTr="009756CB">
        <w:trPr>
          <w:trHeight w:val="309"/>
        </w:trPr>
        <w:tc>
          <w:tcPr>
            <w:tcW w:w="5665" w:type="dxa"/>
          </w:tcPr>
          <w:p w:rsidR="00123B6E" w:rsidRPr="00123B6E" w:rsidRDefault="00123B6E" w:rsidP="00123B6E">
            <w:pPr>
              <w:spacing w:after="0" w:line="240" w:lineRule="auto"/>
              <w:rPr>
                <w:sz w:val="20"/>
                <w:szCs w:val="20"/>
                <w:lang w:val="sr-Cyrl-RS"/>
              </w:rPr>
            </w:pPr>
            <w:r w:rsidRPr="00123B6E">
              <w:rPr>
                <w:sz w:val="20"/>
                <w:szCs w:val="20"/>
                <w:lang w:val="sr-Cyrl-RS"/>
              </w:rPr>
              <w:t>Демократска партија Македонаца (ДПМ) – Демократска партија на Македонците (ДМП) – Др Ненад Крстевски</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Опово</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1</w:t>
            </w:r>
          </w:p>
        </w:tc>
      </w:tr>
      <w:tr w:rsidR="00123B6E" w:rsidRPr="00123B6E" w:rsidTr="009756CB">
        <w:trPr>
          <w:trHeight w:val="309"/>
        </w:trPr>
        <w:tc>
          <w:tcPr>
            <w:tcW w:w="8749" w:type="dxa"/>
            <w:gridSpan w:val="3"/>
          </w:tcPr>
          <w:p w:rsidR="00123B6E" w:rsidRPr="00123B6E" w:rsidRDefault="00123B6E" w:rsidP="00123B6E">
            <w:pPr>
              <w:spacing w:after="0" w:line="240" w:lineRule="auto"/>
              <w:rPr>
                <w:sz w:val="20"/>
                <w:szCs w:val="20"/>
                <w:lang w:val="sr-Cyrl-RS"/>
              </w:rPr>
            </w:pPr>
          </w:p>
          <w:p w:rsidR="00123B6E" w:rsidRPr="00123B6E" w:rsidRDefault="00123B6E" w:rsidP="00123B6E">
            <w:pPr>
              <w:spacing w:after="0" w:line="240" w:lineRule="auto"/>
              <w:jc w:val="center"/>
              <w:rPr>
                <w:sz w:val="20"/>
                <w:szCs w:val="20"/>
                <w:lang w:val="sr-Cyrl-RS"/>
              </w:rPr>
            </w:pPr>
            <w:r w:rsidRPr="00123B6E">
              <w:rPr>
                <w:sz w:val="20"/>
                <w:szCs w:val="20"/>
                <w:lang w:val="sr-Cyrl-RS"/>
              </w:rPr>
              <w:t>Ромска мањина</w:t>
            </w:r>
          </w:p>
          <w:p w:rsidR="00123B6E" w:rsidRPr="00123B6E" w:rsidRDefault="00123B6E" w:rsidP="00123B6E">
            <w:pPr>
              <w:spacing w:after="0" w:line="240" w:lineRule="auto"/>
              <w:rPr>
                <w:sz w:val="20"/>
                <w:szCs w:val="20"/>
                <w:lang w:val="sr-Cyrl-RS"/>
              </w:rPr>
            </w:pPr>
          </w:p>
        </w:tc>
      </w:tr>
      <w:tr w:rsidR="00123B6E" w:rsidRPr="00123B6E" w:rsidTr="009756CB">
        <w:trPr>
          <w:trHeight w:val="309"/>
        </w:trPr>
        <w:tc>
          <w:tcPr>
            <w:tcW w:w="5665" w:type="dxa"/>
          </w:tcPr>
          <w:p w:rsidR="00123B6E" w:rsidRPr="00123B6E" w:rsidRDefault="00123B6E" w:rsidP="00123B6E">
            <w:pPr>
              <w:spacing w:after="0" w:line="240" w:lineRule="auto"/>
              <w:rPr>
                <w:sz w:val="20"/>
                <w:szCs w:val="20"/>
              </w:rPr>
            </w:pPr>
            <w:r w:rsidRPr="00123B6E">
              <w:rPr>
                <w:sz w:val="20"/>
                <w:szCs w:val="20"/>
              </w:rPr>
              <w:lastRenderedPageBreak/>
              <w:t>РОМСКА СТРАНКА ЈЕДИНСТВО – РОМАНИ СТРАНКА ЈЕКИПЕ – АДЕМ САЛИХИ – PARTIA ROME BASHKIMI – ROMANI STRANKA JEKIPE – ADEM SALIHI</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Бујановац</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1</w:t>
            </w:r>
          </w:p>
        </w:tc>
      </w:tr>
      <w:tr w:rsidR="00123B6E" w:rsidRPr="00123B6E" w:rsidTr="009756CB">
        <w:trPr>
          <w:trHeight w:val="309"/>
        </w:trPr>
        <w:tc>
          <w:tcPr>
            <w:tcW w:w="5665" w:type="dxa"/>
          </w:tcPr>
          <w:p w:rsidR="00123B6E" w:rsidRPr="00123B6E" w:rsidRDefault="00123B6E" w:rsidP="00123B6E">
            <w:pPr>
              <w:spacing w:after="0" w:line="240" w:lineRule="auto"/>
              <w:rPr>
                <w:sz w:val="20"/>
                <w:szCs w:val="20"/>
              </w:rPr>
            </w:pPr>
            <w:r w:rsidRPr="00123B6E">
              <w:rPr>
                <w:sz w:val="20"/>
                <w:szCs w:val="20"/>
              </w:rPr>
              <w:t>УЈЕДИЊЕНА ПАРТИЈА РОМА – УПР – ЈПР – ФАИК ИСЕНИ – PARTIA E BASHKUAR ROME – PBR – JPR – FAIK ISENI</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Бујановац</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1</w:t>
            </w:r>
          </w:p>
        </w:tc>
      </w:tr>
      <w:tr w:rsidR="00123B6E" w:rsidRPr="00123B6E" w:rsidTr="009756CB">
        <w:trPr>
          <w:trHeight w:val="309"/>
        </w:trPr>
        <w:tc>
          <w:tcPr>
            <w:tcW w:w="8749" w:type="dxa"/>
            <w:gridSpan w:val="3"/>
          </w:tcPr>
          <w:p w:rsidR="00123B6E" w:rsidRPr="00123B6E" w:rsidRDefault="00123B6E" w:rsidP="00123B6E">
            <w:pPr>
              <w:spacing w:after="0" w:line="240" w:lineRule="auto"/>
              <w:rPr>
                <w:sz w:val="20"/>
                <w:szCs w:val="20"/>
                <w:lang w:val="sr-Cyrl-RS"/>
              </w:rPr>
            </w:pPr>
          </w:p>
          <w:p w:rsidR="00123B6E" w:rsidRPr="00123B6E" w:rsidRDefault="00123B6E" w:rsidP="00123B6E">
            <w:pPr>
              <w:spacing w:after="0" w:line="240" w:lineRule="auto"/>
              <w:jc w:val="center"/>
              <w:rPr>
                <w:sz w:val="20"/>
                <w:szCs w:val="20"/>
                <w:lang w:val="sr-Cyrl-RS"/>
              </w:rPr>
            </w:pPr>
            <w:r w:rsidRPr="00123B6E">
              <w:rPr>
                <w:sz w:val="20"/>
                <w:szCs w:val="20"/>
                <w:lang w:val="sr-Cyrl-RS"/>
              </w:rPr>
              <w:t>Руска мањина</w:t>
            </w:r>
          </w:p>
          <w:p w:rsidR="00123B6E" w:rsidRPr="00123B6E" w:rsidRDefault="00123B6E" w:rsidP="00123B6E">
            <w:pPr>
              <w:spacing w:after="0" w:line="240" w:lineRule="auto"/>
              <w:rPr>
                <w:sz w:val="20"/>
                <w:szCs w:val="20"/>
                <w:lang w:val="sr-Cyrl-RS"/>
              </w:rPr>
            </w:pPr>
          </w:p>
        </w:tc>
      </w:tr>
      <w:tr w:rsidR="00123B6E" w:rsidRPr="00123B6E" w:rsidTr="009756CB">
        <w:trPr>
          <w:trHeight w:val="309"/>
        </w:trPr>
        <w:tc>
          <w:tcPr>
            <w:tcW w:w="5665" w:type="dxa"/>
            <w:vMerge w:val="restart"/>
            <w:vAlign w:val="center"/>
          </w:tcPr>
          <w:p w:rsidR="00123B6E" w:rsidRPr="00123B6E" w:rsidRDefault="00123B6E" w:rsidP="00123B6E">
            <w:pPr>
              <w:spacing w:after="0" w:line="240" w:lineRule="auto"/>
              <w:rPr>
                <w:sz w:val="20"/>
                <w:szCs w:val="20"/>
              </w:rPr>
            </w:pPr>
            <w:r w:rsidRPr="00123B6E">
              <w:rPr>
                <w:sz w:val="20"/>
                <w:szCs w:val="20"/>
              </w:rPr>
              <w:t>СТРАНКА РУСА СРБИЈЕ</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Алексинац</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1</w:t>
            </w:r>
          </w:p>
        </w:tc>
      </w:tr>
      <w:tr w:rsidR="00123B6E" w:rsidRPr="00123B6E" w:rsidTr="009756CB">
        <w:trPr>
          <w:trHeight w:val="309"/>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Чачак</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1</w:t>
            </w:r>
          </w:p>
        </w:tc>
      </w:tr>
      <w:tr w:rsidR="00123B6E" w:rsidRPr="00123B6E" w:rsidTr="009756CB">
        <w:trPr>
          <w:trHeight w:val="309"/>
        </w:trPr>
        <w:tc>
          <w:tcPr>
            <w:tcW w:w="5665" w:type="dxa"/>
          </w:tcPr>
          <w:p w:rsidR="00123B6E" w:rsidRPr="00123B6E" w:rsidRDefault="00123B6E" w:rsidP="00123B6E">
            <w:pPr>
              <w:spacing w:after="0" w:line="240" w:lineRule="auto"/>
              <w:rPr>
                <w:sz w:val="20"/>
                <w:szCs w:val="20"/>
              </w:rPr>
            </w:pPr>
            <w:r w:rsidRPr="00123B6E">
              <w:rPr>
                <w:sz w:val="20"/>
                <w:szCs w:val="20"/>
              </w:rPr>
              <w:t>СРПСКО РУСКА ПАРТИЈА ВУКОВИ</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Велика Плана</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1</w:t>
            </w:r>
          </w:p>
        </w:tc>
      </w:tr>
      <w:tr w:rsidR="00123B6E" w:rsidRPr="00123B6E" w:rsidTr="009756CB">
        <w:trPr>
          <w:trHeight w:val="309"/>
        </w:trPr>
        <w:tc>
          <w:tcPr>
            <w:tcW w:w="5665" w:type="dxa"/>
            <w:vMerge w:val="restart"/>
            <w:vAlign w:val="center"/>
          </w:tcPr>
          <w:p w:rsidR="00123B6E" w:rsidRPr="00123B6E" w:rsidRDefault="00123B6E" w:rsidP="00123B6E">
            <w:pPr>
              <w:spacing w:after="0" w:line="240" w:lineRule="auto"/>
              <w:rPr>
                <w:sz w:val="20"/>
                <w:szCs w:val="20"/>
                <w:lang w:val="sr-Cyrl-RS"/>
              </w:rPr>
            </w:pPr>
            <w:r w:rsidRPr="00123B6E">
              <w:rPr>
                <w:sz w:val="20"/>
                <w:szCs w:val="20"/>
                <w:lang w:val="sr-Cyrl-RS"/>
              </w:rPr>
              <w:t xml:space="preserve">PУCKA CTPAHKA </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Владичин Хан</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1</w:t>
            </w:r>
          </w:p>
        </w:tc>
      </w:tr>
      <w:tr w:rsidR="00123B6E" w:rsidRPr="00123B6E" w:rsidTr="009756CB">
        <w:trPr>
          <w:trHeight w:val="309"/>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Ниш</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1</w:t>
            </w:r>
          </w:p>
        </w:tc>
      </w:tr>
      <w:tr w:rsidR="00123B6E" w:rsidRPr="00123B6E" w:rsidTr="009756CB">
        <w:trPr>
          <w:trHeight w:val="309"/>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Ниш - Медијана</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1</w:t>
            </w:r>
          </w:p>
        </w:tc>
      </w:tr>
      <w:tr w:rsidR="00123B6E" w:rsidRPr="00123B6E" w:rsidTr="009756CB">
        <w:trPr>
          <w:trHeight w:val="309"/>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Ниш – Нишка бања</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2</w:t>
            </w:r>
          </w:p>
        </w:tc>
      </w:tr>
      <w:tr w:rsidR="00123B6E" w:rsidRPr="00123B6E" w:rsidTr="009756CB">
        <w:trPr>
          <w:trHeight w:val="309"/>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Нови Сад</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1</w:t>
            </w:r>
          </w:p>
        </w:tc>
      </w:tr>
      <w:tr w:rsidR="00123B6E" w:rsidRPr="00123B6E" w:rsidTr="009756CB">
        <w:trPr>
          <w:trHeight w:val="309"/>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Суботица</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1</w:t>
            </w:r>
          </w:p>
        </w:tc>
      </w:tr>
      <w:tr w:rsidR="00123B6E" w:rsidRPr="00123B6E" w:rsidTr="009756CB">
        <w:trPr>
          <w:trHeight w:val="309"/>
        </w:trPr>
        <w:tc>
          <w:tcPr>
            <w:tcW w:w="5665" w:type="dxa"/>
          </w:tcPr>
          <w:p w:rsidR="00123B6E" w:rsidRPr="00123B6E" w:rsidRDefault="00123B6E" w:rsidP="00123B6E">
            <w:pPr>
              <w:spacing w:after="0" w:line="240" w:lineRule="auto"/>
              <w:rPr>
                <w:sz w:val="20"/>
                <w:szCs w:val="20"/>
                <w:lang w:val="sr-Cyrl-RS"/>
              </w:rPr>
            </w:pPr>
            <w:r w:rsidRPr="00123B6E">
              <w:rPr>
                <w:sz w:val="20"/>
                <w:szCs w:val="20"/>
                <w:lang w:val="sr-Cyrl-RS"/>
              </w:rPr>
              <w:t>ИВИЦА ДАЧИЋ – „Социјалистичка партија Србије (СПС), Јединствена Руска странка (ЈРС) – Жанна Кнежевић“</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Опово</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5</w:t>
            </w:r>
          </w:p>
        </w:tc>
      </w:tr>
      <w:tr w:rsidR="00123B6E" w:rsidRPr="00123B6E" w:rsidTr="009756CB">
        <w:trPr>
          <w:trHeight w:val="309"/>
        </w:trPr>
        <w:tc>
          <w:tcPr>
            <w:tcW w:w="5665" w:type="dxa"/>
          </w:tcPr>
          <w:p w:rsidR="00123B6E" w:rsidRPr="00123B6E" w:rsidRDefault="00123B6E" w:rsidP="00123B6E">
            <w:pPr>
              <w:spacing w:after="0" w:line="240" w:lineRule="auto"/>
              <w:rPr>
                <w:sz w:val="20"/>
                <w:szCs w:val="20"/>
                <w:lang w:val="sr-Cyrl-RS"/>
              </w:rPr>
            </w:pPr>
            <w:r w:rsidRPr="00123B6E">
              <w:rPr>
                <w:sz w:val="20"/>
                <w:szCs w:val="20"/>
                <w:lang w:val="sr-Cyrl-RS"/>
              </w:rPr>
              <w:t>Дипл. Инж. Александар Фирауновић ЕВРОПСКА ЗЕЛЕНА ПАРТИЈА – ЕВРОПЕЙСКАЯ ПАРТИЯ</w:t>
            </w:r>
          </w:p>
          <w:p w:rsidR="00123B6E" w:rsidRPr="00123B6E" w:rsidRDefault="00123B6E" w:rsidP="00123B6E">
            <w:pPr>
              <w:spacing w:after="0" w:line="240" w:lineRule="auto"/>
              <w:rPr>
                <w:sz w:val="20"/>
                <w:szCs w:val="20"/>
                <w:lang w:val="sr-Cyrl-RS"/>
              </w:rPr>
            </w:pPr>
            <w:r w:rsidRPr="00123B6E">
              <w:rPr>
                <w:sz w:val="20"/>
                <w:szCs w:val="20"/>
                <w:lang w:val="sr-Cyrl-RS"/>
              </w:rPr>
              <w:t>ЗЕЛЕНЫХ</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Богатић</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1</w:t>
            </w:r>
          </w:p>
        </w:tc>
      </w:tr>
      <w:tr w:rsidR="00123B6E" w:rsidRPr="00123B6E" w:rsidTr="009756CB">
        <w:trPr>
          <w:trHeight w:val="309"/>
        </w:trPr>
        <w:tc>
          <w:tcPr>
            <w:tcW w:w="8749" w:type="dxa"/>
            <w:gridSpan w:val="3"/>
          </w:tcPr>
          <w:p w:rsidR="00123B6E" w:rsidRPr="00123B6E" w:rsidRDefault="00123B6E" w:rsidP="00123B6E">
            <w:pPr>
              <w:spacing w:after="0" w:line="240" w:lineRule="auto"/>
              <w:jc w:val="center"/>
              <w:rPr>
                <w:sz w:val="20"/>
                <w:szCs w:val="20"/>
                <w:lang w:val="sr-Cyrl-RS"/>
              </w:rPr>
            </w:pPr>
          </w:p>
          <w:p w:rsidR="00123B6E" w:rsidRPr="00123B6E" w:rsidRDefault="00123B6E" w:rsidP="00123B6E">
            <w:pPr>
              <w:spacing w:after="0" w:line="240" w:lineRule="auto"/>
              <w:jc w:val="center"/>
              <w:rPr>
                <w:sz w:val="20"/>
                <w:szCs w:val="20"/>
                <w:lang w:val="sr-Cyrl-RS"/>
              </w:rPr>
            </w:pPr>
            <w:r w:rsidRPr="00123B6E">
              <w:rPr>
                <w:sz w:val="20"/>
                <w:szCs w:val="20"/>
                <w:lang w:val="sr-Cyrl-RS"/>
              </w:rPr>
              <w:t>Русинска мањина</w:t>
            </w:r>
          </w:p>
          <w:p w:rsidR="00123B6E" w:rsidRPr="00123B6E" w:rsidRDefault="00123B6E" w:rsidP="00123B6E">
            <w:pPr>
              <w:spacing w:after="0" w:line="240" w:lineRule="auto"/>
              <w:jc w:val="center"/>
              <w:rPr>
                <w:sz w:val="20"/>
                <w:szCs w:val="20"/>
                <w:lang w:val="sr-Cyrl-RS"/>
              </w:rPr>
            </w:pPr>
          </w:p>
        </w:tc>
      </w:tr>
      <w:tr w:rsidR="00123B6E" w:rsidRPr="00123B6E" w:rsidTr="009756CB">
        <w:trPr>
          <w:trHeight w:val="309"/>
        </w:trPr>
        <w:tc>
          <w:tcPr>
            <w:tcW w:w="5665" w:type="dxa"/>
          </w:tcPr>
          <w:p w:rsidR="00123B6E" w:rsidRPr="00123B6E" w:rsidRDefault="00123B6E" w:rsidP="00123B6E">
            <w:pPr>
              <w:spacing w:after="0" w:line="240" w:lineRule="auto"/>
              <w:rPr>
                <w:sz w:val="20"/>
                <w:szCs w:val="20"/>
                <w:lang w:val="sr-Cyrl-RS"/>
              </w:rPr>
            </w:pPr>
            <w:r w:rsidRPr="00123B6E">
              <w:rPr>
                <w:sz w:val="20"/>
                <w:szCs w:val="20"/>
                <w:lang w:val="sr-Cyrl-RS"/>
              </w:rPr>
              <w:t>Војвођански фронт-Ненад Чанак (Лига социјалдемократа Војводине, Заједно за Војводину)</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Жабаљ</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1</w:t>
            </w:r>
          </w:p>
        </w:tc>
      </w:tr>
      <w:tr w:rsidR="00123B6E" w:rsidRPr="00123B6E" w:rsidTr="009756CB">
        <w:trPr>
          <w:trHeight w:val="309"/>
        </w:trPr>
        <w:tc>
          <w:tcPr>
            <w:tcW w:w="5665" w:type="dxa"/>
          </w:tcPr>
          <w:p w:rsidR="00123B6E" w:rsidRPr="00123B6E" w:rsidRDefault="00123B6E" w:rsidP="00123B6E">
            <w:pPr>
              <w:spacing w:after="0" w:line="240" w:lineRule="auto"/>
              <w:rPr>
                <w:sz w:val="20"/>
                <w:szCs w:val="20"/>
                <w:lang w:val="sr-Cyrl-RS"/>
              </w:rPr>
            </w:pPr>
            <w:r w:rsidRPr="00123B6E">
              <w:rPr>
                <w:sz w:val="20"/>
                <w:szCs w:val="20"/>
                <w:lang w:val="sr-Cyrl-RS"/>
              </w:rPr>
              <w:t>Коалиција ВОЈВОЂАНСКИ ФРОНТ – уједињени за демократски Нови Сад</w:t>
            </w:r>
          </w:p>
          <w:p w:rsidR="00123B6E" w:rsidRPr="00123B6E" w:rsidRDefault="00123B6E" w:rsidP="00123B6E">
            <w:pPr>
              <w:spacing w:after="0" w:line="240" w:lineRule="auto"/>
              <w:rPr>
                <w:sz w:val="20"/>
                <w:szCs w:val="20"/>
              </w:rPr>
            </w:pPr>
            <w:r w:rsidRPr="00123B6E">
              <w:rPr>
                <w:sz w:val="20"/>
                <w:szCs w:val="20"/>
                <w:lang w:val="sr-Cyrl-RS"/>
              </w:rPr>
              <w:t>(Лига социјалдемократа Војводине, Војвођанска партија, Заједно за Војводину)</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Нови Сад</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3</w:t>
            </w:r>
          </w:p>
        </w:tc>
      </w:tr>
      <w:tr w:rsidR="00123B6E" w:rsidRPr="00123B6E" w:rsidTr="009756CB">
        <w:trPr>
          <w:trHeight w:val="309"/>
        </w:trPr>
        <w:tc>
          <w:tcPr>
            <w:tcW w:w="5665" w:type="dxa"/>
          </w:tcPr>
          <w:p w:rsidR="00123B6E" w:rsidRPr="00123B6E" w:rsidRDefault="00123B6E" w:rsidP="00123B6E">
            <w:pPr>
              <w:spacing w:after="0" w:line="240" w:lineRule="auto"/>
              <w:rPr>
                <w:sz w:val="20"/>
                <w:szCs w:val="20"/>
                <w:lang w:val="sr-Cyrl-RS"/>
              </w:rPr>
            </w:pPr>
            <w:r w:rsidRPr="00123B6E">
              <w:rPr>
                <w:sz w:val="20"/>
                <w:szCs w:val="20"/>
                <w:lang w:val="sr-Cyrl-RS"/>
              </w:rPr>
              <w:t>ВОЈВОЂАНСКИ ФРОНТ – уједињени за демократски Шид (Лига социјалдемикрата Војводине, Заједно за Војводину, Војвођанска партија) - Дејана Ђурђевић</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Шид</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3</w:t>
            </w:r>
          </w:p>
        </w:tc>
      </w:tr>
      <w:tr w:rsidR="00123B6E" w:rsidRPr="00123B6E" w:rsidTr="009756CB">
        <w:trPr>
          <w:trHeight w:val="309"/>
        </w:trPr>
        <w:tc>
          <w:tcPr>
            <w:tcW w:w="8749" w:type="dxa"/>
            <w:gridSpan w:val="3"/>
          </w:tcPr>
          <w:p w:rsidR="00123B6E" w:rsidRPr="00123B6E" w:rsidRDefault="00123B6E" w:rsidP="00123B6E">
            <w:pPr>
              <w:spacing w:after="0" w:line="240" w:lineRule="auto"/>
              <w:rPr>
                <w:sz w:val="20"/>
                <w:szCs w:val="20"/>
                <w:lang w:val="sr-Cyrl-RS"/>
              </w:rPr>
            </w:pPr>
          </w:p>
          <w:p w:rsidR="00123B6E" w:rsidRPr="00123B6E" w:rsidRDefault="00123B6E" w:rsidP="00123B6E">
            <w:pPr>
              <w:spacing w:after="0" w:line="240" w:lineRule="auto"/>
              <w:jc w:val="center"/>
              <w:rPr>
                <w:sz w:val="20"/>
                <w:szCs w:val="20"/>
                <w:lang w:val="sr-Cyrl-RS"/>
              </w:rPr>
            </w:pPr>
            <w:r w:rsidRPr="00123B6E">
              <w:rPr>
                <w:sz w:val="20"/>
                <w:szCs w:val="20"/>
                <w:lang w:val="sr-Cyrl-RS"/>
              </w:rPr>
              <w:t>Словачка мањина</w:t>
            </w:r>
          </w:p>
          <w:p w:rsidR="00123B6E" w:rsidRPr="00123B6E" w:rsidRDefault="00123B6E" w:rsidP="00123B6E">
            <w:pPr>
              <w:spacing w:after="0" w:line="240" w:lineRule="auto"/>
              <w:rPr>
                <w:sz w:val="20"/>
                <w:szCs w:val="20"/>
                <w:lang w:val="sr-Cyrl-RS"/>
              </w:rPr>
            </w:pPr>
          </w:p>
        </w:tc>
      </w:tr>
      <w:tr w:rsidR="00123B6E" w:rsidRPr="00123B6E" w:rsidTr="009756CB">
        <w:trPr>
          <w:trHeight w:val="309"/>
        </w:trPr>
        <w:tc>
          <w:tcPr>
            <w:tcW w:w="5665" w:type="dxa"/>
          </w:tcPr>
          <w:p w:rsidR="00123B6E" w:rsidRPr="00123B6E" w:rsidRDefault="00123B6E" w:rsidP="00123B6E">
            <w:pPr>
              <w:spacing w:after="0" w:line="240" w:lineRule="auto"/>
              <w:rPr>
                <w:sz w:val="20"/>
                <w:szCs w:val="20"/>
                <w:lang w:val="sr-Cyrl-RS"/>
              </w:rPr>
            </w:pPr>
            <w:r w:rsidRPr="00123B6E">
              <w:rPr>
                <w:sz w:val="20"/>
                <w:szCs w:val="20"/>
                <w:lang w:val="sr-Cyrl-RS"/>
              </w:rPr>
              <w:t xml:space="preserve">„Заједно за </w:t>
            </w:r>
            <w:r>
              <w:rPr>
                <w:sz w:val="20"/>
                <w:szCs w:val="20"/>
                <w:lang w:val="sr-Cyrl-RS"/>
              </w:rPr>
              <w:t>Б</w:t>
            </w:r>
            <w:r w:rsidRPr="00123B6E">
              <w:rPr>
                <w:sz w:val="20"/>
                <w:szCs w:val="20"/>
                <w:lang w:val="sr-Cyrl-RS"/>
              </w:rPr>
              <w:t>ачку Паланку“ – Покрет социјалиста – Странка војвођанских Словака – Саша Борковић, Пеђа Вулетић (ПС-СВС)</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Бачка Паланка</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10</w:t>
            </w:r>
          </w:p>
        </w:tc>
      </w:tr>
      <w:tr w:rsidR="00123B6E" w:rsidRPr="00123B6E" w:rsidTr="009756CB">
        <w:trPr>
          <w:trHeight w:val="309"/>
        </w:trPr>
        <w:tc>
          <w:tcPr>
            <w:tcW w:w="5665" w:type="dxa"/>
            <w:vMerge w:val="restart"/>
            <w:vAlign w:val="center"/>
          </w:tcPr>
          <w:p w:rsidR="00123B6E" w:rsidRPr="00123B6E" w:rsidRDefault="00123B6E" w:rsidP="00123B6E">
            <w:pPr>
              <w:spacing w:after="0" w:line="240" w:lineRule="auto"/>
              <w:rPr>
                <w:sz w:val="20"/>
                <w:szCs w:val="20"/>
                <w:lang w:val="sr-Cyrl-RS"/>
              </w:rPr>
            </w:pPr>
            <w:r w:rsidRPr="00123B6E">
              <w:rPr>
                <w:sz w:val="20"/>
                <w:szCs w:val="20"/>
                <w:lang w:val="sr-Cyrl-RS"/>
              </w:rPr>
              <w:t xml:space="preserve">Зелена Странка - Zelená Strana </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Велико Градиште</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1</w:t>
            </w:r>
          </w:p>
        </w:tc>
      </w:tr>
      <w:tr w:rsidR="00123B6E" w:rsidRPr="00123B6E" w:rsidTr="009756CB">
        <w:trPr>
          <w:trHeight w:val="309"/>
        </w:trPr>
        <w:tc>
          <w:tcPr>
            <w:tcW w:w="5665" w:type="dxa"/>
            <w:vMerge/>
          </w:tcPr>
          <w:p w:rsidR="00123B6E" w:rsidRPr="00123B6E" w:rsidRDefault="00123B6E" w:rsidP="00123B6E">
            <w:pPr>
              <w:spacing w:after="0" w:line="240" w:lineRule="auto"/>
              <w:rPr>
                <w:sz w:val="20"/>
                <w:szCs w:val="20"/>
              </w:rPr>
            </w:pP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Стара Пазова</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2</w:t>
            </w:r>
          </w:p>
        </w:tc>
      </w:tr>
      <w:tr w:rsidR="00123B6E" w:rsidRPr="00123B6E" w:rsidTr="009756CB">
        <w:trPr>
          <w:trHeight w:val="309"/>
        </w:trPr>
        <w:tc>
          <w:tcPr>
            <w:tcW w:w="8749" w:type="dxa"/>
            <w:gridSpan w:val="3"/>
          </w:tcPr>
          <w:p w:rsidR="00123B6E" w:rsidRPr="00123B6E" w:rsidRDefault="00123B6E" w:rsidP="00123B6E">
            <w:pPr>
              <w:spacing w:after="0" w:line="240" w:lineRule="auto"/>
              <w:rPr>
                <w:sz w:val="20"/>
                <w:szCs w:val="20"/>
                <w:lang w:val="sr-Cyrl-RS"/>
              </w:rPr>
            </w:pPr>
          </w:p>
          <w:p w:rsidR="00123B6E" w:rsidRPr="00123B6E" w:rsidRDefault="00123B6E" w:rsidP="00123B6E">
            <w:pPr>
              <w:spacing w:after="0" w:line="240" w:lineRule="auto"/>
              <w:jc w:val="center"/>
              <w:rPr>
                <w:sz w:val="20"/>
                <w:szCs w:val="20"/>
                <w:lang w:val="sr-Cyrl-RS"/>
              </w:rPr>
            </w:pPr>
            <w:r w:rsidRPr="00123B6E">
              <w:rPr>
                <w:sz w:val="20"/>
                <w:szCs w:val="20"/>
                <w:lang w:val="sr-Cyrl-RS"/>
              </w:rPr>
              <w:t>Хрватска мањина</w:t>
            </w:r>
          </w:p>
          <w:p w:rsidR="00123B6E" w:rsidRPr="00123B6E" w:rsidRDefault="00123B6E" w:rsidP="00123B6E">
            <w:pPr>
              <w:spacing w:after="0" w:line="240" w:lineRule="auto"/>
              <w:rPr>
                <w:sz w:val="20"/>
                <w:szCs w:val="20"/>
                <w:lang w:val="sr-Cyrl-RS"/>
              </w:rPr>
            </w:pPr>
          </w:p>
        </w:tc>
      </w:tr>
      <w:tr w:rsidR="00123B6E" w:rsidRPr="00123B6E" w:rsidTr="009756CB">
        <w:trPr>
          <w:trHeight w:val="309"/>
        </w:trPr>
        <w:tc>
          <w:tcPr>
            <w:tcW w:w="5665" w:type="dxa"/>
          </w:tcPr>
          <w:p w:rsidR="00123B6E" w:rsidRPr="00123B6E" w:rsidRDefault="00123B6E" w:rsidP="00123B6E">
            <w:pPr>
              <w:spacing w:after="0" w:line="240" w:lineRule="auto"/>
              <w:rPr>
                <w:sz w:val="20"/>
                <w:szCs w:val="20"/>
                <w:lang w:val="sr-Cyrl-RS"/>
              </w:rPr>
            </w:pPr>
            <w:r w:rsidRPr="00123B6E">
              <w:rPr>
                <w:sz w:val="20"/>
                <w:szCs w:val="20"/>
                <w:lang w:val="sr-Cyrl-RS"/>
              </w:rPr>
              <w:t>ВОЈВОЂАНСКИ ФРОНТ – уједињени за демократски Бач (Лига социјалдемократа Војводине, Заједно за Војводину, Демократски савез Хрвата у Војводини)</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Бач</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2</w:t>
            </w:r>
          </w:p>
        </w:tc>
      </w:tr>
      <w:tr w:rsidR="00123B6E" w:rsidRPr="00123B6E" w:rsidTr="009756CB">
        <w:trPr>
          <w:trHeight w:val="309"/>
        </w:trPr>
        <w:tc>
          <w:tcPr>
            <w:tcW w:w="5665" w:type="dxa"/>
          </w:tcPr>
          <w:p w:rsidR="00123B6E" w:rsidRPr="00123B6E" w:rsidRDefault="00123B6E" w:rsidP="00123B6E">
            <w:pPr>
              <w:spacing w:after="0" w:line="240" w:lineRule="auto"/>
              <w:rPr>
                <w:sz w:val="20"/>
                <w:szCs w:val="20"/>
                <w:lang w:val="sr-Cyrl-RS"/>
              </w:rPr>
            </w:pPr>
            <w:r w:rsidRPr="00123B6E">
              <w:rPr>
                <w:sz w:val="20"/>
                <w:szCs w:val="20"/>
                <w:lang w:val="sr-Cyrl-RS"/>
              </w:rPr>
              <w:t>ВОЈВОЂАНСКИ ФРОНТ – уједињени за демократски Зрењанин (Лига социјалдемократа Војводине, Војвођанска партија, Заједно за Војводину, Демократски савез Хрвата у Војводини) – Ненад Чанак</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Зрењанин</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4</w:t>
            </w:r>
          </w:p>
        </w:tc>
      </w:tr>
      <w:tr w:rsidR="00123B6E" w:rsidRPr="00123B6E" w:rsidTr="009756CB">
        <w:trPr>
          <w:trHeight w:val="309"/>
        </w:trPr>
        <w:tc>
          <w:tcPr>
            <w:tcW w:w="5665" w:type="dxa"/>
          </w:tcPr>
          <w:p w:rsidR="00123B6E" w:rsidRPr="00123B6E" w:rsidRDefault="00123B6E" w:rsidP="00123B6E">
            <w:pPr>
              <w:spacing w:after="0" w:line="240" w:lineRule="auto"/>
              <w:rPr>
                <w:sz w:val="20"/>
                <w:szCs w:val="20"/>
                <w:lang w:val="sr-Cyrl-RS"/>
              </w:rPr>
            </w:pPr>
            <w:r w:rsidRPr="00123B6E">
              <w:rPr>
                <w:sz w:val="20"/>
                <w:szCs w:val="20"/>
                <w:lang w:val="sr-Cyrl-RS"/>
              </w:rPr>
              <w:lastRenderedPageBreak/>
              <w:t>ВОЈВОЂАНСКИ ФРОНТ - уједињени за демократски Сомбор (Лига социјалдемократа Војводине, Војвођанска партија, Заједно за Војводину, Демократски савез Хрвата у Војводини)</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Сомбор</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2</w:t>
            </w:r>
          </w:p>
        </w:tc>
      </w:tr>
      <w:tr w:rsidR="00123B6E" w:rsidRPr="00123B6E" w:rsidTr="009756CB">
        <w:trPr>
          <w:trHeight w:val="309"/>
        </w:trPr>
        <w:tc>
          <w:tcPr>
            <w:tcW w:w="5665" w:type="dxa"/>
          </w:tcPr>
          <w:p w:rsidR="00123B6E" w:rsidRPr="00123B6E" w:rsidRDefault="00123B6E" w:rsidP="00123B6E">
            <w:pPr>
              <w:spacing w:after="0" w:line="240" w:lineRule="auto"/>
              <w:rPr>
                <w:sz w:val="20"/>
                <w:szCs w:val="20"/>
                <w:lang w:val="sr-Cyrl-RS"/>
              </w:rPr>
            </w:pPr>
            <w:r w:rsidRPr="00123B6E">
              <w:rPr>
                <w:sz w:val="20"/>
                <w:szCs w:val="20"/>
                <w:lang w:val="sr-Cyrl-RS"/>
              </w:rPr>
              <w:t>"ВОЈВОЂАНСКИ ФРОНТ – УЈЕДИЊЕНИ ЗА ДЕМОКРАТСКУ СУБОТИЦУ (ЛИГА СОЦИЈАЛДЕМОКРАТА ВОЈВОДИНЕ, ДЕМОКРАТСКИ САВЕЗ ХРВАТА У ВОЈВОДИНИ, ВОЈВОЂАНСКА ПАРТИЈА) – ТОМИСЛАВ ЖИГМАНОВ"</w:t>
            </w:r>
          </w:p>
        </w:tc>
        <w:tc>
          <w:tcPr>
            <w:tcW w:w="2410" w:type="dxa"/>
          </w:tcPr>
          <w:p w:rsidR="00123B6E" w:rsidRPr="00123B6E" w:rsidRDefault="00123B6E" w:rsidP="00123B6E">
            <w:pPr>
              <w:spacing w:after="0" w:line="240" w:lineRule="auto"/>
              <w:rPr>
                <w:sz w:val="20"/>
                <w:szCs w:val="20"/>
                <w:lang w:val="sr-Cyrl-RS"/>
              </w:rPr>
            </w:pPr>
            <w:r w:rsidRPr="00123B6E">
              <w:rPr>
                <w:sz w:val="20"/>
                <w:szCs w:val="20"/>
                <w:lang w:val="sr-Cyrl-RS"/>
              </w:rPr>
              <w:t>Суботица</w:t>
            </w:r>
          </w:p>
        </w:tc>
        <w:tc>
          <w:tcPr>
            <w:tcW w:w="674" w:type="dxa"/>
          </w:tcPr>
          <w:p w:rsidR="00123B6E" w:rsidRPr="00123B6E" w:rsidRDefault="00123B6E" w:rsidP="00123B6E">
            <w:pPr>
              <w:spacing w:after="0" w:line="240" w:lineRule="auto"/>
              <w:jc w:val="right"/>
              <w:rPr>
                <w:sz w:val="20"/>
                <w:szCs w:val="20"/>
                <w:lang w:val="sr-Cyrl-RS"/>
              </w:rPr>
            </w:pPr>
            <w:r w:rsidRPr="00123B6E">
              <w:rPr>
                <w:sz w:val="20"/>
                <w:szCs w:val="20"/>
                <w:lang w:val="sr-Cyrl-RS"/>
              </w:rPr>
              <w:t>3</w:t>
            </w:r>
          </w:p>
        </w:tc>
      </w:tr>
    </w:tbl>
    <w:p w:rsidR="00123B6E" w:rsidRDefault="00123B6E" w:rsidP="00543C3D">
      <w:pPr>
        <w:spacing w:after="0"/>
        <w:jc w:val="both"/>
        <w:rPr>
          <w:sz w:val="24"/>
          <w:szCs w:val="24"/>
          <w:lang w:val="sr-Cyrl-RS"/>
        </w:rPr>
      </w:pPr>
    </w:p>
    <w:p w:rsidR="00F04EA0" w:rsidRPr="00F04EA0" w:rsidRDefault="00B85A49" w:rsidP="00F04EA0">
      <w:pPr>
        <w:spacing w:after="0"/>
        <w:jc w:val="both"/>
        <w:rPr>
          <w:sz w:val="24"/>
          <w:szCs w:val="24"/>
          <w:lang w:val="sr-Cyrl-RS"/>
        </w:rPr>
      </w:pPr>
      <w:r>
        <w:rPr>
          <w:sz w:val="24"/>
          <w:szCs w:val="24"/>
          <w:lang w:val="sr-Cyrl-RS"/>
        </w:rPr>
        <w:tab/>
        <w:t>За потпуно сагледавање з</w:t>
      </w:r>
      <w:r w:rsidRPr="00B85A49">
        <w:rPr>
          <w:sz w:val="24"/>
          <w:szCs w:val="24"/>
          <w:lang w:val="sr-Cyrl-RS"/>
        </w:rPr>
        <w:t>аступљеност</w:t>
      </w:r>
      <w:r>
        <w:rPr>
          <w:sz w:val="24"/>
          <w:szCs w:val="24"/>
          <w:lang w:val="sr-Cyrl-RS"/>
        </w:rPr>
        <w:t>и</w:t>
      </w:r>
      <w:r w:rsidRPr="00B85A49">
        <w:rPr>
          <w:sz w:val="24"/>
          <w:szCs w:val="24"/>
          <w:lang w:val="sr-Cyrl-RS"/>
        </w:rPr>
        <w:t xml:space="preserve"> националних мањина у изабраним телима </w:t>
      </w:r>
      <w:r>
        <w:rPr>
          <w:sz w:val="24"/>
          <w:szCs w:val="24"/>
          <w:lang w:val="sr-Cyrl-RS"/>
        </w:rPr>
        <w:t xml:space="preserve">од значаја је указати и на чињеницу да су у Народној скупштини Републике Србије и Скупштини АП Војводине образовани одбори који се баве проблематиком мањинских права и националне равноправности. У Народној скупштини то је </w:t>
      </w:r>
      <w:r w:rsidRPr="00B85A49">
        <w:rPr>
          <w:sz w:val="24"/>
          <w:szCs w:val="24"/>
          <w:lang w:val="sr-Cyrl-RS"/>
        </w:rPr>
        <w:t xml:space="preserve">Одбор за људска и мањинска права и равноправност полова </w:t>
      </w:r>
      <w:r>
        <w:rPr>
          <w:sz w:val="24"/>
          <w:szCs w:val="24"/>
          <w:lang w:val="sr-Cyrl-RS"/>
        </w:rPr>
        <w:t xml:space="preserve">који, имеђу осталог, </w:t>
      </w:r>
      <w:r w:rsidRPr="00B85A49">
        <w:rPr>
          <w:sz w:val="24"/>
          <w:szCs w:val="24"/>
          <w:lang w:val="sr-Cyrl-RS"/>
        </w:rPr>
        <w:t>разматра питања из области остваривања права националних мањина и међунацион</w:t>
      </w:r>
      <w:r>
        <w:rPr>
          <w:sz w:val="24"/>
          <w:szCs w:val="24"/>
          <w:lang w:val="sr-Cyrl-RS"/>
        </w:rPr>
        <w:t xml:space="preserve">алних односа у Републици Србији и </w:t>
      </w:r>
      <w:r w:rsidRPr="00B85A49">
        <w:rPr>
          <w:sz w:val="24"/>
          <w:szCs w:val="24"/>
          <w:lang w:val="sr-Cyrl-RS"/>
        </w:rPr>
        <w:t>сарађује са национал</w:t>
      </w:r>
      <w:r w:rsidR="00F04EA0">
        <w:rPr>
          <w:sz w:val="24"/>
          <w:szCs w:val="24"/>
          <w:lang w:val="sr-Cyrl-RS"/>
        </w:rPr>
        <w:t xml:space="preserve">ним саветима националних мањина. У Скупштини АП Војводине формиран је </w:t>
      </w:r>
      <w:r w:rsidR="00F04EA0" w:rsidRPr="00F04EA0">
        <w:rPr>
          <w:sz w:val="24"/>
          <w:szCs w:val="24"/>
          <w:lang w:val="sr-Cyrl-RS"/>
        </w:rPr>
        <w:t xml:space="preserve">Одбор за националну равноправност </w:t>
      </w:r>
      <w:r w:rsidR="00F04EA0">
        <w:rPr>
          <w:sz w:val="24"/>
          <w:szCs w:val="24"/>
          <w:lang w:val="sr-Cyrl-RS"/>
        </w:rPr>
        <w:t>који</w:t>
      </w:r>
      <w:r w:rsidR="00F62533">
        <w:rPr>
          <w:sz w:val="24"/>
          <w:szCs w:val="24"/>
          <w:lang w:val="sr-Cyrl-RS"/>
        </w:rPr>
        <w:t>, између осталог,</w:t>
      </w:r>
      <w:r w:rsidR="00F04EA0">
        <w:rPr>
          <w:sz w:val="24"/>
          <w:szCs w:val="24"/>
          <w:lang w:val="sr-Cyrl-RS"/>
        </w:rPr>
        <w:t xml:space="preserve"> </w:t>
      </w:r>
      <w:r w:rsidR="00F04EA0" w:rsidRPr="00F04EA0">
        <w:rPr>
          <w:sz w:val="24"/>
          <w:szCs w:val="24"/>
          <w:lang w:val="sr-Cyrl-RS"/>
        </w:rPr>
        <w:t>пра</w:t>
      </w:r>
      <w:r w:rsidR="00F04EA0">
        <w:rPr>
          <w:sz w:val="24"/>
          <w:szCs w:val="24"/>
          <w:lang w:val="sr-Cyrl-RS"/>
        </w:rPr>
        <w:t>ти</w:t>
      </w:r>
      <w:r w:rsidR="00F04EA0" w:rsidRPr="00F04EA0">
        <w:rPr>
          <w:sz w:val="24"/>
          <w:szCs w:val="24"/>
          <w:lang w:val="sr-Cyrl-RS"/>
        </w:rPr>
        <w:t xml:space="preserve"> остваривањ</w:t>
      </w:r>
      <w:r w:rsidR="00F04EA0">
        <w:rPr>
          <w:sz w:val="24"/>
          <w:szCs w:val="24"/>
          <w:lang w:val="sr-Cyrl-RS"/>
        </w:rPr>
        <w:t>е</w:t>
      </w:r>
      <w:r w:rsidR="00F04EA0" w:rsidRPr="00F04EA0">
        <w:rPr>
          <w:sz w:val="24"/>
          <w:szCs w:val="24"/>
          <w:lang w:val="sr-Cyrl-RS"/>
        </w:rPr>
        <w:t xml:space="preserve"> </w:t>
      </w:r>
      <w:r w:rsidR="00F62533">
        <w:rPr>
          <w:sz w:val="24"/>
          <w:szCs w:val="24"/>
          <w:lang w:val="sr-Cyrl-RS"/>
        </w:rPr>
        <w:t xml:space="preserve">националне </w:t>
      </w:r>
      <w:r w:rsidR="00F04EA0" w:rsidRPr="00F04EA0">
        <w:rPr>
          <w:sz w:val="24"/>
          <w:szCs w:val="24"/>
          <w:lang w:val="sr-Cyrl-RS"/>
        </w:rPr>
        <w:t>равноправн</w:t>
      </w:r>
      <w:r w:rsidR="006970EC">
        <w:rPr>
          <w:sz w:val="24"/>
          <w:szCs w:val="24"/>
          <w:lang w:val="sr-Cyrl-RS"/>
        </w:rPr>
        <w:t>о</w:t>
      </w:r>
      <w:r w:rsidR="00F04EA0" w:rsidRPr="00F04EA0">
        <w:rPr>
          <w:sz w:val="24"/>
          <w:szCs w:val="24"/>
          <w:lang w:val="sr-Cyrl-RS"/>
        </w:rPr>
        <w:t xml:space="preserve">сти.  </w:t>
      </w:r>
    </w:p>
    <w:p w:rsidR="00B85A49" w:rsidRDefault="00F04EA0" w:rsidP="00543C3D">
      <w:pPr>
        <w:spacing w:after="0"/>
        <w:jc w:val="both"/>
        <w:rPr>
          <w:sz w:val="24"/>
          <w:szCs w:val="24"/>
          <w:lang w:val="sr-Cyrl-RS"/>
        </w:rPr>
      </w:pPr>
      <w:r w:rsidRPr="00F04EA0">
        <w:rPr>
          <w:sz w:val="24"/>
          <w:szCs w:val="24"/>
          <w:lang w:val="sr-Cyrl-RS"/>
        </w:rPr>
        <w:t xml:space="preserve">  </w:t>
      </w:r>
    </w:p>
    <w:p w:rsidR="00171ADA" w:rsidRPr="00F333CD" w:rsidRDefault="00171ADA" w:rsidP="00F333CD">
      <w:pPr>
        <w:pStyle w:val="Heading3"/>
        <w:jc w:val="center"/>
        <w:rPr>
          <w:rFonts w:ascii="Times New Roman" w:hAnsi="Times New Roman" w:cs="Times New Roman"/>
          <w:b/>
          <w:lang w:val="sr-Cyrl-RS"/>
        </w:rPr>
      </w:pPr>
      <w:bookmarkStart w:id="37" w:name="_Toc111191352"/>
      <w:r w:rsidRPr="00F333CD">
        <w:rPr>
          <w:rFonts w:ascii="Times New Roman" w:hAnsi="Times New Roman" w:cs="Times New Roman"/>
          <w:b/>
          <w:color w:val="auto"/>
          <w:lang w:val="sr-Cyrl-RS"/>
        </w:rPr>
        <w:t>Заступљеност националних мањина у јавној управи</w:t>
      </w:r>
      <w:bookmarkEnd w:id="37"/>
    </w:p>
    <w:p w:rsidR="00171ADA" w:rsidRDefault="00171ADA" w:rsidP="00171ADA">
      <w:pPr>
        <w:spacing w:after="0"/>
        <w:rPr>
          <w:b/>
          <w:sz w:val="24"/>
          <w:szCs w:val="24"/>
          <w:lang w:val="sr-Cyrl-RS"/>
        </w:rPr>
      </w:pPr>
    </w:p>
    <w:p w:rsidR="00171ADA" w:rsidRDefault="00171ADA" w:rsidP="00171ADA">
      <w:pPr>
        <w:spacing w:after="0"/>
        <w:jc w:val="both"/>
        <w:rPr>
          <w:i/>
          <w:sz w:val="24"/>
          <w:szCs w:val="24"/>
          <w:lang w:val="sr-Cyrl-RS"/>
        </w:rPr>
      </w:pPr>
      <w:r w:rsidRPr="00200E61">
        <w:rPr>
          <w:i/>
          <w:sz w:val="24"/>
          <w:szCs w:val="24"/>
          <w:lang w:val="sr-Cyrl-RS"/>
        </w:rPr>
        <w:t>128.</w:t>
      </w:r>
      <w:r w:rsidRPr="00200E61">
        <w:rPr>
          <w:i/>
        </w:rPr>
        <w:t xml:space="preserve"> </w:t>
      </w:r>
      <w:r w:rsidRPr="00171ADA">
        <w:rPr>
          <w:i/>
          <w:sz w:val="24"/>
          <w:szCs w:val="24"/>
          <w:lang w:val="sr-Cyrl-RS"/>
        </w:rPr>
        <w:t>Саветодавни комитет позива власти да успоставе и користе, што је пре могуће, а најкасније до истека рока за издавање петог државног извештаја, одрживи оквир за прикупљање података који је заснован на људским правима унутар јавне управе и, на основу тих података, успоставе, спроведу и периодично ревидирају конкретне и ефективне мере усмерене на стварање дугорочног и мерљивог напретка у заступљености националних мањина у јавној управи, посебно оних који живе у удаљеним подручјима и најмаргинализованијих.</w:t>
      </w:r>
    </w:p>
    <w:p w:rsidR="00171ADA" w:rsidRDefault="00171ADA" w:rsidP="00171ADA">
      <w:pPr>
        <w:spacing w:after="0"/>
        <w:jc w:val="both"/>
        <w:rPr>
          <w:i/>
          <w:sz w:val="24"/>
          <w:szCs w:val="24"/>
          <w:lang w:val="sr-Cyrl-RS"/>
        </w:rPr>
      </w:pPr>
    </w:p>
    <w:p w:rsidR="00171ADA" w:rsidRDefault="00171ADA" w:rsidP="00171ADA">
      <w:pPr>
        <w:spacing w:after="0"/>
        <w:ind w:firstLine="720"/>
        <w:jc w:val="both"/>
        <w:rPr>
          <w:sz w:val="24"/>
          <w:szCs w:val="24"/>
          <w:lang w:val="sr-Cyrl-RS"/>
        </w:rPr>
      </w:pPr>
      <w:r>
        <w:rPr>
          <w:sz w:val="24"/>
          <w:szCs w:val="24"/>
          <w:lang w:val="sr-Cyrl-RS"/>
        </w:rPr>
        <w:t>Одговор на ов</w:t>
      </w:r>
      <w:r w:rsidR="003D47EF">
        <w:rPr>
          <w:sz w:val="24"/>
          <w:szCs w:val="24"/>
          <w:lang w:val="sr-Cyrl-RS"/>
        </w:rPr>
        <w:t>у</w:t>
      </w:r>
      <w:r>
        <w:rPr>
          <w:sz w:val="24"/>
          <w:szCs w:val="24"/>
          <w:lang w:val="sr-Cyrl-RS"/>
        </w:rPr>
        <w:t xml:space="preserve"> препорук</w:t>
      </w:r>
      <w:r w:rsidR="003D47EF">
        <w:rPr>
          <w:sz w:val="24"/>
          <w:szCs w:val="24"/>
          <w:lang w:val="sr-Cyrl-RS"/>
        </w:rPr>
        <w:t>у</w:t>
      </w:r>
      <w:r>
        <w:rPr>
          <w:sz w:val="24"/>
          <w:szCs w:val="24"/>
          <w:lang w:val="sr-Cyrl-RS"/>
        </w:rPr>
        <w:t xml:space="preserve"> садржан је у одговору на препоруку 5. из Резолуције Комитета министара.</w:t>
      </w:r>
    </w:p>
    <w:p w:rsidR="00171ADA" w:rsidRPr="00200E61" w:rsidRDefault="00171ADA" w:rsidP="00171ADA">
      <w:pPr>
        <w:spacing w:after="0"/>
        <w:jc w:val="both"/>
        <w:rPr>
          <w:sz w:val="24"/>
          <w:szCs w:val="24"/>
          <w:lang w:val="sr-Cyrl-RS"/>
        </w:rPr>
      </w:pPr>
    </w:p>
    <w:p w:rsidR="00171ADA" w:rsidRPr="00F333CD" w:rsidRDefault="00171ADA" w:rsidP="00F333CD">
      <w:pPr>
        <w:pStyle w:val="Heading3"/>
        <w:jc w:val="center"/>
        <w:rPr>
          <w:rFonts w:ascii="Times New Roman" w:hAnsi="Times New Roman" w:cs="Times New Roman"/>
          <w:b/>
          <w:lang w:val="sr-Cyrl-RS"/>
        </w:rPr>
      </w:pPr>
      <w:bookmarkStart w:id="38" w:name="_Toc111191353"/>
      <w:r w:rsidRPr="00F333CD">
        <w:rPr>
          <w:rFonts w:ascii="Times New Roman" w:hAnsi="Times New Roman" w:cs="Times New Roman"/>
          <w:b/>
          <w:color w:val="auto"/>
          <w:lang w:val="sr-Cyrl-RS"/>
        </w:rPr>
        <w:t>Учешће у друштвеном и економском животу</w:t>
      </w:r>
      <w:bookmarkEnd w:id="38"/>
    </w:p>
    <w:p w:rsidR="00171ADA" w:rsidRDefault="00171ADA" w:rsidP="00171ADA">
      <w:pPr>
        <w:spacing w:after="0"/>
        <w:rPr>
          <w:b/>
          <w:sz w:val="24"/>
          <w:szCs w:val="24"/>
          <w:lang w:val="sr-Cyrl-RS"/>
        </w:rPr>
      </w:pPr>
    </w:p>
    <w:p w:rsidR="00171ADA" w:rsidRDefault="00171ADA" w:rsidP="00171ADA">
      <w:pPr>
        <w:spacing w:after="0"/>
        <w:jc w:val="both"/>
        <w:rPr>
          <w:i/>
          <w:sz w:val="24"/>
          <w:szCs w:val="24"/>
          <w:lang w:val="sr-Cyrl-RS"/>
        </w:rPr>
      </w:pPr>
      <w:r w:rsidRPr="00200E61">
        <w:rPr>
          <w:i/>
          <w:sz w:val="24"/>
          <w:szCs w:val="24"/>
          <w:lang w:val="sr-Cyrl-RS"/>
        </w:rPr>
        <w:t xml:space="preserve">135. </w:t>
      </w:r>
      <w:r w:rsidRPr="00171ADA">
        <w:rPr>
          <w:i/>
          <w:sz w:val="24"/>
          <w:szCs w:val="24"/>
          <w:lang w:val="sr-Cyrl-RS"/>
        </w:rPr>
        <w:t>Саветодавни комитет позива власти да дају приоритет економској ревитализацији области у којима припадници националних мањина живе у централној и јужној Србији, укључујући побољшање инфраструктуре и подстицаје за веће могућности за запошљавање.</w:t>
      </w:r>
    </w:p>
    <w:p w:rsidR="00171ADA" w:rsidRPr="0046407C" w:rsidRDefault="00171ADA" w:rsidP="00171ADA">
      <w:pPr>
        <w:spacing w:after="0"/>
        <w:jc w:val="both"/>
        <w:rPr>
          <w:i/>
          <w:sz w:val="24"/>
          <w:szCs w:val="24"/>
          <w:lang w:val="sr-Cyrl-RS"/>
        </w:rPr>
      </w:pPr>
    </w:p>
    <w:p w:rsidR="00171ADA" w:rsidRDefault="00171ADA" w:rsidP="00171ADA">
      <w:pPr>
        <w:spacing w:after="0"/>
        <w:ind w:firstLine="720"/>
        <w:jc w:val="both"/>
        <w:rPr>
          <w:sz w:val="24"/>
          <w:szCs w:val="24"/>
          <w:lang w:val="sr-Cyrl-RS"/>
        </w:rPr>
      </w:pPr>
      <w:r w:rsidRPr="0081043D">
        <w:rPr>
          <w:sz w:val="24"/>
          <w:szCs w:val="24"/>
          <w:lang w:val="sr-Cyrl-RS"/>
        </w:rPr>
        <w:t>Одговор на ов</w:t>
      </w:r>
      <w:r w:rsidR="003D47EF">
        <w:rPr>
          <w:sz w:val="24"/>
          <w:szCs w:val="24"/>
          <w:lang w:val="sr-Cyrl-RS"/>
        </w:rPr>
        <w:t>у</w:t>
      </w:r>
      <w:r w:rsidRPr="0081043D">
        <w:rPr>
          <w:sz w:val="24"/>
          <w:szCs w:val="24"/>
          <w:lang w:val="sr-Cyrl-RS"/>
        </w:rPr>
        <w:t xml:space="preserve"> препорук</w:t>
      </w:r>
      <w:r w:rsidR="003D47EF">
        <w:rPr>
          <w:sz w:val="24"/>
          <w:szCs w:val="24"/>
          <w:lang w:val="sr-Cyrl-RS"/>
        </w:rPr>
        <w:t>у</w:t>
      </w:r>
      <w:r w:rsidRPr="0081043D">
        <w:rPr>
          <w:sz w:val="24"/>
          <w:szCs w:val="24"/>
          <w:lang w:val="sr-Cyrl-RS"/>
        </w:rPr>
        <w:t xml:space="preserve"> садржан је у одговору на препоруку </w:t>
      </w:r>
      <w:r>
        <w:rPr>
          <w:sz w:val="24"/>
          <w:szCs w:val="24"/>
          <w:lang w:val="sr-Cyrl-RS"/>
        </w:rPr>
        <w:t>13</w:t>
      </w:r>
      <w:r w:rsidRPr="0081043D">
        <w:rPr>
          <w:sz w:val="24"/>
          <w:szCs w:val="24"/>
          <w:lang w:val="sr-Cyrl-RS"/>
        </w:rPr>
        <w:t>. из Резолуције Комитета министара.</w:t>
      </w:r>
    </w:p>
    <w:p w:rsidR="00171ADA" w:rsidRDefault="00171ADA" w:rsidP="00171ADA">
      <w:pPr>
        <w:spacing w:after="0"/>
        <w:jc w:val="both"/>
        <w:rPr>
          <w:sz w:val="24"/>
          <w:szCs w:val="24"/>
          <w:lang w:val="sr-Cyrl-RS"/>
        </w:rPr>
      </w:pPr>
    </w:p>
    <w:p w:rsidR="00171ADA" w:rsidRDefault="00171ADA" w:rsidP="00171ADA">
      <w:pPr>
        <w:spacing w:after="0"/>
        <w:jc w:val="both"/>
        <w:rPr>
          <w:i/>
          <w:sz w:val="24"/>
          <w:szCs w:val="24"/>
          <w:lang w:val="sr-Cyrl-RS"/>
        </w:rPr>
      </w:pPr>
      <w:r w:rsidRPr="00171ADA">
        <w:rPr>
          <w:i/>
          <w:sz w:val="24"/>
          <w:szCs w:val="24"/>
          <w:lang w:val="sr-Cyrl-RS"/>
        </w:rPr>
        <w:t>136.</w:t>
      </w:r>
      <w:r w:rsidRPr="00171ADA">
        <w:rPr>
          <w:i/>
          <w:sz w:val="24"/>
          <w:szCs w:val="24"/>
        </w:rPr>
        <w:t xml:space="preserve"> </w:t>
      </w:r>
      <w:r w:rsidRPr="00171ADA">
        <w:rPr>
          <w:i/>
          <w:sz w:val="24"/>
          <w:szCs w:val="24"/>
          <w:lang w:val="sr-Cyrl-RS"/>
        </w:rPr>
        <w:t xml:space="preserve">Саветодавни комитет позива власти да појачају своје напоре како би осигурале делотворно учешће Рома у економском и друштвеном животу, осмишљавањем мера политике заснованим на рашчлањеним подацима, успостављањем јасних показатеља, </w:t>
      </w:r>
      <w:r w:rsidRPr="00171ADA">
        <w:rPr>
          <w:i/>
          <w:sz w:val="24"/>
          <w:szCs w:val="24"/>
          <w:lang w:val="sr-Cyrl-RS"/>
        </w:rPr>
        <w:lastRenderedPageBreak/>
        <w:t>њиховим праћењем у блиској сарадњи са представницима Рома, у циљу да се прилагоде и ојачају на периодичној основи.</w:t>
      </w:r>
    </w:p>
    <w:p w:rsidR="00171ADA" w:rsidRDefault="00171ADA" w:rsidP="00171ADA">
      <w:pPr>
        <w:spacing w:after="0"/>
        <w:jc w:val="both"/>
        <w:rPr>
          <w:i/>
          <w:sz w:val="24"/>
          <w:szCs w:val="24"/>
          <w:lang w:val="sr-Cyrl-RS"/>
        </w:rPr>
      </w:pPr>
    </w:p>
    <w:p w:rsidR="00171ADA" w:rsidRPr="00171ADA" w:rsidRDefault="00171ADA" w:rsidP="00171ADA">
      <w:pPr>
        <w:spacing w:after="0"/>
        <w:ind w:firstLine="720"/>
        <w:jc w:val="both"/>
        <w:rPr>
          <w:sz w:val="24"/>
          <w:szCs w:val="24"/>
          <w:lang w:val="sr-Cyrl-RS"/>
        </w:rPr>
      </w:pPr>
      <w:r w:rsidRPr="0081043D">
        <w:rPr>
          <w:sz w:val="24"/>
          <w:szCs w:val="24"/>
          <w:lang w:val="sr-Cyrl-RS"/>
        </w:rPr>
        <w:t>Одговор на ов</w:t>
      </w:r>
      <w:r w:rsidR="003D47EF">
        <w:rPr>
          <w:sz w:val="24"/>
          <w:szCs w:val="24"/>
          <w:lang w:val="sr-Cyrl-RS"/>
        </w:rPr>
        <w:t>у</w:t>
      </w:r>
      <w:r w:rsidRPr="0081043D">
        <w:rPr>
          <w:sz w:val="24"/>
          <w:szCs w:val="24"/>
          <w:lang w:val="sr-Cyrl-RS"/>
        </w:rPr>
        <w:t xml:space="preserve"> препорук</w:t>
      </w:r>
      <w:r w:rsidR="003D47EF">
        <w:rPr>
          <w:sz w:val="24"/>
          <w:szCs w:val="24"/>
          <w:lang w:val="sr-Cyrl-RS"/>
        </w:rPr>
        <w:t>у</w:t>
      </w:r>
      <w:r w:rsidRPr="0081043D">
        <w:rPr>
          <w:sz w:val="24"/>
          <w:szCs w:val="24"/>
          <w:lang w:val="sr-Cyrl-RS"/>
        </w:rPr>
        <w:t xml:space="preserve"> садржан је у одговору на препоруку </w:t>
      </w:r>
      <w:r>
        <w:rPr>
          <w:sz w:val="24"/>
          <w:szCs w:val="24"/>
          <w:lang w:val="sr-Cyrl-RS"/>
        </w:rPr>
        <w:t>1</w:t>
      </w:r>
      <w:r w:rsidRPr="0081043D">
        <w:rPr>
          <w:sz w:val="24"/>
          <w:szCs w:val="24"/>
          <w:lang w:val="sr-Cyrl-RS"/>
        </w:rPr>
        <w:t>. из Резолуције Комитета министара.</w:t>
      </w:r>
    </w:p>
    <w:p w:rsidR="00171ADA" w:rsidRDefault="00171ADA" w:rsidP="00171ADA">
      <w:pPr>
        <w:spacing w:after="0"/>
        <w:jc w:val="both"/>
        <w:rPr>
          <w:i/>
          <w:sz w:val="24"/>
          <w:szCs w:val="24"/>
          <w:lang w:val="sr-Cyrl-RS"/>
        </w:rPr>
      </w:pPr>
    </w:p>
    <w:p w:rsidR="00171ADA" w:rsidRPr="00F333CD" w:rsidRDefault="00171ADA" w:rsidP="00F333CD">
      <w:pPr>
        <w:pStyle w:val="Heading2"/>
        <w:jc w:val="center"/>
        <w:rPr>
          <w:rFonts w:ascii="Times New Roman" w:hAnsi="Times New Roman" w:cs="Times New Roman"/>
          <w:b/>
          <w:sz w:val="24"/>
          <w:szCs w:val="24"/>
          <w:lang w:val="sr-Cyrl-RS"/>
        </w:rPr>
      </w:pPr>
      <w:bookmarkStart w:id="39" w:name="_Toc111191354"/>
      <w:r w:rsidRPr="00F333CD">
        <w:rPr>
          <w:rFonts w:ascii="Times New Roman" w:hAnsi="Times New Roman" w:cs="Times New Roman"/>
          <w:b/>
          <w:color w:val="auto"/>
          <w:sz w:val="24"/>
          <w:szCs w:val="24"/>
          <w:lang w:val="sr-Cyrl-RS"/>
        </w:rPr>
        <w:t>Чланови 17. и 18. Оквирне конвенције</w:t>
      </w:r>
      <w:bookmarkEnd w:id="39"/>
    </w:p>
    <w:p w:rsidR="00171ADA" w:rsidRPr="00F333CD" w:rsidRDefault="00171ADA" w:rsidP="00F333CD">
      <w:pPr>
        <w:pStyle w:val="Heading3"/>
        <w:jc w:val="center"/>
        <w:rPr>
          <w:rFonts w:ascii="Times New Roman" w:hAnsi="Times New Roman" w:cs="Times New Roman"/>
          <w:b/>
          <w:lang w:val="sr-Cyrl-RS"/>
        </w:rPr>
      </w:pPr>
      <w:bookmarkStart w:id="40" w:name="_Toc111191355"/>
      <w:r w:rsidRPr="00F333CD">
        <w:rPr>
          <w:rFonts w:ascii="Times New Roman" w:hAnsi="Times New Roman" w:cs="Times New Roman"/>
          <w:b/>
          <w:color w:val="auto"/>
          <w:lang w:val="sr-Cyrl-RS"/>
        </w:rPr>
        <w:t>Билатерални споразуми и регионална сарадња</w:t>
      </w:r>
      <w:bookmarkEnd w:id="40"/>
    </w:p>
    <w:p w:rsidR="00C83DFA" w:rsidRPr="004A11D1" w:rsidRDefault="00C83DFA" w:rsidP="00171ADA">
      <w:pPr>
        <w:spacing w:after="0"/>
        <w:jc w:val="center"/>
        <w:rPr>
          <w:b/>
          <w:sz w:val="24"/>
          <w:szCs w:val="24"/>
          <w:lang w:val="sr-Cyrl-RS"/>
        </w:rPr>
      </w:pPr>
    </w:p>
    <w:p w:rsidR="00171ADA" w:rsidRDefault="00171ADA" w:rsidP="00171ADA">
      <w:pPr>
        <w:spacing w:after="0"/>
        <w:jc w:val="both"/>
        <w:rPr>
          <w:i/>
          <w:sz w:val="24"/>
          <w:szCs w:val="24"/>
          <w:lang w:val="sr-Cyrl-RS"/>
        </w:rPr>
      </w:pPr>
      <w:r w:rsidRPr="004A11D1">
        <w:rPr>
          <w:i/>
          <w:sz w:val="24"/>
          <w:szCs w:val="24"/>
          <w:lang w:val="sr-Cyrl-RS"/>
        </w:rPr>
        <w:t xml:space="preserve">139. </w:t>
      </w:r>
      <w:r w:rsidRPr="00171ADA">
        <w:rPr>
          <w:i/>
          <w:sz w:val="24"/>
          <w:szCs w:val="24"/>
          <w:lang w:val="sr-Cyrl-RS"/>
        </w:rPr>
        <w:t>Саветодавни комитет позива власти да размотре јачање билатералне сарадње у вези са заштитом националних мањина, са суседним земљама ЕУ и земљама које нису чланице ЕУ, како би се стимулисао привредни развој подручја у којима бораве припадници националних мањина, посебно у централној и јужној Србији.</w:t>
      </w:r>
    </w:p>
    <w:p w:rsidR="00171ADA" w:rsidRDefault="00171ADA" w:rsidP="00171ADA">
      <w:pPr>
        <w:spacing w:after="0"/>
        <w:jc w:val="both"/>
        <w:rPr>
          <w:i/>
          <w:sz w:val="24"/>
          <w:szCs w:val="24"/>
          <w:lang w:val="sr-Cyrl-RS"/>
        </w:rPr>
      </w:pPr>
    </w:p>
    <w:p w:rsidR="00B9083E" w:rsidRDefault="00B9083E" w:rsidP="003650A7">
      <w:pPr>
        <w:spacing w:after="0"/>
        <w:ind w:firstLine="720"/>
        <w:jc w:val="both"/>
        <w:rPr>
          <w:sz w:val="24"/>
          <w:szCs w:val="24"/>
          <w:lang w:val="sr-Cyrl-RS"/>
        </w:rPr>
      </w:pPr>
      <w:r>
        <w:rPr>
          <w:sz w:val="24"/>
          <w:szCs w:val="24"/>
          <w:lang w:val="sr-Cyrl-RS"/>
        </w:rPr>
        <w:t xml:space="preserve">Као што је Саветодавни комитет у претходним извештајима обавештаван, институцијални оквир за билатералну сарадњу у контексту заштите националних мањина успостављен је закључивањем билатералних споразума о заштити националних мањина са </w:t>
      </w:r>
      <w:r w:rsidR="003650A7">
        <w:rPr>
          <w:sz w:val="24"/>
          <w:szCs w:val="24"/>
          <w:lang w:val="sr-Cyrl-RS"/>
        </w:rPr>
        <w:t xml:space="preserve">Мађарском, </w:t>
      </w:r>
      <w:r w:rsidR="003650A7" w:rsidRPr="003650A7">
        <w:rPr>
          <w:sz w:val="24"/>
          <w:szCs w:val="24"/>
          <w:lang w:val="sr-Cyrl-RS"/>
        </w:rPr>
        <w:t>Румунијом,</w:t>
      </w:r>
      <w:r w:rsidR="003650A7">
        <w:rPr>
          <w:sz w:val="24"/>
          <w:szCs w:val="24"/>
          <w:lang w:val="sr-Cyrl-RS"/>
        </w:rPr>
        <w:t xml:space="preserve"> Хрватском и Севереном Македонијом, којима се, између осталог, предвиђа успостављање међувладиних мешовитих тела чији је задатак праћење примене тих споразума.</w:t>
      </w:r>
    </w:p>
    <w:p w:rsidR="009E54F7" w:rsidRPr="009E54F7" w:rsidRDefault="009E54F7" w:rsidP="003650A7">
      <w:pPr>
        <w:spacing w:after="0"/>
        <w:ind w:firstLine="720"/>
        <w:jc w:val="both"/>
        <w:rPr>
          <w:b/>
          <w:sz w:val="24"/>
          <w:szCs w:val="24"/>
        </w:rPr>
      </w:pPr>
      <w:r w:rsidRPr="009E54F7">
        <w:rPr>
          <w:sz w:val="24"/>
          <w:szCs w:val="24"/>
          <w:lang w:val="sr-Cyrl-RS"/>
        </w:rPr>
        <w:t>У периоду од 2016. године одржано је неколико седница мешовитих тела, а у периодима између одржавања седница било је и других активности које су директно повезане са радом ових тела. Копредседници и косекретари, а у одређеним ситуацијама и сами чланови мешовитог тела који су експерти за одређену област, састају се у периодима између две седнице. Такође се одржавају састанци председника мешовитог тела са припадницима мањине, али и са представнцима ресорних институција у циљу убрзавања реализације неке од препорука или решавања неког отвореног питања, као и припремни састанци српског дела делегације у овим мешовитим телима.</w:t>
      </w:r>
    </w:p>
    <w:p w:rsidR="009E54F7" w:rsidRPr="009E54F7" w:rsidRDefault="009E54F7" w:rsidP="003650A7">
      <w:pPr>
        <w:spacing w:after="0"/>
        <w:ind w:firstLine="720"/>
        <w:jc w:val="both"/>
        <w:rPr>
          <w:sz w:val="24"/>
          <w:szCs w:val="24"/>
          <w:lang w:val="sr-Cyrl-RS"/>
        </w:rPr>
      </w:pPr>
      <w:r w:rsidRPr="009E54F7">
        <w:rPr>
          <w:sz w:val="24"/>
          <w:szCs w:val="24"/>
          <w:lang w:val="sr-Cyrl-RS"/>
        </w:rPr>
        <w:t xml:space="preserve">Међувладина мешовита комисија о националним мањинама са Мађарском одржала је пету седницу у 2016. години. Обе стране су на седници истакле да у односима Србије и Мађарске нема отворених питања и да су посвећене томе да на дугорочан начин одреде положај двеју мањина. </w:t>
      </w:r>
      <w:r w:rsidR="003650A7">
        <w:rPr>
          <w:sz w:val="24"/>
          <w:szCs w:val="24"/>
          <w:lang w:val="sr-Cyrl-RS"/>
        </w:rPr>
        <w:t>У записнику са седнице п</w:t>
      </w:r>
      <w:r w:rsidRPr="009E54F7">
        <w:rPr>
          <w:sz w:val="24"/>
          <w:szCs w:val="24"/>
          <w:lang w:val="sr-Cyrl-RS"/>
        </w:rPr>
        <w:t xml:space="preserve">оздрављена је одлучност Републике Србије да се прикључи Европској унији, </w:t>
      </w:r>
      <w:r w:rsidR="003650A7">
        <w:rPr>
          <w:sz w:val="24"/>
          <w:szCs w:val="24"/>
          <w:lang w:val="sr-Cyrl-RS"/>
        </w:rPr>
        <w:t>што</w:t>
      </w:r>
      <w:r w:rsidRPr="009E54F7">
        <w:rPr>
          <w:sz w:val="24"/>
          <w:szCs w:val="24"/>
          <w:lang w:val="sr-Cyrl-RS"/>
        </w:rPr>
        <w:t xml:space="preserve"> Влада Мађарске политички подржава и пружа стручну помоћ у процесу прикључивања. </w:t>
      </w:r>
      <w:r w:rsidR="003650A7">
        <w:rPr>
          <w:sz w:val="24"/>
          <w:szCs w:val="24"/>
          <w:lang w:val="sr-Cyrl-RS"/>
        </w:rPr>
        <w:t>Такође, п</w:t>
      </w:r>
      <w:r w:rsidRPr="009E54F7">
        <w:rPr>
          <w:sz w:val="24"/>
          <w:szCs w:val="24"/>
          <w:lang w:val="sr-Cyrl-RS"/>
        </w:rPr>
        <w:t xml:space="preserve">оздрављено је усвајање посебног Акционог плана за остваривање права националних мањина у Србији, уз учешће представника националних мањина, </w:t>
      </w:r>
      <w:r w:rsidR="003650A7">
        <w:rPr>
          <w:sz w:val="24"/>
          <w:szCs w:val="24"/>
          <w:lang w:val="sr-Cyrl-RS"/>
        </w:rPr>
        <w:t xml:space="preserve">за </w:t>
      </w:r>
      <w:r w:rsidRPr="009E54F7">
        <w:rPr>
          <w:sz w:val="24"/>
          <w:szCs w:val="24"/>
          <w:lang w:val="sr-Cyrl-RS"/>
        </w:rPr>
        <w:t>шт</w:t>
      </w:r>
      <w:r w:rsidR="003650A7">
        <w:rPr>
          <w:sz w:val="24"/>
          <w:szCs w:val="24"/>
          <w:lang w:val="sr-Cyrl-RS"/>
        </w:rPr>
        <w:t>а је истакнуто да</w:t>
      </w:r>
      <w:r w:rsidRPr="009E54F7">
        <w:rPr>
          <w:sz w:val="24"/>
          <w:szCs w:val="24"/>
          <w:lang w:val="sr-Cyrl-RS"/>
        </w:rPr>
        <w:t xml:space="preserve"> представља преседан и пример у региону на пољу заштите националних мањина. Стране су истакле чињеницу да је захваљујући повољном политичком окружењу и спровођењу разних програма толеранције, значајно смањено насиље између припадника разних националних заједница и поздравиле </w:t>
      </w:r>
      <w:r w:rsidR="003650A7">
        <w:rPr>
          <w:sz w:val="24"/>
          <w:szCs w:val="24"/>
          <w:lang w:val="sr-Cyrl-RS"/>
        </w:rPr>
        <w:t xml:space="preserve">су </w:t>
      </w:r>
      <w:r w:rsidRPr="009E54F7">
        <w:rPr>
          <w:sz w:val="24"/>
          <w:szCs w:val="24"/>
          <w:lang w:val="sr-Cyrl-RS"/>
        </w:rPr>
        <w:t>миран суживот и кохабитацију разних етничких заједница.</w:t>
      </w:r>
      <w:r w:rsidR="003650A7">
        <w:rPr>
          <w:sz w:val="24"/>
          <w:szCs w:val="24"/>
          <w:lang w:val="sr-Cyrl-RS"/>
        </w:rPr>
        <w:t xml:space="preserve"> </w:t>
      </w:r>
      <w:r w:rsidRPr="009E54F7">
        <w:rPr>
          <w:sz w:val="24"/>
          <w:szCs w:val="24"/>
          <w:lang w:val="sr-Cyrl-RS"/>
        </w:rPr>
        <w:t xml:space="preserve">Последњи састанак копредседника Међувладине мешовите комисије одржан је крајем 2019. године. На састанку је српска страна предложила да се пре одржавања наредне седнице Комисије, чији ће домаћин бити мађарска страна, организује састанак </w:t>
      </w:r>
      <w:r w:rsidRPr="009E54F7">
        <w:rPr>
          <w:sz w:val="24"/>
          <w:szCs w:val="24"/>
          <w:lang w:val="sr-Cyrl-RS"/>
        </w:rPr>
        <w:lastRenderedPageBreak/>
        <w:t>косекретара ради усаглашавања формата и садржаја записника. Након састанка мађарској страни је послат кориговани предлог структуре записника.</w:t>
      </w:r>
    </w:p>
    <w:p w:rsidR="008F05D0" w:rsidRPr="00AE1EB3" w:rsidRDefault="009E54F7" w:rsidP="008F05D0">
      <w:pPr>
        <w:pStyle w:val="NormalWeb"/>
        <w:shd w:val="clear" w:color="auto" w:fill="FFFFFF"/>
        <w:spacing w:before="0" w:beforeAutospacing="0" w:after="0" w:afterAutospacing="0" w:line="276" w:lineRule="auto"/>
        <w:ind w:firstLine="720"/>
        <w:jc w:val="both"/>
        <w:rPr>
          <w:rStyle w:val="FontStyle17"/>
          <w:color w:val="FF0000"/>
          <w:sz w:val="24"/>
          <w:szCs w:val="24"/>
          <w:lang w:val="sr-Cyrl-RS" w:eastAsia="sr-Cyrl-CS"/>
        </w:rPr>
      </w:pPr>
      <w:r w:rsidRPr="009E54F7">
        <w:rPr>
          <w:rStyle w:val="FontStyle17"/>
          <w:sz w:val="24"/>
          <w:szCs w:val="24"/>
          <w:lang w:val="sr-Cyrl-CS" w:eastAsia="sr-Cyrl-CS"/>
        </w:rPr>
        <w:t xml:space="preserve">Међувладина мешовита комисија са Румунијом </w:t>
      </w:r>
      <w:r w:rsidRPr="00970AE7">
        <w:rPr>
          <w:rStyle w:val="FontStyle17"/>
          <w:sz w:val="24"/>
          <w:szCs w:val="24"/>
          <w:lang w:val="sr-Cyrl-CS" w:eastAsia="sr-Cyrl-CS"/>
        </w:rPr>
        <w:t xml:space="preserve">није </w:t>
      </w:r>
      <w:r w:rsidR="008F05D0" w:rsidRPr="00970AE7">
        <w:rPr>
          <w:rStyle w:val="FontStyle17"/>
          <w:sz w:val="24"/>
          <w:szCs w:val="24"/>
          <w:lang w:val="sr-Cyrl-CS" w:eastAsia="sr-Cyrl-CS"/>
        </w:rPr>
        <w:t>одржавала седнице, али су организована два састанка на нивоу копредседника (2018. и 2022.) и један састанак на нивоу косекретара (2018.) са циљем утврђивања даље динамике рада и припреме за наредну, Трећу седницу Комисије која у складу са Правилником о раду ММК треба да буде одржана у Румунији.</w:t>
      </w:r>
      <w:r w:rsidRPr="00970AE7">
        <w:rPr>
          <w:rStyle w:val="FontStyle17"/>
          <w:sz w:val="24"/>
          <w:szCs w:val="24"/>
          <w:lang w:val="sr-Cyrl-CS" w:eastAsia="sr-Cyrl-CS"/>
        </w:rPr>
        <w:t xml:space="preserve"> </w:t>
      </w:r>
      <w:r w:rsidR="008F05D0">
        <w:rPr>
          <w:rStyle w:val="FontStyle17"/>
          <w:sz w:val="24"/>
          <w:szCs w:val="24"/>
          <w:lang w:val="sr-Cyrl-CS" w:eastAsia="sr-Cyrl-CS"/>
        </w:rPr>
        <w:t>О</w:t>
      </w:r>
      <w:r w:rsidRPr="009E54F7">
        <w:rPr>
          <w:rStyle w:val="FontStyle17"/>
          <w:sz w:val="24"/>
          <w:szCs w:val="24"/>
          <w:lang w:val="sr-Cyrl-CS" w:eastAsia="sr-Cyrl-CS"/>
        </w:rPr>
        <w:t>држан је већи број припремних састанака српског дела Комисије</w:t>
      </w:r>
      <w:r w:rsidR="008F05D0">
        <w:rPr>
          <w:rStyle w:val="FontStyle17"/>
          <w:sz w:val="24"/>
          <w:szCs w:val="24"/>
          <w:lang w:val="sr-Cyrl-CS" w:eastAsia="sr-Cyrl-CS"/>
        </w:rPr>
        <w:t xml:space="preserve"> </w:t>
      </w:r>
      <w:r w:rsidR="008F05D0" w:rsidRPr="00970AE7">
        <w:rPr>
          <w:rStyle w:val="FontStyle17"/>
          <w:sz w:val="24"/>
          <w:szCs w:val="24"/>
          <w:lang w:val="sr-Cyrl-CS" w:eastAsia="sr-Cyrl-CS"/>
        </w:rPr>
        <w:t>на којима су били присутни и представници румунске националне мањине</w:t>
      </w:r>
      <w:r w:rsidRPr="00970AE7">
        <w:rPr>
          <w:rStyle w:val="FontStyle17"/>
          <w:sz w:val="24"/>
          <w:szCs w:val="24"/>
          <w:lang w:val="sr-Cyrl-CS" w:eastAsia="sr-Cyrl-CS"/>
        </w:rPr>
        <w:t xml:space="preserve">. </w:t>
      </w:r>
      <w:r w:rsidRPr="009E54F7">
        <w:rPr>
          <w:rStyle w:val="FontStyle17"/>
          <w:sz w:val="24"/>
          <w:szCs w:val="24"/>
          <w:lang w:val="sr-Cyrl-CS" w:eastAsia="sr-Cyrl-CS"/>
        </w:rPr>
        <w:t xml:space="preserve">Последњи припремни састанак српског дела Комисије одржан је </w:t>
      </w:r>
      <w:r w:rsidRPr="009E54F7">
        <w:rPr>
          <w:rStyle w:val="FontStyle17"/>
          <w:sz w:val="24"/>
          <w:szCs w:val="24"/>
          <w:lang w:val="sr-Cyrl-RS" w:eastAsia="sr-Cyrl-CS"/>
        </w:rPr>
        <w:t xml:space="preserve">у </w:t>
      </w:r>
      <w:r w:rsidRPr="009E54F7">
        <w:rPr>
          <w:rStyle w:val="FontStyle17"/>
          <w:sz w:val="24"/>
          <w:szCs w:val="24"/>
          <w:lang w:val="sr-Cyrl-CS" w:eastAsia="sr-Cyrl-CS"/>
        </w:rPr>
        <w:t xml:space="preserve">децембру </w:t>
      </w:r>
      <w:r w:rsidRPr="009E54F7">
        <w:rPr>
          <w:rStyle w:val="FontStyle17"/>
          <w:sz w:val="24"/>
          <w:szCs w:val="24"/>
          <w:lang w:val="sr-Latn-RS" w:eastAsia="sr-Cyrl-CS"/>
        </w:rPr>
        <w:t xml:space="preserve">2021. </w:t>
      </w:r>
      <w:r w:rsidRPr="009E54F7">
        <w:rPr>
          <w:rStyle w:val="FontStyle17"/>
          <w:sz w:val="24"/>
          <w:szCs w:val="24"/>
          <w:lang w:val="sr-Cyrl-RS" w:eastAsia="sr-Cyrl-CS"/>
        </w:rPr>
        <w:t>године</w:t>
      </w:r>
      <w:r w:rsidRPr="009E54F7">
        <w:rPr>
          <w:rStyle w:val="FontStyle17"/>
          <w:sz w:val="24"/>
          <w:szCs w:val="24"/>
          <w:lang w:val="sr-Latn-RS" w:eastAsia="sr-Cyrl-CS"/>
        </w:rPr>
        <w:t xml:space="preserve">. </w:t>
      </w:r>
      <w:r w:rsidRPr="009E54F7">
        <w:rPr>
          <w:rStyle w:val="FontStyle17"/>
          <w:sz w:val="24"/>
          <w:szCs w:val="24"/>
          <w:lang w:val="sr-Cyrl-RS" w:eastAsia="sr-Cyrl-CS"/>
        </w:rPr>
        <w:t xml:space="preserve">На састанку је </w:t>
      </w:r>
      <w:r w:rsidRPr="009E54F7">
        <w:rPr>
          <w:rStyle w:val="FontStyle17"/>
          <w:sz w:val="24"/>
          <w:szCs w:val="24"/>
          <w:lang w:val="sr-Latn-RS" w:eastAsia="sr-Cyrl-CS"/>
        </w:rPr>
        <w:t xml:space="preserve">разматран статус и актуелност </w:t>
      </w:r>
      <w:r w:rsidRPr="009E54F7">
        <w:rPr>
          <w:rStyle w:val="FontStyle17"/>
          <w:sz w:val="24"/>
          <w:szCs w:val="24"/>
          <w:lang w:val="sr-Cyrl-RS" w:eastAsia="sr-Cyrl-CS"/>
        </w:rPr>
        <w:t>с</w:t>
      </w:r>
      <w:r w:rsidRPr="009E54F7">
        <w:rPr>
          <w:rStyle w:val="FontStyle17"/>
          <w:sz w:val="24"/>
          <w:szCs w:val="24"/>
          <w:lang w:val="sr-Latn-RS" w:eastAsia="sr-Cyrl-CS"/>
        </w:rPr>
        <w:t xml:space="preserve">вих препорука </w:t>
      </w:r>
      <w:r w:rsidR="003650A7">
        <w:rPr>
          <w:rStyle w:val="FontStyle17"/>
          <w:sz w:val="24"/>
          <w:szCs w:val="24"/>
          <w:lang w:val="sr-Cyrl-RS" w:eastAsia="sr-Cyrl-CS"/>
        </w:rPr>
        <w:t xml:space="preserve">са досадашњих састанака </w:t>
      </w:r>
      <w:r w:rsidRPr="009E54F7">
        <w:rPr>
          <w:rStyle w:val="FontStyle17"/>
          <w:sz w:val="24"/>
          <w:szCs w:val="24"/>
          <w:lang w:val="sr-Latn-RS" w:eastAsia="sr-Cyrl-CS"/>
        </w:rPr>
        <w:t>у односу на постојећи законодавни оквир</w:t>
      </w:r>
      <w:r w:rsidRPr="009E54F7">
        <w:rPr>
          <w:rStyle w:val="FontStyle17"/>
          <w:sz w:val="24"/>
          <w:szCs w:val="24"/>
          <w:lang w:val="sr-Cyrl-RS" w:eastAsia="sr-Cyrl-CS"/>
        </w:rPr>
        <w:t>, а ресорне инситуције су известиле о стању у погледу реализације препорука. Председник румунског дела Међувладине мешовите комисије за националне мањине посетио је Републику Србију у фебруару 2022. године и том приликом одржан је и састанак два копредседника Мешовите комисије.</w:t>
      </w:r>
      <w:r w:rsidRPr="009E54F7">
        <w:t xml:space="preserve"> </w:t>
      </w:r>
      <w:r w:rsidRPr="009E54F7">
        <w:rPr>
          <w:rStyle w:val="FontStyle17"/>
          <w:sz w:val="24"/>
          <w:szCs w:val="24"/>
          <w:lang w:val="sr-Cyrl-RS" w:eastAsia="sr-Cyrl-CS"/>
        </w:rPr>
        <w:t>Копредседници су на састанку истакли да питања која се односе на положај мањинских заједница у две земље заузимају посебно место у целокупним билатералним односима које карактерише висок степен међусобног уважавања и поверења и да је правно-институционални оквир у овој области у обе државе добар. Такође су истакли спремност да се сва питања која се тичу положаја српске и румунске националне мањине решавају кроз отворен дијалог и у оквиру Међувладине мешовите комисије.</w:t>
      </w:r>
      <w:r w:rsidR="003650A7">
        <w:rPr>
          <w:rStyle w:val="FontStyle17"/>
          <w:sz w:val="24"/>
          <w:szCs w:val="24"/>
          <w:lang w:val="sr-Cyrl-RS" w:eastAsia="sr-Cyrl-CS"/>
        </w:rPr>
        <w:t xml:space="preserve"> У време припреме овог извештаја у току је усаглашавање страна о свим питањима која ће се наћи на дневном реду наредне седнице Комисије.</w:t>
      </w:r>
      <w:r w:rsidR="008F05D0">
        <w:rPr>
          <w:rStyle w:val="FontStyle17"/>
          <w:sz w:val="24"/>
          <w:szCs w:val="24"/>
          <w:lang w:val="sr-Cyrl-RS" w:eastAsia="sr-Cyrl-CS"/>
        </w:rPr>
        <w:t xml:space="preserve"> </w:t>
      </w:r>
      <w:r w:rsidR="008F05D0" w:rsidRPr="00970AE7">
        <w:rPr>
          <w:rStyle w:val="FontStyle17"/>
          <w:sz w:val="24"/>
          <w:szCs w:val="24"/>
          <w:lang w:val="sr-Cyrl-RS" w:eastAsia="sr-Cyrl-CS"/>
        </w:rPr>
        <w:t>У циљу јачања билатералне сарадње у области заштите румунске националне мањине у Републици Србији приликом посете министра спољних послова Србије Румунији потписан је Споразум између Владе Републике Србије и Владе Румуније о уступању имовинских права над зградом Лућафарул Румунији (2022.). Овај објекат</w:t>
      </w:r>
      <w:r w:rsidR="00970AE7" w:rsidRPr="00970AE7">
        <w:rPr>
          <w:rStyle w:val="FontStyle17"/>
          <w:sz w:val="24"/>
          <w:szCs w:val="24"/>
          <w:lang w:val="sr-Cyrl-RS" w:eastAsia="sr-Cyrl-CS"/>
        </w:rPr>
        <w:t xml:space="preserve"> </w:t>
      </w:r>
      <w:r w:rsidR="008F05D0" w:rsidRPr="00970AE7">
        <w:rPr>
          <w:rStyle w:val="FontStyle17"/>
          <w:sz w:val="24"/>
          <w:szCs w:val="24"/>
          <w:lang w:val="sr-Cyrl-RS" w:eastAsia="sr-Cyrl-CS"/>
        </w:rPr>
        <w:t xml:space="preserve">од значаја за припаднике румунске националне мањине налази се у Вршцу, а предвиђено је да се осим за конзуларне активности користи и за промоцију румунске културе и традиције и сарадњу са лицима припадницима румунске националне мањине у Републици Србији. </w:t>
      </w:r>
    </w:p>
    <w:p w:rsidR="009E54F7" w:rsidRPr="009E54F7" w:rsidRDefault="009E54F7" w:rsidP="003650A7">
      <w:pPr>
        <w:spacing w:after="0"/>
        <w:ind w:firstLine="720"/>
        <w:jc w:val="both"/>
        <w:rPr>
          <w:noProof/>
          <w:sz w:val="24"/>
          <w:szCs w:val="24"/>
          <w:lang w:val="sr-Cyrl-RS"/>
        </w:rPr>
      </w:pPr>
      <w:r w:rsidRPr="009E54F7">
        <w:rPr>
          <w:sz w:val="24"/>
          <w:szCs w:val="24"/>
          <w:lang w:val="sr-Cyrl-RS"/>
        </w:rPr>
        <w:t>Међувладин Мешовити одбор за националне мањине са Републиком Хрватском</w:t>
      </w:r>
      <w:r w:rsidRPr="009E54F7">
        <w:rPr>
          <w:sz w:val="24"/>
          <w:szCs w:val="24"/>
        </w:rPr>
        <w:t xml:space="preserve"> </w:t>
      </w:r>
      <w:r w:rsidRPr="009E54F7">
        <w:rPr>
          <w:sz w:val="24"/>
          <w:szCs w:val="24"/>
          <w:lang w:val="sr-Cyrl-RS"/>
        </w:rPr>
        <w:t>одржао је две седнице,</w:t>
      </w:r>
      <w:r w:rsidRPr="009E54F7">
        <w:rPr>
          <w:b/>
          <w:sz w:val="24"/>
          <w:szCs w:val="24"/>
          <w:lang w:val="sr-Cyrl-RS"/>
        </w:rPr>
        <w:t xml:space="preserve"> </w:t>
      </w:r>
      <w:r w:rsidRPr="009E54F7">
        <w:rPr>
          <w:sz w:val="24"/>
          <w:szCs w:val="24"/>
          <w:lang w:val="sr-Cyrl-RS"/>
        </w:rPr>
        <w:t>седму - 2018. године у Србији и осму - 2019. године у Хрватској. На седницама је констатовано да се законска регулатива у погледу права националних мањина у обе земље непрестано развија, углавном је задовољавајућа и у складу с европским стандардима, али често није задовољавајући ниво њене примене. Чланови Мешовитог одбора</w:t>
      </w:r>
      <w:r w:rsidRPr="009E54F7">
        <w:rPr>
          <w:noProof/>
          <w:sz w:val="24"/>
          <w:szCs w:val="24"/>
          <w:lang w:val="sr-Cyrl-RS"/>
        </w:rPr>
        <w:t xml:space="preserve"> поздравили су успехе постигнуте у реализацији препорука прихваћених на ранијим заседањима, али су такође закључили како један део препорука још није реализован, односно њихова реализација је у току. </w:t>
      </w:r>
      <w:r w:rsidRPr="009E54F7">
        <w:rPr>
          <w:sz w:val="24"/>
          <w:szCs w:val="24"/>
          <w:lang w:val="sr-Cyrl-RS"/>
        </w:rPr>
        <w:t xml:space="preserve">На осмој седници чланови Мешовитог одбора су, између осталог, поздравили кадровско оснаживање Редакције на хрватском језику на Радио-телевизији Војводине и раст удела програма на хрватском језику у укупном програму Другог канала овог јавног медијског сервиса, покретање </w:t>
      </w:r>
      <w:r w:rsidR="003D47EF">
        <w:rPr>
          <w:sz w:val="24"/>
          <w:szCs w:val="24"/>
          <w:lang w:val="sr-Cyrl-RS"/>
        </w:rPr>
        <w:t>Л</w:t>
      </w:r>
      <w:r w:rsidRPr="009E54F7">
        <w:rPr>
          <w:sz w:val="24"/>
          <w:szCs w:val="24"/>
          <w:lang w:val="sr-Cyrl-RS"/>
        </w:rPr>
        <w:t xml:space="preserve">ектората за хрватски језик на Универзитету у Новом Саду и успостављање система провере знања хрватског језика на том лекторату, напредак који је српска страна остварила кроз финансирање и штампање уџбеника за наставу на хрватском језику за </w:t>
      </w:r>
      <w:r w:rsidRPr="009E54F7">
        <w:rPr>
          <w:sz w:val="24"/>
          <w:szCs w:val="24"/>
          <w:lang w:val="sr-Cyrl-RS"/>
        </w:rPr>
        <w:lastRenderedPageBreak/>
        <w:t xml:space="preserve">основно образовање и напоре српске стране у погледу финансирања установа које су носиоци </w:t>
      </w:r>
      <w:r w:rsidR="003650A7">
        <w:rPr>
          <w:sz w:val="24"/>
          <w:szCs w:val="24"/>
          <w:lang w:val="sr-Cyrl-RS"/>
        </w:rPr>
        <w:t>културне самоуправе</w:t>
      </w:r>
      <w:r w:rsidRPr="009E54F7">
        <w:rPr>
          <w:sz w:val="24"/>
          <w:szCs w:val="24"/>
          <w:lang w:val="sr-Cyrl-RS"/>
        </w:rPr>
        <w:t xml:space="preserve"> хрватске мањине у Републици Србији. </w:t>
      </w:r>
    </w:p>
    <w:p w:rsidR="009E54F7" w:rsidRPr="009E54F7" w:rsidRDefault="009E54F7" w:rsidP="003650A7">
      <w:pPr>
        <w:spacing w:after="0"/>
        <w:ind w:firstLine="720"/>
        <w:jc w:val="both"/>
        <w:rPr>
          <w:sz w:val="24"/>
          <w:szCs w:val="24"/>
          <w:lang w:val="sr-Cyrl-RS"/>
        </w:rPr>
      </w:pPr>
      <w:r w:rsidRPr="009E54F7">
        <w:rPr>
          <w:sz w:val="24"/>
          <w:szCs w:val="24"/>
          <w:lang w:val="sr-Cyrl-RS"/>
        </w:rPr>
        <w:t>Међувладина Мешовита комисија за националне мањине са Републиком Северном Македонијом одржала је прву седницу у фебруару 2022. године.</w:t>
      </w:r>
      <w:r w:rsidRPr="009E54F7">
        <w:rPr>
          <w:b/>
          <w:sz w:val="24"/>
          <w:szCs w:val="24"/>
          <w:lang w:val="sr-Cyrl-RS"/>
        </w:rPr>
        <w:t xml:space="preserve"> </w:t>
      </w:r>
      <w:r w:rsidRPr="009E54F7">
        <w:rPr>
          <w:sz w:val="24"/>
          <w:szCs w:val="24"/>
          <w:lang w:val="sr-Cyrl-RS"/>
        </w:rPr>
        <w:t>На дневном реду Прве седнице било је разматрање актуелних отворених питања остваривања мањинских права у обе државе и разматрање Правилника о раду Међувладине мешовите комисије.</w:t>
      </w:r>
    </w:p>
    <w:p w:rsidR="00792AAA" w:rsidRPr="007E167A" w:rsidRDefault="00205A5A" w:rsidP="003650A7">
      <w:pPr>
        <w:spacing w:after="0"/>
        <w:ind w:firstLine="720"/>
        <w:jc w:val="both"/>
        <w:rPr>
          <w:i/>
          <w:sz w:val="24"/>
          <w:szCs w:val="24"/>
          <w:lang w:val="sr-Cyrl-RS"/>
        </w:rPr>
      </w:pPr>
      <w:r>
        <w:rPr>
          <w:sz w:val="24"/>
          <w:szCs w:val="24"/>
          <w:lang w:val="sr-Cyrl-RS"/>
        </w:rPr>
        <w:t xml:space="preserve">Билатерална сарадња којом се, између осталог, </w:t>
      </w:r>
      <w:r w:rsidRPr="00205A5A">
        <w:rPr>
          <w:sz w:val="24"/>
          <w:szCs w:val="24"/>
          <w:lang w:val="sr-Cyrl-RS"/>
        </w:rPr>
        <w:t>стимули</w:t>
      </w:r>
      <w:r>
        <w:rPr>
          <w:sz w:val="24"/>
          <w:szCs w:val="24"/>
          <w:lang w:val="sr-Cyrl-RS"/>
        </w:rPr>
        <w:t>ше</w:t>
      </w:r>
      <w:r w:rsidRPr="00205A5A">
        <w:rPr>
          <w:sz w:val="24"/>
          <w:szCs w:val="24"/>
          <w:lang w:val="sr-Cyrl-RS"/>
        </w:rPr>
        <w:t xml:space="preserve"> привредни развој подручја у којима </w:t>
      </w:r>
      <w:r>
        <w:rPr>
          <w:sz w:val="24"/>
          <w:szCs w:val="24"/>
          <w:lang w:val="sr-Cyrl-RS"/>
        </w:rPr>
        <w:t>живе</w:t>
      </w:r>
      <w:r w:rsidRPr="00205A5A">
        <w:rPr>
          <w:sz w:val="24"/>
          <w:szCs w:val="24"/>
          <w:lang w:val="sr-Cyrl-RS"/>
        </w:rPr>
        <w:t xml:space="preserve"> припадници националних мањина, </w:t>
      </w:r>
      <w:r>
        <w:rPr>
          <w:sz w:val="24"/>
          <w:szCs w:val="24"/>
          <w:lang w:val="sr-Cyrl-RS"/>
        </w:rPr>
        <w:t xml:space="preserve">остварује се и кроз споразуме и програме прекограничне сарадње. </w:t>
      </w:r>
      <w:r w:rsidR="00171ADA" w:rsidRPr="008B780A">
        <w:rPr>
          <w:sz w:val="24"/>
          <w:szCs w:val="24"/>
          <w:lang w:val="sr-Cyrl-RS"/>
        </w:rPr>
        <w:t xml:space="preserve">Министарство за европске интеграције, као део Оперативне структуре (за програме прекограничне сарадње са земљама кандидатима за чланство у ЕУ – са БиХ, Северном Македонијом и Црном Гором) и као Национално тело (за програме прекограничне и транснационалне сарадње са земљама чланицама ЕУ – са Бугарском, Мађарском, Хрватском и Румунијом и у оквиру два програма транснационалне сарадње Дунав и Адрион), учествује у спровођењу девет програма прекограничне и транснационалне сарадње. Програми се спроводе путем јавних конкурса којим се одобравају пројекти са партнерима из земаља учесница. За седмогодишњи период 2014-2020. година за спровођење ових програма је у оквиру буџета ЕУ издвојено више од 200 милиона евра из ИПА фондова. Одобрено је више од 300 пројеката са учесницима из пограничних подручија Републике Србије. </w:t>
      </w:r>
      <w:r>
        <w:rPr>
          <w:sz w:val="24"/>
          <w:szCs w:val="24"/>
          <w:lang w:val="sr-Cyrl-RS"/>
        </w:rPr>
        <w:t>Реч је о п</w:t>
      </w:r>
      <w:r w:rsidR="00171ADA" w:rsidRPr="008B780A">
        <w:rPr>
          <w:sz w:val="24"/>
          <w:szCs w:val="24"/>
          <w:lang w:val="sr-Cyrl-RS"/>
        </w:rPr>
        <w:t>рограми</w:t>
      </w:r>
      <w:r>
        <w:rPr>
          <w:sz w:val="24"/>
          <w:szCs w:val="24"/>
          <w:lang w:val="sr-Cyrl-RS"/>
        </w:rPr>
        <w:t>ма</w:t>
      </w:r>
      <w:r w:rsidR="00171ADA" w:rsidRPr="008B780A">
        <w:rPr>
          <w:sz w:val="24"/>
          <w:szCs w:val="24"/>
          <w:lang w:val="sr-Cyrl-RS"/>
        </w:rPr>
        <w:t xml:space="preserve"> сарадње у оквиру заштите животне средине, реаговања у случају вандредних ситуација, подршке младима, сарадњи на развоју иновација и </w:t>
      </w:r>
      <w:r w:rsidR="00171ADA">
        <w:rPr>
          <w:sz w:val="24"/>
          <w:szCs w:val="24"/>
          <w:lang w:val="sr-Cyrl-RS"/>
        </w:rPr>
        <w:t xml:space="preserve">њиховој </w:t>
      </w:r>
      <w:r w:rsidR="00171ADA" w:rsidRPr="008B780A">
        <w:rPr>
          <w:sz w:val="24"/>
          <w:szCs w:val="24"/>
          <w:lang w:val="sr-Cyrl-RS"/>
        </w:rPr>
        <w:t>примени</w:t>
      </w:r>
      <w:r w:rsidR="00171ADA">
        <w:rPr>
          <w:sz w:val="24"/>
          <w:szCs w:val="24"/>
          <w:lang w:val="sr-Cyrl-RS"/>
        </w:rPr>
        <w:t>,</w:t>
      </w:r>
      <w:r w:rsidR="00171ADA" w:rsidRPr="008B780A">
        <w:rPr>
          <w:sz w:val="24"/>
          <w:szCs w:val="24"/>
          <w:lang w:val="sr-Cyrl-RS"/>
        </w:rPr>
        <w:t xml:space="preserve"> као и унапређење културне и туристичке позиције програмских територија. Ова билатерална и мултилатерална сарадња суседних држава или региона има за циљ унапређење развоја пограничних подручја. </w:t>
      </w:r>
    </w:p>
    <w:sectPr w:rsidR="00792AAA" w:rsidRPr="007E167A" w:rsidSect="00C85B24">
      <w:footerReference w:type="default" r:id="rId11"/>
      <w:type w:val="continuous"/>
      <w:pgSz w:w="11906" w:h="16838"/>
      <w:pgMar w:top="1440" w:right="1440" w:bottom="1440" w:left="1440"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DD1" w:rsidRDefault="004F0DD1" w:rsidP="00037E6B">
      <w:pPr>
        <w:spacing w:after="0" w:line="240" w:lineRule="auto"/>
      </w:pPr>
      <w:r>
        <w:separator/>
      </w:r>
    </w:p>
  </w:endnote>
  <w:endnote w:type="continuationSeparator" w:id="0">
    <w:p w:rsidR="004F0DD1" w:rsidRDefault="004F0DD1" w:rsidP="00037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oto Sans CJK S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ACB" w:rsidRDefault="00AE4ACB">
    <w:pPr>
      <w:pStyle w:val="Footer"/>
      <w:jc w:val="right"/>
    </w:pPr>
  </w:p>
  <w:p w:rsidR="00AE4ACB" w:rsidRDefault="00AE4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282472"/>
      <w:docPartObj>
        <w:docPartGallery w:val="Page Numbers (Bottom of Page)"/>
        <w:docPartUnique/>
      </w:docPartObj>
    </w:sdtPr>
    <w:sdtEndPr>
      <w:rPr>
        <w:noProof/>
      </w:rPr>
    </w:sdtEndPr>
    <w:sdtContent>
      <w:p w:rsidR="00AE4ACB" w:rsidRDefault="00AE4ACB">
        <w:pPr>
          <w:pStyle w:val="Footer"/>
          <w:jc w:val="right"/>
        </w:pPr>
        <w:r>
          <w:fldChar w:fldCharType="begin"/>
        </w:r>
        <w:r>
          <w:instrText xml:space="preserve"> PAGE   \* MERGEFORMAT </w:instrText>
        </w:r>
        <w:r>
          <w:fldChar w:fldCharType="separate"/>
        </w:r>
        <w:r w:rsidR="009B1C09">
          <w:rPr>
            <w:noProof/>
          </w:rPr>
          <w:t>88</w:t>
        </w:r>
        <w:r>
          <w:rPr>
            <w:noProof/>
          </w:rPr>
          <w:fldChar w:fldCharType="end"/>
        </w:r>
      </w:p>
    </w:sdtContent>
  </w:sdt>
  <w:p w:rsidR="00AE4ACB" w:rsidRDefault="00AE4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DD1" w:rsidRDefault="004F0DD1" w:rsidP="00037E6B">
      <w:pPr>
        <w:spacing w:after="0" w:line="240" w:lineRule="auto"/>
      </w:pPr>
      <w:r>
        <w:separator/>
      </w:r>
    </w:p>
  </w:footnote>
  <w:footnote w:type="continuationSeparator" w:id="0">
    <w:p w:rsidR="004F0DD1" w:rsidRDefault="004F0DD1" w:rsidP="00037E6B">
      <w:pPr>
        <w:spacing w:after="0" w:line="240" w:lineRule="auto"/>
      </w:pPr>
      <w:r>
        <w:continuationSeparator/>
      </w:r>
    </w:p>
  </w:footnote>
  <w:footnote w:id="1">
    <w:p w:rsidR="00AE4ACB" w:rsidRPr="0016720E" w:rsidRDefault="00AE4ACB">
      <w:pPr>
        <w:pStyle w:val="FootnoteText"/>
        <w:rPr>
          <w:rFonts w:ascii="Times New Roman" w:hAnsi="Times New Roman"/>
          <w:lang w:val="sr-Cyrl-RS"/>
        </w:rPr>
      </w:pPr>
      <w:r w:rsidRPr="0016720E">
        <w:rPr>
          <w:rStyle w:val="FootnoteReference"/>
          <w:rFonts w:ascii="Times New Roman" w:hAnsi="Times New Roman"/>
          <w:lang w:val="sr-Cyrl-RS"/>
        </w:rPr>
        <w:footnoteRef/>
      </w:r>
      <w:r w:rsidRPr="0016720E">
        <w:rPr>
          <w:rFonts w:ascii="Times New Roman" w:hAnsi="Times New Roman"/>
          <w:lang w:val="sr-Cyrl-RS"/>
        </w:rPr>
        <w:t xml:space="preserve"> „Службени гласник РСˮ, број 6/</w:t>
      </w:r>
      <w:r>
        <w:rPr>
          <w:rFonts w:ascii="Times New Roman" w:hAnsi="Times New Roman"/>
          <w:lang w:val="sr-Cyrl-RS"/>
        </w:rPr>
        <w:t>20</w:t>
      </w:r>
      <w:r w:rsidRPr="0016720E">
        <w:rPr>
          <w:rFonts w:ascii="Times New Roman" w:hAnsi="Times New Roman"/>
          <w:lang w:val="sr-Cyrl-RS"/>
        </w:rPr>
        <w:t>17</w:t>
      </w:r>
    </w:p>
  </w:footnote>
  <w:footnote w:id="2">
    <w:p w:rsidR="00AE4ACB" w:rsidRPr="00B00AF7" w:rsidRDefault="00AE4ACB">
      <w:pPr>
        <w:pStyle w:val="FootnoteText"/>
        <w:rPr>
          <w:rFonts w:ascii="Times New Roman" w:hAnsi="Times New Roman"/>
          <w:sz w:val="18"/>
          <w:szCs w:val="18"/>
          <w:lang w:val="sr-Cyrl-RS"/>
        </w:rPr>
      </w:pPr>
      <w:r w:rsidRPr="00B00AF7">
        <w:rPr>
          <w:rStyle w:val="FootnoteReference"/>
          <w:rFonts w:ascii="Times New Roman" w:hAnsi="Times New Roman"/>
          <w:sz w:val="18"/>
          <w:szCs w:val="18"/>
        </w:rPr>
        <w:footnoteRef/>
      </w:r>
      <w:r w:rsidRPr="00B00AF7">
        <w:rPr>
          <w:rFonts w:ascii="Times New Roman" w:hAnsi="Times New Roman"/>
          <w:sz w:val="18"/>
          <w:szCs w:val="18"/>
        </w:rPr>
        <w:t xml:space="preserve"> </w:t>
      </w:r>
      <w:r w:rsidRPr="0058686F">
        <w:rPr>
          <w:rFonts w:ascii="Times New Roman" w:hAnsi="Times New Roman"/>
          <w:sz w:val="18"/>
          <w:szCs w:val="18"/>
          <w:lang w:val="sr-Cyrl-RS"/>
        </w:rPr>
        <w:t>„Службени гласник РС</w:t>
      </w:r>
      <w:r w:rsidRPr="009D6E0F">
        <w:rPr>
          <w:rFonts w:ascii="Times New Roman" w:hAnsi="Times New Roman"/>
          <w:sz w:val="18"/>
          <w:szCs w:val="18"/>
          <w:lang w:val="sr-Cyrl-RS"/>
        </w:rPr>
        <w:t>ˮ</w:t>
      </w:r>
      <w:r w:rsidRPr="0058686F">
        <w:rPr>
          <w:rFonts w:ascii="Times New Roman" w:hAnsi="Times New Roman"/>
          <w:sz w:val="18"/>
          <w:szCs w:val="18"/>
          <w:lang w:val="sr-Cyrl-RS"/>
        </w:rPr>
        <w:t>, бр. 135/2004, 90/2007 и 24/2018</w:t>
      </w:r>
    </w:p>
  </w:footnote>
  <w:footnote w:id="3">
    <w:p w:rsidR="00AE4ACB" w:rsidRPr="00B00AF7" w:rsidRDefault="00AE4ACB">
      <w:pPr>
        <w:pStyle w:val="FootnoteText"/>
        <w:rPr>
          <w:lang w:val="sr-Cyrl-RS"/>
        </w:rPr>
      </w:pPr>
      <w:r w:rsidRPr="00B00AF7">
        <w:rPr>
          <w:rStyle w:val="FootnoteReference"/>
          <w:rFonts w:ascii="Times New Roman" w:hAnsi="Times New Roman"/>
          <w:sz w:val="18"/>
          <w:szCs w:val="18"/>
        </w:rPr>
        <w:footnoteRef/>
      </w:r>
      <w:r>
        <w:rPr>
          <w:rFonts w:ascii="Times New Roman" w:hAnsi="Times New Roman"/>
          <w:sz w:val="18"/>
          <w:szCs w:val="18"/>
        </w:rPr>
        <w:t xml:space="preserve"> </w:t>
      </w:r>
      <w:hyperlink r:id="rId1" w:history="1">
        <w:r w:rsidRPr="00255B8F">
          <w:rPr>
            <w:rStyle w:val="Hyperlink"/>
            <w:rFonts w:ascii="Times New Roman" w:hAnsi="Times New Roman"/>
            <w:sz w:val="18"/>
            <w:szCs w:val="18"/>
          </w:rPr>
          <w:t>www.unhcr.org/rs/wp-content/uploads/sites/40/2021/04/01-Lica-u-riziku-od-apatridije-u-Srbiji-CeSid-UNHCR-2020-SRB.pdf</w:t>
        </w:r>
      </w:hyperlink>
      <w:r>
        <w:rPr>
          <w:rFonts w:ascii="Times New Roman" w:hAnsi="Times New Roman"/>
          <w:sz w:val="18"/>
          <w:szCs w:val="18"/>
          <w:lang w:val="sr-Cyrl-RS"/>
        </w:rPr>
        <w:t xml:space="preserve"> </w:t>
      </w:r>
    </w:p>
  </w:footnote>
  <w:footnote w:id="4">
    <w:p w:rsidR="00AE4ACB" w:rsidRPr="00B00AF7" w:rsidRDefault="00AE4ACB">
      <w:pPr>
        <w:pStyle w:val="FootnoteText"/>
        <w:rPr>
          <w:rFonts w:ascii="Times New Roman" w:hAnsi="Times New Roman"/>
          <w:sz w:val="18"/>
          <w:szCs w:val="18"/>
          <w:lang w:val="sr-Cyrl-RS"/>
        </w:rPr>
      </w:pPr>
      <w:r w:rsidRPr="00B00AF7">
        <w:rPr>
          <w:rStyle w:val="FootnoteReference"/>
          <w:rFonts w:ascii="Times New Roman" w:hAnsi="Times New Roman"/>
          <w:sz w:val="18"/>
          <w:szCs w:val="18"/>
        </w:rPr>
        <w:footnoteRef/>
      </w:r>
      <w:r w:rsidRPr="00B00AF7">
        <w:rPr>
          <w:rFonts w:ascii="Times New Roman" w:hAnsi="Times New Roman"/>
          <w:sz w:val="18"/>
          <w:szCs w:val="18"/>
        </w:rPr>
        <w:t xml:space="preserve"> </w:t>
      </w:r>
      <w:hyperlink r:id="rId2" w:history="1">
        <w:r w:rsidRPr="00B00AF7">
          <w:rPr>
            <w:rStyle w:val="Hyperlink"/>
            <w:rFonts w:ascii="Times New Roman" w:hAnsi="Times New Roman"/>
            <w:sz w:val="18"/>
            <w:szCs w:val="18"/>
          </w:rPr>
          <w:t>https://www.unhcr.org/rs/iskorenjivanje-apatridije</w:t>
        </w:r>
      </w:hyperlink>
      <w:r w:rsidRPr="00B00AF7">
        <w:rPr>
          <w:rFonts w:ascii="Times New Roman" w:hAnsi="Times New Roman"/>
          <w:sz w:val="18"/>
          <w:szCs w:val="18"/>
          <w:lang w:val="sr-Cyrl-RS"/>
        </w:rPr>
        <w:t xml:space="preserve"> </w:t>
      </w:r>
    </w:p>
  </w:footnote>
  <w:footnote w:id="5">
    <w:p w:rsidR="00AE4ACB" w:rsidRPr="00FD6ED2" w:rsidRDefault="00AE4ACB">
      <w:pPr>
        <w:pStyle w:val="FootnoteText"/>
        <w:rPr>
          <w:rFonts w:ascii="Times New Roman" w:hAnsi="Times New Roman"/>
          <w:sz w:val="18"/>
          <w:szCs w:val="18"/>
          <w:lang w:val="sr-Cyrl-RS"/>
        </w:rPr>
      </w:pPr>
      <w:r w:rsidRPr="00FD6ED2">
        <w:rPr>
          <w:rStyle w:val="FootnoteReference"/>
          <w:rFonts w:ascii="Times New Roman" w:hAnsi="Times New Roman"/>
          <w:sz w:val="18"/>
          <w:szCs w:val="18"/>
        </w:rPr>
        <w:footnoteRef/>
      </w:r>
      <w:r w:rsidRPr="00FD6ED2">
        <w:rPr>
          <w:rFonts w:ascii="Times New Roman" w:hAnsi="Times New Roman"/>
          <w:sz w:val="18"/>
          <w:szCs w:val="18"/>
        </w:rPr>
        <w:t xml:space="preserve"> </w:t>
      </w:r>
      <w:hyperlink r:id="rId3" w:history="1">
        <w:r w:rsidRPr="00252F2D">
          <w:rPr>
            <w:rStyle w:val="Hyperlink"/>
            <w:rFonts w:ascii="Times New Roman" w:hAnsi="Times New Roman"/>
            <w:sz w:val="18"/>
            <w:szCs w:val="18"/>
          </w:rPr>
          <w:t>https://www.yucom.org.rs/wp-content/uploads/2022/03/1645107722_Analiza-ozakonjenja-17022022-WEB.pdf</w:t>
        </w:r>
      </w:hyperlink>
      <w:r>
        <w:rPr>
          <w:rFonts w:ascii="Times New Roman" w:hAnsi="Times New Roman"/>
          <w:sz w:val="18"/>
          <w:szCs w:val="18"/>
          <w:lang w:val="sr-Cyrl-RS"/>
        </w:rPr>
        <w:t xml:space="preserve"> </w:t>
      </w:r>
    </w:p>
  </w:footnote>
  <w:footnote w:id="6">
    <w:p w:rsidR="00AE4ACB" w:rsidRPr="0051328E" w:rsidRDefault="00AE4ACB" w:rsidP="006904C2">
      <w:pPr>
        <w:pStyle w:val="FootnoteText"/>
        <w:rPr>
          <w:rFonts w:ascii="Times New Roman" w:hAnsi="Times New Roman"/>
          <w:sz w:val="18"/>
          <w:szCs w:val="18"/>
        </w:rPr>
      </w:pPr>
      <w:r w:rsidRPr="0051328E">
        <w:rPr>
          <w:rStyle w:val="FootnoteReference"/>
          <w:rFonts w:ascii="Times New Roman" w:hAnsi="Times New Roman"/>
          <w:sz w:val="18"/>
          <w:szCs w:val="18"/>
        </w:rPr>
        <w:footnoteRef/>
      </w:r>
      <w:r w:rsidRPr="0051328E">
        <w:rPr>
          <w:rFonts w:ascii="Times New Roman" w:hAnsi="Times New Roman"/>
          <w:sz w:val="18"/>
          <w:szCs w:val="18"/>
        </w:rPr>
        <w:t xml:space="preserve"> </w:t>
      </w:r>
      <w:hyperlink r:id="rId4" w:history="1">
        <w:r w:rsidRPr="0051328E">
          <w:rPr>
            <w:rStyle w:val="Hyperlink"/>
            <w:rFonts w:ascii="Times New Roman" w:hAnsi="Times New Roman"/>
            <w:sz w:val="18"/>
            <w:szCs w:val="18"/>
          </w:rPr>
          <w:t>http://socijalnoukljucivanje.gov.rs/rs/objavljeno-mapiranje-podstandardnih-romskih-naselja-prema-rizicima-i-pristupu-pravima-u-republici-srbiji-sa-narocitim-osvrtom-na-covid-19-epidemiju/</w:t>
        </w:r>
      </w:hyperlink>
      <w:r w:rsidRPr="0051328E">
        <w:rPr>
          <w:rFonts w:ascii="Times New Roman" w:hAnsi="Times New Roman"/>
          <w:sz w:val="18"/>
          <w:szCs w:val="18"/>
        </w:rPr>
        <w:t xml:space="preserve">  </w:t>
      </w:r>
    </w:p>
  </w:footnote>
  <w:footnote w:id="7">
    <w:p w:rsidR="00AE4ACB" w:rsidRPr="00FF5192" w:rsidRDefault="00AE4ACB">
      <w:pPr>
        <w:pStyle w:val="FootnoteText"/>
        <w:rPr>
          <w:rFonts w:ascii="Times New Roman" w:hAnsi="Times New Roman"/>
          <w:sz w:val="18"/>
          <w:szCs w:val="18"/>
          <w:lang w:val="sr-Cyrl-RS"/>
        </w:rPr>
      </w:pPr>
      <w:r w:rsidRPr="00FF5192">
        <w:rPr>
          <w:rStyle w:val="FootnoteReference"/>
          <w:rFonts w:ascii="Times New Roman" w:hAnsi="Times New Roman"/>
          <w:sz w:val="18"/>
          <w:szCs w:val="18"/>
        </w:rPr>
        <w:footnoteRef/>
      </w:r>
      <w:r>
        <w:rPr>
          <w:rFonts w:ascii="Times New Roman" w:hAnsi="Times New Roman"/>
          <w:sz w:val="18"/>
          <w:szCs w:val="18"/>
          <w:lang w:val="sr-Cyrl-RS"/>
        </w:rPr>
        <w:t xml:space="preserve"> </w:t>
      </w:r>
      <w:hyperlink r:id="rId5" w:history="1">
        <w:r w:rsidRPr="00E00F03">
          <w:rPr>
            <w:rStyle w:val="Hyperlink"/>
            <w:rFonts w:ascii="Times New Roman" w:hAnsi="Times New Roman"/>
            <w:sz w:val="18"/>
            <w:szCs w:val="18"/>
          </w:rPr>
          <w:t>https://socijalnoukljucivanje.gov.rs/rs/objavljena-analiza-odrzivih-modela-za-obezbedjivanje-pristupa-cistoj-pijacoj-vodi-kanalizaciji-i-elektricnoj-energiji-stanovnicima-i-stanovnicama-podstandardnih-romskih-naselja-u-republici-srbiji/</w:t>
        </w:r>
      </w:hyperlink>
      <w:r>
        <w:rPr>
          <w:rFonts w:ascii="Times New Roman" w:hAnsi="Times New Roman"/>
          <w:sz w:val="18"/>
          <w:szCs w:val="18"/>
          <w:lang w:val="sr-Cyrl-RS"/>
        </w:rPr>
        <w:t xml:space="preserve"> </w:t>
      </w:r>
    </w:p>
  </w:footnote>
  <w:footnote w:id="8">
    <w:p w:rsidR="00AE4ACB" w:rsidRPr="00747E7C" w:rsidRDefault="00AE4ACB" w:rsidP="00747E7C">
      <w:pPr>
        <w:pBdr>
          <w:top w:val="nil"/>
          <w:left w:val="nil"/>
          <w:bottom w:val="nil"/>
          <w:right w:val="nil"/>
          <w:between w:val="nil"/>
        </w:pBdr>
        <w:spacing w:after="0"/>
        <w:ind w:hanging="2"/>
        <w:jc w:val="both"/>
        <w:rPr>
          <w:sz w:val="12"/>
          <w:szCs w:val="14"/>
        </w:rPr>
      </w:pPr>
      <w:r w:rsidRPr="00B62317">
        <w:rPr>
          <w:rStyle w:val="FootnoteReference"/>
          <w:sz w:val="18"/>
          <w:szCs w:val="18"/>
        </w:rPr>
        <w:footnoteRef/>
      </w:r>
      <w:r w:rsidRPr="00B62317">
        <w:rPr>
          <w:sz w:val="18"/>
          <w:szCs w:val="18"/>
        </w:rPr>
        <w:t xml:space="preserve"> </w:t>
      </w:r>
      <w:r w:rsidRPr="00430C16">
        <w:rPr>
          <w:sz w:val="18"/>
          <w:szCs w:val="18"/>
        </w:rPr>
        <w:t xml:space="preserve">MICS представља глобални истраживачки програм развијен од стране УНИЦЕФ-а кроз консултације са другим агенцијама Уједињених нација. MICS је конципиран тако да обезбеди статистички поуздане и међународно упоредиве податке за кључне социјалне индикаторе и усмерен је на најосетљивији део популације: жене, децу и угрожене и маргинализоване групе становништва. Истраживање вишеструких показатеља о положају жена и деце у Републици Србији, Републички завод за статистику и УНИЦЕФ  - MICS Multiple Indicator Survey 2019: </w:t>
      </w:r>
      <w:hyperlink r:id="rId6" w:history="1">
        <w:r w:rsidRPr="00430C16">
          <w:rPr>
            <w:rStyle w:val="Hyperlink"/>
            <w:sz w:val="18"/>
            <w:szCs w:val="18"/>
          </w:rPr>
          <w:t>https://www.stat.gov.rs/sr-latn/istrazivanja/mics/</w:t>
        </w:r>
      </w:hyperlink>
    </w:p>
  </w:footnote>
  <w:footnote w:id="9">
    <w:p w:rsidR="00AE4ACB" w:rsidRPr="001C0645" w:rsidRDefault="00AE4ACB" w:rsidP="00747E7C">
      <w:pPr>
        <w:pStyle w:val="FootnoteText"/>
        <w:spacing w:line="276" w:lineRule="auto"/>
        <w:rPr>
          <w:rFonts w:ascii="Times New Roman" w:hAnsi="Times New Roman"/>
          <w:sz w:val="18"/>
          <w:szCs w:val="18"/>
          <w:lang w:val="sr-Cyrl-RS"/>
        </w:rPr>
      </w:pPr>
      <w:r w:rsidRPr="001C0645">
        <w:rPr>
          <w:rStyle w:val="FootnoteReference"/>
          <w:rFonts w:ascii="Times New Roman" w:hAnsi="Times New Roman"/>
          <w:sz w:val="18"/>
          <w:szCs w:val="18"/>
          <w:lang w:val="sr-Cyrl-RS"/>
        </w:rPr>
        <w:footnoteRef/>
      </w:r>
      <w:r w:rsidRPr="001C0645">
        <w:rPr>
          <w:rFonts w:ascii="Times New Roman" w:hAnsi="Times New Roman"/>
          <w:sz w:val="18"/>
          <w:szCs w:val="18"/>
          <w:lang w:val="sr-Cyrl-RS"/>
        </w:rPr>
        <w:t xml:space="preserve"> „Службени гласник РС“ број 88/</w:t>
      </w:r>
      <w:r>
        <w:rPr>
          <w:rFonts w:ascii="Times New Roman" w:hAnsi="Times New Roman"/>
          <w:sz w:val="18"/>
          <w:szCs w:val="18"/>
          <w:lang w:val="sr-Cyrl-RS"/>
        </w:rPr>
        <w:t>20</w:t>
      </w:r>
      <w:r w:rsidRPr="001C0645">
        <w:rPr>
          <w:rFonts w:ascii="Times New Roman" w:hAnsi="Times New Roman"/>
          <w:sz w:val="18"/>
          <w:szCs w:val="18"/>
          <w:lang w:val="sr-Cyrl-RS"/>
        </w:rPr>
        <w:t>10</w:t>
      </w:r>
    </w:p>
  </w:footnote>
  <w:footnote w:id="10">
    <w:p w:rsidR="00AE4ACB" w:rsidRPr="00A25643" w:rsidRDefault="00AE4ACB" w:rsidP="00B00808">
      <w:pPr>
        <w:pStyle w:val="FootnoteText"/>
        <w:rPr>
          <w:rFonts w:ascii="Times New Roman" w:hAnsi="Times New Roman"/>
          <w:sz w:val="18"/>
          <w:szCs w:val="18"/>
          <w:lang w:val="sr-Cyrl-RS"/>
        </w:rPr>
      </w:pPr>
      <w:r w:rsidRPr="00A25643">
        <w:rPr>
          <w:rStyle w:val="FootnoteReference"/>
          <w:rFonts w:ascii="Times New Roman" w:hAnsi="Times New Roman"/>
          <w:sz w:val="18"/>
          <w:szCs w:val="18"/>
          <w:lang w:val="sr-Cyrl-RS"/>
        </w:rPr>
        <w:footnoteRef/>
      </w:r>
      <w:r w:rsidRPr="00A25643">
        <w:rPr>
          <w:rFonts w:ascii="Times New Roman" w:hAnsi="Times New Roman"/>
          <w:sz w:val="18"/>
          <w:szCs w:val="18"/>
          <w:lang w:val="sr-Cyrl-RS"/>
        </w:rPr>
        <w:t xml:space="preserve"> Посете су организоване у периоду април-мај 2020. године у следећим јединицама локалне самоуправе: Београд, Градска општина Чукарица, Ковин, Панчево, Пожаревац и Костолац. У ових пет градова и општина, организована је посета у укупно десет ромских насеља (Чукаричка шума, Циган мала, Мали рит 1, Мали рит 2, Сутјеска, Канал, Стари Костолац, Хотел Костолац, Узун Миркова и Ђурђеве рупе).</w:t>
      </w:r>
    </w:p>
  </w:footnote>
  <w:footnote w:id="11">
    <w:p w:rsidR="00AE4ACB" w:rsidRPr="008D507F" w:rsidRDefault="00AE4ACB" w:rsidP="00B00808">
      <w:pPr>
        <w:pStyle w:val="FootnoteText"/>
        <w:rPr>
          <w:lang w:val="sr-Cyrl-RS"/>
        </w:rPr>
      </w:pPr>
      <w:r w:rsidRPr="00A25643">
        <w:rPr>
          <w:rStyle w:val="FootnoteReference"/>
          <w:rFonts w:ascii="Times New Roman" w:hAnsi="Times New Roman"/>
          <w:sz w:val="18"/>
          <w:szCs w:val="18"/>
        </w:rPr>
        <w:footnoteRef/>
      </w:r>
      <w:r w:rsidRPr="00A25643">
        <w:rPr>
          <w:rFonts w:ascii="Times New Roman" w:hAnsi="Times New Roman"/>
          <w:sz w:val="18"/>
          <w:szCs w:val="18"/>
        </w:rPr>
        <w:t xml:space="preserve"> </w:t>
      </w:r>
      <w:hyperlink r:id="rId7" w:history="1">
        <w:r w:rsidRPr="00A25643">
          <w:rPr>
            <w:rStyle w:val="Hyperlink"/>
            <w:rFonts w:ascii="Times New Roman" w:hAnsi="Times New Roman"/>
            <w:sz w:val="18"/>
            <w:szCs w:val="18"/>
          </w:rPr>
          <w:t>https://ombudsman.rs/index.php/2011-12-25-10-17-15/2011-12-26-10-05-05/6607-l-lni-s-upr-v-upuc-n-p-s-b-n-izv-sh-s-pr-p-ru-usl-vi-u-r-s-i-n-s-lji-u-si-u-ci-i-v-nr-dn-g-s-nj-i-pri-n-r-z-sh-i-usl-d-p-nd-i-r-n-virus</w:t>
        </w:r>
      </w:hyperlink>
      <w:r w:rsidRPr="00A25643">
        <w:rPr>
          <w:rStyle w:val="Hyperlink"/>
          <w:rFonts w:ascii="Times New Roman" w:hAnsi="Times New Roman"/>
          <w:sz w:val="18"/>
          <w:szCs w:val="18"/>
        </w:rPr>
        <w:t>.</w:t>
      </w:r>
      <w:r w:rsidRPr="005F6140">
        <w:rPr>
          <w:rStyle w:val="Hyperlink"/>
          <w:rFonts w:ascii="Book Antiqua" w:hAnsi="Book Antiqua"/>
          <w:sz w:val="18"/>
          <w:szCs w:val="18"/>
        </w:rPr>
        <w:t xml:space="preserve"> </w:t>
      </w:r>
      <w:r w:rsidRPr="005F6140">
        <w:rPr>
          <w:rFonts w:ascii="Book Antiqua" w:hAnsi="Book Antiqua"/>
          <w:sz w:val="18"/>
          <w:szCs w:val="18"/>
        </w:rPr>
        <w:t xml:space="preserve"> </w:t>
      </w:r>
    </w:p>
  </w:footnote>
  <w:footnote w:id="12">
    <w:p w:rsidR="00AE4ACB" w:rsidRPr="001B6FC9" w:rsidRDefault="00AE4ACB" w:rsidP="006904C2">
      <w:pPr>
        <w:pStyle w:val="FootnoteText"/>
        <w:rPr>
          <w:rFonts w:ascii="Times New Roman" w:hAnsi="Times New Roman"/>
          <w:sz w:val="18"/>
          <w:szCs w:val="18"/>
        </w:rPr>
      </w:pPr>
      <w:r w:rsidRPr="001B6FC9">
        <w:rPr>
          <w:rStyle w:val="FootnoteReference"/>
          <w:rFonts w:ascii="Times New Roman" w:hAnsi="Times New Roman"/>
          <w:sz w:val="18"/>
          <w:szCs w:val="18"/>
        </w:rPr>
        <w:footnoteRef/>
      </w:r>
      <w:r w:rsidRPr="001B6FC9">
        <w:rPr>
          <w:rFonts w:ascii="Times New Roman" w:hAnsi="Times New Roman"/>
          <w:sz w:val="18"/>
          <w:szCs w:val="18"/>
        </w:rPr>
        <w:t xml:space="preserve"> </w:t>
      </w:r>
      <w:r w:rsidRPr="0058686F">
        <w:rPr>
          <w:rFonts w:ascii="Times New Roman" w:hAnsi="Times New Roman"/>
          <w:sz w:val="18"/>
          <w:szCs w:val="18"/>
          <w:lang w:val="sr-Cyrl-RS"/>
        </w:rPr>
        <w:t>„Службени гласник РС</w:t>
      </w:r>
      <w:r w:rsidRPr="009D6E0F">
        <w:rPr>
          <w:rFonts w:ascii="Times New Roman" w:hAnsi="Times New Roman"/>
          <w:sz w:val="18"/>
          <w:szCs w:val="18"/>
          <w:lang w:val="sr-Cyrl-RS"/>
        </w:rPr>
        <w:t>ˮ</w:t>
      </w:r>
      <w:r w:rsidRPr="0058686F">
        <w:rPr>
          <w:rFonts w:ascii="Times New Roman" w:hAnsi="Times New Roman"/>
          <w:sz w:val="18"/>
          <w:szCs w:val="18"/>
          <w:lang w:val="sr-Cyrl-RS"/>
        </w:rPr>
        <w:t>, број 22/</w:t>
      </w:r>
      <w:r>
        <w:rPr>
          <w:rFonts w:ascii="Times New Roman" w:hAnsi="Times New Roman"/>
          <w:sz w:val="18"/>
          <w:szCs w:val="18"/>
          <w:lang w:val="sr-Cyrl-RS"/>
        </w:rPr>
        <w:t>20</w:t>
      </w:r>
      <w:r w:rsidRPr="0058686F">
        <w:rPr>
          <w:rFonts w:ascii="Times New Roman" w:hAnsi="Times New Roman"/>
          <w:sz w:val="18"/>
          <w:szCs w:val="18"/>
          <w:lang w:val="sr-Cyrl-RS"/>
        </w:rPr>
        <w:t>16</w:t>
      </w:r>
    </w:p>
  </w:footnote>
  <w:footnote w:id="13">
    <w:p w:rsidR="00AE4ACB" w:rsidRPr="001B6FC9" w:rsidRDefault="00AE4ACB" w:rsidP="006904C2">
      <w:pPr>
        <w:pStyle w:val="FootnoteText"/>
        <w:rPr>
          <w:rFonts w:ascii="Times New Roman" w:hAnsi="Times New Roman"/>
          <w:sz w:val="18"/>
          <w:szCs w:val="18"/>
        </w:rPr>
      </w:pPr>
      <w:r w:rsidRPr="001B6FC9">
        <w:rPr>
          <w:rStyle w:val="FootnoteReference"/>
          <w:rFonts w:ascii="Times New Roman" w:hAnsi="Times New Roman"/>
          <w:sz w:val="18"/>
          <w:szCs w:val="18"/>
        </w:rPr>
        <w:footnoteRef/>
      </w:r>
      <w:r w:rsidRPr="001B6FC9">
        <w:rPr>
          <w:rFonts w:ascii="Times New Roman" w:hAnsi="Times New Roman"/>
          <w:sz w:val="18"/>
          <w:szCs w:val="18"/>
        </w:rPr>
        <w:t xml:space="preserve"> </w:t>
      </w:r>
      <w:r w:rsidRPr="0058686F">
        <w:rPr>
          <w:rFonts w:ascii="Times New Roman" w:hAnsi="Times New Roman"/>
          <w:sz w:val="18"/>
          <w:szCs w:val="18"/>
          <w:lang w:val="sr-Cyrl-RS"/>
        </w:rPr>
        <w:t>„Службени гласник РС</w:t>
      </w:r>
      <w:r w:rsidRPr="009D6E0F">
        <w:rPr>
          <w:rFonts w:ascii="Times New Roman" w:hAnsi="Times New Roman"/>
          <w:sz w:val="18"/>
          <w:szCs w:val="18"/>
          <w:lang w:val="sr-Cyrl-RS"/>
        </w:rPr>
        <w:t>ˮ</w:t>
      </w:r>
      <w:r w:rsidRPr="0058686F">
        <w:rPr>
          <w:rFonts w:ascii="Times New Roman" w:hAnsi="Times New Roman"/>
          <w:sz w:val="18"/>
          <w:szCs w:val="18"/>
          <w:lang w:val="sr-Cyrl-RS"/>
        </w:rPr>
        <w:t>, број 65/</w:t>
      </w:r>
      <w:r>
        <w:rPr>
          <w:rFonts w:ascii="Times New Roman" w:hAnsi="Times New Roman"/>
          <w:sz w:val="18"/>
          <w:szCs w:val="18"/>
          <w:lang w:val="sr-Cyrl-RS"/>
        </w:rPr>
        <w:t>20</w:t>
      </w:r>
      <w:r w:rsidRPr="0058686F">
        <w:rPr>
          <w:rFonts w:ascii="Times New Roman" w:hAnsi="Times New Roman"/>
          <w:sz w:val="18"/>
          <w:szCs w:val="18"/>
          <w:lang w:val="sr-Cyrl-RS"/>
        </w:rPr>
        <w:t>18</w:t>
      </w:r>
    </w:p>
  </w:footnote>
  <w:footnote w:id="14">
    <w:p w:rsidR="00AE4ACB" w:rsidRPr="00AF78C3" w:rsidRDefault="00AE4ACB" w:rsidP="006904C2">
      <w:pPr>
        <w:pStyle w:val="FootnoteText"/>
        <w:rPr>
          <w:rFonts w:ascii="Times New Roman" w:hAnsi="Times New Roman"/>
          <w:color w:val="0070C0"/>
          <w:sz w:val="18"/>
          <w:szCs w:val="18"/>
        </w:rPr>
      </w:pPr>
      <w:r w:rsidRPr="001B6FC9">
        <w:rPr>
          <w:rStyle w:val="FootnoteReference"/>
          <w:rFonts w:ascii="Times New Roman" w:hAnsi="Times New Roman"/>
          <w:sz w:val="18"/>
          <w:szCs w:val="18"/>
        </w:rPr>
        <w:footnoteRef/>
      </w:r>
      <w:r w:rsidRPr="001B6FC9">
        <w:rPr>
          <w:rFonts w:ascii="Times New Roman" w:hAnsi="Times New Roman"/>
          <w:sz w:val="18"/>
          <w:szCs w:val="18"/>
        </w:rPr>
        <w:t xml:space="preserve"> </w:t>
      </w:r>
      <w:hyperlink r:id="rId8" w:history="1">
        <w:r w:rsidRPr="00AF78C3">
          <w:rPr>
            <w:rFonts w:ascii="Times New Roman" w:hAnsi="Times New Roman"/>
            <w:color w:val="0070C0"/>
            <w:sz w:val="18"/>
            <w:szCs w:val="18"/>
            <w:u w:val="single"/>
          </w:rPr>
          <w:t>http://www.mpn.gov.rs/wp-content/uploads/2021/02/Brosura_CIPv05-final-za-roditeljeB.pdf</w:t>
        </w:r>
      </w:hyperlink>
    </w:p>
  </w:footnote>
  <w:footnote w:id="15">
    <w:p w:rsidR="00AE4ACB" w:rsidRDefault="00AE4ACB" w:rsidP="006904C2">
      <w:pPr>
        <w:pStyle w:val="FootnoteText"/>
      </w:pPr>
      <w:r w:rsidRPr="001B6FC9">
        <w:rPr>
          <w:rStyle w:val="FootnoteReference"/>
          <w:rFonts w:ascii="Times New Roman" w:hAnsi="Times New Roman"/>
          <w:sz w:val="18"/>
          <w:szCs w:val="18"/>
        </w:rPr>
        <w:footnoteRef/>
      </w:r>
      <w:r w:rsidRPr="001B6FC9">
        <w:rPr>
          <w:rFonts w:ascii="Times New Roman" w:hAnsi="Times New Roman"/>
          <w:sz w:val="18"/>
          <w:szCs w:val="18"/>
        </w:rPr>
        <w:t xml:space="preserve"> </w:t>
      </w:r>
      <w:hyperlink r:id="rId9" w:history="1">
        <w:r w:rsidRPr="00AF78C3">
          <w:rPr>
            <w:rStyle w:val="Hyperlink"/>
            <w:rFonts w:ascii="Times New Roman" w:hAnsi="Times New Roman"/>
            <w:color w:val="0070C0"/>
            <w:sz w:val="18"/>
            <w:szCs w:val="18"/>
          </w:rPr>
          <w:t>http://www.mpn.gov.rs/wp-content/uploads/2021/02/Brosura_CIP_-05-final-za-zaposleneB-1.pdf</w:t>
        </w:r>
      </w:hyperlink>
      <w:r w:rsidRPr="0012749E">
        <w:rPr>
          <w:rFonts w:ascii="Times New Roman" w:hAnsi="Times New Roman"/>
          <w:color w:val="0070C0"/>
        </w:rPr>
        <w:t xml:space="preserve"> </w:t>
      </w:r>
    </w:p>
  </w:footnote>
  <w:footnote w:id="16">
    <w:p w:rsidR="00AE4ACB" w:rsidRPr="004363CD" w:rsidRDefault="00AE4ACB">
      <w:pPr>
        <w:pStyle w:val="FootnoteText"/>
        <w:rPr>
          <w:rFonts w:ascii="Times New Roman" w:hAnsi="Times New Roman"/>
          <w:sz w:val="18"/>
          <w:szCs w:val="18"/>
          <w:lang w:val="sr-Cyrl-RS"/>
        </w:rPr>
      </w:pPr>
      <w:r w:rsidRPr="004363CD">
        <w:rPr>
          <w:rStyle w:val="FootnoteReference"/>
          <w:rFonts w:ascii="Times New Roman" w:hAnsi="Times New Roman"/>
          <w:sz w:val="18"/>
          <w:szCs w:val="18"/>
        </w:rPr>
        <w:footnoteRef/>
      </w:r>
      <w:r w:rsidRPr="004363CD">
        <w:rPr>
          <w:rFonts w:ascii="Times New Roman" w:hAnsi="Times New Roman"/>
          <w:sz w:val="18"/>
          <w:szCs w:val="18"/>
        </w:rPr>
        <w:t xml:space="preserve"> </w:t>
      </w:r>
      <w:hyperlink r:id="rId10" w:history="1">
        <w:r w:rsidRPr="004363CD">
          <w:rPr>
            <w:rStyle w:val="Hyperlink"/>
            <w:rFonts w:ascii="Times New Roman" w:hAnsi="Times New Roman"/>
            <w:sz w:val="18"/>
            <w:szCs w:val="18"/>
          </w:rPr>
          <w:t>http://ravnopravnost.gov.rs/prevencija-segregacije-razvoj-inkluzivnih-upisnih-politika/</w:t>
        </w:r>
      </w:hyperlink>
      <w:r w:rsidRPr="004363CD">
        <w:rPr>
          <w:rFonts w:ascii="Times New Roman" w:hAnsi="Times New Roman"/>
          <w:sz w:val="18"/>
          <w:szCs w:val="18"/>
          <w:lang w:val="sr-Cyrl-RS"/>
        </w:rPr>
        <w:t xml:space="preserve"> </w:t>
      </w:r>
    </w:p>
  </w:footnote>
  <w:footnote w:id="17">
    <w:p w:rsidR="00AE4ACB" w:rsidRPr="0083090D" w:rsidRDefault="00AE4ACB">
      <w:pPr>
        <w:pStyle w:val="FootnoteText"/>
        <w:rPr>
          <w:rFonts w:ascii="Times New Roman" w:hAnsi="Times New Roman"/>
          <w:sz w:val="18"/>
          <w:szCs w:val="18"/>
          <w:lang w:val="sr-Cyrl-RS"/>
        </w:rPr>
      </w:pPr>
      <w:r w:rsidRPr="0083090D">
        <w:rPr>
          <w:rStyle w:val="FootnoteReference"/>
          <w:rFonts w:ascii="Times New Roman" w:hAnsi="Times New Roman"/>
          <w:sz w:val="18"/>
          <w:szCs w:val="18"/>
        </w:rPr>
        <w:footnoteRef/>
      </w:r>
      <w:r w:rsidRPr="0083090D">
        <w:rPr>
          <w:rFonts w:ascii="Times New Roman" w:hAnsi="Times New Roman"/>
          <w:sz w:val="18"/>
          <w:szCs w:val="18"/>
        </w:rPr>
        <w:t xml:space="preserve"> „Службени гласник РСˮ, бр. 22/2009 и 52/2021</w:t>
      </w:r>
    </w:p>
  </w:footnote>
  <w:footnote w:id="18">
    <w:p w:rsidR="00AE4ACB" w:rsidRPr="00AF78C3" w:rsidRDefault="00AE4ACB" w:rsidP="006904C2">
      <w:pPr>
        <w:pStyle w:val="FootnoteText"/>
        <w:rPr>
          <w:rFonts w:ascii="Times New Roman" w:hAnsi="Times New Roman"/>
          <w:sz w:val="18"/>
          <w:szCs w:val="18"/>
        </w:rPr>
      </w:pPr>
      <w:r w:rsidRPr="00AF78C3">
        <w:rPr>
          <w:rStyle w:val="FootnoteReference"/>
          <w:rFonts w:ascii="Times New Roman" w:hAnsi="Times New Roman"/>
          <w:sz w:val="18"/>
          <w:szCs w:val="18"/>
        </w:rPr>
        <w:footnoteRef/>
      </w:r>
      <w:r w:rsidRPr="00AF78C3">
        <w:rPr>
          <w:rFonts w:ascii="Times New Roman" w:hAnsi="Times New Roman"/>
          <w:sz w:val="18"/>
          <w:szCs w:val="18"/>
        </w:rPr>
        <w:t xml:space="preserve"> </w:t>
      </w:r>
      <w:r w:rsidRPr="0058686F">
        <w:rPr>
          <w:rFonts w:ascii="Times New Roman" w:hAnsi="Times New Roman"/>
          <w:sz w:val="18"/>
          <w:szCs w:val="18"/>
          <w:lang w:val="sr-Cyrl-RS"/>
        </w:rPr>
        <w:t>„Службени гласник РС</w:t>
      </w:r>
      <w:r w:rsidRPr="009D6E0F">
        <w:rPr>
          <w:rFonts w:ascii="Times New Roman" w:hAnsi="Times New Roman"/>
          <w:sz w:val="18"/>
          <w:szCs w:val="18"/>
          <w:lang w:val="sr-Cyrl-RS"/>
        </w:rPr>
        <w:t>ˮ</w:t>
      </w:r>
      <w:r w:rsidRPr="0058686F">
        <w:rPr>
          <w:rFonts w:ascii="Times New Roman" w:hAnsi="Times New Roman"/>
          <w:sz w:val="18"/>
          <w:szCs w:val="18"/>
          <w:lang w:val="sr-Cyrl-RS"/>
        </w:rPr>
        <w:t>, број 87/2019</w:t>
      </w:r>
    </w:p>
  </w:footnote>
  <w:footnote w:id="19">
    <w:p w:rsidR="00AE4ACB" w:rsidRPr="00430C16" w:rsidRDefault="00AE4ACB" w:rsidP="00430C16">
      <w:pPr>
        <w:pStyle w:val="FootnoteText"/>
        <w:rPr>
          <w:rFonts w:ascii="Times New Roman" w:hAnsi="Times New Roman"/>
          <w:sz w:val="18"/>
          <w:szCs w:val="18"/>
        </w:rPr>
      </w:pPr>
      <w:r w:rsidRPr="00430C16">
        <w:rPr>
          <w:rStyle w:val="FootnoteReference"/>
          <w:rFonts w:ascii="Times New Roman" w:hAnsi="Times New Roman"/>
          <w:sz w:val="18"/>
          <w:szCs w:val="18"/>
        </w:rPr>
        <w:footnoteRef/>
      </w:r>
      <w:r w:rsidRPr="00430C16">
        <w:rPr>
          <w:rFonts w:ascii="Times New Roman" w:hAnsi="Times New Roman"/>
          <w:sz w:val="18"/>
          <w:szCs w:val="18"/>
        </w:rPr>
        <w:t xml:space="preserve"> </w:t>
      </w:r>
      <w:hyperlink r:id="rId11" w:history="1">
        <w:r w:rsidRPr="00430C16">
          <w:rPr>
            <w:rStyle w:val="Hyperlink"/>
            <w:rFonts w:ascii="Times New Roman" w:hAnsi="Times New Roman"/>
            <w:sz w:val="18"/>
            <w:szCs w:val="18"/>
          </w:rPr>
          <w:t>https://www.mpn.gov.rs/wp-content/uploads/2021/06/SROVRS-2030-1.pdf</w:t>
        </w:r>
      </w:hyperlink>
      <w:r w:rsidRPr="00430C16">
        <w:rPr>
          <w:rFonts w:ascii="Times New Roman" w:hAnsi="Times New Roman"/>
          <w:sz w:val="18"/>
          <w:szCs w:val="18"/>
        </w:rPr>
        <w:t xml:space="preserve"> </w:t>
      </w:r>
    </w:p>
  </w:footnote>
  <w:footnote w:id="20">
    <w:p w:rsidR="00AE4ACB" w:rsidRPr="00C00395" w:rsidRDefault="00AE4ACB">
      <w:pPr>
        <w:pStyle w:val="FootnoteText"/>
        <w:rPr>
          <w:rFonts w:ascii="Times New Roman" w:hAnsi="Times New Roman"/>
          <w:sz w:val="18"/>
          <w:szCs w:val="18"/>
          <w:lang w:val="sr-Cyrl-RS"/>
        </w:rPr>
      </w:pPr>
      <w:r w:rsidRPr="00C00395">
        <w:rPr>
          <w:rStyle w:val="FootnoteReference"/>
          <w:rFonts w:ascii="Times New Roman" w:hAnsi="Times New Roman"/>
          <w:sz w:val="18"/>
          <w:szCs w:val="18"/>
        </w:rPr>
        <w:footnoteRef/>
      </w:r>
      <w:r w:rsidRPr="00C00395">
        <w:rPr>
          <w:rFonts w:ascii="Times New Roman" w:hAnsi="Times New Roman"/>
          <w:sz w:val="18"/>
          <w:szCs w:val="18"/>
        </w:rPr>
        <w:t xml:space="preserve"> </w:t>
      </w:r>
      <w:hyperlink r:id="rId12" w:history="1">
        <w:r w:rsidRPr="008B2462">
          <w:rPr>
            <w:rStyle w:val="Hyperlink"/>
            <w:rFonts w:ascii="Times New Roman" w:hAnsi="Times New Roman"/>
            <w:sz w:val="18"/>
            <w:szCs w:val="18"/>
          </w:rPr>
          <w:t>http://www.mpn.gov.rs/izvestaj-o-ukljucenosti-ucenika-iz-osetljivih-grupa-u-obrazovno-vaspitni-rad-tokom-nastave-na-daljinu/</w:t>
        </w:r>
      </w:hyperlink>
      <w:r>
        <w:rPr>
          <w:rFonts w:ascii="Times New Roman" w:hAnsi="Times New Roman"/>
          <w:sz w:val="18"/>
          <w:szCs w:val="18"/>
          <w:lang w:val="sr-Cyrl-RS"/>
        </w:rPr>
        <w:t xml:space="preserve"> </w:t>
      </w:r>
    </w:p>
  </w:footnote>
  <w:footnote w:id="21">
    <w:p w:rsidR="00AE4ACB" w:rsidRPr="0058686F" w:rsidRDefault="00AE4ACB" w:rsidP="006904C2">
      <w:pPr>
        <w:pStyle w:val="FootnoteText"/>
        <w:rPr>
          <w:rFonts w:ascii="Times New Roman" w:hAnsi="Times New Roman"/>
          <w:sz w:val="18"/>
          <w:szCs w:val="18"/>
          <w:lang w:val="sr-Cyrl-RS"/>
        </w:rPr>
      </w:pPr>
      <w:r w:rsidRPr="0054026D">
        <w:rPr>
          <w:rStyle w:val="FootnoteReference"/>
          <w:rFonts w:ascii="Times New Roman" w:hAnsi="Times New Roman"/>
          <w:sz w:val="18"/>
          <w:szCs w:val="18"/>
        </w:rPr>
        <w:footnoteRef/>
      </w:r>
      <w:r w:rsidRPr="0054026D">
        <w:rPr>
          <w:rFonts w:ascii="Times New Roman" w:hAnsi="Times New Roman"/>
          <w:sz w:val="18"/>
          <w:szCs w:val="18"/>
        </w:rPr>
        <w:t xml:space="preserve"> </w:t>
      </w:r>
      <w:r w:rsidRPr="0058686F">
        <w:rPr>
          <w:rFonts w:ascii="Times New Roman" w:hAnsi="Times New Roman"/>
          <w:sz w:val="18"/>
          <w:szCs w:val="18"/>
          <w:lang w:val="sr-Cyrl-RS"/>
        </w:rPr>
        <w:t>„Службени гласник РС</w:t>
      </w:r>
      <w:r w:rsidRPr="009D6E0F">
        <w:rPr>
          <w:rFonts w:ascii="Times New Roman" w:hAnsi="Times New Roman"/>
          <w:sz w:val="18"/>
          <w:szCs w:val="18"/>
          <w:lang w:val="sr-Cyrl-RS"/>
        </w:rPr>
        <w:t>ˮ</w:t>
      </w:r>
      <w:r w:rsidRPr="0058686F">
        <w:rPr>
          <w:rFonts w:ascii="Times New Roman" w:hAnsi="Times New Roman"/>
          <w:sz w:val="18"/>
          <w:szCs w:val="18"/>
          <w:lang w:val="sr-Cyrl-RS"/>
        </w:rPr>
        <w:t>, бр. 24/2005, 61/2005, 54/2009, 32/2013, 75/2014, 13/2017 - одлука УС, 113/2017 и 95/2018 - аутентично тумачење</w:t>
      </w:r>
    </w:p>
  </w:footnote>
  <w:footnote w:id="22">
    <w:p w:rsidR="00AE4ACB" w:rsidRPr="00125CC3" w:rsidRDefault="00AE4ACB">
      <w:pPr>
        <w:pStyle w:val="FootnoteText"/>
        <w:rPr>
          <w:rFonts w:ascii="Times New Roman" w:hAnsi="Times New Roman"/>
          <w:sz w:val="18"/>
          <w:szCs w:val="18"/>
          <w:lang w:val="sr-Cyrl-RS"/>
        </w:rPr>
      </w:pPr>
      <w:r w:rsidRPr="00125CC3">
        <w:rPr>
          <w:rStyle w:val="FootnoteReference"/>
          <w:rFonts w:ascii="Times New Roman" w:hAnsi="Times New Roman"/>
          <w:sz w:val="18"/>
          <w:szCs w:val="18"/>
          <w:lang w:val="sr-Cyrl-RS"/>
        </w:rPr>
        <w:footnoteRef/>
      </w:r>
      <w:r w:rsidRPr="00125CC3">
        <w:rPr>
          <w:rFonts w:ascii="Times New Roman" w:hAnsi="Times New Roman"/>
          <w:sz w:val="18"/>
          <w:szCs w:val="18"/>
          <w:lang w:val="sr-Cyrl-RS"/>
        </w:rPr>
        <w:t xml:space="preserve"> „Службени гласник РСˮ, бр. 36/2009, 88/2010, 38/2015, 113/2017 и 113/2017 – др. закон и 49/2021</w:t>
      </w:r>
    </w:p>
  </w:footnote>
  <w:footnote w:id="23">
    <w:p w:rsidR="00AE4ACB" w:rsidRPr="00125CC3" w:rsidRDefault="00AE4ACB">
      <w:pPr>
        <w:pStyle w:val="FootnoteText"/>
        <w:rPr>
          <w:lang w:val="sr-Cyrl-RS"/>
        </w:rPr>
      </w:pPr>
      <w:r w:rsidRPr="00125CC3">
        <w:rPr>
          <w:rStyle w:val="FootnoteReference"/>
          <w:rFonts w:ascii="Times New Roman" w:hAnsi="Times New Roman"/>
          <w:sz w:val="18"/>
          <w:szCs w:val="18"/>
          <w:lang w:val="sr-Cyrl-RS"/>
        </w:rPr>
        <w:footnoteRef/>
      </w:r>
      <w:r w:rsidRPr="00125CC3">
        <w:rPr>
          <w:rFonts w:ascii="Times New Roman" w:hAnsi="Times New Roman"/>
          <w:sz w:val="18"/>
          <w:szCs w:val="18"/>
          <w:lang w:val="sr-Cyrl-RS"/>
        </w:rPr>
        <w:t xml:space="preserve"> </w:t>
      </w:r>
      <w:r>
        <w:rPr>
          <w:rFonts w:ascii="Times New Roman" w:hAnsi="Times New Roman"/>
          <w:sz w:val="18"/>
          <w:szCs w:val="18"/>
          <w:lang w:val="sr-Cyrl-RS"/>
        </w:rPr>
        <w:t>„</w:t>
      </w:r>
      <w:r w:rsidRPr="00125CC3">
        <w:rPr>
          <w:rFonts w:ascii="Times New Roman" w:hAnsi="Times New Roman"/>
          <w:sz w:val="18"/>
          <w:szCs w:val="18"/>
          <w:lang w:val="sr-Cyrl-RS"/>
        </w:rPr>
        <w:t>Службени гласник РСˮ</w:t>
      </w:r>
      <w:r>
        <w:rPr>
          <w:rFonts w:ascii="Times New Roman" w:hAnsi="Times New Roman"/>
          <w:sz w:val="18"/>
          <w:szCs w:val="18"/>
          <w:lang w:val="sr-Cyrl-RS"/>
        </w:rPr>
        <w:t>, бр. 18/</w:t>
      </w:r>
      <w:r w:rsidRPr="00125CC3">
        <w:rPr>
          <w:rFonts w:ascii="Times New Roman" w:hAnsi="Times New Roman"/>
          <w:sz w:val="18"/>
          <w:szCs w:val="18"/>
          <w:lang w:val="sr-Cyrl-RS"/>
        </w:rPr>
        <w:t>2021</w:t>
      </w:r>
      <w:r>
        <w:rPr>
          <w:rFonts w:ascii="Times New Roman" w:hAnsi="Times New Roman"/>
          <w:sz w:val="18"/>
          <w:szCs w:val="18"/>
          <w:lang w:val="sr-Cyrl-RS"/>
        </w:rPr>
        <w:t xml:space="preserve"> и</w:t>
      </w:r>
      <w:r w:rsidRPr="00125CC3">
        <w:rPr>
          <w:rFonts w:ascii="Times New Roman" w:hAnsi="Times New Roman"/>
          <w:sz w:val="18"/>
          <w:szCs w:val="18"/>
          <w:lang w:val="sr-Cyrl-RS"/>
        </w:rPr>
        <w:t xml:space="preserve"> 36</w:t>
      </w:r>
      <w:r>
        <w:rPr>
          <w:rFonts w:ascii="Times New Roman" w:hAnsi="Times New Roman"/>
          <w:sz w:val="18"/>
          <w:szCs w:val="18"/>
          <w:lang w:val="sr-Cyrl-RS"/>
        </w:rPr>
        <w:t>/</w:t>
      </w:r>
      <w:r w:rsidRPr="00125CC3">
        <w:rPr>
          <w:rFonts w:ascii="Times New Roman" w:hAnsi="Times New Roman"/>
          <w:sz w:val="18"/>
          <w:szCs w:val="18"/>
          <w:lang w:val="sr-Cyrl-RS"/>
        </w:rPr>
        <w:t>2021 – исправка</w:t>
      </w:r>
    </w:p>
  </w:footnote>
  <w:footnote w:id="24">
    <w:p w:rsidR="00AE4ACB" w:rsidRPr="00FD2A09" w:rsidRDefault="00AE4ACB">
      <w:pPr>
        <w:pStyle w:val="FootnoteText"/>
        <w:rPr>
          <w:rFonts w:ascii="Times New Roman" w:hAnsi="Times New Roman"/>
          <w:sz w:val="18"/>
          <w:szCs w:val="18"/>
          <w:lang w:val="sr-Cyrl-RS"/>
        </w:rPr>
      </w:pPr>
      <w:r w:rsidRPr="00FD2A09">
        <w:rPr>
          <w:rStyle w:val="FootnoteReference"/>
          <w:rFonts w:ascii="Times New Roman" w:hAnsi="Times New Roman"/>
          <w:sz w:val="18"/>
          <w:szCs w:val="18"/>
        </w:rPr>
        <w:footnoteRef/>
      </w:r>
      <w:r w:rsidRPr="00FD2A09">
        <w:rPr>
          <w:rFonts w:ascii="Times New Roman" w:hAnsi="Times New Roman"/>
          <w:sz w:val="18"/>
          <w:szCs w:val="18"/>
        </w:rPr>
        <w:t xml:space="preserve"> „</w:t>
      </w:r>
      <w:r w:rsidRPr="00FD2A09">
        <w:rPr>
          <w:rFonts w:ascii="Times New Roman" w:hAnsi="Times New Roman"/>
          <w:sz w:val="18"/>
          <w:szCs w:val="18"/>
          <w:lang w:val="sr-Cyrl-RS"/>
        </w:rPr>
        <w:t>Службени гласник РС</w:t>
      </w:r>
      <w:r w:rsidRPr="009D6E0F">
        <w:rPr>
          <w:rFonts w:ascii="Times New Roman" w:hAnsi="Times New Roman"/>
          <w:sz w:val="18"/>
          <w:szCs w:val="18"/>
          <w:lang w:val="sr-Cyrl-RS"/>
        </w:rPr>
        <w:t>ˮ</w:t>
      </w:r>
      <w:r w:rsidRPr="00FD2A09">
        <w:rPr>
          <w:rFonts w:ascii="Times New Roman" w:hAnsi="Times New Roman"/>
          <w:sz w:val="18"/>
          <w:szCs w:val="18"/>
          <w:lang w:val="sr-Cyrl-RS"/>
        </w:rPr>
        <w:t>, број 15/</w:t>
      </w:r>
      <w:r>
        <w:rPr>
          <w:rFonts w:ascii="Times New Roman" w:hAnsi="Times New Roman"/>
          <w:sz w:val="18"/>
          <w:szCs w:val="18"/>
          <w:lang w:val="sr-Cyrl-RS"/>
        </w:rPr>
        <w:t>20</w:t>
      </w:r>
      <w:r w:rsidRPr="00FD2A09">
        <w:rPr>
          <w:rFonts w:ascii="Times New Roman" w:hAnsi="Times New Roman"/>
          <w:sz w:val="18"/>
          <w:szCs w:val="18"/>
          <w:lang w:val="sr-Cyrl-RS"/>
        </w:rPr>
        <w:t>10</w:t>
      </w:r>
    </w:p>
  </w:footnote>
  <w:footnote w:id="25">
    <w:p w:rsidR="00AE4ACB" w:rsidRPr="0058686F" w:rsidRDefault="00AE4ACB" w:rsidP="006904C2">
      <w:pPr>
        <w:pStyle w:val="FootnoteText"/>
        <w:rPr>
          <w:rFonts w:ascii="Times New Roman" w:hAnsi="Times New Roman"/>
          <w:sz w:val="18"/>
          <w:szCs w:val="18"/>
          <w:lang w:val="sr-Cyrl-RS"/>
        </w:rPr>
      </w:pPr>
      <w:r w:rsidRPr="00457C39">
        <w:rPr>
          <w:rStyle w:val="FootnoteReference"/>
          <w:rFonts w:ascii="Times New Roman" w:hAnsi="Times New Roman"/>
          <w:sz w:val="18"/>
          <w:szCs w:val="18"/>
        </w:rPr>
        <w:footnoteRef/>
      </w:r>
      <w:r w:rsidRPr="00457C39">
        <w:rPr>
          <w:rFonts w:ascii="Times New Roman" w:hAnsi="Times New Roman"/>
          <w:sz w:val="18"/>
          <w:szCs w:val="18"/>
        </w:rPr>
        <w:t xml:space="preserve"> </w:t>
      </w:r>
      <w:r w:rsidRPr="0058686F">
        <w:rPr>
          <w:rFonts w:ascii="Times New Roman" w:hAnsi="Times New Roman"/>
          <w:sz w:val="18"/>
          <w:szCs w:val="18"/>
          <w:lang w:val="sr-Cyrl-RS"/>
        </w:rPr>
        <w:t>„Службени гласник РС</w:t>
      </w:r>
      <w:r w:rsidRPr="009D6E0F">
        <w:rPr>
          <w:rFonts w:ascii="Times New Roman" w:hAnsi="Times New Roman"/>
          <w:sz w:val="18"/>
          <w:szCs w:val="18"/>
          <w:lang w:val="sr-Cyrl-RS"/>
        </w:rPr>
        <w:t>ˮ</w:t>
      </w:r>
      <w:r w:rsidRPr="0058686F">
        <w:rPr>
          <w:rFonts w:ascii="Times New Roman" w:hAnsi="Times New Roman"/>
          <w:sz w:val="18"/>
          <w:szCs w:val="18"/>
          <w:lang w:val="sr-Cyrl-RS"/>
        </w:rPr>
        <w:t>, број 24/2011</w:t>
      </w:r>
    </w:p>
  </w:footnote>
  <w:footnote w:id="26">
    <w:p w:rsidR="00AE4ACB" w:rsidRPr="0058686F" w:rsidRDefault="00AE4ACB" w:rsidP="006904C2">
      <w:pPr>
        <w:pStyle w:val="FootnoteText"/>
        <w:rPr>
          <w:rFonts w:ascii="Times New Roman" w:hAnsi="Times New Roman"/>
          <w:sz w:val="18"/>
          <w:szCs w:val="18"/>
          <w:lang w:val="sr-Cyrl-RS"/>
        </w:rPr>
      </w:pPr>
      <w:r w:rsidRPr="0058686F">
        <w:rPr>
          <w:rStyle w:val="FootnoteReference"/>
          <w:rFonts w:ascii="Times New Roman" w:hAnsi="Times New Roman"/>
          <w:sz w:val="18"/>
          <w:szCs w:val="18"/>
          <w:lang w:val="sr-Cyrl-RS"/>
        </w:rPr>
        <w:footnoteRef/>
      </w:r>
      <w:r w:rsidRPr="0058686F">
        <w:rPr>
          <w:rFonts w:ascii="Times New Roman" w:hAnsi="Times New Roman"/>
          <w:sz w:val="18"/>
          <w:szCs w:val="18"/>
          <w:lang w:val="sr-Cyrl-RS"/>
        </w:rPr>
        <w:t xml:space="preserve"> „Службени гласник РС</w:t>
      </w:r>
      <w:r w:rsidRPr="009D6E0F">
        <w:rPr>
          <w:rFonts w:ascii="Times New Roman" w:hAnsi="Times New Roman"/>
          <w:sz w:val="18"/>
          <w:szCs w:val="18"/>
          <w:lang w:val="sr-Cyrl-RS"/>
        </w:rPr>
        <w:t>ˮ</w:t>
      </w:r>
      <w:r w:rsidRPr="0058686F">
        <w:rPr>
          <w:rFonts w:ascii="Times New Roman" w:hAnsi="Times New Roman"/>
          <w:sz w:val="18"/>
          <w:szCs w:val="18"/>
          <w:lang w:val="sr-Cyrl-RS"/>
        </w:rPr>
        <w:t>, бр. 59/2008, 37/2010, 39/2011 - др. правилник, 1/2012 - др. правилник, 51/2019 и 12/2020</w:t>
      </w:r>
    </w:p>
  </w:footnote>
  <w:footnote w:id="27">
    <w:p w:rsidR="00AE4ACB" w:rsidRPr="00F90A93" w:rsidRDefault="00AE4ACB">
      <w:pPr>
        <w:pStyle w:val="FootnoteText"/>
        <w:rPr>
          <w:rFonts w:ascii="Times New Roman" w:hAnsi="Times New Roman"/>
          <w:sz w:val="18"/>
          <w:szCs w:val="18"/>
          <w:lang w:val="sr-Latn-RS"/>
        </w:rPr>
      </w:pPr>
      <w:r w:rsidRPr="00F90A93">
        <w:rPr>
          <w:rStyle w:val="FootnoteReference"/>
          <w:rFonts w:ascii="Times New Roman" w:hAnsi="Times New Roman"/>
          <w:sz w:val="18"/>
          <w:szCs w:val="18"/>
        </w:rPr>
        <w:footnoteRef/>
      </w:r>
      <w:r w:rsidRPr="00F90A93">
        <w:rPr>
          <w:rFonts w:ascii="Times New Roman" w:hAnsi="Times New Roman"/>
          <w:sz w:val="18"/>
          <w:szCs w:val="18"/>
        </w:rPr>
        <w:t xml:space="preserve"> „</w:t>
      </w:r>
      <w:r w:rsidRPr="00F90A93">
        <w:rPr>
          <w:rFonts w:ascii="Times New Roman" w:hAnsi="Times New Roman"/>
          <w:sz w:val="18"/>
          <w:szCs w:val="18"/>
          <w:lang w:val="sr-Cyrl-RS"/>
        </w:rPr>
        <w:t>Службени гласник РСˮ, број</w:t>
      </w:r>
      <w:r w:rsidRPr="00F90A93">
        <w:rPr>
          <w:rFonts w:ascii="Times New Roman" w:hAnsi="Times New Roman"/>
          <w:sz w:val="18"/>
          <w:szCs w:val="18"/>
        </w:rPr>
        <w:t xml:space="preserve"> 126/2021</w:t>
      </w:r>
    </w:p>
  </w:footnote>
  <w:footnote w:id="28">
    <w:p w:rsidR="00AE4ACB" w:rsidRPr="00F90A93" w:rsidRDefault="00AE4ACB">
      <w:pPr>
        <w:pStyle w:val="FootnoteText"/>
        <w:rPr>
          <w:rFonts w:ascii="Times New Roman" w:hAnsi="Times New Roman"/>
          <w:sz w:val="18"/>
          <w:szCs w:val="18"/>
          <w:lang w:val="sr-Cyrl-RS"/>
        </w:rPr>
      </w:pPr>
      <w:r w:rsidRPr="00F90A93">
        <w:rPr>
          <w:rStyle w:val="FootnoteReference"/>
          <w:rFonts w:ascii="Times New Roman" w:hAnsi="Times New Roman"/>
          <w:sz w:val="18"/>
          <w:szCs w:val="18"/>
        </w:rPr>
        <w:footnoteRef/>
      </w:r>
      <w:r w:rsidRPr="00F90A93">
        <w:rPr>
          <w:rFonts w:ascii="Times New Roman" w:hAnsi="Times New Roman"/>
          <w:sz w:val="18"/>
          <w:szCs w:val="18"/>
        </w:rPr>
        <w:t xml:space="preserve"> „</w:t>
      </w:r>
      <w:r w:rsidRPr="00F90A93">
        <w:rPr>
          <w:rFonts w:ascii="Times New Roman" w:hAnsi="Times New Roman"/>
          <w:sz w:val="18"/>
          <w:szCs w:val="18"/>
          <w:lang w:val="sr-Cyrl-RS"/>
        </w:rPr>
        <w:t>Службени гласник РСˮ, број</w:t>
      </w:r>
      <w:r w:rsidRPr="00F90A93">
        <w:rPr>
          <w:rFonts w:ascii="Times New Roman" w:hAnsi="Times New Roman"/>
          <w:sz w:val="18"/>
          <w:szCs w:val="18"/>
        </w:rPr>
        <w:t xml:space="preserve"> 12/202</w:t>
      </w:r>
      <w:r w:rsidRPr="00F90A93">
        <w:rPr>
          <w:rFonts w:ascii="Times New Roman" w:hAnsi="Times New Roman"/>
          <w:sz w:val="18"/>
          <w:szCs w:val="18"/>
          <w:lang w:val="sr-Cyrl-RS"/>
        </w:rPr>
        <w:t>2</w:t>
      </w:r>
    </w:p>
  </w:footnote>
  <w:footnote w:id="29">
    <w:p w:rsidR="00AE4ACB" w:rsidRPr="006C287E" w:rsidRDefault="00AE4ACB">
      <w:pPr>
        <w:pStyle w:val="FootnoteText"/>
        <w:rPr>
          <w:lang w:val="sr-Cyrl-RS"/>
        </w:rPr>
      </w:pPr>
      <w:r w:rsidRPr="00F90A93">
        <w:rPr>
          <w:rStyle w:val="FootnoteReference"/>
          <w:rFonts w:ascii="Times New Roman" w:hAnsi="Times New Roman"/>
          <w:sz w:val="18"/>
          <w:szCs w:val="18"/>
        </w:rPr>
        <w:footnoteRef/>
      </w:r>
      <w:r w:rsidRPr="00F90A93">
        <w:rPr>
          <w:rFonts w:ascii="Times New Roman" w:hAnsi="Times New Roman"/>
          <w:sz w:val="18"/>
          <w:szCs w:val="18"/>
        </w:rPr>
        <w:t xml:space="preserve"> </w:t>
      </w:r>
      <w:r w:rsidRPr="00F90A93">
        <w:rPr>
          <w:rFonts w:ascii="Times New Roman" w:hAnsi="Times New Roman"/>
          <w:sz w:val="18"/>
          <w:szCs w:val="18"/>
          <w:lang w:val="sr-Cyrl-RS"/>
        </w:rPr>
        <w:t>„Службени гласник РСˮ, број 23/2022</w:t>
      </w:r>
    </w:p>
  </w:footnote>
  <w:footnote w:id="30">
    <w:p w:rsidR="00AE4ACB" w:rsidRPr="0042418C" w:rsidRDefault="00AE4ACB">
      <w:pPr>
        <w:pStyle w:val="FootnoteText"/>
        <w:rPr>
          <w:rFonts w:ascii="Times New Roman" w:hAnsi="Times New Roman"/>
          <w:sz w:val="18"/>
          <w:szCs w:val="18"/>
          <w:lang w:val="sr-Cyrl-RS"/>
        </w:rPr>
      </w:pPr>
      <w:r w:rsidRPr="0042418C">
        <w:rPr>
          <w:rStyle w:val="FootnoteReference"/>
          <w:rFonts w:ascii="Times New Roman" w:hAnsi="Times New Roman"/>
          <w:sz w:val="18"/>
          <w:szCs w:val="18"/>
        </w:rPr>
        <w:footnoteRef/>
      </w:r>
      <w:hyperlink r:id="rId13" w:history="1">
        <w:r w:rsidRPr="00D82AA4">
          <w:rPr>
            <w:rStyle w:val="Hyperlink"/>
            <w:rFonts w:ascii="Times New Roman" w:hAnsi="Times New Roman"/>
            <w:sz w:val="18"/>
            <w:szCs w:val="18"/>
          </w:rPr>
          <w:t>https://socijalnoukljucivanje.gov.rs/wp-content/uploads/2020/04/Dostupnost_usluga_i_mera_podske_za_decu_romske_nacionalnosti_na_lokalnom_nivou.pdf</w:t>
        </w:r>
      </w:hyperlink>
      <w:r>
        <w:rPr>
          <w:rFonts w:ascii="Times New Roman" w:hAnsi="Times New Roman"/>
          <w:sz w:val="18"/>
          <w:szCs w:val="18"/>
          <w:lang w:val="sr-Cyrl-RS"/>
        </w:rPr>
        <w:t xml:space="preserve"> </w:t>
      </w:r>
    </w:p>
  </w:footnote>
  <w:footnote w:id="31">
    <w:p w:rsidR="00AE4ACB" w:rsidRPr="001A5B76" w:rsidRDefault="00AE4ACB" w:rsidP="006904C2">
      <w:pPr>
        <w:pStyle w:val="FootnoteText"/>
        <w:rPr>
          <w:rFonts w:ascii="Times New Roman" w:hAnsi="Times New Roman"/>
          <w:sz w:val="18"/>
          <w:szCs w:val="18"/>
        </w:rPr>
      </w:pPr>
      <w:r w:rsidRPr="001A5B76">
        <w:rPr>
          <w:rStyle w:val="FootnoteReference"/>
          <w:rFonts w:ascii="Times New Roman" w:hAnsi="Times New Roman"/>
          <w:sz w:val="18"/>
          <w:szCs w:val="18"/>
        </w:rPr>
        <w:footnoteRef/>
      </w:r>
      <w:r w:rsidRPr="001A5B76">
        <w:rPr>
          <w:rFonts w:ascii="Times New Roman" w:hAnsi="Times New Roman"/>
          <w:sz w:val="18"/>
          <w:szCs w:val="18"/>
        </w:rPr>
        <w:t xml:space="preserve"> </w:t>
      </w:r>
      <w:hyperlink r:id="rId14" w:history="1">
        <w:r w:rsidRPr="001A5B76">
          <w:rPr>
            <w:rStyle w:val="Hyperlink"/>
            <w:rFonts w:ascii="Times New Roman" w:hAnsi="Times New Roman"/>
            <w:sz w:val="18"/>
            <w:szCs w:val="18"/>
          </w:rPr>
          <w:t>http://www.inkluzijaroma.stat.gov.rs</w:t>
        </w:r>
      </w:hyperlink>
      <w:r w:rsidRPr="001A5B76">
        <w:rPr>
          <w:rFonts w:ascii="Times New Roman" w:hAnsi="Times New Roman"/>
          <w:sz w:val="18"/>
          <w:szCs w:val="18"/>
        </w:rPr>
        <w:t xml:space="preserve"> и </w:t>
      </w:r>
      <w:hyperlink r:id="rId15" w:history="1">
        <w:r w:rsidRPr="001A5B76">
          <w:rPr>
            <w:rStyle w:val="Hyperlink"/>
            <w:rFonts w:ascii="Times New Roman" w:hAnsi="Times New Roman"/>
            <w:sz w:val="18"/>
            <w:szCs w:val="18"/>
          </w:rPr>
          <w:t>http://socijalnoukljucivanje.gov.rs</w:t>
        </w:r>
      </w:hyperlink>
      <w:r w:rsidRPr="001A5B76">
        <w:rPr>
          <w:rFonts w:ascii="Times New Roman" w:hAnsi="Times New Roman"/>
          <w:sz w:val="18"/>
          <w:szCs w:val="18"/>
        </w:rPr>
        <w:t xml:space="preserve"> </w:t>
      </w:r>
    </w:p>
  </w:footnote>
  <w:footnote w:id="32">
    <w:p w:rsidR="00AE4ACB" w:rsidRPr="001A5B76" w:rsidRDefault="00AE4ACB">
      <w:pPr>
        <w:pStyle w:val="FootnoteText"/>
        <w:rPr>
          <w:lang w:val="sr-Cyrl-RS"/>
        </w:rPr>
      </w:pPr>
      <w:r w:rsidRPr="001A5B76">
        <w:rPr>
          <w:rStyle w:val="FootnoteReference"/>
          <w:rFonts w:ascii="Times New Roman" w:hAnsi="Times New Roman"/>
          <w:sz w:val="18"/>
          <w:szCs w:val="18"/>
        </w:rPr>
        <w:footnoteRef/>
      </w:r>
      <w:r w:rsidRPr="001A5B76">
        <w:rPr>
          <w:rFonts w:ascii="Times New Roman" w:hAnsi="Times New Roman"/>
          <w:sz w:val="18"/>
          <w:szCs w:val="18"/>
        </w:rPr>
        <w:t xml:space="preserve"> </w:t>
      </w:r>
      <w:hyperlink r:id="rId16" w:history="1">
        <w:r w:rsidRPr="001A5B76">
          <w:rPr>
            <w:rStyle w:val="Hyperlink"/>
            <w:rFonts w:ascii="Times New Roman" w:hAnsi="Times New Roman"/>
            <w:sz w:val="18"/>
            <w:szCs w:val="18"/>
          </w:rPr>
          <w:t>https://www.ukljucise.org/publikacije</w:t>
        </w:r>
      </w:hyperlink>
      <w:r>
        <w:rPr>
          <w:lang w:val="sr-Cyrl-RS"/>
        </w:rPr>
        <w:t xml:space="preserve"> </w:t>
      </w:r>
    </w:p>
  </w:footnote>
  <w:footnote w:id="33">
    <w:p w:rsidR="00AE4ACB" w:rsidRPr="00936267" w:rsidRDefault="00AE4ACB">
      <w:pPr>
        <w:pStyle w:val="FootnoteText"/>
        <w:rPr>
          <w:rFonts w:ascii="Times New Roman" w:hAnsi="Times New Roman"/>
          <w:sz w:val="18"/>
          <w:szCs w:val="18"/>
          <w:lang w:val="sr-Cyrl-RS"/>
        </w:rPr>
      </w:pPr>
      <w:r w:rsidRPr="00936267">
        <w:rPr>
          <w:rStyle w:val="FootnoteReference"/>
          <w:rFonts w:ascii="Times New Roman" w:hAnsi="Times New Roman"/>
          <w:sz w:val="18"/>
          <w:szCs w:val="18"/>
        </w:rPr>
        <w:footnoteRef/>
      </w:r>
      <w:r w:rsidRPr="00936267">
        <w:rPr>
          <w:rFonts w:ascii="Times New Roman" w:hAnsi="Times New Roman"/>
          <w:sz w:val="18"/>
          <w:szCs w:val="18"/>
        </w:rPr>
        <w:t xml:space="preserve"> </w:t>
      </w:r>
      <w:hyperlink r:id="rId17" w:history="1">
        <w:r w:rsidRPr="00936267">
          <w:rPr>
            <w:rStyle w:val="Hyperlink"/>
            <w:rFonts w:ascii="Times New Roman" w:hAnsi="Times New Roman"/>
            <w:sz w:val="18"/>
            <w:szCs w:val="18"/>
          </w:rPr>
          <w:t>https://romaworld.rs/</w:t>
        </w:r>
      </w:hyperlink>
      <w:r w:rsidRPr="00936267">
        <w:rPr>
          <w:rFonts w:ascii="Times New Roman" w:hAnsi="Times New Roman"/>
          <w:sz w:val="18"/>
          <w:szCs w:val="18"/>
          <w:lang w:val="sr-Cyrl-RS"/>
        </w:rPr>
        <w:t xml:space="preserve"> </w:t>
      </w:r>
    </w:p>
  </w:footnote>
  <w:footnote w:id="34">
    <w:p w:rsidR="00AE4ACB" w:rsidRPr="00F90A93" w:rsidRDefault="00AE4ACB">
      <w:pPr>
        <w:pStyle w:val="FootnoteText"/>
        <w:rPr>
          <w:rFonts w:ascii="Times New Roman" w:hAnsi="Times New Roman"/>
          <w:sz w:val="18"/>
          <w:szCs w:val="18"/>
          <w:lang w:val="sr-Cyrl-RS"/>
        </w:rPr>
      </w:pPr>
      <w:r w:rsidRPr="00F90A93">
        <w:rPr>
          <w:rStyle w:val="FootnoteReference"/>
          <w:rFonts w:ascii="Times New Roman" w:hAnsi="Times New Roman"/>
          <w:sz w:val="18"/>
          <w:szCs w:val="18"/>
        </w:rPr>
        <w:footnoteRef/>
      </w:r>
      <w:r w:rsidRPr="00F90A93">
        <w:rPr>
          <w:rFonts w:ascii="Times New Roman" w:hAnsi="Times New Roman"/>
          <w:sz w:val="18"/>
          <w:szCs w:val="18"/>
        </w:rPr>
        <w:t xml:space="preserve"> „Службени гласник РСˮ, број </w:t>
      </w:r>
      <w:r>
        <w:rPr>
          <w:rFonts w:ascii="Times New Roman" w:hAnsi="Times New Roman"/>
          <w:sz w:val="18"/>
          <w:szCs w:val="18"/>
          <w:lang w:val="sr-Cyrl-RS"/>
        </w:rPr>
        <w:t>25</w:t>
      </w:r>
      <w:r w:rsidRPr="00F90A93">
        <w:rPr>
          <w:rFonts w:ascii="Times New Roman" w:hAnsi="Times New Roman"/>
          <w:sz w:val="18"/>
          <w:szCs w:val="18"/>
        </w:rPr>
        <w:t>/201</w:t>
      </w:r>
      <w:r>
        <w:rPr>
          <w:rFonts w:ascii="Times New Roman" w:hAnsi="Times New Roman"/>
          <w:sz w:val="18"/>
          <w:szCs w:val="18"/>
          <w:lang w:val="sr-Cyrl-RS"/>
        </w:rPr>
        <w:t>9</w:t>
      </w:r>
    </w:p>
  </w:footnote>
  <w:footnote w:id="35">
    <w:p w:rsidR="00AE4ACB" w:rsidRPr="00CB58CB" w:rsidRDefault="00AE4ACB">
      <w:pPr>
        <w:pStyle w:val="FootnoteText"/>
        <w:rPr>
          <w:rFonts w:ascii="Times New Roman" w:hAnsi="Times New Roman"/>
          <w:sz w:val="18"/>
          <w:szCs w:val="18"/>
          <w:lang w:val="sr-Cyrl-RS"/>
        </w:rPr>
      </w:pPr>
      <w:r w:rsidRPr="000279AD">
        <w:rPr>
          <w:rStyle w:val="FootnoteReference"/>
          <w:rFonts w:ascii="Times New Roman" w:hAnsi="Times New Roman"/>
          <w:sz w:val="18"/>
          <w:szCs w:val="18"/>
        </w:rPr>
        <w:footnoteRef/>
      </w:r>
      <w:r w:rsidRPr="000279AD">
        <w:rPr>
          <w:rFonts w:ascii="Times New Roman" w:hAnsi="Times New Roman"/>
          <w:sz w:val="18"/>
          <w:szCs w:val="18"/>
        </w:rPr>
        <w:t xml:space="preserve"> </w:t>
      </w:r>
      <w:r w:rsidRPr="00CB58CB">
        <w:rPr>
          <w:rFonts w:ascii="Times New Roman" w:hAnsi="Times New Roman"/>
          <w:sz w:val="18"/>
          <w:szCs w:val="18"/>
          <w:lang w:val="sr-Cyrl-RS"/>
        </w:rPr>
        <w:t>Препорук</w:t>
      </w:r>
      <w:r>
        <w:rPr>
          <w:rFonts w:ascii="Times New Roman" w:hAnsi="Times New Roman"/>
          <w:sz w:val="18"/>
          <w:szCs w:val="18"/>
          <w:lang w:val="sr-Cyrl-RS"/>
        </w:rPr>
        <w:t>а</w:t>
      </w:r>
      <w:r w:rsidRPr="00CB58CB">
        <w:rPr>
          <w:rFonts w:ascii="Times New Roman" w:hAnsi="Times New Roman"/>
          <w:sz w:val="18"/>
          <w:szCs w:val="18"/>
          <w:lang w:val="sr-Cyrl-RS"/>
        </w:rPr>
        <w:t xml:space="preserve"> Комитета министара о примени Европске повеље о регионалним или мањинским језицима од стране Републике Србије усвојен</w:t>
      </w:r>
      <w:r>
        <w:rPr>
          <w:rFonts w:ascii="Times New Roman" w:hAnsi="Times New Roman"/>
          <w:sz w:val="18"/>
          <w:szCs w:val="18"/>
          <w:lang w:val="sr-Cyrl-RS"/>
        </w:rPr>
        <w:t>а</w:t>
      </w:r>
      <w:r w:rsidRPr="00CB58CB">
        <w:rPr>
          <w:rFonts w:ascii="Times New Roman" w:hAnsi="Times New Roman"/>
          <w:sz w:val="18"/>
          <w:szCs w:val="18"/>
          <w:lang w:val="sr-Cyrl-RS"/>
        </w:rPr>
        <w:t xml:space="preserve"> 4. априла 2019. године, Четврто мишљењ</w:t>
      </w:r>
      <w:r>
        <w:rPr>
          <w:rFonts w:ascii="Times New Roman" w:hAnsi="Times New Roman"/>
          <w:sz w:val="18"/>
          <w:szCs w:val="18"/>
          <w:lang w:val="sr-Cyrl-RS"/>
        </w:rPr>
        <w:t>е</w:t>
      </w:r>
      <w:r w:rsidRPr="00CB58CB">
        <w:rPr>
          <w:rFonts w:ascii="Times New Roman" w:hAnsi="Times New Roman"/>
          <w:sz w:val="18"/>
          <w:szCs w:val="18"/>
          <w:lang w:val="sr-Cyrl-RS"/>
        </w:rPr>
        <w:t xml:space="preserve"> Саветодавног комитета о Србији усвојено 26. jуна 2019. године и Четврт</w:t>
      </w:r>
      <w:r>
        <w:rPr>
          <w:rFonts w:ascii="Times New Roman" w:hAnsi="Times New Roman"/>
          <w:sz w:val="18"/>
          <w:szCs w:val="18"/>
          <w:lang w:val="sr-Cyrl-RS"/>
        </w:rPr>
        <w:t>и</w:t>
      </w:r>
      <w:r w:rsidRPr="00CB58CB">
        <w:rPr>
          <w:rFonts w:ascii="Times New Roman" w:hAnsi="Times New Roman"/>
          <w:sz w:val="18"/>
          <w:szCs w:val="18"/>
          <w:lang w:val="sr-Cyrl-RS"/>
        </w:rPr>
        <w:t xml:space="preserve"> извештај Комитета експерата у вези са Србијом</w:t>
      </w:r>
      <w:r>
        <w:rPr>
          <w:rFonts w:ascii="Times New Roman" w:hAnsi="Times New Roman"/>
          <w:sz w:val="18"/>
          <w:szCs w:val="18"/>
          <w:lang w:val="sr-Cyrl-RS"/>
        </w:rPr>
        <w:t>,</w:t>
      </w:r>
      <w:r w:rsidRPr="00CB58CB">
        <w:rPr>
          <w:rFonts w:ascii="Times New Roman" w:hAnsi="Times New Roman"/>
          <w:sz w:val="18"/>
          <w:szCs w:val="18"/>
          <w:lang w:val="sr-Cyrl-RS"/>
        </w:rPr>
        <w:t xml:space="preserve"> усвојен 28. новебра 2018. године</w:t>
      </w:r>
      <w:r>
        <w:rPr>
          <w:rFonts w:ascii="Times New Roman" w:hAnsi="Times New Roman"/>
          <w:sz w:val="18"/>
          <w:szCs w:val="18"/>
          <w:lang w:val="sr-Cyrl-RS"/>
        </w:rPr>
        <w:t>.</w:t>
      </w:r>
    </w:p>
  </w:footnote>
  <w:footnote w:id="36">
    <w:p w:rsidR="00AE4ACB" w:rsidRPr="00375C0E" w:rsidRDefault="00AE4ACB">
      <w:pPr>
        <w:pStyle w:val="FootnoteText"/>
        <w:rPr>
          <w:rFonts w:ascii="Times New Roman" w:hAnsi="Times New Roman"/>
          <w:sz w:val="18"/>
          <w:szCs w:val="18"/>
          <w:lang w:val="sr-Cyrl-RS"/>
        </w:rPr>
      </w:pPr>
      <w:r w:rsidRPr="00375C0E">
        <w:rPr>
          <w:rStyle w:val="FootnoteReference"/>
          <w:rFonts w:ascii="Times New Roman" w:hAnsi="Times New Roman"/>
          <w:sz w:val="18"/>
          <w:szCs w:val="18"/>
        </w:rPr>
        <w:footnoteRef/>
      </w:r>
      <w:r w:rsidRPr="00375C0E">
        <w:rPr>
          <w:rFonts w:ascii="Times New Roman" w:hAnsi="Times New Roman"/>
          <w:sz w:val="18"/>
          <w:szCs w:val="18"/>
        </w:rPr>
        <w:t xml:space="preserve"> </w:t>
      </w:r>
      <w:r>
        <w:rPr>
          <w:rFonts w:ascii="Times New Roman" w:hAnsi="Times New Roman"/>
          <w:sz w:val="18"/>
          <w:szCs w:val="18"/>
          <w:lang w:val="sr-Cyrl-RS"/>
        </w:rPr>
        <w:t>„</w:t>
      </w:r>
      <w:r w:rsidRPr="00375C0E">
        <w:rPr>
          <w:rFonts w:ascii="Times New Roman" w:hAnsi="Times New Roman"/>
          <w:sz w:val="18"/>
          <w:szCs w:val="18"/>
          <w:lang w:val="sr-Cyrl-RS"/>
        </w:rPr>
        <w:t>Сл</w:t>
      </w:r>
      <w:r>
        <w:rPr>
          <w:rFonts w:ascii="Times New Roman" w:hAnsi="Times New Roman"/>
          <w:sz w:val="18"/>
          <w:szCs w:val="18"/>
          <w:lang w:val="sr-Cyrl-RS"/>
        </w:rPr>
        <w:t>ужбени</w:t>
      </w:r>
      <w:r w:rsidRPr="00375C0E">
        <w:rPr>
          <w:rFonts w:ascii="Times New Roman" w:hAnsi="Times New Roman"/>
          <w:sz w:val="18"/>
          <w:szCs w:val="18"/>
          <w:lang w:val="sr-Cyrl-RS"/>
        </w:rPr>
        <w:t xml:space="preserve"> гласник РС</w:t>
      </w:r>
      <w:r w:rsidRPr="009D6E0F">
        <w:rPr>
          <w:rFonts w:ascii="Times New Roman" w:hAnsi="Times New Roman"/>
          <w:sz w:val="18"/>
          <w:szCs w:val="18"/>
          <w:lang w:val="sr-Cyrl-RS"/>
        </w:rPr>
        <w:t>ˮ</w:t>
      </w:r>
      <w:r w:rsidRPr="00375C0E">
        <w:rPr>
          <w:rFonts w:ascii="Times New Roman" w:hAnsi="Times New Roman"/>
          <w:sz w:val="18"/>
          <w:szCs w:val="18"/>
          <w:lang w:val="sr-Cyrl-RS"/>
        </w:rPr>
        <w:t>, бр. 129/2007, 83/2014 - др. закон, 101/2016 - др. закон, 47/2018 и 111/2021 - др. закон</w:t>
      </w:r>
    </w:p>
  </w:footnote>
  <w:footnote w:id="37">
    <w:p w:rsidR="00AE4ACB" w:rsidRPr="004C539D" w:rsidRDefault="00AE4ACB">
      <w:pPr>
        <w:pStyle w:val="FootnoteText"/>
        <w:rPr>
          <w:rFonts w:ascii="Times New Roman" w:hAnsi="Times New Roman"/>
          <w:sz w:val="18"/>
          <w:szCs w:val="18"/>
          <w:lang w:val="sr-Cyrl-RS"/>
        </w:rPr>
      </w:pPr>
      <w:r w:rsidRPr="004C539D">
        <w:rPr>
          <w:rStyle w:val="FootnoteReference"/>
          <w:rFonts w:ascii="Times New Roman" w:hAnsi="Times New Roman"/>
          <w:sz w:val="18"/>
          <w:szCs w:val="18"/>
        </w:rPr>
        <w:footnoteRef/>
      </w:r>
      <w:r w:rsidRPr="004C539D">
        <w:rPr>
          <w:rFonts w:ascii="Times New Roman" w:hAnsi="Times New Roman"/>
          <w:sz w:val="18"/>
          <w:szCs w:val="18"/>
        </w:rPr>
        <w:t xml:space="preserve"> </w:t>
      </w:r>
      <w:hyperlink r:id="rId18" w:history="1">
        <w:r w:rsidRPr="004C539D">
          <w:rPr>
            <w:rStyle w:val="Hyperlink"/>
            <w:rFonts w:ascii="Times New Roman" w:hAnsi="Times New Roman"/>
            <w:sz w:val="18"/>
            <w:szCs w:val="18"/>
          </w:rPr>
          <w:t>http://www.skgo.org/publications/download/506</w:t>
        </w:r>
      </w:hyperlink>
      <w:r w:rsidRPr="004C539D">
        <w:rPr>
          <w:rFonts w:ascii="Times New Roman" w:hAnsi="Times New Roman"/>
          <w:sz w:val="18"/>
          <w:szCs w:val="18"/>
          <w:lang w:val="sr-Cyrl-RS"/>
        </w:rPr>
        <w:t xml:space="preserve"> </w:t>
      </w:r>
    </w:p>
  </w:footnote>
  <w:footnote w:id="38">
    <w:p w:rsidR="00AE4ACB" w:rsidRPr="006275DE" w:rsidRDefault="00AE4ACB">
      <w:pPr>
        <w:pStyle w:val="FootnoteText"/>
        <w:rPr>
          <w:rFonts w:ascii="Times New Roman" w:hAnsi="Times New Roman"/>
          <w:sz w:val="18"/>
          <w:szCs w:val="18"/>
          <w:lang w:val="sr-Cyrl-RS"/>
        </w:rPr>
      </w:pPr>
      <w:r w:rsidRPr="006275DE">
        <w:rPr>
          <w:rStyle w:val="FootnoteReference"/>
          <w:rFonts w:ascii="Times New Roman" w:hAnsi="Times New Roman"/>
          <w:sz w:val="18"/>
          <w:szCs w:val="18"/>
        </w:rPr>
        <w:footnoteRef/>
      </w:r>
      <w:r w:rsidRPr="006275DE">
        <w:rPr>
          <w:rFonts w:ascii="Times New Roman" w:hAnsi="Times New Roman"/>
          <w:sz w:val="18"/>
          <w:szCs w:val="18"/>
        </w:rPr>
        <w:t xml:space="preserve"> </w:t>
      </w:r>
      <w:r w:rsidRPr="006275DE">
        <w:rPr>
          <w:rFonts w:ascii="Times New Roman" w:hAnsi="Times New Roman"/>
          <w:sz w:val="18"/>
          <w:szCs w:val="18"/>
          <w:lang w:val="sr-Cyrl-RS"/>
        </w:rPr>
        <w:t xml:space="preserve">Сва истраживања Повереника доступна су на званичној интернет презентацији: </w:t>
      </w:r>
      <w:hyperlink r:id="rId19" w:history="1">
        <w:r w:rsidRPr="006275DE">
          <w:rPr>
            <w:rStyle w:val="Hyperlink"/>
            <w:rFonts w:ascii="Times New Roman" w:hAnsi="Times New Roman"/>
            <w:sz w:val="18"/>
            <w:szCs w:val="18"/>
            <w:lang w:val="sr-Cyrl-RS"/>
          </w:rPr>
          <w:t>www.ravnopravnost.gov.rs</w:t>
        </w:r>
      </w:hyperlink>
      <w:r>
        <w:rPr>
          <w:rFonts w:ascii="Times New Roman" w:hAnsi="Times New Roman"/>
          <w:sz w:val="18"/>
          <w:szCs w:val="18"/>
          <w:lang w:val="sr-Cyrl-RS"/>
        </w:rPr>
        <w:t>.</w:t>
      </w:r>
      <w:r w:rsidRPr="006275DE">
        <w:rPr>
          <w:rFonts w:ascii="Times New Roman" w:hAnsi="Times New Roman"/>
          <w:sz w:val="18"/>
          <w:szCs w:val="18"/>
          <w:lang w:val="sr-Cyrl-RS"/>
        </w:rPr>
        <w:t xml:space="preserve"> </w:t>
      </w:r>
    </w:p>
  </w:footnote>
  <w:footnote w:id="39">
    <w:p w:rsidR="00AE4ACB" w:rsidRPr="00EC4EEF" w:rsidRDefault="00AE4ACB" w:rsidP="00E834AE">
      <w:pPr>
        <w:pStyle w:val="FootnoteText"/>
        <w:rPr>
          <w:rFonts w:ascii="Times New Roman" w:hAnsi="Times New Roman"/>
          <w:sz w:val="18"/>
          <w:szCs w:val="18"/>
          <w:lang w:val="sr-Cyrl-RS"/>
        </w:rPr>
      </w:pPr>
      <w:r w:rsidRPr="00EC4EEF">
        <w:rPr>
          <w:rStyle w:val="FootnoteReference"/>
          <w:rFonts w:ascii="Times New Roman" w:hAnsi="Times New Roman"/>
          <w:sz w:val="18"/>
          <w:szCs w:val="18"/>
        </w:rPr>
        <w:footnoteRef/>
      </w:r>
      <w:r w:rsidRPr="00EC4EEF">
        <w:rPr>
          <w:rFonts w:ascii="Times New Roman" w:hAnsi="Times New Roman"/>
          <w:sz w:val="18"/>
          <w:szCs w:val="18"/>
        </w:rPr>
        <w:t xml:space="preserve"> </w:t>
      </w:r>
      <w:hyperlink r:id="rId20" w:history="1">
        <w:r w:rsidRPr="00EC4EEF">
          <w:rPr>
            <w:rStyle w:val="Hyperlink"/>
            <w:rFonts w:ascii="Times New Roman" w:hAnsi="Times New Roman"/>
            <w:sz w:val="18"/>
            <w:szCs w:val="18"/>
          </w:rPr>
          <w:t>https://mpn.gov.rs/wp-content/uploads/2019/03/prirucnik-primera-dobre-prakseDemokratska-kultura-u-skolama.pdf</w:t>
        </w:r>
      </w:hyperlink>
      <w:r w:rsidRPr="00EC4EEF">
        <w:rPr>
          <w:rFonts w:ascii="Times New Roman" w:hAnsi="Times New Roman"/>
          <w:sz w:val="18"/>
          <w:szCs w:val="18"/>
          <w:lang w:val="sr-Cyrl-RS"/>
        </w:rPr>
        <w:t xml:space="preserve"> </w:t>
      </w:r>
    </w:p>
  </w:footnote>
  <w:footnote w:id="40">
    <w:p w:rsidR="00AE4ACB" w:rsidRPr="00675357" w:rsidRDefault="00AE4ACB">
      <w:pPr>
        <w:pStyle w:val="FootnoteText"/>
        <w:rPr>
          <w:rFonts w:ascii="Times New Roman" w:hAnsi="Times New Roman"/>
          <w:sz w:val="18"/>
          <w:szCs w:val="18"/>
          <w:lang w:val="sr-Cyrl-RS"/>
        </w:rPr>
      </w:pPr>
      <w:r w:rsidRPr="00675357">
        <w:rPr>
          <w:rStyle w:val="FootnoteReference"/>
          <w:rFonts w:ascii="Times New Roman" w:hAnsi="Times New Roman"/>
          <w:sz w:val="18"/>
          <w:szCs w:val="18"/>
        </w:rPr>
        <w:footnoteRef/>
      </w:r>
      <w:r w:rsidRPr="00675357">
        <w:rPr>
          <w:rFonts w:ascii="Times New Roman" w:hAnsi="Times New Roman"/>
          <w:sz w:val="18"/>
          <w:szCs w:val="18"/>
        </w:rPr>
        <w:t xml:space="preserve"> „Службени гласник РСˮ, бр.</w:t>
      </w:r>
      <w:r>
        <w:rPr>
          <w:rFonts w:ascii="Times New Roman" w:hAnsi="Times New Roman"/>
          <w:sz w:val="18"/>
          <w:szCs w:val="18"/>
          <w:lang w:val="sr-Cyrl-RS"/>
        </w:rPr>
        <w:t xml:space="preserve"> </w:t>
      </w:r>
      <w:r w:rsidRPr="00675357">
        <w:rPr>
          <w:rFonts w:ascii="Times New Roman" w:hAnsi="Times New Roman"/>
          <w:sz w:val="18"/>
          <w:szCs w:val="18"/>
          <w:lang w:val="sr-Cyrl-RS"/>
        </w:rPr>
        <w:t xml:space="preserve">88/2017, 27/2018 - </w:t>
      </w:r>
      <w:r>
        <w:rPr>
          <w:rFonts w:ascii="Times New Roman" w:hAnsi="Times New Roman"/>
          <w:sz w:val="18"/>
          <w:szCs w:val="18"/>
          <w:lang w:val="sr-Cyrl-RS"/>
        </w:rPr>
        <w:t>др. закон</w:t>
      </w:r>
      <w:r w:rsidRPr="00675357">
        <w:rPr>
          <w:rFonts w:ascii="Times New Roman" w:hAnsi="Times New Roman"/>
          <w:sz w:val="18"/>
          <w:szCs w:val="18"/>
          <w:lang w:val="sr-Cyrl-RS"/>
        </w:rPr>
        <w:t xml:space="preserve">, 10/2019, 27/2018 - др. закон, 6/2020 </w:t>
      </w:r>
      <w:r>
        <w:rPr>
          <w:rFonts w:ascii="Times New Roman" w:hAnsi="Times New Roman"/>
          <w:sz w:val="18"/>
          <w:szCs w:val="18"/>
          <w:lang w:val="sr-Cyrl-RS"/>
        </w:rPr>
        <w:t>и</w:t>
      </w:r>
      <w:r w:rsidRPr="00675357">
        <w:rPr>
          <w:rFonts w:ascii="Times New Roman" w:hAnsi="Times New Roman"/>
          <w:sz w:val="18"/>
          <w:szCs w:val="18"/>
          <w:lang w:val="sr-Cyrl-RS"/>
        </w:rPr>
        <w:t xml:space="preserve"> 129/2021</w:t>
      </w:r>
    </w:p>
  </w:footnote>
  <w:footnote w:id="41">
    <w:p w:rsidR="00AE4ACB" w:rsidRPr="00F76766" w:rsidRDefault="00AE4ACB" w:rsidP="00915E1B">
      <w:pPr>
        <w:pStyle w:val="FootnoteText"/>
        <w:rPr>
          <w:rFonts w:ascii="Times New Roman" w:hAnsi="Times New Roman"/>
          <w:sz w:val="18"/>
          <w:szCs w:val="18"/>
          <w:lang w:val="sr-Cyrl-RS"/>
        </w:rPr>
      </w:pPr>
      <w:r w:rsidRPr="00F76766">
        <w:rPr>
          <w:rStyle w:val="FootnoteReference"/>
          <w:rFonts w:ascii="Times New Roman" w:hAnsi="Times New Roman"/>
          <w:sz w:val="18"/>
          <w:szCs w:val="18"/>
        </w:rPr>
        <w:footnoteRef/>
      </w:r>
      <w:r w:rsidRPr="00F76766">
        <w:rPr>
          <w:rFonts w:ascii="Times New Roman" w:hAnsi="Times New Roman"/>
          <w:sz w:val="18"/>
          <w:szCs w:val="18"/>
        </w:rPr>
        <w:t xml:space="preserve"> </w:t>
      </w:r>
      <w:hyperlink r:id="rId21" w:history="1">
        <w:r w:rsidRPr="00F76766">
          <w:rPr>
            <w:rStyle w:val="Hyperlink"/>
            <w:rFonts w:ascii="Times New Roman" w:hAnsi="Times New Roman"/>
            <w:sz w:val="18"/>
            <w:szCs w:val="18"/>
          </w:rPr>
          <w:t>https://www.mpn.gov.rs/wp-content/uploads/2019/04/HF-33-Smernice-SRB-FINAL.pdf</w:t>
        </w:r>
      </w:hyperlink>
      <w:r w:rsidRPr="00F76766">
        <w:rPr>
          <w:rFonts w:ascii="Times New Roman" w:hAnsi="Times New Roman"/>
          <w:sz w:val="18"/>
          <w:szCs w:val="18"/>
          <w:lang w:val="sr-Cyrl-RS"/>
        </w:rPr>
        <w:t xml:space="preserve"> </w:t>
      </w:r>
    </w:p>
  </w:footnote>
  <w:footnote w:id="42">
    <w:p w:rsidR="00AE4ACB" w:rsidRPr="00AD5BFF" w:rsidRDefault="00AE4ACB">
      <w:pPr>
        <w:pStyle w:val="FootnoteText"/>
        <w:rPr>
          <w:rFonts w:ascii="Times New Roman" w:hAnsi="Times New Roman"/>
          <w:sz w:val="18"/>
          <w:szCs w:val="18"/>
          <w:lang w:val="sr-Cyrl-RS"/>
        </w:rPr>
      </w:pPr>
      <w:r w:rsidRPr="00AD5BFF">
        <w:rPr>
          <w:rStyle w:val="FootnoteReference"/>
          <w:rFonts w:ascii="Times New Roman" w:hAnsi="Times New Roman"/>
          <w:sz w:val="18"/>
          <w:szCs w:val="18"/>
        </w:rPr>
        <w:footnoteRef/>
      </w:r>
      <w:r w:rsidRPr="00AD5BFF">
        <w:rPr>
          <w:rFonts w:ascii="Times New Roman" w:hAnsi="Times New Roman"/>
          <w:sz w:val="18"/>
          <w:szCs w:val="18"/>
        </w:rPr>
        <w:t xml:space="preserve"> </w:t>
      </w:r>
      <w:r>
        <w:rPr>
          <w:rFonts w:ascii="Times New Roman" w:hAnsi="Times New Roman"/>
          <w:sz w:val="18"/>
          <w:szCs w:val="18"/>
          <w:lang w:val="sr-Cyrl-RS"/>
        </w:rPr>
        <w:t>„</w:t>
      </w:r>
      <w:r w:rsidRPr="00AD5BFF">
        <w:rPr>
          <w:rFonts w:ascii="Times New Roman" w:hAnsi="Times New Roman"/>
          <w:sz w:val="18"/>
          <w:szCs w:val="18"/>
        </w:rPr>
        <w:t>Сл</w:t>
      </w:r>
      <w:r>
        <w:rPr>
          <w:rFonts w:ascii="Times New Roman" w:hAnsi="Times New Roman"/>
          <w:sz w:val="18"/>
          <w:szCs w:val="18"/>
          <w:lang w:val="sr-Cyrl-RS"/>
        </w:rPr>
        <w:t>ужбени</w:t>
      </w:r>
      <w:r w:rsidRPr="00AD5BFF">
        <w:rPr>
          <w:rFonts w:ascii="Times New Roman" w:hAnsi="Times New Roman"/>
          <w:sz w:val="18"/>
          <w:szCs w:val="18"/>
        </w:rPr>
        <w:t xml:space="preserve"> гласник РС</w:t>
      </w:r>
      <w:r w:rsidRPr="00356178">
        <w:rPr>
          <w:rFonts w:ascii="Times New Roman" w:hAnsi="Times New Roman"/>
          <w:sz w:val="18"/>
          <w:szCs w:val="18"/>
          <w:lang w:val="sr-Cyrl-RS"/>
        </w:rPr>
        <w:t>ˮ</w:t>
      </w:r>
      <w:r>
        <w:rPr>
          <w:rFonts w:ascii="Times New Roman" w:hAnsi="Times New Roman"/>
          <w:sz w:val="18"/>
          <w:szCs w:val="18"/>
          <w:lang w:val="sr-Cyrl-RS"/>
        </w:rPr>
        <w:t>,</w:t>
      </w:r>
      <w:r w:rsidRPr="00AD5BFF">
        <w:rPr>
          <w:rFonts w:ascii="Times New Roman" w:hAnsi="Times New Roman"/>
          <w:sz w:val="18"/>
          <w:szCs w:val="18"/>
        </w:rPr>
        <w:t xml:space="preserve"> бр. 79/2005, 81/2005 - испр., 83/2005 - испр., 64/2007, 67/2007 - испр., 116/2008, 104/2009, 99/2014, 94/2017, 95/2018 и 157/2020</w:t>
      </w:r>
    </w:p>
  </w:footnote>
  <w:footnote w:id="43">
    <w:p w:rsidR="00AE4ACB" w:rsidRPr="00AF6934" w:rsidRDefault="00AE4ACB">
      <w:pPr>
        <w:pStyle w:val="FootnoteText"/>
        <w:rPr>
          <w:rFonts w:ascii="Times New Roman" w:hAnsi="Times New Roman"/>
          <w:sz w:val="18"/>
          <w:szCs w:val="18"/>
          <w:lang w:val="sr-Cyrl-RS"/>
        </w:rPr>
      </w:pPr>
      <w:r w:rsidRPr="00AF6934">
        <w:rPr>
          <w:rStyle w:val="FootnoteReference"/>
          <w:rFonts w:ascii="Times New Roman" w:hAnsi="Times New Roman"/>
          <w:sz w:val="18"/>
          <w:szCs w:val="18"/>
        </w:rPr>
        <w:footnoteRef/>
      </w:r>
      <w:r w:rsidRPr="00AF6934">
        <w:rPr>
          <w:rFonts w:ascii="Times New Roman" w:hAnsi="Times New Roman"/>
          <w:sz w:val="18"/>
          <w:szCs w:val="18"/>
        </w:rPr>
        <w:t xml:space="preserve"> </w:t>
      </w:r>
      <w:r w:rsidRPr="00AF6934">
        <w:rPr>
          <w:rFonts w:ascii="Times New Roman" w:hAnsi="Times New Roman"/>
          <w:sz w:val="18"/>
          <w:szCs w:val="18"/>
          <w:lang w:val="sr-Cyrl-RS"/>
        </w:rPr>
        <w:t>„</w:t>
      </w:r>
      <w:r w:rsidRPr="00AF6934">
        <w:rPr>
          <w:rFonts w:ascii="Times New Roman" w:hAnsi="Times New Roman"/>
          <w:sz w:val="18"/>
          <w:szCs w:val="18"/>
        </w:rPr>
        <w:t>Сл</w:t>
      </w:r>
      <w:r w:rsidRPr="00AF6934">
        <w:rPr>
          <w:rFonts w:ascii="Times New Roman" w:hAnsi="Times New Roman"/>
          <w:sz w:val="18"/>
          <w:szCs w:val="18"/>
          <w:lang w:val="sr-Cyrl-RS"/>
        </w:rPr>
        <w:t>ужбени</w:t>
      </w:r>
      <w:r w:rsidRPr="00AF6934">
        <w:rPr>
          <w:rFonts w:ascii="Times New Roman" w:hAnsi="Times New Roman"/>
          <w:sz w:val="18"/>
          <w:szCs w:val="18"/>
        </w:rPr>
        <w:t xml:space="preserve"> гласник РС</w:t>
      </w:r>
      <w:r w:rsidRPr="00AF6934">
        <w:rPr>
          <w:rFonts w:ascii="Times New Roman" w:hAnsi="Times New Roman"/>
          <w:sz w:val="18"/>
          <w:szCs w:val="18"/>
          <w:lang w:val="sr-Cyrl-RS"/>
        </w:rPr>
        <w:t>ˮ,</w:t>
      </w:r>
      <w:r w:rsidRPr="00AF6934">
        <w:rPr>
          <w:rFonts w:ascii="Times New Roman" w:hAnsi="Times New Roman"/>
          <w:sz w:val="18"/>
          <w:szCs w:val="18"/>
        </w:rPr>
        <w:t xml:space="preserve"> бр.</w:t>
      </w:r>
      <w:r w:rsidRPr="00AF6934">
        <w:rPr>
          <w:rFonts w:ascii="Times New Roman" w:hAnsi="Times New Roman"/>
          <w:sz w:val="18"/>
          <w:szCs w:val="18"/>
          <w:lang w:val="sr-Cyrl-RS"/>
        </w:rPr>
        <w:t xml:space="preserve"> 2/2019 и 67/2021</w:t>
      </w:r>
    </w:p>
  </w:footnote>
  <w:footnote w:id="44">
    <w:p w:rsidR="00AE4ACB" w:rsidRPr="00495DF3" w:rsidRDefault="00AE4ACB">
      <w:pPr>
        <w:pStyle w:val="FootnoteText"/>
        <w:rPr>
          <w:rFonts w:ascii="Times New Roman" w:hAnsi="Times New Roman"/>
          <w:sz w:val="18"/>
          <w:szCs w:val="18"/>
          <w:lang w:val="sr-Cyrl-RS"/>
        </w:rPr>
      </w:pPr>
      <w:r w:rsidRPr="00495DF3">
        <w:rPr>
          <w:rStyle w:val="FootnoteReference"/>
          <w:rFonts w:ascii="Times New Roman" w:hAnsi="Times New Roman"/>
          <w:sz w:val="18"/>
          <w:szCs w:val="18"/>
        </w:rPr>
        <w:footnoteRef/>
      </w:r>
      <w:r w:rsidRPr="00495DF3">
        <w:rPr>
          <w:rFonts w:ascii="Times New Roman" w:hAnsi="Times New Roman"/>
          <w:sz w:val="18"/>
          <w:szCs w:val="18"/>
        </w:rPr>
        <w:t xml:space="preserve"> </w:t>
      </w:r>
      <w:r w:rsidRPr="00495DF3">
        <w:rPr>
          <w:rFonts w:ascii="Times New Roman" w:hAnsi="Times New Roman"/>
          <w:sz w:val="18"/>
          <w:szCs w:val="18"/>
          <w:lang w:val="sr-Cyrl-RS"/>
        </w:rPr>
        <w:t>„</w:t>
      </w:r>
      <w:r w:rsidRPr="00495DF3">
        <w:rPr>
          <w:rFonts w:ascii="Times New Roman" w:hAnsi="Times New Roman"/>
          <w:sz w:val="18"/>
          <w:szCs w:val="18"/>
        </w:rPr>
        <w:t>Сл</w:t>
      </w:r>
      <w:r w:rsidRPr="00495DF3">
        <w:rPr>
          <w:rFonts w:ascii="Times New Roman" w:hAnsi="Times New Roman"/>
          <w:sz w:val="18"/>
          <w:szCs w:val="18"/>
          <w:lang w:val="sr-Cyrl-RS"/>
        </w:rPr>
        <w:t>ужбени</w:t>
      </w:r>
      <w:r w:rsidRPr="00495DF3">
        <w:rPr>
          <w:rFonts w:ascii="Times New Roman" w:hAnsi="Times New Roman"/>
          <w:sz w:val="18"/>
          <w:szCs w:val="18"/>
        </w:rPr>
        <w:t xml:space="preserve"> гласник РС</w:t>
      </w:r>
      <w:r w:rsidRPr="00495DF3">
        <w:rPr>
          <w:rFonts w:ascii="Times New Roman" w:hAnsi="Times New Roman"/>
          <w:sz w:val="18"/>
          <w:szCs w:val="18"/>
          <w:lang w:val="sr-Cyrl-RS"/>
        </w:rPr>
        <w:t>ˮ,</w:t>
      </w:r>
      <w:r w:rsidRPr="00495DF3">
        <w:rPr>
          <w:rFonts w:ascii="Times New Roman" w:hAnsi="Times New Roman"/>
          <w:sz w:val="18"/>
          <w:szCs w:val="18"/>
        </w:rPr>
        <w:t xml:space="preserve"> бр. 18/</w:t>
      </w:r>
      <w:r w:rsidRPr="00495DF3">
        <w:rPr>
          <w:rFonts w:ascii="Times New Roman" w:hAnsi="Times New Roman"/>
          <w:sz w:val="18"/>
          <w:szCs w:val="18"/>
          <w:lang w:val="sr-Cyrl-RS"/>
        </w:rPr>
        <w:t>20</w:t>
      </w:r>
      <w:r w:rsidRPr="00495DF3">
        <w:rPr>
          <w:rFonts w:ascii="Times New Roman" w:hAnsi="Times New Roman"/>
          <w:sz w:val="18"/>
          <w:szCs w:val="18"/>
        </w:rPr>
        <w:t>05, 81/</w:t>
      </w:r>
      <w:r w:rsidRPr="00495DF3">
        <w:rPr>
          <w:rFonts w:ascii="Times New Roman" w:hAnsi="Times New Roman"/>
          <w:sz w:val="18"/>
          <w:szCs w:val="18"/>
          <w:lang w:val="sr-Cyrl-RS"/>
        </w:rPr>
        <w:t>20</w:t>
      </w:r>
      <w:r w:rsidRPr="00495DF3">
        <w:rPr>
          <w:rFonts w:ascii="Times New Roman" w:hAnsi="Times New Roman"/>
          <w:sz w:val="18"/>
          <w:szCs w:val="18"/>
        </w:rPr>
        <w:t>05 - исправка и 47/</w:t>
      </w:r>
      <w:r w:rsidRPr="00495DF3">
        <w:rPr>
          <w:rFonts w:ascii="Times New Roman" w:hAnsi="Times New Roman"/>
          <w:sz w:val="18"/>
          <w:szCs w:val="18"/>
          <w:lang w:val="sr-Cyrl-RS"/>
        </w:rPr>
        <w:t>20</w:t>
      </w:r>
      <w:r w:rsidRPr="00495DF3">
        <w:rPr>
          <w:rFonts w:ascii="Times New Roman" w:hAnsi="Times New Roman"/>
          <w:sz w:val="18"/>
          <w:szCs w:val="18"/>
        </w:rPr>
        <w:t>18</w:t>
      </w:r>
    </w:p>
  </w:footnote>
  <w:footnote w:id="45">
    <w:p w:rsidR="00AE4ACB" w:rsidRPr="00495DF3" w:rsidRDefault="00AE4ACB">
      <w:pPr>
        <w:pStyle w:val="FootnoteText"/>
        <w:rPr>
          <w:rFonts w:ascii="Times New Roman" w:hAnsi="Times New Roman"/>
          <w:sz w:val="18"/>
          <w:szCs w:val="18"/>
          <w:lang w:val="sr-Cyrl-RS"/>
        </w:rPr>
      </w:pPr>
      <w:r w:rsidRPr="00495DF3">
        <w:rPr>
          <w:rStyle w:val="FootnoteReference"/>
          <w:rFonts w:ascii="Times New Roman" w:hAnsi="Times New Roman"/>
          <w:sz w:val="18"/>
          <w:szCs w:val="18"/>
        </w:rPr>
        <w:footnoteRef/>
      </w:r>
      <w:r w:rsidRPr="00495DF3">
        <w:rPr>
          <w:rFonts w:ascii="Times New Roman" w:hAnsi="Times New Roman"/>
          <w:sz w:val="18"/>
          <w:szCs w:val="18"/>
        </w:rPr>
        <w:t xml:space="preserve"> </w:t>
      </w:r>
      <w:r w:rsidRPr="00495DF3">
        <w:rPr>
          <w:rFonts w:ascii="Times New Roman" w:hAnsi="Times New Roman"/>
          <w:sz w:val="18"/>
          <w:szCs w:val="18"/>
          <w:lang w:val="sr-Cyrl-RS"/>
        </w:rPr>
        <w:t>„</w:t>
      </w:r>
      <w:r w:rsidRPr="00495DF3">
        <w:rPr>
          <w:rFonts w:ascii="Times New Roman" w:hAnsi="Times New Roman"/>
          <w:sz w:val="18"/>
          <w:szCs w:val="18"/>
        </w:rPr>
        <w:t>Сл</w:t>
      </w:r>
      <w:r w:rsidRPr="00495DF3">
        <w:rPr>
          <w:rFonts w:ascii="Times New Roman" w:hAnsi="Times New Roman"/>
          <w:sz w:val="18"/>
          <w:szCs w:val="18"/>
          <w:lang w:val="sr-Cyrl-RS"/>
        </w:rPr>
        <w:t>ужбени</w:t>
      </w:r>
      <w:r w:rsidRPr="00495DF3">
        <w:rPr>
          <w:rFonts w:ascii="Times New Roman" w:hAnsi="Times New Roman"/>
          <w:sz w:val="18"/>
          <w:szCs w:val="18"/>
        </w:rPr>
        <w:t xml:space="preserve"> гласник РС</w:t>
      </w:r>
      <w:r w:rsidRPr="00495DF3">
        <w:rPr>
          <w:rFonts w:ascii="Times New Roman" w:hAnsi="Times New Roman"/>
          <w:sz w:val="18"/>
          <w:szCs w:val="18"/>
          <w:lang w:val="sr-Cyrl-RS"/>
        </w:rPr>
        <w:t>ˮ,</w:t>
      </w:r>
      <w:r w:rsidRPr="00495DF3">
        <w:rPr>
          <w:rFonts w:ascii="Times New Roman" w:hAnsi="Times New Roman"/>
          <w:sz w:val="18"/>
          <w:szCs w:val="18"/>
        </w:rPr>
        <w:t xml:space="preserve"> бр.</w:t>
      </w:r>
      <w:r w:rsidRPr="00495DF3">
        <w:rPr>
          <w:rFonts w:ascii="Times New Roman" w:hAnsi="Times New Roman"/>
          <w:sz w:val="18"/>
          <w:szCs w:val="18"/>
          <w:lang w:val="sr-Cyrl-RS"/>
        </w:rPr>
        <w:t xml:space="preserve"> 113/2017, 95/2018, 86/2019, 157/2020 и 123/2021</w:t>
      </w:r>
    </w:p>
  </w:footnote>
  <w:footnote w:id="46">
    <w:p w:rsidR="00AE4ACB" w:rsidRPr="00356178" w:rsidRDefault="00AE4ACB" w:rsidP="00D42F68">
      <w:pPr>
        <w:pStyle w:val="FootnoteText"/>
        <w:rPr>
          <w:rFonts w:ascii="Times New Roman" w:hAnsi="Times New Roman"/>
          <w:sz w:val="18"/>
          <w:szCs w:val="18"/>
          <w:lang w:val="sr-Latn-RS"/>
        </w:rPr>
      </w:pPr>
      <w:r w:rsidRPr="00356178">
        <w:rPr>
          <w:rStyle w:val="FootnoteReference"/>
          <w:rFonts w:ascii="Times New Roman" w:hAnsi="Times New Roman"/>
          <w:sz w:val="18"/>
          <w:szCs w:val="18"/>
        </w:rPr>
        <w:footnoteRef/>
      </w:r>
      <w:r w:rsidRPr="00356178">
        <w:rPr>
          <w:rFonts w:ascii="Times New Roman" w:hAnsi="Times New Roman"/>
          <w:sz w:val="18"/>
          <w:szCs w:val="18"/>
        </w:rPr>
        <w:t xml:space="preserve"> </w:t>
      </w:r>
      <w:r w:rsidRPr="00356178">
        <w:rPr>
          <w:rFonts w:ascii="Times New Roman" w:hAnsi="Times New Roman"/>
          <w:sz w:val="18"/>
          <w:szCs w:val="18"/>
          <w:lang w:val="sr-Cyrl-RS"/>
        </w:rPr>
        <w:t>„Службени гласникˮ, бр.</w:t>
      </w:r>
      <w:r>
        <w:rPr>
          <w:rFonts w:ascii="Times New Roman" w:hAnsi="Times New Roman"/>
          <w:sz w:val="18"/>
          <w:szCs w:val="18"/>
          <w:lang w:val="sr-Cyrl-RS"/>
        </w:rPr>
        <w:t xml:space="preserve"> </w:t>
      </w:r>
      <w:r w:rsidRPr="00356178">
        <w:rPr>
          <w:rFonts w:ascii="Times New Roman" w:hAnsi="Times New Roman"/>
          <w:sz w:val="18"/>
          <w:szCs w:val="18"/>
          <w:lang w:val="sr-Cyrl-RS"/>
        </w:rPr>
        <w:t>95/2018 и 91/2019</w:t>
      </w:r>
    </w:p>
  </w:footnote>
  <w:footnote w:id="47">
    <w:p w:rsidR="00AE4ACB" w:rsidRPr="001710B3" w:rsidRDefault="00AE4ACB">
      <w:pPr>
        <w:pStyle w:val="FootnoteText"/>
        <w:rPr>
          <w:rFonts w:ascii="Times New Roman" w:hAnsi="Times New Roman"/>
          <w:sz w:val="18"/>
          <w:szCs w:val="18"/>
          <w:lang w:val="sr-Cyrl-RS"/>
        </w:rPr>
      </w:pPr>
      <w:r w:rsidRPr="001710B3">
        <w:rPr>
          <w:rStyle w:val="FootnoteReference"/>
          <w:rFonts w:ascii="Times New Roman" w:hAnsi="Times New Roman"/>
          <w:sz w:val="18"/>
          <w:szCs w:val="18"/>
        </w:rPr>
        <w:footnoteRef/>
      </w:r>
      <w:r w:rsidRPr="001710B3">
        <w:rPr>
          <w:rFonts w:ascii="Times New Roman" w:hAnsi="Times New Roman"/>
          <w:sz w:val="18"/>
          <w:szCs w:val="18"/>
        </w:rPr>
        <w:t xml:space="preserve"> </w:t>
      </w:r>
      <w:r w:rsidRPr="001710B3">
        <w:rPr>
          <w:rFonts w:ascii="Times New Roman" w:hAnsi="Times New Roman"/>
          <w:sz w:val="18"/>
          <w:szCs w:val="18"/>
          <w:lang w:val="sr-Cyrl-RS"/>
        </w:rPr>
        <w:t xml:space="preserve">„Службени гласникˮ, бр. 21/2016, 113/2017, 95/2018 и </w:t>
      </w:r>
      <w:r w:rsidRPr="00A31E06">
        <w:rPr>
          <w:rFonts w:ascii="Times New Roman" w:hAnsi="Times New Roman"/>
          <w:sz w:val="18"/>
          <w:szCs w:val="18"/>
          <w:lang w:val="sr-Cyrl-RS"/>
        </w:rPr>
        <w:t>113/2017 - др. закон</w:t>
      </w:r>
    </w:p>
  </w:footnote>
  <w:footnote w:id="48">
    <w:p w:rsidR="00AE4ACB" w:rsidRPr="00E019A6" w:rsidRDefault="00AE4ACB" w:rsidP="00D135BF">
      <w:pPr>
        <w:pStyle w:val="FootnoteText"/>
        <w:rPr>
          <w:rFonts w:ascii="Times New Roman" w:hAnsi="Times New Roman"/>
          <w:sz w:val="18"/>
          <w:szCs w:val="18"/>
        </w:rPr>
      </w:pPr>
      <w:r w:rsidRPr="00E019A6">
        <w:rPr>
          <w:rStyle w:val="FootnoteReference"/>
          <w:rFonts w:ascii="Times New Roman" w:hAnsi="Times New Roman"/>
          <w:sz w:val="18"/>
          <w:szCs w:val="18"/>
        </w:rPr>
        <w:footnoteRef/>
      </w:r>
      <w:r w:rsidRPr="00E019A6">
        <w:rPr>
          <w:rFonts w:ascii="Times New Roman" w:hAnsi="Times New Roman"/>
          <w:sz w:val="18"/>
          <w:szCs w:val="18"/>
        </w:rPr>
        <w:t xml:space="preserve"> </w:t>
      </w:r>
      <w:hyperlink r:id="rId22" w:history="1">
        <w:r w:rsidRPr="00E019A6">
          <w:rPr>
            <w:rStyle w:val="Hyperlink"/>
            <w:rFonts w:ascii="Times New Roman" w:hAnsi="Times New Roman"/>
            <w:sz w:val="18"/>
            <w:szCs w:val="18"/>
          </w:rPr>
          <w:t>https://unece.org/DAM/stats/publications/2015/ECECES41_EN.pdf</w:t>
        </w:r>
      </w:hyperlink>
      <w:r w:rsidRPr="00E019A6">
        <w:rPr>
          <w:rFonts w:ascii="Times New Roman" w:hAnsi="Times New Roman"/>
          <w:sz w:val="18"/>
          <w:szCs w:val="18"/>
        </w:rPr>
        <w:t xml:space="preserve"> </w:t>
      </w:r>
    </w:p>
  </w:footnote>
  <w:footnote w:id="49">
    <w:p w:rsidR="00AE4ACB" w:rsidRPr="00FC6147" w:rsidRDefault="00AE4ACB" w:rsidP="00D135BF">
      <w:pPr>
        <w:pStyle w:val="FootnoteText"/>
        <w:rPr>
          <w:rFonts w:ascii="Times New Roman" w:hAnsi="Times New Roman"/>
          <w:sz w:val="18"/>
          <w:szCs w:val="18"/>
        </w:rPr>
      </w:pPr>
      <w:r w:rsidRPr="00FC6147">
        <w:rPr>
          <w:rStyle w:val="FootnoteReference"/>
          <w:rFonts w:ascii="Times New Roman" w:hAnsi="Times New Roman"/>
          <w:sz w:val="18"/>
          <w:szCs w:val="18"/>
        </w:rPr>
        <w:footnoteRef/>
      </w:r>
      <w:r w:rsidRPr="00FC6147">
        <w:rPr>
          <w:rFonts w:ascii="Times New Roman" w:hAnsi="Times New Roman"/>
          <w:sz w:val="18"/>
          <w:szCs w:val="18"/>
        </w:rPr>
        <w:t xml:space="preserve"> </w:t>
      </w:r>
      <w:r w:rsidRPr="00372E6C">
        <w:rPr>
          <w:rFonts w:ascii="Times New Roman" w:hAnsi="Times New Roman"/>
          <w:sz w:val="18"/>
          <w:szCs w:val="18"/>
          <w:lang w:val="sr-Cyrl-RS"/>
        </w:rPr>
        <w:t>„Службени гласник РС</w:t>
      </w:r>
      <w:r w:rsidRPr="001710B3">
        <w:rPr>
          <w:rFonts w:ascii="Times New Roman" w:hAnsi="Times New Roman"/>
          <w:sz w:val="18"/>
          <w:szCs w:val="18"/>
          <w:lang w:val="sr-Cyrl-RS"/>
        </w:rPr>
        <w:t>ˮ</w:t>
      </w:r>
      <w:r w:rsidRPr="00372E6C">
        <w:rPr>
          <w:rFonts w:ascii="Times New Roman" w:hAnsi="Times New Roman"/>
          <w:sz w:val="18"/>
          <w:szCs w:val="18"/>
          <w:lang w:val="sr-Cyrl-RS"/>
        </w:rPr>
        <w:t>, бр. 9/2020 и 35/2021</w:t>
      </w:r>
    </w:p>
  </w:footnote>
  <w:footnote w:id="50">
    <w:p w:rsidR="00AE4ACB" w:rsidRPr="00372E6C" w:rsidRDefault="00AE4ACB" w:rsidP="00BC1742">
      <w:pPr>
        <w:pStyle w:val="FootnoteText"/>
        <w:rPr>
          <w:rFonts w:ascii="Times New Roman" w:hAnsi="Times New Roman"/>
          <w:sz w:val="18"/>
          <w:szCs w:val="18"/>
        </w:rPr>
      </w:pPr>
      <w:r w:rsidRPr="00372E6C">
        <w:rPr>
          <w:rStyle w:val="FootnoteReference"/>
          <w:rFonts w:ascii="Times New Roman" w:hAnsi="Times New Roman"/>
          <w:sz w:val="18"/>
          <w:szCs w:val="18"/>
        </w:rPr>
        <w:footnoteRef/>
      </w:r>
      <w:r w:rsidRPr="00372E6C">
        <w:rPr>
          <w:rFonts w:ascii="Times New Roman" w:hAnsi="Times New Roman"/>
          <w:sz w:val="18"/>
          <w:szCs w:val="18"/>
        </w:rPr>
        <w:t xml:space="preserve"> </w:t>
      </w:r>
      <w:r w:rsidRPr="00D87FC8">
        <w:rPr>
          <w:rFonts w:ascii="Times New Roman" w:hAnsi="Times New Roman"/>
          <w:sz w:val="18"/>
          <w:szCs w:val="18"/>
          <w:lang w:val="sr-Cyrl-RS"/>
        </w:rPr>
        <w:t>„Службени гласник РС</w:t>
      </w:r>
      <w:r w:rsidRPr="001710B3">
        <w:rPr>
          <w:rFonts w:ascii="Times New Roman" w:hAnsi="Times New Roman"/>
          <w:sz w:val="18"/>
          <w:szCs w:val="18"/>
          <w:lang w:val="sr-Cyrl-RS"/>
        </w:rPr>
        <w:t>ˮ</w:t>
      </w:r>
      <w:r w:rsidRPr="00D87FC8">
        <w:rPr>
          <w:rFonts w:ascii="Times New Roman" w:hAnsi="Times New Roman"/>
          <w:sz w:val="18"/>
          <w:szCs w:val="18"/>
          <w:lang w:val="sr-Cyrl-RS"/>
        </w:rPr>
        <w:t>, бр. 36/2006</w:t>
      </w:r>
    </w:p>
  </w:footnote>
  <w:footnote w:id="51">
    <w:p w:rsidR="00AE4ACB" w:rsidRPr="00D87FC8" w:rsidRDefault="00AE4ACB" w:rsidP="00BC1742">
      <w:pPr>
        <w:pStyle w:val="FootnoteText"/>
        <w:rPr>
          <w:rFonts w:ascii="Times New Roman" w:hAnsi="Times New Roman"/>
          <w:sz w:val="18"/>
          <w:szCs w:val="18"/>
          <w:lang w:val="sr-Cyrl-RS"/>
        </w:rPr>
      </w:pPr>
      <w:r w:rsidRPr="00372E6C">
        <w:rPr>
          <w:rStyle w:val="FootnoteReference"/>
          <w:rFonts w:ascii="Times New Roman" w:hAnsi="Times New Roman"/>
          <w:sz w:val="18"/>
          <w:szCs w:val="18"/>
        </w:rPr>
        <w:footnoteRef/>
      </w:r>
      <w:r w:rsidRPr="00372E6C">
        <w:rPr>
          <w:rFonts w:ascii="Times New Roman" w:hAnsi="Times New Roman"/>
          <w:sz w:val="18"/>
          <w:szCs w:val="18"/>
        </w:rPr>
        <w:t xml:space="preserve"> </w:t>
      </w:r>
      <w:r w:rsidRPr="00D87FC8">
        <w:rPr>
          <w:rFonts w:ascii="Times New Roman" w:hAnsi="Times New Roman"/>
          <w:sz w:val="18"/>
          <w:szCs w:val="18"/>
          <w:lang w:val="sr-Cyrl-RS"/>
        </w:rPr>
        <w:t>„Службени гласник РС</w:t>
      </w:r>
      <w:r w:rsidRPr="001710B3">
        <w:rPr>
          <w:rFonts w:ascii="Times New Roman" w:hAnsi="Times New Roman"/>
          <w:sz w:val="18"/>
          <w:szCs w:val="18"/>
          <w:lang w:val="sr-Cyrl-RS"/>
        </w:rPr>
        <w:t>ˮ</w:t>
      </w:r>
      <w:r w:rsidRPr="00D87FC8">
        <w:rPr>
          <w:rFonts w:ascii="Times New Roman" w:hAnsi="Times New Roman"/>
          <w:sz w:val="18"/>
          <w:szCs w:val="18"/>
          <w:lang w:val="sr-Cyrl-RS"/>
        </w:rPr>
        <w:t>, бр. 85/2005, 88/2005 - испр., 107/2005 - испр., 72/2009, 111/2009, 121/2012, 104/2013, 108/2014, 94/2016 и 35/2019</w:t>
      </w:r>
      <w:r>
        <w:rPr>
          <w:rFonts w:ascii="Times New Roman" w:hAnsi="Times New Roman"/>
          <w:sz w:val="18"/>
          <w:szCs w:val="18"/>
          <w:lang w:val="sr-Cyrl-RS"/>
        </w:rPr>
        <w:t xml:space="preserve"> </w:t>
      </w:r>
    </w:p>
  </w:footnote>
  <w:footnote w:id="52">
    <w:p w:rsidR="00AE4ACB" w:rsidRDefault="00AE4ACB" w:rsidP="00BC1742">
      <w:pPr>
        <w:pStyle w:val="FootnoteText"/>
      </w:pPr>
      <w:r w:rsidRPr="00372E6C">
        <w:rPr>
          <w:rStyle w:val="FootnoteReference"/>
          <w:rFonts w:ascii="Times New Roman" w:hAnsi="Times New Roman"/>
          <w:sz w:val="18"/>
          <w:szCs w:val="18"/>
        </w:rPr>
        <w:footnoteRef/>
      </w:r>
      <w:r w:rsidRPr="00372E6C">
        <w:rPr>
          <w:rFonts w:ascii="Times New Roman" w:hAnsi="Times New Roman"/>
          <w:sz w:val="18"/>
          <w:szCs w:val="18"/>
        </w:rPr>
        <w:t xml:space="preserve"> </w:t>
      </w:r>
      <w:r w:rsidRPr="00D87FC8">
        <w:rPr>
          <w:rFonts w:ascii="Times New Roman" w:hAnsi="Times New Roman"/>
          <w:sz w:val="18"/>
          <w:szCs w:val="18"/>
          <w:lang w:val="sr-Cyrl-RS"/>
        </w:rPr>
        <w:t>„Службени гласник РС</w:t>
      </w:r>
      <w:r w:rsidRPr="001710B3">
        <w:rPr>
          <w:rFonts w:ascii="Times New Roman" w:hAnsi="Times New Roman"/>
          <w:sz w:val="18"/>
          <w:szCs w:val="18"/>
          <w:lang w:val="sr-Cyrl-RS"/>
        </w:rPr>
        <w:t>ˮ</w:t>
      </w:r>
      <w:r w:rsidRPr="00D87FC8">
        <w:rPr>
          <w:rFonts w:ascii="Times New Roman" w:hAnsi="Times New Roman"/>
          <w:sz w:val="18"/>
          <w:szCs w:val="18"/>
          <w:lang w:val="sr-Cyrl-RS"/>
        </w:rPr>
        <w:t>, бр. 84/2004, 86/2004 - испр., 61/2005, 61/2007, 93/2012, 108/2013, 6/2014 – усклађен дин. изн., 68/2014 - др. закон, 142/2014, 5/2015 - усклађен дин. изн., 83/2015, 5/2016 - усклађен дин. изн., 108/2016, 7/2017 - усклађен дин. изн., 113/2017, 13/2018 - усклађен дин. изн., 30/2018, 4/2019 - усклађен дин. изн., 72/2019, 8/2020 - усклађен дин. изн. и 153/2020</w:t>
      </w:r>
    </w:p>
  </w:footnote>
  <w:footnote w:id="53">
    <w:p w:rsidR="00AE4ACB" w:rsidRPr="00FE5CA3" w:rsidRDefault="00AE4ACB">
      <w:pPr>
        <w:pStyle w:val="FootnoteText"/>
        <w:rPr>
          <w:rFonts w:ascii="Times New Roman" w:hAnsi="Times New Roman"/>
          <w:sz w:val="18"/>
          <w:szCs w:val="18"/>
          <w:lang w:val="sr-Cyrl-RS"/>
        </w:rPr>
      </w:pPr>
      <w:r w:rsidRPr="00FE5CA3">
        <w:rPr>
          <w:rStyle w:val="FootnoteReference"/>
          <w:rFonts w:ascii="Times New Roman" w:hAnsi="Times New Roman"/>
          <w:sz w:val="18"/>
          <w:szCs w:val="18"/>
        </w:rPr>
        <w:footnoteRef/>
      </w:r>
      <w:r w:rsidRPr="00FE5CA3">
        <w:rPr>
          <w:rFonts w:ascii="Times New Roman" w:hAnsi="Times New Roman"/>
          <w:sz w:val="18"/>
          <w:szCs w:val="18"/>
        </w:rPr>
        <w:t xml:space="preserve"> Пројекат Удружења новинара Србије је суфинансиран из буџета Републике Србије и Покрајинског секретаријата за културу јавно информисање и односе с верским заједницама.</w:t>
      </w:r>
    </w:p>
  </w:footnote>
  <w:footnote w:id="54">
    <w:p w:rsidR="00AE4ACB" w:rsidRPr="009460C5" w:rsidRDefault="00AE4ACB">
      <w:pPr>
        <w:pStyle w:val="FootnoteText"/>
        <w:rPr>
          <w:rFonts w:ascii="Times New Roman" w:hAnsi="Times New Roman"/>
          <w:sz w:val="18"/>
          <w:szCs w:val="18"/>
          <w:lang w:val="sr-Cyrl-RS"/>
        </w:rPr>
      </w:pPr>
      <w:r w:rsidRPr="009460C5">
        <w:rPr>
          <w:rStyle w:val="FootnoteReference"/>
          <w:rFonts w:ascii="Times New Roman" w:hAnsi="Times New Roman"/>
          <w:sz w:val="18"/>
          <w:szCs w:val="18"/>
        </w:rPr>
        <w:footnoteRef/>
      </w:r>
      <w:r w:rsidRPr="009460C5">
        <w:rPr>
          <w:rFonts w:ascii="Times New Roman" w:hAnsi="Times New Roman"/>
          <w:sz w:val="18"/>
          <w:szCs w:val="18"/>
        </w:rPr>
        <w:t xml:space="preserve"> Целокупно истраживање, као и главни закључци истраживања који су урађени и на језицима националних мањина (хрватски, русински, чешки, словачки, румунски, бугарски, албански, мађарски и ромски) објављени су на сајту Удружења новинара Србије </w:t>
      </w:r>
      <w:hyperlink r:id="rId23" w:history="1">
        <w:r w:rsidRPr="00376527">
          <w:rPr>
            <w:rStyle w:val="Hyperlink"/>
            <w:rFonts w:ascii="Times New Roman" w:hAnsi="Times New Roman"/>
            <w:sz w:val="18"/>
            <w:szCs w:val="18"/>
          </w:rPr>
          <w:t>https://www.uns.org.rs/sr/desk/Privatizacija/71991/polozaj-privatizovanih-manjinskih-medija-nije-se-znacajno-menjao-od-2016-godine-.html</w:t>
        </w:r>
      </w:hyperlink>
      <w:r>
        <w:rPr>
          <w:rFonts w:ascii="Times New Roman" w:hAnsi="Times New Roman"/>
          <w:sz w:val="18"/>
          <w:szCs w:val="18"/>
          <w:lang w:val="sr-Cyrl-RS"/>
        </w:rPr>
        <w:t xml:space="preserve"> </w:t>
      </w:r>
    </w:p>
  </w:footnote>
  <w:footnote w:id="55">
    <w:p w:rsidR="00AE4ACB" w:rsidRPr="009460C5" w:rsidRDefault="00AE4ACB">
      <w:pPr>
        <w:pStyle w:val="FootnoteText"/>
        <w:rPr>
          <w:rFonts w:ascii="Times New Roman" w:hAnsi="Times New Roman"/>
          <w:sz w:val="18"/>
          <w:szCs w:val="18"/>
          <w:lang w:val="sr-Cyrl-RS"/>
        </w:rPr>
      </w:pPr>
      <w:r w:rsidRPr="009460C5">
        <w:rPr>
          <w:rStyle w:val="FootnoteReference"/>
          <w:rFonts w:ascii="Times New Roman" w:hAnsi="Times New Roman"/>
          <w:sz w:val="18"/>
          <w:szCs w:val="18"/>
        </w:rPr>
        <w:footnoteRef/>
      </w:r>
      <w:r w:rsidRPr="009460C5">
        <w:rPr>
          <w:rFonts w:ascii="Times New Roman" w:hAnsi="Times New Roman"/>
          <w:sz w:val="18"/>
          <w:szCs w:val="18"/>
        </w:rPr>
        <w:t xml:space="preserve"> </w:t>
      </w:r>
      <w:hyperlink r:id="rId24" w:history="1">
        <w:r w:rsidRPr="009460C5">
          <w:rPr>
            <w:rStyle w:val="Hyperlink"/>
            <w:rFonts w:ascii="Times New Roman" w:hAnsi="Times New Roman"/>
            <w:sz w:val="18"/>
            <w:szCs w:val="18"/>
          </w:rPr>
          <w:t>https://www.osce.org/files/f/documents/5/a/473682.pdf</w:t>
        </w:r>
      </w:hyperlink>
      <w:r w:rsidRPr="009460C5">
        <w:rPr>
          <w:rFonts w:ascii="Times New Roman" w:hAnsi="Times New Roman"/>
          <w:sz w:val="18"/>
          <w:szCs w:val="18"/>
          <w:lang w:val="sr-Cyrl-RS"/>
        </w:rPr>
        <w:t xml:space="preserve"> </w:t>
      </w:r>
    </w:p>
  </w:footnote>
  <w:footnote w:id="56">
    <w:p w:rsidR="00AE4ACB" w:rsidRPr="00EB7AF6" w:rsidRDefault="00AE4ACB">
      <w:pPr>
        <w:pStyle w:val="FootnoteText"/>
        <w:rPr>
          <w:rFonts w:ascii="Times New Roman" w:hAnsi="Times New Roman"/>
          <w:sz w:val="18"/>
          <w:szCs w:val="18"/>
          <w:lang w:val="sr-Cyrl-RS"/>
        </w:rPr>
      </w:pPr>
      <w:r w:rsidRPr="00EB7AF6">
        <w:rPr>
          <w:rStyle w:val="FootnoteReference"/>
          <w:rFonts w:ascii="Times New Roman" w:hAnsi="Times New Roman"/>
          <w:sz w:val="18"/>
          <w:szCs w:val="18"/>
        </w:rPr>
        <w:footnoteRef/>
      </w:r>
      <w:r w:rsidRPr="00EB7AF6">
        <w:rPr>
          <w:rFonts w:ascii="Times New Roman" w:hAnsi="Times New Roman"/>
          <w:sz w:val="18"/>
          <w:szCs w:val="18"/>
        </w:rPr>
        <w:t xml:space="preserve"> Статистички и визуелни приказ података (графикони, мапа, итд) добијених истраживањем које је израдио медијски експерт Недим Сејдиновић и ,,Центар за одрживе заједнице” доступни су на</w:t>
      </w:r>
      <w:r>
        <w:rPr>
          <w:rFonts w:ascii="Times New Roman" w:hAnsi="Times New Roman"/>
          <w:sz w:val="18"/>
          <w:szCs w:val="18"/>
          <w:lang w:val="sr-Cyrl-RS"/>
        </w:rPr>
        <w:t xml:space="preserve"> следећем линку</w:t>
      </w:r>
      <w:r w:rsidRPr="00EB7AF6">
        <w:rPr>
          <w:rFonts w:ascii="Times New Roman" w:hAnsi="Times New Roman"/>
          <w:sz w:val="18"/>
          <w:szCs w:val="18"/>
        </w:rPr>
        <w:t xml:space="preserve">: </w:t>
      </w:r>
      <w:hyperlink r:id="rId25" w:history="1">
        <w:r w:rsidRPr="00376527">
          <w:rPr>
            <w:rStyle w:val="Hyperlink"/>
            <w:rFonts w:ascii="Times New Roman" w:hAnsi="Times New Roman"/>
            <w:sz w:val="18"/>
            <w:szCs w:val="18"/>
          </w:rPr>
          <w:t>https://tixwitchy.shinyapps.io/minority_media/</w:t>
        </w:r>
      </w:hyperlink>
      <w:r>
        <w:rPr>
          <w:rFonts w:ascii="Times New Roman" w:hAnsi="Times New Roman"/>
          <w:sz w:val="18"/>
          <w:szCs w:val="18"/>
          <w:lang w:val="sr-Cyrl-RS"/>
        </w:rPr>
        <w:t xml:space="preserve"> </w:t>
      </w:r>
    </w:p>
  </w:footnote>
  <w:footnote w:id="57">
    <w:p w:rsidR="00AE4ACB" w:rsidRPr="00EB7AF6" w:rsidRDefault="00AE4ACB">
      <w:pPr>
        <w:pStyle w:val="FootnoteText"/>
        <w:rPr>
          <w:rFonts w:ascii="Times New Roman" w:hAnsi="Times New Roman"/>
          <w:sz w:val="18"/>
          <w:szCs w:val="18"/>
          <w:lang w:val="sr-Cyrl-RS"/>
        </w:rPr>
      </w:pPr>
      <w:r w:rsidRPr="00EB7AF6">
        <w:rPr>
          <w:rStyle w:val="FootnoteReference"/>
          <w:rFonts w:ascii="Times New Roman" w:hAnsi="Times New Roman"/>
          <w:sz w:val="18"/>
          <w:szCs w:val="18"/>
        </w:rPr>
        <w:footnoteRef/>
      </w:r>
      <w:r w:rsidRPr="00EB7AF6">
        <w:rPr>
          <w:rFonts w:ascii="Times New Roman" w:hAnsi="Times New Roman"/>
          <w:sz w:val="18"/>
          <w:szCs w:val="18"/>
        </w:rPr>
        <w:t xml:space="preserve"> Доступно на </w:t>
      </w:r>
      <w:hyperlink r:id="rId26" w:history="1">
        <w:r w:rsidRPr="00376527">
          <w:rPr>
            <w:rStyle w:val="Hyperlink"/>
            <w:rFonts w:ascii="Times New Roman" w:hAnsi="Times New Roman"/>
            <w:sz w:val="18"/>
            <w:szCs w:val="18"/>
          </w:rPr>
          <w:t>https://projektnosufinansiranjehtmlpublikacija.netlify.app/</w:t>
        </w:r>
      </w:hyperlink>
      <w:r w:rsidRPr="00EB7AF6">
        <w:rPr>
          <w:rFonts w:ascii="Times New Roman" w:hAnsi="Times New Roman"/>
          <w:sz w:val="18"/>
          <w:szCs w:val="18"/>
        </w:rPr>
        <w:t xml:space="preserve"> и Порталу отворених података Републике Србије </w:t>
      </w:r>
      <w:hyperlink r:id="rId27" w:history="1">
        <w:r w:rsidRPr="00376527">
          <w:rPr>
            <w:rStyle w:val="Hyperlink"/>
            <w:rFonts w:ascii="Times New Roman" w:hAnsi="Times New Roman"/>
            <w:sz w:val="18"/>
            <w:szCs w:val="18"/>
          </w:rPr>
          <w:t>https://data.gov.rs/sr/datasets/rezultati-konkursa-za-projektno-sufinansiranja-medijskikh-sadrzhaja/</w:t>
        </w:r>
      </w:hyperlink>
      <w:r>
        <w:rPr>
          <w:rFonts w:ascii="Times New Roman" w:hAnsi="Times New Roman"/>
          <w:sz w:val="18"/>
          <w:szCs w:val="18"/>
          <w:lang w:val="sr-Cyrl-RS"/>
        </w:rPr>
        <w:t xml:space="preserve"> </w:t>
      </w:r>
    </w:p>
  </w:footnote>
  <w:footnote w:id="58">
    <w:p w:rsidR="00AE4ACB" w:rsidRPr="00EB7AF6" w:rsidRDefault="00AE4ACB">
      <w:pPr>
        <w:pStyle w:val="FootnoteText"/>
        <w:rPr>
          <w:rFonts w:ascii="Times New Roman" w:hAnsi="Times New Roman"/>
          <w:sz w:val="18"/>
          <w:szCs w:val="18"/>
          <w:lang w:val="sr-Cyrl-RS"/>
        </w:rPr>
      </w:pPr>
      <w:r w:rsidRPr="00EB7AF6">
        <w:rPr>
          <w:rStyle w:val="FootnoteReference"/>
          <w:rFonts w:ascii="Times New Roman" w:hAnsi="Times New Roman"/>
          <w:sz w:val="18"/>
          <w:szCs w:val="18"/>
        </w:rPr>
        <w:footnoteRef/>
      </w:r>
      <w:r w:rsidRPr="00EB7AF6">
        <w:rPr>
          <w:rFonts w:ascii="Times New Roman" w:hAnsi="Times New Roman"/>
          <w:sz w:val="18"/>
          <w:szCs w:val="18"/>
        </w:rPr>
        <w:t xml:space="preserve"> „Службени гласник РС”, број 148/</w:t>
      </w:r>
      <w:r w:rsidRPr="00EB7AF6">
        <w:rPr>
          <w:rFonts w:ascii="Times New Roman" w:hAnsi="Times New Roman"/>
          <w:sz w:val="18"/>
          <w:szCs w:val="18"/>
          <w:lang w:val="sr-Cyrl-RS"/>
        </w:rPr>
        <w:t>20</w:t>
      </w:r>
      <w:r w:rsidRPr="00EB7AF6">
        <w:rPr>
          <w:rFonts w:ascii="Times New Roman" w:hAnsi="Times New Roman"/>
          <w:sz w:val="18"/>
          <w:szCs w:val="18"/>
        </w:rPr>
        <w:t>20</w:t>
      </w:r>
    </w:p>
  </w:footnote>
  <w:footnote w:id="59">
    <w:p w:rsidR="00AE4ACB" w:rsidRPr="00D61022" w:rsidRDefault="00AE4ACB" w:rsidP="00E72ED5">
      <w:pPr>
        <w:pStyle w:val="FootnoteText"/>
        <w:rPr>
          <w:rFonts w:ascii="Times New Roman" w:hAnsi="Times New Roman"/>
          <w:sz w:val="18"/>
          <w:szCs w:val="18"/>
        </w:rPr>
      </w:pPr>
      <w:r w:rsidRPr="00D61022">
        <w:rPr>
          <w:rStyle w:val="FootnoteReference"/>
          <w:rFonts w:ascii="Times New Roman" w:hAnsi="Times New Roman"/>
          <w:sz w:val="18"/>
          <w:szCs w:val="18"/>
        </w:rPr>
        <w:footnoteRef/>
      </w:r>
      <w:r w:rsidRPr="00D61022">
        <w:rPr>
          <w:rFonts w:ascii="Times New Roman" w:hAnsi="Times New Roman"/>
          <w:sz w:val="18"/>
          <w:szCs w:val="18"/>
        </w:rPr>
        <w:t xml:space="preserve"> </w:t>
      </w:r>
      <w:hyperlink r:id="rId28" w:history="1">
        <w:r w:rsidRPr="00D51806">
          <w:rPr>
            <w:rStyle w:val="Hyperlink"/>
            <w:rFonts w:ascii="Times New Roman" w:hAnsi="Times New Roman"/>
            <w:sz w:val="18"/>
            <w:szCs w:val="18"/>
          </w:rPr>
          <w:t>http://www.puma.vojvodina.gov.rs/sluzbeno_jezik/glavnalist.php</w:t>
        </w:r>
      </w:hyperlink>
      <w:r>
        <w:rPr>
          <w:rFonts w:ascii="Times New Roman" w:hAnsi="Times New Roman"/>
          <w:sz w:val="18"/>
          <w:szCs w:val="18"/>
        </w:rPr>
        <w:t xml:space="preserve"> </w:t>
      </w:r>
    </w:p>
  </w:footnote>
  <w:footnote w:id="60">
    <w:p w:rsidR="00AE4ACB" w:rsidRPr="00287C0A" w:rsidRDefault="00AE4ACB">
      <w:pPr>
        <w:pStyle w:val="FootnoteText"/>
        <w:rPr>
          <w:rFonts w:ascii="Times New Roman" w:hAnsi="Times New Roman"/>
          <w:lang w:val="sr-Cyrl-RS"/>
        </w:rPr>
      </w:pPr>
      <w:r w:rsidRPr="00287C0A">
        <w:rPr>
          <w:rStyle w:val="FootnoteReference"/>
          <w:rFonts w:ascii="Times New Roman" w:hAnsi="Times New Roman"/>
        </w:rPr>
        <w:footnoteRef/>
      </w:r>
      <w:r w:rsidRPr="00287C0A">
        <w:rPr>
          <w:rFonts w:ascii="Times New Roman" w:hAnsi="Times New Roman"/>
        </w:rPr>
        <w:t xml:space="preserve"> </w:t>
      </w:r>
      <w:r>
        <w:rPr>
          <w:rFonts w:ascii="Times New Roman" w:hAnsi="Times New Roman"/>
          <w:lang w:val="sr-Cyrl-RS"/>
        </w:rPr>
        <w:t>„</w:t>
      </w:r>
      <w:r w:rsidRPr="00287C0A">
        <w:rPr>
          <w:rFonts w:ascii="Times New Roman" w:hAnsi="Times New Roman"/>
        </w:rPr>
        <w:t>Службени гласник РС</w:t>
      </w:r>
      <w:r w:rsidRPr="00B23084">
        <w:rPr>
          <w:rFonts w:ascii="Times New Roman" w:hAnsi="Times New Roman"/>
          <w:sz w:val="18"/>
          <w:szCs w:val="18"/>
          <w:lang w:val="sr-Cyrl-RS"/>
        </w:rPr>
        <w:t>”</w:t>
      </w:r>
      <w:r w:rsidRPr="00287C0A">
        <w:rPr>
          <w:rFonts w:ascii="Times New Roman" w:hAnsi="Times New Roman"/>
        </w:rPr>
        <w:t>, број 104</w:t>
      </w:r>
      <w:r>
        <w:rPr>
          <w:rFonts w:ascii="Times New Roman" w:hAnsi="Times New Roman"/>
          <w:lang w:val="sr-Cyrl-RS"/>
        </w:rPr>
        <w:t>/</w:t>
      </w:r>
      <w:r w:rsidRPr="00287C0A">
        <w:rPr>
          <w:rFonts w:ascii="Times New Roman" w:hAnsi="Times New Roman"/>
        </w:rPr>
        <w:t xml:space="preserve"> 2018</w:t>
      </w:r>
    </w:p>
  </w:footnote>
  <w:footnote w:id="61">
    <w:p w:rsidR="00AE4ACB" w:rsidRPr="00287C0A" w:rsidRDefault="00AE4ACB">
      <w:pPr>
        <w:pStyle w:val="FootnoteText"/>
        <w:rPr>
          <w:rFonts w:ascii="Times New Roman" w:hAnsi="Times New Roman"/>
          <w:lang w:val="sr-Cyrl-RS"/>
        </w:rPr>
      </w:pPr>
      <w:r w:rsidRPr="00287C0A">
        <w:rPr>
          <w:rStyle w:val="FootnoteReference"/>
          <w:rFonts w:ascii="Times New Roman" w:hAnsi="Times New Roman"/>
        </w:rPr>
        <w:footnoteRef/>
      </w:r>
      <w:r w:rsidRPr="00287C0A">
        <w:rPr>
          <w:rFonts w:ascii="Times New Roman" w:hAnsi="Times New Roman"/>
        </w:rPr>
        <w:t xml:space="preserve"> </w:t>
      </w:r>
      <w:r>
        <w:rPr>
          <w:rFonts w:ascii="Times New Roman" w:hAnsi="Times New Roman"/>
          <w:lang w:val="sr-Cyrl-RS"/>
        </w:rPr>
        <w:t>„</w:t>
      </w:r>
      <w:r w:rsidRPr="00287C0A">
        <w:rPr>
          <w:rFonts w:ascii="Times New Roman" w:hAnsi="Times New Roman"/>
        </w:rPr>
        <w:t>Сл</w:t>
      </w:r>
      <w:r>
        <w:rPr>
          <w:rFonts w:ascii="Times New Roman" w:hAnsi="Times New Roman"/>
          <w:lang w:val="sr-Cyrl-RS"/>
        </w:rPr>
        <w:t>ужбени</w:t>
      </w:r>
      <w:r w:rsidRPr="00287C0A">
        <w:rPr>
          <w:rFonts w:ascii="Times New Roman" w:hAnsi="Times New Roman"/>
        </w:rPr>
        <w:t xml:space="preserve"> гласник РС</w:t>
      </w:r>
      <w:r w:rsidRPr="00B23084">
        <w:rPr>
          <w:rFonts w:ascii="Times New Roman" w:hAnsi="Times New Roman"/>
          <w:sz w:val="18"/>
          <w:szCs w:val="18"/>
          <w:lang w:val="sr-Cyrl-RS"/>
        </w:rPr>
        <w:t>”</w:t>
      </w:r>
      <w:r w:rsidRPr="00287C0A">
        <w:rPr>
          <w:rFonts w:ascii="Times New Roman" w:hAnsi="Times New Roman"/>
        </w:rPr>
        <w:t>, бр. 68/2010 и 10/2022 - др. упутство</w:t>
      </w:r>
    </w:p>
  </w:footnote>
  <w:footnote w:id="62">
    <w:p w:rsidR="00AE4ACB" w:rsidRPr="001F38D8" w:rsidRDefault="00AE4ACB">
      <w:pPr>
        <w:pStyle w:val="FootnoteText"/>
        <w:rPr>
          <w:rFonts w:ascii="Times New Roman" w:hAnsi="Times New Roman"/>
          <w:sz w:val="18"/>
          <w:szCs w:val="18"/>
          <w:lang w:val="sr-Cyrl-RS"/>
        </w:rPr>
      </w:pPr>
      <w:r w:rsidRPr="001F38D8">
        <w:rPr>
          <w:rStyle w:val="FootnoteReference"/>
          <w:rFonts w:ascii="Times New Roman" w:hAnsi="Times New Roman"/>
          <w:sz w:val="18"/>
          <w:szCs w:val="18"/>
        </w:rPr>
        <w:footnoteRef/>
      </w:r>
      <w:r w:rsidRPr="001F38D8">
        <w:rPr>
          <w:rFonts w:ascii="Times New Roman" w:hAnsi="Times New Roman"/>
          <w:sz w:val="18"/>
          <w:szCs w:val="18"/>
        </w:rPr>
        <w:t xml:space="preserve"> </w:t>
      </w:r>
      <w:hyperlink r:id="rId29" w:history="1">
        <w:r w:rsidRPr="001F38D8">
          <w:rPr>
            <w:rStyle w:val="Hyperlink"/>
            <w:rFonts w:ascii="Times New Roman" w:hAnsi="Times New Roman"/>
            <w:sz w:val="18"/>
            <w:szCs w:val="18"/>
          </w:rPr>
          <w:t>https://www.pravamanjina.rs/images/Uvod_u_ostvarivanje_prava_na_slu%C5%BEbenu_upotrebu_jezika_i_pisama_nacionalnih_manjina_Mar_2019.pdf</w:t>
        </w:r>
      </w:hyperlink>
      <w:r w:rsidRPr="001F38D8">
        <w:rPr>
          <w:rFonts w:ascii="Times New Roman" w:hAnsi="Times New Roman"/>
          <w:sz w:val="18"/>
          <w:szCs w:val="18"/>
          <w:lang w:val="sr-Cyrl-RS"/>
        </w:rPr>
        <w:t xml:space="preserve"> </w:t>
      </w:r>
    </w:p>
  </w:footnote>
  <w:footnote w:id="63">
    <w:p w:rsidR="00AE4ACB" w:rsidRPr="00D836DD" w:rsidRDefault="00AE4ACB">
      <w:pPr>
        <w:pStyle w:val="FootnoteText"/>
        <w:rPr>
          <w:rFonts w:ascii="Times New Roman" w:hAnsi="Times New Roman"/>
          <w:sz w:val="18"/>
          <w:szCs w:val="18"/>
          <w:lang w:val="sr-Cyrl-RS"/>
        </w:rPr>
      </w:pPr>
      <w:r w:rsidRPr="00D836DD">
        <w:rPr>
          <w:rStyle w:val="FootnoteReference"/>
          <w:rFonts w:ascii="Times New Roman" w:hAnsi="Times New Roman"/>
          <w:sz w:val="18"/>
          <w:szCs w:val="18"/>
        </w:rPr>
        <w:footnoteRef/>
      </w:r>
      <w:r w:rsidRPr="00D836DD">
        <w:rPr>
          <w:rFonts w:ascii="Times New Roman" w:hAnsi="Times New Roman"/>
          <w:sz w:val="18"/>
          <w:szCs w:val="18"/>
        </w:rPr>
        <w:t xml:space="preserve"> </w:t>
      </w:r>
      <w:hyperlink r:id="rId30" w:history="1">
        <w:r w:rsidRPr="00D836DD">
          <w:rPr>
            <w:rStyle w:val="Hyperlink"/>
            <w:rFonts w:ascii="Times New Roman" w:hAnsi="Times New Roman"/>
            <w:sz w:val="18"/>
            <w:szCs w:val="18"/>
          </w:rPr>
          <w:t>https://www.ombudsman.rs/index.php/izvestaji/posebnii-izvestaji</w:t>
        </w:r>
      </w:hyperlink>
      <w:r w:rsidRPr="00D836DD">
        <w:rPr>
          <w:rFonts w:ascii="Times New Roman" w:hAnsi="Times New Roman"/>
          <w:sz w:val="18"/>
          <w:szCs w:val="18"/>
          <w:lang w:val="sr-Cyrl-RS"/>
        </w:rPr>
        <w:t xml:space="preserve"> </w:t>
      </w:r>
    </w:p>
  </w:footnote>
  <w:footnote w:id="64">
    <w:p w:rsidR="00AE4ACB" w:rsidRPr="004A2642" w:rsidRDefault="00AE4ACB">
      <w:pPr>
        <w:pStyle w:val="FootnoteText"/>
        <w:rPr>
          <w:rFonts w:ascii="Times New Roman" w:hAnsi="Times New Roman"/>
          <w:sz w:val="18"/>
          <w:szCs w:val="18"/>
          <w:lang w:val="sr-Cyrl-RS"/>
        </w:rPr>
      </w:pPr>
      <w:r w:rsidRPr="004A2642">
        <w:rPr>
          <w:rStyle w:val="FootnoteReference"/>
          <w:rFonts w:ascii="Times New Roman" w:hAnsi="Times New Roman"/>
          <w:sz w:val="18"/>
          <w:szCs w:val="18"/>
        </w:rPr>
        <w:footnoteRef/>
      </w:r>
      <w:r w:rsidRPr="004A2642">
        <w:rPr>
          <w:rFonts w:ascii="Times New Roman" w:hAnsi="Times New Roman"/>
          <w:sz w:val="18"/>
          <w:szCs w:val="18"/>
        </w:rPr>
        <w:t xml:space="preserve"> </w:t>
      </w:r>
      <w:hyperlink r:id="rId31" w:history="1">
        <w:r w:rsidRPr="004A2642">
          <w:rPr>
            <w:rStyle w:val="Hyperlink"/>
            <w:rFonts w:ascii="Times New Roman" w:hAnsi="Times New Roman"/>
            <w:sz w:val="18"/>
            <w:szCs w:val="18"/>
          </w:rPr>
          <w:t>https://www.ombudsmanapv.org/riv/attachments/article/2131/Istrazivanje_sluz_upotreba_jezika_2018-finall.pdf</w:t>
        </w:r>
      </w:hyperlink>
      <w:r w:rsidRPr="004A2642">
        <w:rPr>
          <w:rFonts w:ascii="Times New Roman" w:hAnsi="Times New Roman"/>
          <w:sz w:val="18"/>
          <w:szCs w:val="18"/>
          <w:lang w:val="sr-Cyrl-RS"/>
        </w:rPr>
        <w:t xml:space="preserve"> </w:t>
      </w:r>
    </w:p>
  </w:footnote>
  <w:footnote w:id="65">
    <w:p w:rsidR="00AE4ACB" w:rsidRPr="004A2642" w:rsidRDefault="00AE4ACB">
      <w:pPr>
        <w:pStyle w:val="FootnoteText"/>
        <w:rPr>
          <w:rFonts w:ascii="Times New Roman" w:hAnsi="Times New Roman"/>
          <w:sz w:val="18"/>
          <w:szCs w:val="18"/>
          <w:lang w:val="sr-Cyrl-RS"/>
        </w:rPr>
      </w:pPr>
      <w:r w:rsidRPr="004A2642">
        <w:rPr>
          <w:rStyle w:val="FootnoteReference"/>
          <w:rFonts w:ascii="Times New Roman" w:hAnsi="Times New Roman"/>
          <w:sz w:val="18"/>
          <w:szCs w:val="18"/>
        </w:rPr>
        <w:footnoteRef/>
      </w:r>
      <w:r w:rsidRPr="004A2642">
        <w:rPr>
          <w:rFonts w:ascii="Times New Roman" w:hAnsi="Times New Roman"/>
          <w:sz w:val="18"/>
          <w:szCs w:val="18"/>
        </w:rPr>
        <w:t xml:space="preserve"> </w:t>
      </w:r>
      <w:hyperlink r:id="rId32" w:history="1">
        <w:r w:rsidRPr="004A2642">
          <w:rPr>
            <w:rStyle w:val="Hyperlink"/>
            <w:rFonts w:ascii="Times New Roman" w:hAnsi="Times New Roman"/>
            <w:sz w:val="18"/>
            <w:szCs w:val="18"/>
          </w:rPr>
          <w:t>https://www.osce.org/files/f/documents/7/a/461806.pdf</w:t>
        </w:r>
      </w:hyperlink>
      <w:r w:rsidRPr="004A2642">
        <w:rPr>
          <w:rFonts w:ascii="Times New Roman" w:hAnsi="Times New Roman"/>
          <w:sz w:val="18"/>
          <w:szCs w:val="18"/>
          <w:lang w:val="sr-Cyrl-RS"/>
        </w:rPr>
        <w:t xml:space="preserve"> </w:t>
      </w:r>
    </w:p>
  </w:footnote>
  <w:footnote w:id="66">
    <w:p w:rsidR="00AE4ACB" w:rsidRPr="006814E1" w:rsidRDefault="00AE4ACB">
      <w:pPr>
        <w:pStyle w:val="FootnoteText"/>
        <w:rPr>
          <w:rFonts w:ascii="Times New Roman" w:hAnsi="Times New Roman"/>
          <w:sz w:val="18"/>
          <w:szCs w:val="18"/>
          <w:lang w:val="sr-Cyrl-RS"/>
        </w:rPr>
      </w:pPr>
      <w:r w:rsidRPr="006814E1">
        <w:rPr>
          <w:rStyle w:val="FootnoteReference"/>
          <w:rFonts w:ascii="Times New Roman" w:hAnsi="Times New Roman"/>
          <w:sz w:val="18"/>
          <w:szCs w:val="18"/>
        </w:rPr>
        <w:footnoteRef/>
      </w:r>
      <w:r w:rsidRPr="006814E1">
        <w:rPr>
          <w:rFonts w:ascii="Times New Roman" w:hAnsi="Times New Roman"/>
          <w:sz w:val="18"/>
          <w:szCs w:val="18"/>
        </w:rPr>
        <w:t xml:space="preserve"> </w:t>
      </w:r>
      <w:r w:rsidRPr="006814E1">
        <w:rPr>
          <w:rFonts w:ascii="Times New Roman" w:hAnsi="Times New Roman"/>
          <w:sz w:val="18"/>
          <w:szCs w:val="18"/>
          <w:lang w:val="sr-Cyrl-RS"/>
        </w:rPr>
        <w:t>„</w:t>
      </w:r>
      <w:r w:rsidRPr="006814E1">
        <w:rPr>
          <w:rFonts w:ascii="Times New Roman" w:hAnsi="Times New Roman"/>
          <w:sz w:val="18"/>
          <w:szCs w:val="18"/>
        </w:rPr>
        <w:t>Сл</w:t>
      </w:r>
      <w:r w:rsidRPr="006814E1">
        <w:rPr>
          <w:rFonts w:ascii="Times New Roman" w:hAnsi="Times New Roman"/>
          <w:sz w:val="18"/>
          <w:szCs w:val="18"/>
          <w:lang w:val="sr-Cyrl-RS"/>
        </w:rPr>
        <w:t>ужбени</w:t>
      </w:r>
      <w:r w:rsidRPr="006814E1">
        <w:rPr>
          <w:rFonts w:ascii="Times New Roman" w:hAnsi="Times New Roman"/>
          <w:sz w:val="18"/>
          <w:szCs w:val="18"/>
        </w:rPr>
        <w:t xml:space="preserve"> гласник РС”, бр. 72/2009, 20/2014 - одлука УС, 55/2014 и 47/2018</w:t>
      </w:r>
    </w:p>
  </w:footnote>
  <w:footnote w:id="67">
    <w:p w:rsidR="00AE4ACB" w:rsidRPr="006C6258" w:rsidRDefault="00AE4ACB" w:rsidP="00E72ED5">
      <w:pPr>
        <w:pStyle w:val="FootnoteText"/>
        <w:rPr>
          <w:rFonts w:ascii="Times New Roman" w:hAnsi="Times New Roman"/>
          <w:sz w:val="18"/>
          <w:szCs w:val="18"/>
        </w:rPr>
      </w:pPr>
      <w:r w:rsidRPr="006C6258">
        <w:rPr>
          <w:rStyle w:val="FootnoteReference"/>
          <w:rFonts w:ascii="Times New Roman" w:hAnsi="Times New Roman"/>
          <w:sz w:val="18"/>
          <w:szCs w:val="18"/>
        </w:rPr>
        <w:footnoteRef/>
      </w:r>
      <w:r w:rsidRPr="006C6258">
        <w:rPr>
          <w:rFonts w:ascii="Times New Roman" w:hAnsi="Times New Roman"/>
          <w:sz w:val="18"/>
          <w:szCs w:val="18"/>
        </w:rPr>
        <w:t xml:space="preserve"> </w:t>
      </w:r>
      <w:hyperlink r:id="rId33" w:history="1">
        <w:r w:rsidRPr="00D51806">
          <w:rPr>
            <w:rStyle w:val="Hyperlink"/>
            <w:rFonts w:ascii="Times New Roman" w:hAnsi="Times New Roman"/>
            <w:sz w:val="18"/>
            <w:szCs w:val="18"/>
          </w:rPr>
          <w:t>https://zuov.gov.rs/izdanja-zavoda/</w:t>
        </w:r>
      </w:hyperlink>
      <w:r>
        <w:rPr>
          <w:rFonts w:ascii="Times New Roman" w:hAnsi="Times New Roman"/>
          <w:sz w:val="18"/>
          <w:szCs w:val="18"/>
        </w:rPr>
        <w:t xml:space="preserve"> </w:t>
      </w:r>
    </w:p>
  </w:footnote>
  <w:footnote w:id="68">
    <w:p w:rsidR="00AE4ACB" w:rsidRPr="00227E5D" w:rsidRDefault="00AE4ACB" w:rsidP="00E72ED5">
      <w:pPr>
        <w:pStyle w:val="FootnoteText"/>
        <w:rPr>
          <w:rFonts w:ascii="Times New Roman" w:hAnsi="Times New Roman"/>
          <w:sz w:val="18"/>
          <w:szCs w:val="18"/>
        </w:rPr>
      </w:pPr>
      <w:r w:rsidRPr="00227E5D">
        <w:rPr>
          <w:rStyle w:val="FootnoteReference"/>
          <w:rFonts w:ascii="Times New Roman" w:hAnsi="Times New Roman"/>
          <w:sz w:val="18"/>
          <w:szCs w:val="18"/>
        </w:rPr>
        <w:footnoteRef/>
      </w:r>
      <w:r w:rsidRPr="00227E5D">
        <w:rPr>
          <w:rFonts w:ascii="Times New Roman" w:hAnsi="Times New Roman"/>
          <w:sz w:val="18"/>
          <w:szCs w:val="18"/>
        </w:rPr>
        <w:t xml:space="preserve"> </w:t>
      </w:r>
      <w:hyperlink r:id="rId34" w:history="1">
        <w:r w:rsidRPr="00D51806">
          <w:rPr>
            <w:rStyle w:val="Hyperlink"/>
            <w:rFonts w:ascii="Times New Roman" w:hAnsi="Times New Roman"/>
            <w:sz w:val="18"/>
            <w:szCs w:val="18"/>
          </w:rPr>
          <w:t>https://mojaskola.rtsplaneta.rs/list/772/srpski-kao-nematernji-jezik</w:t>
        </w:r>
      </w:hyperlink>
      <w:r>
        <w:rPr>
          <w:rFonts w:ascii="Times New Roman" w:hAnsi="Times New Roman"/>
          <w:sz w:val="18"/>
          <w:szCs w:val="18"/>
        </w:rPr>
        <w:t xml:space="preserve"> </w:t>
      </w:r>
    </w:p>
  </w:footnote>
  <w:footnote w:id="69">
    <w:p w:rsidR="00AE4ACB" w:rsidRPr="00D56F6D" w:rsidRDefault="00AE4ACB" w:rsidP="00364594">
      <w:pPr>
        <w:pStyle w:val="FootnoteText"/>
        <w:rPr>
          <w:rFonts w:ascii="Times New Roman" w:hAnsi="Times New Roman"/>
          <w:sz w:val="18"/>
          <w:szCs w:val="18"/>
        </w:rPr>
      </w:pPr>
      <w:r w:rsidRPr="00D56F6D">
        <w:rPr>
          <w:rStyle w:val="FootnoteReference"/>
          <w:rFonts w:ascii="Times New Roman" w:hAnsi="Times New Roman"/>
          <w:sz w:val="18"/>
          <w:szCs w:val="18"/>
        </w:rPr>
        <w:footnoteRef/>
      </w:r>
      <w:r w:rsidRPr="00D56F6D">
        <w:rPr>
          <w:rFonts w:ascii="Times New Roman" w:hAnsi="Times New Roman"/>
          <w:sz w:val="18"/>
          <w:szCs w:val="18"/>
        </w:rPr>
        <w:t xml:space="preserve"> </w:t>
      </w:r>
      <w:hyperlink r:id="rId35" w:history="1">
        <w:r w:rsidRPr="00D51806">
          <w:rPr>
            <w:rStyle w:val="Hyperlink"/>
            <w:rFonts w:ascii="Times New Roman" w:hAnsi="Times New Roman"/>
            <w:sz w:val="18"/>
            <w:szCs w:val="18"/>
          </w:rPr>
          <w:t>http://www.pzv.edu.rs/</w:t>
        </w:r>
      </w:hyperlink>
      <w:r>
        <w:rPr>
          <w:rFonts w:ascii="Times New Roman" w:hAnsi="Times New Roman"/>
          <w:sz w:val="18"/>
          <w:szCs w:val="18"/>
        </w:rPr>
        <w:t xml:space="preserve"> </w:t>
      </w:r>
    </w:p>
  </w:footnote>
  <w:footnote w:id="70">
    <w:p w:rsidR="00AE4ACB" w:rsidRPr="00D34941" w:rsidRDefault="00AE4ACB" w:rsidP="00E72ED5">
      <w:pPr>
        <w:pStyle w:val="FootnoteText"/>
        <w:rPr>
          <w:rFonts w:ascii="Times New Roman" w:hAnsi="Times New Roman"/>
          <w:sz w:val="18"/>
          <w:szCs w:val="18"/>
        </w:rPr>
      </w:pPr>
      <w:r w:rsidRPr="00D34941">
        <w:rPr>
          <w:rStyle w:val="FootnoteReference"/>
          <w:rFonts w:ascii="Times New Roman" w:hAnsi="Times New Roman"/>
          <w:sz w:val="18"/>
          <w:szCs w:val="18"/>
        </w:rPr>
        <w:footnoteRef/>
      </w:r>
      <w:r w:rsidRPr="00D34941">
        <w:rPr>
          <w:rFonts w:ascii="Times New Roman" w:hAnsi="Times New Roman"/>
          <w:sz w:val="18"/>
          <w:szCs w:val="18"/>
        </w:rPr>
        <w:t xml:space="preserve"> </w:t>
      </w:r>
      <w:hyperlink r:id="rId36" w:history="1">
        <w:r w:rsidRPr="00D34941">
          <w:rPr>
            <w:rStyle w:val="Hyperlink"/>
            <w:rFonts w:ascii="Times New Roman" w:hAnsi="Times New Roman"/>
            <w:sz w:val="18"/>
            <w:szCs w:val="18"/>
          </w:rPr>
          <w:t>https://www.ombudsman.rs/attachments/article/6484/POSEBAN%20IZVESTAJ%20ZG%20ANALIZA%20O%20STANJU%20U%20OBLASTI%20VRSENJA%20JAVNIH%20OVLASCENJA.pdf</w:t>
        </w:r>
      </w:hyperlink>
      <w:r w:rsidRPr="00D34941">
        <w:rPr>
          <w:rFonts w:ascii="Times New Roman" w:hAnsi="Times New Roman"/>
          <w:sz w:val="18"/>
          <w:szCs w:val="18"/>
        </w:rPr>
        <w:t xml:space="preserve"> </w:t>
      </w:r>
    </w:p>
  </w:footnote>
  <w:footnote w:id="71">
    <w:p w:rsidR="00AE4ACB" w:rsidRPr="00D34941" w:rsidRDefault="00AE4ACB">
      <w:pPr>
        <w:pStyle w:val="FootnoteText"/>
        <w:rPr>
          <w:lang w:val="sr-Cyrl-RS"/>
        </w:rPr>
      </w:pPr>
      <w:r w:rsidRPr="00D34941">
        <w:rPr>
          <w:rStyle w:val="FootnoteReference"/>
          <w:rFonts w:ascii="Times New Roman" w:hAnsi="Times New Roman"/>
          <w:sz w:val="18"/>
          <w:szCs w:val="18"/>
        </w:rPr>
        <w:footnoteRef/>
      </w:r>
      <w:r w:rsidRPr="00D34941">
        <w:rPr>
          <w:rFonts w:ascii="Times New Roman" w:hAnsi="Times New Roman"/>
          <w:sz w:val="18"/>
          <w:szCs w:val="18"/>
        </w:rPr>
        <w:t xml:space="preserve"> „Службени гласник РС”,</w:t>
      </w:r>
      <w:r>
        <w:rPr>
          <w:rFonts w:ascii="Times New Roman" w:hAnsi="Times New Roman"/>
          <w:sz w:val="18"/>
          <w:szCs w:val="18"/>
        </w:rPr>
        <w:t xml:space="preserve"> бр. 22</w:t>
      </w:r>
      <w:r>
        <w:rPr>
          <w:rFonts w:ascii="Times New Roman" w:hAnsi="Times New Roman"/>
          <w:sz w:val="18"/>
          <w:szCs w:val="18"/>
          <w:lang w:val="sr-Cyrl-RS"/>
        </w:rPr>
        <w:t>/</w:t>
      </w:r>
      <w:r w:rsidRPr="00D34941">
        <w:rPr>
          <w:rFonts w:ascii="Times New Roman" w:hAnsi="Times New Roman"/>
          <w:sz w:val="18"/>
          <w:szCs w:val="18"/>
        </w:rPr>
        <w:t>2016</w:t>
      </w:r>
      <w:r>
        <w:rPr>
          <w:rFonts w:ascii="Times New Roman" w:hAnsi="Times New Roman"/>
          <w:sz w:val="18"/>
          <w:szCs w:val="18"/>
          <w:lang w:val="sr-Cyrl-RS"/>
        </w:rPr>
        <w:t xml:space="preserve"> и</w:t>
      </w:r>
      <w:r w:rsidRPr="00D34941">
        <w:rPr>
          <w:rFonts w:ascii="Times New Roman" w:hAnsi="Times New Roman"/>
          <w:sz w:val="18"/>
          <w:szCs w:val="18"/>
        </w:rPr>
        <w:t xml:space="preserve"> 53</w:t>
      </w:r>
      <w:r>
        <w:rPr>
          <w:rFonts w:ascii="Times New Roman" w:hAnsi="Times New Roman"/>
          <w:sz w:val="18"/>
          <w:szCs w:val="18"/>
          <w:lang w:val="sr-Cyrl-RS"/>
        </w:rPr>
        <w:t>/</w:t>
      </w:r>
      <w:r w:rsidRPr="00D34941">
        <w:rPr>
          <w:rFonts w:ascii="Times New Roman" w:hAnsi="Times New Roman"/>
          <w:sz w:val="18"/>
          <w:szCs w:val="18"/>
        </w:rPr>
        <w:t>2021</w:t>
      </w:r>
    </w:p>
  </w:footnote>
  <w:footnote w:id="72">
    <w:p w:rsidR="00AE4ACB" w:rsidRPr="00E84A7A" w:rsidRDefault="00AE4ACB">
      <w:pPr>
        <w:pStyle w:val="FootnoteText"/>
        <w:rPr>
          <w:rFonts w:ascii="Times New Roman" w:hAnsi="Times New Roman"/>
          <w:sz w:val="18"/>
          <w:szCs w:val="18"/>
          <w:lang w:val="sr-Cyrl-RS"/>
        </w:rPr>
      </w:pPr>
      <w:r w:rsidRPr="00E84A7A">
        <w:rPr>
          <w:rStyle w:val="FootnoteReference"/>
          <w:rFonts w:ascii="Times New Roman" w:hAnsi="Times New Roman"/>
          <w:sz w:val="18"/>
          <w:szCs w:val="18"/>
        </w:rPr>
        <w:footnoteRef/>
      </w:r>
      <w:r w:rsidRPr="00E84A7A">
        <w:rPr>
          <w:rFonts w:ascii="Times New Roman" w:hAnsi="Times New Roman"/>
          <w:sz w:val="18"/>
          <w:szCs w:val="18"/>
        </w:rPr>
        <w:t xml:space="preserve"> „</w:t>
      </w:r>
      <w:r w:rsidRPr="00E84A7A">
        <w:rPr>
          <w:rFonts w:ascii="Times New Roman" w:hAnsi="Times New Roman"/>
          <w:sz w:val="18"/>
          <w:szCs w:val="18"/>
          <w:lang w:val="sr-Cyrl-RS"/>
        </w:rPr>
        <w:t>Службени гласник РС”, број 1/2019</w:t>
      </w:r>
    </w:p>
  </w:footnote>
  <w:footnote w:id="73">
    <w:p w:rsidR="00AE4ACB" w:rsidRPr="00E84A7A" w:rsidRDefault="00AE4ACB">
      <w:pPr>
        <w:pStyle w:val="FootnoteText"/>
        <w:rPr>
          <w:lang w:val="sr-Cyrl-RS"/>
        </w:rPr>
      </w:pPr>
      <w:r w:rsidRPr="00E84A7A">
        <w:rPr>
          <w:rStyle w:val="FootnoteReference"/>
          <w:rFonts w:ascii="Times New Roman" w:hAnsi="Times New Roman"/>
          <w:sz w:val="18"/>
          <w:szCs w:val="18"/>
        </w:rPr>
        <w:footnoteRef/>
      </w:r>
      <w:r w:rsidRPr="00E84A7A">
        <w:rPr>
          <w:rFonts w:ascii="Times New Roman" w:hAnsi="Times New Roman"/>
          <w:sz w:val="18"/>
          <w:szCs w:val="18"/>
        </w:rPr>
        <w:t xml:space="preserve"> „</w:t>
      </w:r>
      <w:r w:rsidRPr="00E84A7A">
        <w:rPr>
          <w:rFonts w:ascii="Times New Roman" w:hAnsi="Times New Roman"/>
          <w:sz w:val="18"/>
          <w:szCs w:val="18"/>
          <w:lang w:val="sr-Cyrl-RS"/>
        </w:rPr>
        <w:t>Службени гласник РС”, број 1/2019</w:t>
      </w:r>
    </w:p>
  </w:footnote>
  <w:footnote w:id="74">
    <w:p w:rsidR="00AE4ACB" w:rsidRPr="00E84A7A" w:rsidRDefault="00AE4ACB">
      <w:pPr>
        <w:pStyle w:val="FootnoteText"/>
        <w:rPr>
          <w:rFonts w:ascii="Times New Roman" w:hAnsi="Times New Roman"/>
          <w:sz w:val="18"/>
          <w:szCs w:val="18"/>
          <w:lang w:val="sr-Cyrl-RS"/>
        </w:rPr>
      </w:pPr>
      <w:r w:rsidRPr="00E84A7A">
        <w:rPr>
          <w:rStyle w:val="FootnoteReference"/>
          <w:rFonts w:ascii="Times New Roman" w:hAnsi="Times New Roman"/>
          <w:sz w:val="18"/>
          <w:szCs w:val="18"/>
        </w:rPr>
        <w:footnoteRef/>
      </w:r>
      <w:r w:rsidRPr="00E84A7A">
        <w:rPr>
          <w:rFonts w:ascii="Times New Roman" w:hAnsi="Times New Roman"/>
          <w:sz w:val="18"/>
          <w:szCs w:val="18"/>
        </w:rPr>
        <w:t xml:space="preserve"> </w:t>
      </w:r>
      <w:r w:rsidRPr="00E84A7A">
        <w:rPr>
          <w:rFonts w:ascii="Times New Roman" w:hAnsi="Times New Roman"/>
          <w:sz w:val="18"/>
          <w:szCs w:val="18"/>
          <w:lang w:val="sr-Cyrl-RS"/>
        </w:rPr>
        <w:t>„Службени гласник РС”, бр. 33/</w:t>
      </w:r>
      <w:r>
        <w:rPr>
          <w:rFonts w:ascii="Times New Roman" w:hAnsi="Times New Roman"/>
          <w:sz w:val="18"/>
          <w:szCs w:val="18"/>
          <w:lang w:val="sr-Cyrl-RS"/>
        </w:rPr>
        <w:t>30</w:t>
      </w:r>
      <w:r w:rsidRPr="00E84A7A">
        <w:rPr>
          <w:rFonts w:ascii="Times New Roman" w:hAnsi="Times New Roman"/>
          <w:sz w:val="18"/>
          <w:szCs w:val="18"/>
          <w:lang w:val="sr-Cyrl-RS"/>
        </w:rPr>
        <w:t>19, 42/</w:t>
      </w:r>
      <w:r>
        <w:rPr>
          <w:rFonts w:ascii="Times New Roman" w:hAnsi="Times New Roman"/>
          <w:sz w:val="18"/>
          <w:szCs w:val="18"/>
          <w:lang w:val="sr-Cyrl-RS"/>
        </w:rPr>
        <w:t>20</w:t>
      </w:r>
      <w:r w:rsidRPr="00E84A7A">
        <w:rPr>
          <w:rFonts w:ascii="Times New Roman" w:hAnsi="Times New Roman"/>
          <w:sz w:val="18"/>
          <w:szCs w:val="18"/>
          <w:lang w:val="sr-Cyrl-RS"/>
        </w:rPr>
        <w:t>19 и 18/</w:t>
      </w:r>
      <w:r>
        <w:rPr>
          <w:rFonts w:ascii="Times New Roman" w:hAnsi="Times New Roman"/>
          <w:sz w:val="18"/>
          <w:szCs w:val="18"/>
          <w:lang w:val="sr-Cyrl-RS"/>
        </w:rPr>
        <w:t>20</w:t>
      </w:r>
      <w:r w:rsidRPr="00E84A7A">
        <w:rPr>
          <w:rFonts w:ascii="Times New Roman" w:hAnsi="Times New Roman"/>
          <w:sz w:val="18"/>
          <w:szCs w:val="18"/>
          <w:lang w:val="sr-Cyrl-RS"/>
        </w:rPr>
        <w:t>22</w:t>
      </w:r>
    </w:p>
  </w:footnote>
  <w:footnote w:id="75">
    <w:p w:rsidR="00AE4ACB" w:rsidRPr="00E84A7A" w:rsidRDefault="00AE4ACB">
      <w:pPr>
        <w:pStyle w:val="FootnoteText"/>
        <w:rPr>
          <w:rFonts w:ascii="Times New Roman" w:hAnsi="Times New Roman"/>
          <w:sz w:val="18"/>
          <w:szCs w:val="18"/>
          <w:lang w:val="sr-Cyrl-RS"/>
        </w:rPr>
      </w:pPr>
      <w:r w:rsidRPr="00E84A7A">
        <w:rPr>
          <w:rStyle w:val="FootnoteReference"/>
          <w:rFonts w:ascii="Times New Roman" w:hAnsi="Times New Roman"/>
          <w:sz w:val="18"/>
          <w:szCs w:val="18"/>
        </w:rPr>
        <w:footnoteRef/>
      </w:r>
      <w:r w:rsidRPr="00E84A7A">
        <w:rPr>
          <w:rFonts w:ascii="Times New Roman" w:hAnsi="Times New Roman"/>
          <w:sz w:val="18"/>
          <w:szCs w:val="18"/>
        </w:rPr>
        <w:t xml:space="preserve"> </w:t>
      </w:r>
      <w:r w:rsidRPr="00E84A7A">
        <w:rPr>
          <w:rFonts w:ascii="Times New Roman" w:hAnsi="Times New Roman"/>
          <w:sz w:val="18"/>
          <w:szCs w:val="18"/>
          <w:lang w:val="sr-Cyrl-RS"/>
        </w:rPr>
        <w:t>„Службени гласник РС”, број 46/</w:t>
      </w:r>
      <w:r>
        <w:rPr>
          <w:rFonts w:ascii="Times New Roman" w:hAnsi="Times New Roman"/>
          <w:sz w:val="18"/>
          <w:szCs w:val="18"/>
          <w:lang w:val="sr-Cyrl-RS"/>
        </w:rPr>
        <w:t>20</w:t>
      </w:r>
      <w:r w:rsidRPr="00E84A7A">
        <w:rPr>
          <w:rFonts w:ascii="Times New Roman" w:hAnsi="Times New Roman"/>
          <w:sz w:val="18"/>
          <w:szCs w:val="18"/>
          <w:lang w:val="sr-Cyrl-RS"/>
        </w:rPr>
        <w:t>21</w:t>
      </w:r>
      <w:bookmarkStart w:id="7" w:name="_GoBack"/>
      <w:bookmarkEnd w:id="7"/>
    </w:p>
  </w:footnote>
  <w:footnote w:id="76">
    <w:p w:rsidR="00AE4ACB" w:rsidRPr="00E01CC4" w:rsidRDefault="00AE4ACB" w:rsidP="004A29F3">
      <w:pPr>
        <w:pStyle w:val="FootnoteText"/>
        <w:rPr>
          <w:rFonts w:ascii="Times New Roman" w:hAnsi="Times New Roman"/>
          <w:sz w:val="18"/>
          <w:szCs w:val="18"/>
          <w:lang w:val="sr-Cyrl-RS"/>
        </w:rPr>
      </w:pPr>
      <w:r w:rsidRPr="00E01CC4">
        <w:rPr>
          <w:rStyle w:val="FootnoteReference"/>
          <w:rFonts w:ascii="Times New Roman" w:hAnsi="Times New Roman"/>
          <w:sz w:val="18"/>
          <w:szCs w:val="18"/>
        </w:rPr>
        <w:footnoteRef/>
      </w:r>
      <w:r w:rsidRPr="00E01CC4">
        <w:rPr>
          <w:rFonts w:ascii="Times New Roman" w:hAnsi="Times New Roman"/>
          <w:sz w:val="18"/>
          <w:szCs w:val="18"/>
        </w:rPr>
        <w:t xml:space="preserve"> ACFC/OP/III(2013)006</w:t>
      </w:r>
      <w:r w:rsidRPr="00E01CC4">
        <w:rPr>
          <w:rFonts w:ascii="Times New Roman" w:hAnsi="Times New Roman"/>
          <w:sz w:val="18"/>
          <w:szCs w:val="18"/>
          <w:lang w:val="sr-Cyrl-RS"/>
        </w:rPr>
        <w:t>, парагарф 36.</w:t>
      </w:r>
    </w:p>
  </w:footnote>
  <w:footnote w:id="77">
    <w:p w:rsidR="00AE4ACB" w:rsidRPr="005D5321" w:rsidRDefault="00AE4ACB">
      <w:pPr>
        <w:pStyle w:val="FootnoteText"/>
        <w:rPr>
          <w:rFonts w:ascii="Times New Roman" w:hAnsi="Times New Roman"/>
          <w:sz w:val="18"/>
          <w:szCs w:val="18"/>
          <w:lang w:val="sr-Cyrl-RS"/>
        </w:rPr>
      </w:pPr>
      <w:r w:rsidRPr="005D5321">
        <w:rPr>
          <w:rStyle w:val="FootnoteReference"/>
          <w:rFonts w:ascii="Times New Roman" w:hAnsi="Times New Roman"/>
          <w:sz w:val="18"/>
          <w:szCs w:val="18"/>
        </w:rPr>
        <w:footnoteRef/>
      </w:r>
      <w:r w:rsidRPr="005D5321">
        <w:rPr>
          <w:rFonts w:ascii="Times New Roman" w:hAnsi="Times New Roman"/>
          <w:sz w:val="18"/>
          <w:szCs w:val="18"/>
        </w:rPr>
        <w:t xml:space="preserve"> У извештајима о напретку Републике Србије у процесу евроинтеграција и спровођењу акционих планова за поглавља 23. и 24, Европска комисија је оценила да су неопходне додатне измене Закона о забрани дискриминације како би се у потпуности ускладио са правним тековинама ЕУ. С тим у вези, истакнуто је да пун капацитет Повереника да спроводи надлежности у складу са Законом о забрани дискриминације још увек није остварен. Европска комисија против расизма и нетолеранције, у оквиру својих извештаја и смерница, указивала је</w:t>
      </w:r>
      <w:r w:rsidRPr="005D5321">
        <w:rPr>
          <w:rFonts w:ascii="Times New Roman" w:hAnsi="Times New Roman"/>
          <w:sz w:val="18"/>
          <w:szCs w:val="18"/>
          <w:lang w:val="sr-Cyrl-RS"/>
        </w:rPr>
        <w:t>, такође,</w:t>
      </w:r>
      <w:r w:rsidRPr="005D5321">
        <w:rPr>
          <w:rFonts w:ascii="Times New Roman" w:hAnsi="Times New Roman"/>
          <w:sz w:val="18"/>
          <w:szCs w:val="18"/>
        </w:rPr>
        <w:t xml:space="preserve"> на значај оснаживања капацитета Повереника проширивањем надлежности.</w:t>
      </w:r>
    </w:p>
  </w:footnote>
  <w:footnote w:id="78">
    <w:p w:rsidR="00AE4ACB" w:rsidRPr="00514320" w:rsidRDefault="00AE4ACB">
      <w:pPr>
        <w:pStyle w:val="FootnoteText"/>
        <w:rPr>
          <w:rFonts w:ascii="Times New Roman" w:hAnsi="Times New Roman"/>
          <w:sz w:val="18"/>
          <w:szCs w:val="18"/>
          <w:lang w:val="sr-Cyrl-RS"/>
        </w:rPr>
      </w:pPr>
      <w:r w:rsidRPr="00514320">
        <w:rPr>
          <w:rStyle w:val="FootnoteReference"/>
          <w:rFonts w:ascii="Times New Roman" w:hAnsi="Times New Roman"/>
          <w:sz w:val="18"/>
          <w:szCs w:val="18"/>
        </w:rPr>
        <w:footnoteRef/>
      </w:r>
      <w:r w:rsidRPr="00514320">
        <w:rPr>
          <w:rFonts w:ascii="Times New Roman" w:hAnsi="Times New Roman"/>
          <w:sz w:val="18"/>
          <w:szCs w:val="18"/>
        </w:rPr>
        <w:t xml:space="preserve"> „Службени гласник РС”, број 12</w:t>
      </w:r>
      <w:r w:rsidRPr="00514320">
        <w:rPr>
          <w:rFonts w:ascii="Times New Roman" w:hAnsi="Times New Roman"/>
          <w:sz w:val="18"/>
          <w:szCs w:val="18"/>
          <w:lang w:val="sr-Cyrl-RS"/>
        </w:rPr>
        <w:t>/</w:t>
      </w:r>
      <w:r w:rsidRPr="00514320">
        <w:rPr>
          <w:rFonts w:ascii="Times New Roman" w:hAnsi="Times New Roman"/>
          <w:sz w:val="18"/>
          <w:szCs w:val="18"/>
        </w:rPr>
        <w:t>2022</w:t>
      </w:r>
    </w:p>
  </w:footnote>
  <w:footnote w:id="79">
    <w:p w:rsidR="00AE4ACB" w:rsidRPr="00CD32CE" w:rsidRDefault="00AE4ACB">
      <w:pPr>
        <w:pStyle w:val="FootnoteText"/>
        <w:rPr>
          <w:rFonts w:ascii="Times New Roman" w:hAnsi="Times New Roman"/>
          <w:sz w:val="18"/>
          <w:szCs w:val="18"/>
          <w:lang w:val="sr-Cyrl-RS"/>
        </w:rPr>
      </w:pPr>
      <w:r w:rsidRPr="00CD32CE">
        <w:rPr>
          <w:rStyle w:val="FootnoteReference"/>
          <w:rFonts w:ascii="Times New Roman" w:hAnsi="Times New Roman"/>
          <w:sz w:val="18"/>
          <w:szCs w:val="18"/>
        </w:rPr>
        <w:footnoteRef/>
      </w:r>
      <w:r w:rsidRPr="00CD32CE">
        <w:rPr>
          <w:rFonts w:ascii="Times New Roman" w:hAnsi="Times New Roman"/>
          <w:sz w:val="18"/>
          <w:szCs w:val="18"/>
        </w:rPr>
        <w:t xml:space="preserve"> </w:t>
      </w:r>
      <w:r w:rsidRPr="00CD32CE">
        <w:rPr>
          <w:rFonts w:ascii="Times New Roman" w:hAnsi="Times New Roman"/>
          <w:sz w:val="18"/>
          <w:szCs w:val="18"/>
          <w:lang w:val="sr-Cyrl-RS"/>
        </w:rPr>
        <w:t>„Службени гласник РС”, број 6/2008</w:t>
      </w:r>
    </w:p>
  </w:footnote>
  <w:footnote w:id="80">
    <w:p w:rsidR="00AE4ACB" w:rsidRPr="00761E91" w:rsidRDefault="00AE4ACB">
      <w:pPr>
        <w:pStyle w:val="FootnoteText"/>
        <w:rPr>
          <w:rFonts w:ascii="Times New Roman" w:hAnsi="Times New Roman"/>
          <w:sz w:val="18"/>
          <w:szCs w:val="18"/>
          <w:lang w:val="sr-Cyrl-RS"/>
        </w:rPr>
      </w:pPr>
      <w:r w:rsidRPr="00761E91">
        <w:rPr>
          <w:rStyle w:val="FootnoteReference"/>
          <w:rFonts w:ascii="Times New Roman" w:hAnsi="Times New Roman"/>
          <w:sz w:val="18"/>
          <w:szCs w:val="18"/>
        </w:rPr>
        <w:footnoteRef/>
      </w:r>
      <w:r w:rsidRPr="00761E91">
        <w:rPr>
          <w:rFonts w:ascii="Times New Roman" w:hAnsi="Times New Roman"/>
          <w:sz w:val="18"/>
          <w:szCs w:val="18"/>
        </w:rPr>
        <w:t xml:space="preserve"> </w:t>
      </w:r>
      <w:r w:rsidRPr="00761E91">
        <w:rPr>
          <w:rFonts w:ascii="Times New Roman" w:hAnsi="Times New Roman"/>
          <w:sz w:val="18"/>
          <w:szCs w:val="18"/>
          <w:lang w:val="sr-Cyrl-RS"/>
        </w:rPr>
        <w:t xml:space="preserve">„Службени гласник РС”, бр. 18/2005, 72/2011 – др. </w:t>
      </w:r>
      <w:r>
        <w:rPr>
          <w:rFonts w:ascii="Times New Roman" w:hAnsi="Times New Roman"/>
          <w:sz w:val="18"/>
          <w:szCs w:val="18"/>
          <w:lang w:val="sr-Cyrl-RS"/>
        </w:rPr>
        <w:t>з</w:t>
      </w:r>
      <w:r w:rsidRPr="00761E91">
        <w:rPr>
          <w:rFonts w:ascii="Times New Roman" w:hAnsi="Times New Roman"/>
          <w:sz w:val="18"/>
          <w:szCs w:val="18"/>
          <w:lang w:val="sr-Cyrl-RS"/>
        </w:rPr>
        <w:t>акон и 6/2015</w:t>
      </w:r>
    </w:p>
  </w:footnote>
  <w:footnote w:id="81">
    <w:p w:rsidR="00AE4ACB" w:rsidRPr="00761E91" w:rsidRDefault="00AE4ACB">
      <w:pPr>
        <w:pStyle w:val="FootnoteText"/>
        <w:rPr>
          <w:rFonts w:ascii="Times New Roman" w:hAnsi="Times New Roman"/>
          <w:sz w:val="18"/>
          <w:szCs w:val="18"/>
          <w:lang w:val="sr-Cyrl-RS"/>
        </w:rPr>
      </w:pPr>
      <w:r w:rsidRPr="00761E91">
        <w:rPr>
          <w:rStyle w:val="FootnoteReference"/>
          <w:rFonts w:ascii="Times New Roman" w:hAnsi="Times New Roman"/>
          <w:sz w:val="18"/>
          <w:szCs w:val="18"/>
        </w:rPr>
        <w:footnoteRef/>
      </w:r>
      <w:r w:rsidRPr="00761E91">
        <w:rPr>
          <w:rFonts w:ascii="Times New Roman" w:hAnsi="Times New Roman"/>
          <w:sz w:val="18"/>
          <w:szCs w:val="18"/>
        </w:rPr>
        <w:t xml:space="preserve"> </w:t>
      </w:r>
      <w:r w:rsidRPr="00761E91">
        <w:rPr>
          <w:rFonts w:ascii="Times New Roman" w:hAnsi="Times New Roman"/>
          <w:sz w:val="18"/>
          <w:szCs w:val="18"/>
          <w:lang w:val="sr-Cyrl-RS"/>
        </w:rPr>
        <w:t>„Службени гласник РС”, бр. 93/2018 и 24/2022</w:t>
      </w:r>
    </w:p>
  </w:footnote>
  <w:footnote w:id="82">
    <w:p w:rsidR="00AE4ACB" w:rsidRPr="007374F4" w:rsidRDefault="00AE4ACB">
      <w:pPr>
        <w:pStyle w:val="FootnoteText"/>
        <w:rPr>
          <w:lang w:val="sr-Cyrl-RS"/>
        </w:rPr>
      </w:pPr>
      <w:r w:rsidRPr="00761E91">
        <w:rPr>
          <w:rStyle w:val="FootnoteReference"/>
          <w:rFonts w:ascii="Times New Roman" w:hAnsi="Times New Roman"/>
          <w:sz w:val="18"/>
          <w:szCs w:val="18"/>
        </w:rPr>
        <w:footnoteRef/>
      </w:r>
      <w:r w:rsidRPr="00761E91">
        <w:rPr>
          <w:rFonts w:ascii="Times New Roman" w:hAnsi="Times New Roman"/>
          <w:sz w:val="18"/>
          <w:szCs w:val="18"/>
        </w:rPr>
        <w:t xml:space="preserve"> </w:t>
      </w:r>
      <w:r w:rsidRPr="00761E91">
        <w:rPr>
          <w:rFonts w:ascii="Times New Roman" w:hAnsi="Times New Roman"/>
          <w:sz w:val="18"/>
          <w:szCs w:val="18"/>
          <w:lang w:val="sr-Cyrl-RS"/>
        </w:rPr>
        <w:t>„Службени гласник РС”, бр. 25/2011, 9/2016, 16/2016, 36/2016 и 103/2018</w:t>
      </w:r>
    </w:p>
  </w:footnote>
  <w:footnote w:id="83">
    <w:p w:rsidR="00AE4ACB" w:rsidRPr="007374F4" w:rsidRDefault="00AE4ACB">
      <w:pPr>
        <w:pStyle w:val="FootnoteText"/>
        <w:rPr>
          <w:rFonts w:ascii="Times New Roman" w:hAnsi="Times New Roman"/>
          <w:sz w:val="18"/>
          <w:szCs w:val="18"/>
          <w:lang w:val="sr-Cyrl-RS"/>
        </w:rPr>
      </w:pPr>
      <w:r w:rsidRPr="007374F4">
        <w:rPr>
          <w:rStyle w:val="FootnoteReference"/>
          <w:rFonts w:ascii="Times New Roman" w:hAnsi="Times New Roman"/>
          <w:sz w:val="18"/>
          <w:szCs w:val="18"/>
        </w:rPr>
        <w:footnoteRef/>
      </w:r>
      <w:r w:rsidRPr="007374F4">
        <w:rPr>
          <w:rFonts w:ascii="Times New Roman" w:hAnsi="Times New Roman"/>
          <w:sz w:val="18"/>
          <w:szCs w:val="18"/>
        </w:rPr>
        <w:t xml:space="preserve"> </w:t>
      </w:r>
      <w:hyperlink r:id="rId37" w:history="1">
        <w:r w:rsidRPr="007374F4">
          <w:rPr>
            <w:rStyle w:val="Hyperlink"/>
            <w:rFonts w:ascii="Times New Roman" w:hAnsi="Times New Roman"/>
            <w:sz w:val="18"/>
            <w:szCs w:val="18"/>
          </w:rPr>
          <w:t>http://mduls.gov.rs/wp-content/uploads/Instrukcija-za-postupanje-u-slucajevima-rodjenja-deteta-ciji-roditelji-nemaju-licna-dokumenta-radi-omogucavanja-upisa-u-MKR.pdf</w:t>
        </w:r>
      </w:hyperlink>
      <w:r w:rsidRPr="007374F4">
        <w:rPr>
          <w:rFonts w:ascii="Times New Roman" w:hAnsi="Times New Roman"/>
          <w:sz w:val="18"/>
          <w:szCs w:val="18"/>
          <w:lang w:val="sr-Cyrl-RS"/>
        </w:rPr>
        <w:t xml:space="preserve"> </w:t>
      </w:r>
    </w:p>
  </w:footnote>
  <w:footnote w:id="84">
    <w:p w:rsidR="00AE4ACB" w:rsidRPr="00ED00B4" w:rsidRDefault="00AE4ACB">
      <w:pPr>
        <w:pStyle w:val="FootnoteText"/>
        <w:rPr>
          <w:lang w:val="sr-Cyrl-RS"/>
        </w:rPr>
      </w:pPr>
      <w:r>
        <w:rPr>
          <w:rStyle w:val="FootnoteReference"/>
        </w:rPr>
        <w:footnoteRef/>
      </w:r>
      <w:r>
        <w:t xml:space="preserve"> </w:t>
      </w:r>
      <w:r w:rsidRPr="009012E2">
        <w:rPr>
          <w:rFonts w:ascii="Times New Roman" w:hAnsi="Times New Roman"/>
          <w:sz w:val="18"/>
          <w:szCs w:val="18"/>
          <w:lang w:val="sr-Cyrl-RS"/>
        </w:rPr>
        <w:t>„Службени гласник РС”, бр.</w:t>
      </w:r>
      <w:r>
        <w:rPr>
          <w:rFonts w:ascii="Times New Roman" w:hAnsi="Times New Roman"/>
          <w:sz w:val="18"/>
          <w:szCs w:val="18"/>
          <w:lang w:val="sr-Cyrl-RS"/>
        </w:rPr>
        <w:t xml:space="preserve"> </w:t>
      </w:r>
      <w:r w:rsidRPr="00ED00B4">
        <w:rPr>
          <w:rFonts w:ascii="Times New Roman" w:hAnsi="Times New Roman"/>
          <w:sz w:val="18"/>
          <w:szCs w:val="18"/>
          <w:lang w:val="sr-Cyrl-RS"/>
        </w:rPr>
        <w:t>43/2003, 51/2003 - испр., 61/2005, 101/2005 - др. закон, 5/2009, 54/2009, 50/2011, 70/2011 - усклађени дин. изн., 55/2012 - усклађени дин. изн., 93/2012, 47/2013 - усклађени дин. изн., 65/2013 - др. закон, 57/2014 - усклађени дин. изн., 45/2015 - усклађени дин. изн., 83/2015, 112/2015, 50/2016 - усклађени дин. изн., 61/2017 - усклађени дин. изн., 113/2017, 3/2018 - испр., 50/2018 - усклађени дин. изн., 95/2018, 38/2019 - усклађени дин. изн., 86/2019, 90/2019 - испр., 98/2020 - усклађени дин. изн., 144/2020 и 62/2021- усклађени дин. изн.</w:t>
      </w:r>
    </w:p>
  </w:footnote>
  <w:footnote w:id="85">
    <w:p w:rsidR="00AE4ACB" w:rsidRPr="00761E91" w:rsidRDefault="00AE4ACB">
      <w:pPr>
        <w:pStyle w:val="FootnoteText"/>
        <w:rPr>
          <w:rFonts w:ascii="Times New Roman" w:hAnsi="Times New Roman"/>
          <w:sz w:val="18"/>
          <w:szCs w:val="18"/>
          <w:lang w:val="sr-Cyrl-RS"/>
        </w:rPr>
      </w:pPr>
      <w:r w:rsidRPr="00761E91">
        <w:rPr>
          <w:rStyle w:val="FootnoteReference"/>
          <w:rFonts w:ascii="Times New Roman" w:hAnsi="Times New Roman"/>
          <w:sz w:val="18"/>
          <w:szCs w:val="18"/>
        </w:rPr>
        <w:footnoteRef/>
      </w:r>
      <w:r w:rsidRPr="00761E91">
        <w:rPr>
          <w:rFonts w:ascii="Times New Roman" w:hAnsi="Times New Roman"/>
          <w:sz w:val="18"/>
          <w:szCs w:val="18"/>
        </w:rPr>
        <w:t xml:space="preserve"> </w:t>
      </w:r>
      <w:r w:rsidRPr="00761E91">
        <w:rPr>
          <w:rFonts w:ascii="Times New Roman" w:hAnsi="Times New Roman"/>
          <w:sz w:val="18"/>
          <w:szCs w:val="18"/>
          <w:lang w:val="sr-Cyrl-RS"/>
        </w:rPr>
        <w:t>„Службени гласник РС”, број 87/2011</w:t>
      </w:r>
    </w:p>
  </w:footnote>
  <w:footnote w:id="86">
    <w:p w:rsidR="00AE4ACB" w:rsidRPr="00761E91" w:rsidRDefault="00AE4ACB">
      <w:pPr>
        <w:pStyle w:val="FootnoteText"/>
        <w:rPr>
          <w:rFonts w:ascii="Times New Roman" w:hAnsi="Times New Roman"/>
          <w:sz w:val="18"/>
          <w:szCs w:val="18"/>
          <w:lang w:val="sr-Cyrl-RS"/>
        </w:rPr>
      </w:pPr>
      <w:r w:rsidRPr="00761E91">
        <w:rPr>
          <w:rStyle w:val="FootnoteReference"/>
          <w:rFonts w:ascii="Times New Roman" w:hAnsi="Times New Roman"/>
          <w:sz w:val="18"/>
          <w:szCs w:val="18"/>
        </w:rPr>
        <w:footnoteRef/>
      </w:r>
      <w:r w:rsidRPr="00761E91">
        <w:rPr>
          <w:rFonts w:ascii="Times New Roman" w:hAnsi="Times New Roman"/>
          <w:sz w:val="18"/>
          <w:szCs w:val="18"/>
        </w:rPr>
        <w:t xml:space="preserve"> </w:t>
      </w:r>
      <w:r w:rsidRPr="00761E91">
        <w:rPr>
          <w:rFonts w:ascii="Times New Roman" w:hAnsi="Times New Roman"/>
          <w:sz w:val="18"/>
          <w:szCs w:val="18"/>
          <w:lang w:val="sr-Cyrl-RS"/>
        </w:rPr>
        <w:t>„Службени гласник РС”, број  14/2021</w:t>
      </w:r>
    </w:p>
  </w:footnote>
  <w:footnote w:id="87">
    <w:p w:rsidR="00AE4ACB" w:rsidRPr="003073A1" w:rsidRDefault="00AE4ACB">
      <w:pPr>
        <w:pStyle w:val="FootnoteText"/>
        <w:rPr>
          <w:rFonts w:ascii="Times New Roman" w:hAnsi="Times New Roman"/>
          <w:sz w:val="18"/>
          <w:szCs w:val="18"/>
          <w:lang w:val="sr-Cyrl-RS"/>
        </w:rPr>
      </w:pPr>
      <w:r w:rsidRPr="003073A1">
        <w:rPr>
          <w:rStyle w:val="FootnoteReference"/>
          <w:rFonts w:ascii="Times New Roman" w:hAnsi="Times New Roman"/>
          <w:sz w:val="18"/>
          <w:szCs w:val="18"/>
        </w:rPr>
        <w:footnoteRef/>
      </w:r>
      <w:r w:rsidRPr="003073A1">
        <w:rPr>
          <w:rFonts w:ascii="Times New Roman" w:hAnsi="Times New Roman"/>
          <w:sz w:val="18"/>
          <w:szCs w:val="18"/>
        </w:rPr>
        <w:t xml:space="preserve"> У складу са прописима који уређују област стратешког планирања, консултације се спроводе од самог почетка израде, као и током праћења спровођења прописа и документа јавне политике. Превасходни циљ консултација јесте да се прикупе информације о тренутном стању у области и проблемима који постоје и виђењу промене која треба да се постигну, као и да се утврде мишљења и ставови према предложеним опцијама, мерама и решењима, и прикупе додатни предлози о могућим правцима акције. Консултације се спроводе применом метода као што су: прикупљање писаних коментара, округли столови, фокус групе, полуструктурирани интервјуи, панели и анкете.</w:t>
      </w:r>
    </w:p>
  </w:footnote>
  <w:footnote w:id="88">
    <w:p w:rsidR="00AE4ACB" w:rsidRPr="008A7FB0" w:rsidRDefault="00AE4ACB">
      <w:pPr>
        <w:pStyle w:val="FootnoteText"/>
        <w:rPr>
          <w:rFonts w:ascii="Times New Roman" w:hAnsi="Times New Roman"/>
          <w:sz w:val="18"/>
          <w:szCs w:val="18"/>
          <w:lang w:val="sr-Cyrl-RS"/>
        </w:rPr>
      </w:pPr>
      <w:r w:rsidRPr="008A7FB0">
        <w:rPr>
          <w:rStyle w:val="FootnoteReference"/>
          <w:rFonts w:ascii="Times New Roman" w:hAnsi="Times New Roman"/>
          <w:sz w:val="18"/>
          <w:szCs w:val="18"/>
        </w:rPr>
        <w:footnoteRef/>
      </w:r>
      <w:r w:rsidRPr="008A7FB0">
        <w:rPr>
          <w:rFonts w:ascii="Times New Roman" w:hAnsi="Times New Roman"/>
          <w:sz w:val="18"/>
          <w:szCs w:val="18"/>
        </w:rPr>
        <w:t xml:space="preserve"> </w:t>
      </w:r>
      <w:hyperlink r:id="rId38" w:history="1">
        <w:r w:rsidRPr="00DF4D71">
          <w:rPr>
            <w:rStyle w:val="Hyperlink"/>
            <w:rFonts w:ascii="Times New Roman" w:hAnsi="Times New Roman"/>
            <w:sz w:val="18"/>
            <w:szCs w:val="18"/>
          </w:rPr>
          <w:t>https://slobodnarec.rs/2022/04/16/etnicka-distanca-odnos-vojvodjanskih-madjara-prema-drugim-nacionalnostima/</w:t>
        </w:r>
      </w:hyperlink>
      <w:r>
        <w:rPr>
          <w:rFonts w:ascii="Times New Roman" w:hAnsi="Times New Roman"/>
          <w:sz w:val="18"/>
          <w:szCs w:val="18"/>
          <w:lang w:val="sr-Cyrl-RS"/>
        </w:rPr>
        <w:t xml:space="preserve"> </w:t>
      </w:r>
    </w:p>
  </w:footnote>
  <w:footnote w:id="89">
    <w:p w:rsidR="00AE4ACB" w:rsidRPr="00277799" w:rsidRDefault="00AE4ACB">
      <w:pPr>
        <w:pStyle w:val="FootnoteText"/>
        <w:rPr>
          <w:rFonts w:ascii="Times New Roman" w:hAnsi="Times New Roman"/>
          <w:sz w:val="18"/>
          <w:szCs w:val="18"/>
          <w:lang w:val="sr-Cyrl-RS"/>
        </w:rPr>
      </w:pPr>
      <w:r w:rsidRPr="00277799">
        <w:rPr>
          <w:rStyle w:val="FootnoteReference"/>
          <w:rFonts w:ascii="Times New Roman" w:hAnsi="Times New Roman"/>
          <w:sz w:val="18"/>
          <w:szCs w:val="18"/>
        </w:rPr>
        <w:footnoteRef/>
      </w:r>
      <w:r w:rsidRPr="00277799">
        <w:rPr>
          <w:rFonts w:ascii="Times New Roman" w:hAnsi="Times New Roman"/>
          <w:sz w:val="18"/>
          <w:szCs w:val="18"/>
        </w:rPr>
        <w:t xml:space="preserve"> </w:t>
      </w:r>
      <w:hyperlink r:id="rId39" w:history="1">
        <w:r w:rsidRPr="00DF4D71">
          <w:rPr>
            <w:rStyle w:val="Hyperlink"/>
            <w:rFonts w:ascii="Times New Roman" w:hAnsi="Times New Roman"/>
            <w:sz w:val="18"/>
            <w:szCs w:val="18"/>
          </w:rPr>
          <w:t>https://isi.f.bg.ac.rs/wp-content/uploads/2020/01/Mladen-Lazi%C4%87-Slobodan-Cveji%C4%87-prir-Stratifikacijske-promene-u-periodu-konsolidacije-kapitalizma-u-Srbiji.pdf</w:t>
        </w:r>
      </w:hyperlink>
      <w:r>
        <w:rPr>
          <w:rFonts w:ascii="Times New Roman" w:hAnsi="Times New Roman"/>
          <w:sz w:val="18"/>
          <w:szCs w:val="18"/>
          <w:lang w:val="sr-Cyrl-RS"/>
        </w:rPr>
        <w:t xml:space="preserve"> </w:t>
      </w:r>
    </w:p>
  </w:footnote>
  <w:footnote w:id="90">
    <w:p w:rsidR="00AE4ACB" w:rsidRPr="009C3510" w:rsidRDefault="00AE4ACB">
      <w:pPr>
        <w:pStyle w:val="FootnoteText"/>
        <w:rPr>
          <w:lang w:val="sr-Cyrl-RS"/>
        </w:rPr>
      </w:pPr>
      <w:r w:rsidRPr="009C3510">
        <w:rPr>
          <w:rStyle w:val="FootnoteReference"/>
          <w:rFonts w:ascii="Times New Roman" w:hAnsi="Times New Roman"/>
          <w:sz w:val="18"/>
          <w:szCs w:val="18"/>
        </w:rPr>
        <w:footnoteRef/>
      </w:r>
      <w:r w:rsidRPr="009C3510">
        <w:rPr>
          <w:rFonts w:ascii="Times New Roman" w:hAnsi="Times New Roman"/>
          <w:sz w:val="18"/>
          <w:szCs w:val="18"/>
        </w:rPr>
        <w:t xml:space="preserve"> „Службени гласник РС</w:t>
      </w:r>
      <w:r w:rsidRPr="00761E91">
        <w:rPr>
          <w:rFonts w:ascii="Times New Roman" w:hAnsi="Times New Roman"/>
          <w:sz w:val="18"/>
          <w:szCs w:val="18"/>
          <w:lang w:val="sr-Cyrl-RS"/>
        </w:rPr>
        <w:t>”</w:t>
      </w:r>
      <w:r>
        <w:rPr>
          <w:rFonts w:ascii="Times New Roman" w:hAnsi="Times New Roman"/>
          <w:sz w:val="18"/>
          <w:szCs w:val="18"/>
          <w:lang w:val="sr-Cyrl-RS"/>
        </w:rPr>
        <w:t>,</w:t>
      </w:r>
      <w:r w:rsidRPr="009C3510">
        <w:rPr>
          <w:rFonts w:ascii="Times New Roman" w:hAnsi="Times New Roman"/>
          <w:sz w:val="18"/>
          <w:szCs w:val="18"/>
        </w:rPr>
        <w:t xml:space="preserve"> бр. 83/2014, 58/2015 и 12/2016 - аутентично тумачење</w:t>
      </w:r>
    </w:p>
  </w:footnote>
  <w:footnote w:id="91">
    <w:p w:rsidR="00AE4ACB" w:rsidRPr="00126AEB" w:rsidRDefault="00AE4ACB">
      <w:pPr>
        <w:pStyle w:val="FootnoteText"/>
        <w:rPr>
          <w:rFonts w:ascii="Times New Roman" w:hAnsi="Times New Roman"/>
          <w:sz w:val="18"/>
          <w:szCs w:val="18"/>
          <w:lang w:val="sr-Cyrl-RS"/>
        </w:rPr>
      </w:pPr>
      <w:r w:rsidRPr="00126AEB">
        <w:rPr>
          <w:rStyle w:val="FootnoteReference"/>
          <w:rFonts w:ascii="Times New Roman" w:hAnsi="Times New Roman"/>
          <w:sz w:val="18"/>
          <w:szCs w:val="18"/>
        </w:rPr>
        <w:footnoteRef/>
      </w:r>
      <w:r w:rsidRPr="00126AEB">
        <w:rPr>
          <w:rFonts w:ascii="Times New Roman" w:hAnsi="Times New Roman"/>
          <w:sz w:val="18"/>
          <w:szCs w:val="18"/>
        </w:rPr>
        <w:t xml:space="preserve"> „Службени гласник РС</w:t>
      </w:r>
      <w:r w:rsidRPr="00761E91">
        <w:rPr>
          <w:rFonts w:ascii="Times New Roman" w:hAnsi="Times New Roman"/>
          <w:sz w:val="18"/>
          <w:szCs w:val="18"/>
          <w:lang w:val="sr-Cyrl-RS"/>
        </w:rPr>
        <w:t>”</w:t>
      </w:r>
      <w:r w:rsidRPr="00126AEB">
        <w:rPr>
          <w:rFonts w:ascii="Times New Roman" w:hAnsi="Times New Roman"/>
          <w:sz w:val="18"/>
          <w:szCs w:val="18"/>
          <w:lang w:val="sr-Cyrl-RS"/>
        </w:rPr>
        <w:t>,</w:t>
      </w:r>
      <w:r w:rsidRPr="00126AEB">
        <w:rPr>
          <w:rFonts w:ascii="Times New Roman" w:hAnsi="Times New Roman"/>
          <w:sz w:val="18"/>
          <w:szCs w:val="18"/>
        </w:rPr>
        <w:t xml:space="preserve"> бр</w:t>
      </w:r>
      <w:r w:rsidRPr="00126AEB">
        <w:rPr>
          <w:rFonts w:ascii="Times New Roman" w:hAnsi="Times New Roman"/>
          <w:sz w:val="18"/>
          <w:szCs w:val="18"/>
          <w:lang w:val="sr-Cyrl-RS"/>
        </w:rPr>
        <w:t>.</w:t>
      </w:r>
      <w:r>
        <w:rPr>
          <w:rFonts w:ascii="Times New Roman" w:hAnsi="Times New Roman"/>
          <w:sz w:val="18"/>
          <w:szCs w:val="18"/>
          <w:lang w:val="sr-Cyrl-RS"/>
        </w:rPr>
        <w:t xml:space="preserve"> </w:t>
      </w:r>
      <w:r w:rsidRPr="00126AEB">
        <w:rPr>
          <w:rFonts w:ascii="Times New Roman" w:hAnsi="Times New Roman"/>
          <w:sz w:val="18"/>
          <w:szCs w:val="18"/>
          <w:lang w:val="sr-Cyrl-RS"/>
        </w:rPr>
        <w:t xml:space="preserve">83/2014, 6/2016 - </w:t>
      </w:r>
      <w:r>
        <w:rPr>
          <w:rFonts w:ascii="Times New Roman" w:hAnsi="Times New Roman"/>
          <w:sz w:val="18"/>
          <w:szCs w:val="18"/>
          <w:lang w:val="sr-Cyrl-RS"/>
        </w:rPr>
        <w:t>др</w:t>
      </w:r>
      <w:r w:rsidRPr="00126AEB">
        <w:rPr>
          <w:rFonts w:ascii="Times New Roman" w:hAnsi="Times New Roman"/>
          <w:sz w:val="18"/>
          <w:szCs w:val="18"/>
          <w:lang w:val="sr-Cyrl-RS"/>
        </w:rPr>
        <w:t xml:space="preserve">. </w:t>
      </w:r>
      <w:r>
        <w:rPr>
          <w:rFonts w:ascii="Times New Roman" w:hAnsi="Times New Roman"/>
          <w:sz w:val="18"/>
          <w:szCs w:val="18"/>
          <w:lang w:val="sr-Cyrl-RS"/>
        </w:rPr>
        <w:t>закон</w:t>
      </w:r>
      <w:r w:rsidRPr="00126AEB">
        <w:rPr>
          <w:rFonts w:ascii="Times New Roman" w:hAnsi="Times New Roman"/>
          <w:sz w:val="18"/>
          <w:szCs w:val="18"/>
          <w:lang w:val="sr-Cyrl-RS"/>
        </w:rPr>
        <w:t xml:space="preserve"> </w:t>
      </w:r>
      <w:r>
        <w:rPr>
          <w:rFonts w:ascii="Times New Roman" w:hAnsi="Times New Roman"/>
          <w:sz w:val="18"/>
          <w:szCs w:val="18"/>
          <w:lang w:val="sr-Cyrl-RS"/>
        </w:rPr>
        <w:t>и</w:t>
      </w:r>
      <w:r w:rsidRPr="00126AEB">
        <w:rPr>
          <w:rFonts w:ascii="Times New Roman" w:hAnsi="Times New Roman"/>
          <w:sz w:val="18"/>
          <w:szCs w:val="18"/>
          <w:lang w:val="sr-Cyrl-RS"/>
        </w:rPr>
        <w:t xml:space="preserve"> 129/2021</w:t>
      </w:r>
    </w:p>
  </w:footnote>
  <w:footnote w:id="92">
    <w:p w:rsidR="00AE4ACB" w:rsidRPr="000C0879" w:rsidRDefault="00AE4ACB">
      <w:pPr>
        <w:pStyle w:val="FootnoteText"/>
        <w:rPr>
          <w:rFonts w:ascii="Times New Roman" w:hAnsi="Times New Roman"/>
          <w:sz w:val="18"/>
          <w:szCs w:val="18"/>
          <w:lang w:val="sr-Cyrl-RS"/>
        </w:rPr>
      </w:pPr>
      <w:r w:rsidRPr="000C0879">
        <w:rPr>
          <w:rStyle w:val="FootnoteReference"/>
          <w:rFonts w:ascii="Times New Roman" w:hAnsi="Times New Roman"/>
          <w:sz w:val="18"/>
          <w:szCs w:val="18"/>
        </w:rPr>
        <w:footnoteRef/>
      </w:r>
      <w:r w:rsidRPr="000C0879">
        <w:rPr>
          <w:rFonts w:ascii="Times New Roman" w:hAnsi="Times New Roman"/>
          <w:sz w:val="18"/>
          <w:szCs w:val="18"/>
        </w:rPr>
        <w:t xml:space="preserve"> </w:t>
      </w:r>
      <w:hyperlink r:id="rId40" w:history="1">
        <w:r w:rsidRPr="00DF4D71">
          <w:rPr>
            <w:rStyle w:val="Hyperlink"/>
            <w:rFonts w:ascii="Times New Roman" w:hAnsi="Times New Roman"/>
            <w:sz w:val="18"/>
            <w:szCs w:val="18"/>
          </w:rPr>
          <w:t>http://www.rem.rs/sr/odluke/izrecene-mere</w:t>
        </w:r>
      </w:hyperlink>
      <w:r>
        <w:rPr>
          <w:rFonts w:ascii="Times New Roman" w:hAnsi="Times New Roman"/>
          <w:sz w:val="18"/>
          <w:szCs w:val="18"/>
          <w:lang w:val="sr-Cyrl-RS"/>
        </w:rPr>
        <w:t xml:space="preserve"> </w:t>
      </w:r>
    </w:p>
  </w:footnote>
  <w:footnote w:id="93">
    <w:p w:rsidR="00AE4ACB" w:rsidRPr="00126AEB" w:rsidRDefault="00AE4ACB">
      <w:pPr>
        <w:pStyle w:val="FootnoteText"/>
        <w:rPr>
          <w:rFonts w:ascii="Times New Roman" w:hAnsi="Times New Roman"/>
          <w:sz w:val="18"/>
          <w:szCs w:val="18"/>
          <w:lang w:val="sr-Cyrl-RS"/>
        </w:rPr>
      </w:pPr>
      <w:r w:rsidRPr="00126AEB">
        <w:rPr>
          <w:rStyle w:val="FootnoteReference"/>
          <w:rFonts w:ascii="Times New Roman" w:hAnsi="Times New Roman"/>
          <w:sz w:val="18"/>
          <w:szCs w:val="18"/>
        </w:rPr>
        <w:footnoteRef/>
      </w:r>
      <w:r w:rsidRPr="00126AEB">
        <w:rPr>
          <w:rFonts w:ascii="Times New Roman" w:hAnsi="Times New Roman"/>
          <w:sz w:val="18"/>
          <w:szCs w:val="18"/>
        </w:rPr>
        <w:t xml:space="preserve"> „Службени гласник РС</w:t>
      </w:r>
      <w:r w:rsidRPr="00761E91">
        <w:rPr>
          <w:rFonts w:ascii="Times New Roman" w:hAnsi="Times New Roman"/>
          <w:sz w:val="18"/>
          <w:szCs w:val="18"/>
          <w:lang w:val="sr-Cyrl-RS"/>
        </w:rPr>
        <w:t>”</w:t>
      </w:r>
      <w:r w:rsidRPr="00126AEB">
        <w:rPr>
          <w:rFonts w:ascii="Times New Roman" w:hAnsi="Times New Roman"/>
          <w:sz w:val="18"/>
          <w:szCs w:val="18"/>
        </w:rPr>
        <w:t>,</w:t>
      </w:r>
      <w:r w:rsidRPr="00126AEB">
        <w:rPr>
          <w:rFonts w:ascii="Times New Roman" w:hAnsi="Times New Roman"/>
          <w:sz w:val="18"/>
          <w:szCs w:val="18"/>
          <w:lang w:val="sr-Cyrl-RS"/>
        </w:rPr>
        <w:t xml:space="preserve"> број 10/2016</w:t>
      </w:r>
    </w:p>
  </w:footnote>
  <w:footnote w:id="94">
    <w:p w:rsidR="00AE4ACB" w:rsidRPr="002166C2" w:rsidRDefault="00AE4ACB">
      <w:pPr>
        <w:pStyle w:val="FootnoteText"/>
        <w:rPr>
          <w:rFonts w:ascii="Times New Roman" w:hAnsi="Times New Roman"/>
          <w:sz w:val="18"/>
          <w:szCs w:val="18"/>
          <w:lang w:val="sr-Cyrl-RS"/>
        </w:rPr>
      </w:pPr>
      <w:r w:rsidRPr="002166C2">
        <w:rPr>
          <w:rStyle w:val="FootnoteReference"/>
          <w:rFonts w:ascii="Times New Roman" w:hAnsi="Times New Roman"/>
          <w:sz w:val="18"/>
          <w:szCs w:val="18"/>
        </w:rPr>
        <w:footnoteRef/>
      </w:r>
      <w:r w:rsidRPr="002166C2">
        <w:rPr>
          <w:rFonts w:ascii="Times New Roman" w:hAnsi="Times New Roman"/>
          <w:sz w:val="18"/>
          <w:szCs w:val="18"/>
        </w:rPr>
        <w:t xml:space="preserve"> „Службени гласник РС</w:t>
      </w:r>
      <w:r w:rsidRPr="002166C2">
        <w:rPr>
          <w:rFonts w:ascii="Times New Roman" w:hAnsi="Times New Roman"/>
          <w:sz w:val="18"/>
          <w:szCs w:val="18"/>
          <w:lang w:val="sr-Cyrl-RS"/>
        </w:rPr>
        <w:t>”</w:t>
      </w:r>
      <w:r w:rsidRPr="002166C2">
        <w:rPr>
          <w:rFonts w:ascii="Times New Roman" w:hAnsi="Times New Roman"/>
          <w:sz w:val="18"/>
          <w:szCs w:val="18"/>
        </w:rPr>
        <w:t>,</w:t>
      </w:r>
      <w:r w:rsidRPr="002166C2">
        <w:rPr>
          <w:rFonts w:ascii="Times New Roman" w:hAnsi="Times New Roman"/>
          <w:sz w:val="18"/>
          <w:szCs w:val="18"/>
          <w:lang w:val="sr-Cyrl-RS"/>
        </w:rPr>
        <w:t xml:space="preserve"> број </w:t>
      </w:r>
      <w:r w:rsidRPr="002166C2">
        <w:rPr>
          <w:rFonts w:ascii="Times New Roman" w:hAnsi="Times New Roman"/>
          <w:sz w:val="18"/>
          <w:szCs w:val="18"/>
        </w:rPr>
        <w:t>63</w:t>
      </w:r>
      <w:r w:rsidRPr="002166C2">
        <w:rPr>
          <w:rFonts w:ascii="Times New Roman" w:hAnsi="Times New Roman"/>
          <w:sz w:val="18"/>
          <w:szCs w:val="18"/>
          <w:lang w:val="sr-Cyrl-RS"/>
        </w:rPr>
        <w:t>/</w:t>
      </w:r>
      <w:r w:rsidRPr="002166C2">
        <w:rPr>
          <w:rFonts w:ascii="Times New Roman" w:hAnsi="Times New Roman"/>
          <w:sz w:val="18"/>
          <w:szCs w:val="18"/>
        </w:rPr>
        <w:t>2013</w:t>
      </w:r>
    </w:p>
  </w:footnote>
  <w:footnote w:id="95">
    <w:p w:rsidR="00AE4ACB" w:rsidRPr="002166C2" w:rsidRDefault="00AE4ACB">
      <w:pPr>
        <w:pStyle w:val="FootnoteText"/>
        <w:rPr>
          <w:rFonts w:ascii="Times New Roman" w:hAnsi="Times New Roman"/>
          <w:sz w:val="18"/>
          <w:szCs w:val="18"/>
          <w:lang w:val="sr-Cyrl-RS"/>
        </w:rPr>
      </w:pPr>
      <w:r w:rsidRPr="002166C2">
        <w:rPr>
          <w:rStyle w:val="FootnoteReference"/>
          <w:rFonts w:ascii="Times New Roman" w:hAnsi="Times New Roman"/>
          <w:sz w:val="18"/>
          <w:szCs w:val="18"/>
        </w:rPr>
        <w:footnoteRef/>
      </w:r>
      <w:r w:rsidRPr="002166C2">
        <w:rPr>
          <w:rFonts w:ascii="Times New Roman" w:hAnsi="Times New Roman"/>
          <w:sz w:val="18"/>
          <w:szCs w:val="18"/>
          <w:lang w:val="sr-Cyrl-RS"/>
        </w:rPr>
        <w:t xml:space="preserve"> </w:t>
      </w:r>
      <w:r w:rsidRPr="002166C2">
        <w:rPr>
          <w:rFonts w:ascii="Times New Roman" w:hAnsi="Times New Roman"/>
          <w:sz w:val="18"/>
          <w:szCs w:val="18"/>
        </w:rPr>
        <w:t>„Службени гласник РС</w:t>
      </w:r>
      <w:r w:rsidRPr="002166C2">
        <w:rPr>
          <w:rFonts w:ascii="Times New Roman" w:hAnsi="Times New Roman"/>
          <w:sz w:val="18"/>
          <w:szCs w:val="18"/>
          <w:lang w:val="sr-Cyrl-RS"/>
        </w:rPr>
        <w:t>”</w:t>
      </w:r>
      <w:r w:rsidRPr="002166C2">
        <w:rPr>
          <w:rFonts w:ascii="Times New Roman" w:hAnsi="Times New Roman"/>
          <w:sz w:val="18"/>
          <w:szCs w:val="18"/>
        </w:rPr>
        <w:t>,</w:t>
      </w:r>
      <w:r w:rsidRPr="002166C2">
        <w:rPr>
          <w:rFonts w:ascii="Times New Roman" w:hAnsi="Times New Roman"/>
          <w:sz w:val="18"/>
          <w:szCs w:val="18"/>
          <w:lang w:val="sr-Cyrl-RS"/>
        </w:rPr>
        <w:t xml:space="preserve"> број</w:t>
      </w:r>
      <w:r w:rsidRPr="002166C2">
        <w:rPr>
          <w:rFonts w:ascii="Times New Roman" w:hAnsi="Times New Roman"/>
          <w:sz w:val="18"/>
          <w:szCs w:val="18"/>
        </w:rPr>
        <w:t xml:space="preserve"> 22</w:t>
      </w:r>
      <w:r w:rsidRPr="002166C2">
        <w:rPr>
          <w:rFonts w:ascii="Times New Roman" w:hAnsi="Times New Roman"/>
          <w:sz w:val="18"/>
          <w:szCs w:val="18"/>
          <w:lang w:val="sr-Cyrl-RS"/>
        </w:rPr>
        <w:t>/</w:t>
      </w:r>
      <w:r w:rsidRPr="002166C2">
        <w:rPr>
          <w:rFonts w:ascii="Times New Roman" w:hAnsi="Times New Roman"/>
          <w:sz w:val="18"/>
          <w:szCs w:val="18"/>
        </w:rPr>
        <w:t>2015</w:t>
      </w:r>
    </w:p>
  </w:footnote>
  <w:footnote w:id="96">
    <w:p w:rsidR="00AE4ACB" w:rsidRPr="002166C2" w:rsidRDefault="00AE4ACB">
      <w:pPr>
        <w:pStyle w:val="FootnoteText"/>
        <w:rPr>
          <w:rFonts w:ascii="Times New Roman" w:hAnsi="Times New Roman"/>
          <w:sz w:val="18"/>
          <w:szCs w:val="18"/>
          <w:lang w:val="sr-Cyrl-RS"/>
        </w:rPr>
      </w:pPr>
      <w:r w:rsidRPr="002166C2">
        <w:rPr>
          <w:rStyle w:val="FootnoteReference"/>
          <w:rFonts w:ascii="Times New Roman" w:hAnsi="Times New Roman"/>
          <w:sz w:val="18"/>
          <w:szCs w:val="18"/>
        </w:rPr>
        <w:footnoteRef/>
      </w:r>
      <w:r w:rsidRPr="002166C2">
        <w:rPr>
          <w:rFonts w:ascii="Times New Roman" w:hAnsi="Times New Roman"/>
          <w:sz w:val="18"/>
          <w:szCs w:val="18"/>
        </w:rPr>
        <w:t xml:space="preserve"> „Службени гласник РС”, број 13</w:t>
      </w:r>
      <w:r w:rsidRPr="002166C2">
        <w:rPr>
          <w:rFonts w:ascii="Times New Roman" w:hAnsi="Times New Roman"/>
          <w:sz w:val="18"/>
          <w:szCs w:val="18"/>
          <w:lang w:val="sr-Cyrl-RS"/>
        </w:rPr>
        <w:t>/</w:t>
      </w:r>
      <w:r w:rsidRPr="002166C2">
        <w:rPr>
          <w:rFonts w:ascii="Times New Roman" w:hAnsi="Times New Roman"/>
          <w:sz w:val="18"/>
          <w:szCs w:val="18"/>
        </w:rPr>
        <w:t>2020</w:t>
      </w:r>
    </w:p>
  </w:footnote>
  <w:footnote w:id="97">
    <w:p w:rsidR="00AE4ACB" w:rsidRPr="00051036" w:rsidRDefault="00AE4ACB">
      <w:pPr>
        <w:pStyle w:val="FootnoteText"/>
        <w:rPr>
          <w:lang w:val="sr-Cyrl-RS"/>
        </w:rPr>
      </w:pPr>
      <w:r>
        <w:rPr>
          <w:rStyle w:val="FootnoteReference"/>
        </w:rPr>
        <w:footnoteRef/>
      </w:r>
      <w:r>
        <w:t xml:space="preserve"> </w:t>
      </w:r>
      <w:r w:rsidRPr="00D34941">
        <w:rPr>
          <w:rFonts w:ascii="Times New Roman" w:hAnsi="Times New Roman"/>
          <w:sz w:val="18"/>
          <w:szCs w:val="18"/>
        </w:rPr>
        <w:t>„Службени гласник РС”,</w:t>
      </w:r>
      <w:r>
        <w:rPr>
          <w:rFonts w:ascii="Times New Roman" w:hAnsi="Times New Roman"/>
          <w:sz w:val="18"/>
          <w:szCs w:val="18"/>
        </w:rPr>
        <w:t xml:space="preserve"> бр. </w:t>
      </w:r>
      <w:r w:rsidRPr="00051036">
        <w:rPr>
          <w:rFonts w:ascii="Times New Roman" w:hAnsi="Times New Roman"/>
          <w:sz w:val="18"/>
          <w:szCs w:val="18"/>
        </w:rPr>
        <w:t xml:space="preserve">6/2016, 24/2018 </w:t>
      </w:r>
      <w:r>
        <w:rPr>
          <w:rFonts w:ascii="Times New Roman" w:hAnsi="Times New Roman"/>
          <w:sz w:val="18"/>
          <w:szCs w:val="18"/>
          <w:lang w:val="sr-Cyrl-RS"/>
        </w:rPr>
        <w:t>и</w:t>
      </w:r>
      <w:r w:rsidRPr="00051036">
        <w:rPr>
          <w:rFonts w:ascii="Times New Roman" w:hAnsi="Times New Roman"/>
          <w:sz w:val="18"/>
          <w:szCs w:val="18"/>
        </w:rPr>
        <w:t xml:space="preserve"> 87/2018</w:t>
      </w:r>
    </w:p>
  </w:footnote>
  <w:footnote w:id="98">
    <w:p w:rsidR="00AE4ACB" w:rsidRPr="00FD4991" w:rsidRDefault="00AE4ACB">
      <w:pPr>
        <w:pStyle w:val="FootnoteText"/>
        <w:rPr>
          <w:rFonts w:ascii="Times New Roman" w:hAnsi="Times New Roman"/>
          <w:sz w:val="18"/>
          <w:szCs w:val="18"/>
          <w:lang w:val="sr-Cyrl-RS"/>
        </w:rPr>
      </w:pPr>
      <w:r w:rsidRPr="00C73A86">
        <w:rPr>
          <w:rStyle w:val="FootnoteReference"/>
          <w:rFonts w:ascii="Times New Roman" w:hAnsi="Times New Roman"/>
          <w:sz w:val="18"/>
          <w:szCs w:val="18"/>
        </w:rPr>
        <w:footnoteRef/>
      </w:r>
      <w:r w:rsidRPr="00C73A86">
        <w:rPr>
          <w:rFonts w:ascii="Times New Roman" w:hAnsi="Times New Roman"/>
          <w:sz w:val="18"/>
          <w:szCs w:val="18"/>
        </w:rPr>
        <w:t xml:space="preserve"> </w:t>
      </w:r>
      <w:r w:rsidRPr="00C73A86">
        <w:rPr>
          <w:rFonts w:ascii="Times New Roman" w:hAnsi="Times New Roman"/>
          <w:sz w:val="18"/>
          <w:szCs w:val="18"/>
          <w:lang w:val="sr-Cyrl-RS"/>
        </w:rPr>
        <w:t xml:space="preserve">Упитници су послати у циљу израде </w:t>
      </w:r>
      <w:r w:rsidRPr="00C73A86">
        <w:rPr>
          <w:rFonts w:ascii="Times New Roman" w:hAnsi="Times New Roman"/>
          <w:sz w:val="18"/>
          <w:szCs w:val="18"/>
        </w:rPr>
        <w:t>посебне студије која је представљала резултат је сарадње Канцеларије за људска и мањинска права Владе Републике Србије и Мисије ОЕБС-а у Републици Србији</w:t>
      </w:r>
      <w:r>
        <w:rPr>
          <w:rFonts w:ascii="Times New Roman" w:hAnsi="Times New Roman"/>
          <w:sz w:val="18"/>
          <w:szCs w:val="18"/>
          <w:lang w:val="sr-Cyrl-RS"/>
        </w:rPr>
        <w:t>.</w:t>
      </w:r>
    </w:p>
  </w:footnote>
  <w:footnote w:id="99">
    <w:p w:rsidR="00AE4ACB" w:rsidRPr="00C73A86" w:rsidRDefault="00AE4ACB">
      <w:pPr>
        <w:pStyle w:val="FootnoteText"/>
        <w:rPr>
          <w:rFonts w:ascii="Times New Roman" w:hAnsi="Times New Roman"/>
          <w:sz w:val="18"/>
          <w:szCs w:val="18"/>
          <w:lang w:val="sr-Cyrl-RS"/>
        </w:rPr>
      </w:pPr>
      <w:r w:rsidRPr="00C73A86">
        <w:rPr>
          <w:rStyle w:val="FootnoteReference"/>
          <w:rFonts w:ascii="Times New Roman" w:hAnsi="Times New Roman"/>
          <w:sz w:val="18"/>
          <w:szCs w:val="18"/>
        </w:rPr>
        <w:footnoteRef/>
      </w:r>
      <w:r w:rsidRPr="00C73A86">
        <w:rPr>
          <w:rFonts w:ascii="Times New Roman" w:hAnsi="Times New Roman"/>
          <w:sz w:val="18"/>
          <w:szCs w:val="18"/>
        </w:rPr>
        <w:t xml:space="preserve"> </w:t>
      </w:r>
      <w:r w:rsidRPr="00421C25">
        <w:rPr>
          <w:rFonts w:ascii="Times New Roman" w:hAnsi="Times New Roman"/>
          <w:sz w:val="18"/>
          <w:szCs w:val="18"/>
        </w:rPr>
        <w:t xml:space="preserve">Одабране су следеће јединице локалне самоуправе: Апатин, Бела Паланка, Бујановац, Врање, Димитровград, Зрењанин, Кучево, Лајковац, Неготин, Нови Пазар, Нови Сад, Панчево, Пожаревац, Прибој, Сомбор и Суботица. </w:t>
      </w:r>
    </w:p>
  </w:footnote>
  <w:footnote w:id="100">
    <w:p w:rsidR="00AE4ACB" w:rsidRPr="00514320" w:rsidRDefault="00AE4ACB">
      <w:pPr>
        <w:pStyle w:val="FootnoteText"/>
        <w:rPr>
          <w:rFonts w:ascii="Times New Roman" w:hAnsi="Times New Roman"/>
          <w:sz w:val="18"/>
          <w:szCs w:val="18"/>
          <w:lang w:val="sr-Cyrl-RS"/>
        </w:rPr>
      </w:pPr>
      <w:r w:rsidRPr="00514320">
        <w:rPr>
          <w:rStyle w:val="FootnoteReference"/>
          <w:rFonts w:ascii="Times New Roman" w:hAnsi="Times New Roman"/>
          <w:sz w:val="18"/>
          <w:szCs w:val="18"/>
        </w:rPr>
        <w:footnoteRef/>
      </w:r>
      <w:r w:rsidRPr="00514320">
        <w:rPr>
          <w:rFonts w:ascii="Times New Roman" w:hAnsi="Times New Roman"/>
          <w:sz w:val="18"/>
          <w:szCs w:val="18"/>
        </w:rPr>
        <w:t xml:space="preserve"> </w:t>
      </w:r>
      <w:r w:rsidRPr="00514320">
        <w:rPr>
          <w:rFonts w:ascii="Times New Roman" w:hAnsi="Times New Roman"/>
          <w:sz w:val="18"/>
          <w:szCs w:val="18"/>
          <w:lang w:val="sr-Cyrl-RS"/>
        </w:rPr>
        <w:t>„</w:t>
      </w:r>
      <w:r w:rsidRPr="00514320">
        <w:rPr>
          <w:rFonts w:ascii="Times New Roman" w:hAnsi="Times New Roman"/>
          <w:sz w:val="18"/>
          <w:szCs w:val="18"/>
        </w:rPr>
        <w:t>Службени гласник РС</w:t>
      </w:r>
      <w:r w:rsidRPr="00514320">
        <w:rPr>
          <w:rFonts w:ascii="Times New Roman" w:hAnsi="Times New Roman"/>
          <w:sz w:val="18"/>
          <w:szCs w:val="18"/>
          <w:lang w:val="sr-Cyrl-RS"/>
        </w:rPr>
        <w:t>”</w:t>
      </w:r>
      <w:r w:rsidRPr="00514320">
        <w:rPr>
          <w:rFonts w:ascii="Times New Roman" w:hAnsi="Times New Roman"/>
          <w:sz w:val="18"/>
          <w:szCs w:val="18"/>
        </w:rPr>
        <w:t>, број 69</w:t>
      </w:r>
      <w:r w:rsidRPr="00514320">
        <w:rPr>
          <w:rFonts w:ascii="Times New Roman" w:hAnsi="Times New Roman"/>
          <w:sz w:val="18"/>
          <w:szCs w:val="18"/>
          <w:lang w:val="sr-Cyrl-RS"/>
        </w:rPr>
        <w:t>/</w:t>
      </w:r>
      <w:r w:rsidRPr="00514320">
        <w:rPr>
          <w:rFonts w:ascii="Times New Roman" w:hAnsi="Times New Roman"/>
          <w:sz w:val="18"/>
          <w:szCs w:val="18"/>
        </w:rPr>
        <w:t>2018</w:t>
      </w:r>
    </w:p>
  </w:footnote>
  <w:footnote w:id="101">
    <w:p w:rsidR="00AE4ACB" w:rsidRPr="00514320" w:rsidRDefault="00AE4ACB">
      <w:pPr>
        <w:pStyle w:val="FootnoteText"/>
        <w:rPr>
          <w:rFonts w:ascii="Times New Roman" w:hAnsi="Times New Roman"/>
          <w:sz w:val="18"/>
          <w:szCs w:val="18"/>
          <w:lang w:val="sr-Cyrl-RS"/>
        </w:rPr>
      </w:pPr>
      <w:r w:rsidRPr="00514320">
        <w:rPr>
          <w:rStyle w:val="FootnoteReference"/>
          <w:rFonts w:ascii="Times New Roman" w:hAnsi="Times New Roman"/>
          <w:sz w:val="18"/>
          <w:szCs w:val="18"/>
        </w:rPr>
        <w:footnoteRef/>
      </w:r>
      <w:r w:rsidRPr="00514320">
        <w:rPr>
          <w:rFonts w:ascii="Times New Roman" w:hAnsi="Times New Roman"/>
          <w:sz w:val="18"/>
          <w:szCs w:val="18"/>
        </w:rPr>
        <w:t xml:space="preserve"> </w:t>
      </w:r>
      <w:hyperlink r:id="rId41" w:history="1">
        <w:r w:rsidRPr="00514320">
          <w:rPr>
            <w:rStyle w:val="Hyperlink"/>
            <w:rFonts w:ascii="Times New Roman" w:hAnsi="Times New Roman"/>
            <w:sz w:val="18"/>
            <w:szCs w:val="18"/>
          </w:rPr>
          <w:t>https://mpn.gov.rs/wp-content/uploads/2022/03/Katalog-udzbenika-na-jezicima-nacionalnih-manjina.pdf</w:t>
        </w:r>
      </w:hyperlink>
      <w:r w:rsidRPr="00514320">
        <w:rPr>
          <w:rFonts w:ascii="Times New Roman" w:hAnsi="Times New Roman"/>
          <w:sz w:val="18"/>
          <w:szCs w:val="18"/>
          <w:lang w:val="sr-Cyrl-RS"/>
        </w:rPr>
        <w:t xml:space="preserve"> </w:t>
      </w:r>
    </w:p>
  </w:footnote>
  <w:footnote w:id="102">
    <w:p w:rsidR="00AE4ACB" w:rsidRPr="00510398" w:rsidRDefault="00AE4ACB">
      <w:pPr>
        <w:pStyle w:val="FootnoteText"/>
        <w:rPr>
          <w:rFonts w:ascii="Times New Roman" w:hAnsi="Times New Roman"/>
          <w:lang w:val="sr-Cyrl-RS"/>
        </w:rPr>
      </w:pPr>
      <w:r w:rsidRPr="00514320">
        <w:rPr>
          <w:rStyle w:val="FootnoteReference"/>
          <w:rFonts w:ascii="Times New Roman" w:hAnsi="Times New Roman"/>
          <w:sz w:val="18"/>
          <w:szCs w:val="18"/>
        </w:rPr>
        <w:footnoteRef/>
      </w:r>
      <w:r w:rsidRPr="00514320">
        <w:rPr>
          <w:rFonts w:ascii="Times New Roman" w:hAnsi="Times New Roman"/>
          <w:sz w:val="18"/>
          <w:szCs w:val="18"/>
        </w:rPr>
        <w:t xml:space="preserve"> </w:t>
      </w:r>
      <w:hyperlink r:id="rId42" w:history="1">
        <w:r w:rsidRPr="00514320">
          <w:rPr>
            <w:rStyle w:val="Hyperlink"/>
            <w:rFonts w:ascii="Times New Roman" w:hAnsi="Times New Roman"/>
            <w:sz w:val="18"/>
            <w:szCs w:val="18"/>
          </w:rPr>
          <w:t>http://dictionary.hcnm.org/dict/</w:t>
        </w:r>
      </w:hyperlink>
      <w:r w:rsidRPr="00510398">
        <w:rPr>
          <w:rFonts w:ascii="Times New Roman" w:hAnsi="Times New Roman"/>
          <w:lang w:val="sr-Cyrl-RS"/>
        </w:rPr>
        <w:t xml:space="preserve"> </w:t>
      </w:r>
    </w:p>
  </w:footnote>
  <w:footnote w:id="103">
    <w:p w:rsidR="00AE4ACB" w:rsidRPr="00051036" w:rsidRDefault="00AE4ACB">
      <w:pPr>
        <w:pStyle w:val="FootnoteText"/>
        <w:rPr>
          <w:rFonts w:ascii="Times New Roman" w:hAnsi="Times New Roman"/>
          <w:sz w:val="18"/>
          <w:szCs w:val="18"/>
          <w:lang w:val="sr-Cyrl-RS"/>
        </w:rPr>
      </w:pPr>
      <w:r w:rsidRPr="00051036">
        <w:rPr>
          <w:rStyle w:val="FootnoteReference"/>
          <w:rFonts w:ascii="Times New Roman" w:hAnsi="Times New Roman"/>
          <w:sz w:val="18"/>
          <w:szCs w:val="18"/>
        </w:rPr>
        <w:footnoteRef/>
      </w:r>
      <w:r w:rsidRPr="00051036">
        <w:rPr>
          <w:rFonts w:ascii="Times New Roman" w:hAnsi="Times New Roman"/>
          <w:sz w:val="18"/>
          <w:szCs w:val="18"/>
        </w:rPr>
        <w:t xml:space="preserve"> </w:t>
      </w:r>
      <w:r w:rsidRPr="00051036">
        <w:rPr>
          <w:rFonts w:ascii="Times New Roman" w:hAnsi="Times New Roman"/>
          <w:sz w:val="18"/>
          <w:szCs w:val="18"/>
          <w:lang w:val="sr-Cyrl-RS"/>
        </w:rPr>
        <w:t>„</w:t>
      </w:r>
      <w:r w:rsidRPr="00051036">
        <w:rPr>
          <w:rFonts w:ascii="Times New Roman" w:hAnsi="Times New Roman"/>
          <w:sz w:val="18"/>
          <w:szCs w:val="18"/>
        </w:rPr>
        <w:t>Службени гласник РС</w:t>
      </w:r>
      <w:r w:rsidRPr="00051036">
        <w:rPr>
          <w:rFonts w:ascii="Times New Roman" w:hAnsi="Times New Roman"/>
          <w:sz w:val="18"/>
          <w:szCs w:val="18"/>
          <w:lang w:val="sr-Cyrl-RS"/>
        </w:rPr>
        <w:t>”</w:t>
      </w:r>
      <w:r w:rsidRPr="00051036">
        <w:rPr>
          <w:rFonts w:ascii="Times New Roman" w:hAnsi="Times New Roman"/>
          <w:sz w:val="18"/>
          <w:szCs w:val="18"/>
        </w:rPr>
        <w:t>, број 23</w:t>
      </w:r>
      <w:r>
        <w:rPr>
          <w:rFonts w:ascii="Times New Roman" w:hAnsi="Times New Roman"/>
          <w:sz w:val="18"/>
          <w:szCs w:val="18"/>
          <w:lang w:val="sr-Cyrl-RS"/>
        </w:rPr>
        <w:t>/</w:t>
      </w:r>
      <w:r w:rsidRPr="00051036">
        <w:rPr>
          <w:rFonts w:ascii="Times New Roman" w:hAnsi="Times New Roman"/>
          <w:sz w:val="18"/>
          <w:szCs w:val="18"/>
        </w:rPr>
        <w:t>2022</w:t>
      </w:r>
    </w:p>
  </w:footnote>
  <w:footnote w:id="104">
    <w:p w:rsidR="00AE4ACB" w:rsidRPr="00E97877" w:rsidRDefault="00AE4ACB">
      <w:pPr>
        <w:pStyle w:val="FootnoteText"/>
        <w:rPr>
          <w:rFonts w:ascii="Times New Roman" w:hAnsi="Times New Roman"/>
          <w:sz w:val="18"/>
          <w:szCs w:val="18"/>
          <w:lang w:val="sr-Cyrl-RS"/>
        </w:rPr>
      </w:pPr>
      <w:r w:rsidRPr="00031E67">
        <w:rPr>
          <w:rStyle w:val="FootnoteReference"/>
          <w:rFonts w:ascii="Times New Roman" w:hAnsi="Times New Roman"/>
          <w:sz w:val="18"/>
          <w:szCs w:val="18"/>
        </w:rPr>
        <w:footnoteRef/>
      </w:r>
      <w:r w:rsidRPr="00031E67">
        <w:rPr>
          <w:rFonts w:ascii="Times New Roman" w:hAnsi="Times New Roman"/>
          <w:sz w:val="18"/>
          <w:szCs w:val="18"/>
        </w:rPr>
        <w:t xml:space="preserve"> </w:t>
      </w:r>
      <w:r w:rsidRPr="00031E67">
        <w:rPr>
          <w:rFonts w:ascii="Times New Roman" w:hAnsi="Times New Roman"/>
          <w:sz w:val="18"/>
          <w:szCs w:val="18"/>
          <w:lang w:val="sr-Cyrl-RS"/>
        </w:rPr>
        <w:t>„</w:t>
      </w:r>
      <w:r w:rsidRPr="00031E67">
        <w:rPr>
          <w:rFonts w:ascii="Times New Roman" w:hAnsi="Times New Roman"/>
          <w:sz w:val="18"/>
          <w:szCs w:val="18"/>
        </w:rPr>
        <w:t>Сл</w:t>
      </w:r>
      <w:r w:rsidRPr="00031E67">
        <w:rPr>
          <w:rFonts w:ascii="Times New Roman" w:hAnsi="Times New Roman"/>
          <w:sz w:val="18"/>
          <w:szCs w:val="18"/>
          <w:lang w:val="sr-Cyrl-RS"/>
        </w:rPr>
        <w:t>ужбени</w:t>
      </w:r>
      <w:r w:rsidRPr="00031E67">
        <w:rPr>
          <w:rFonts w:ascii="Times New Roman" w:hAnsi="Times New Roman"/>
          <w:sz w:val="18"/>
          <w:szCs w:val="18"/>
        </w:rPr>
        <w:t xml:space="preserve"> гласник РС</w:t>
      </w:r>
      <w:r w:rsidRPr="00031E67">
        <w:rPr>
          <w:rFonts w:ascii="Times New Roman" w:hAnsi="Times New Roman"/>
          <w:sz w:val="18"/>
          <w:szCs w:val="18"/>
          <w:lang w:val="sr-Cyrl-RS"/>
        </w:rPr>
        <w:t>”</w:t>
      </w:r>
      <w:r w:rsidRPr="00031E67">
        <w:rPr>
          <w:rFonts w:ascii="Times New Roman" w:hAnsi="Times New Roman"/>
          <w:sz w:val="18"/>
          <w:szCs w:val="18"/>
        </w:rPr>
        <w:t>, бр</w:t>
      </w:r>
      <w:r w:rsidRPr="00031E67">
        <w:rPr>
          <w:rFonts w:ascii="Times New Roman" w:hAnsi="Times New Roman"/>
          <w:sz w:val="18"/>
          <w:szCs w:val="18"/>
          <w:lang w:val="sr-Cyrl-RS"/>
        </w:rPr>
        <w:t>ој</w:t>
      </w:r>
      <w:r w:rsidRPr="00031E67">
        <w:rPr>
          <w:rFonts w:ascii="Times New Roman" w:hAnsi="Times New Roman"/>
          <w:sz w:val="18"/>
          <w:szCs w:val="18"/>
        </w:rPr>
        <w:t xml:space="preserve"> 30/2018</w:t>
      </w:r>
    </w:p>
  </w:footnote>
  <w:footnote w:id="105">
    <w:p w:rsidR="00AE4ACB" w:rsidRPr="00E60AFC" w:rsidRDefault="00AE4ACB" w:rsidP="00493269">
      <w:pPr>
        <w:pStyle w:val="FootnoteText"/>
        <w:rPr>
          <w:rFonts w:ascii="Times New Roman" w:hAnsi="Times New Roman"/>
          <w:sz w:val="18"/>
          <w:szCs w:val="18"/>
        </w:rPr>
      </w:pPr>
      <w:r w:rsidRPr="00E60AFC">
        <w:rPr>
          <w:rStyle w:val="FootnoteReference"/>
          <w:rFonts w:ascii="Times New Roman" w:hAnsi="Times New Roman"/>
          <w:sz w:val="18"/>
          <w:szCs w:val="18"/>
        </w:rPr>
        <w:footnoteRef/>
      </w:r>
      <w:r w:rsidRPr="00E60AFC">
        <w:rPr>
          <w:rFonts w:ascii="Times New Roman" w:hAnsi="Times New Roman"/>
          <w:sz w:val="18"/>
          <w:szCs w:val="18"/>
        </w:rPr>
        <w:t xml:space="preserve"> </w:t>
      </w:r>
      <w:r>
        <w:rPr>
          <w:rFonts w:ascii="Times New Roman" w:hAnsi="Times New Roman"/>
          <w:sz w:val="18"/>
          <w:szCs w:val="18"/>
        </w:rPr>
        <w:t>„</w:t>
      </w:r>
      <w:r w:rsidRPr="00E60AFC">
        <w:rPr>
          <w:rFonts w:ascii="Times New Roman" w:hAnsi="Times New Roman"/>
          <w:sz w:val="18"/>
          <w:szCs w:val="18"/>
        </w:rPr>
        <w:t>Сл</w:t>
      </w:r>
      <w:r>
        <w:rPr>
          <w:rFonts w:ascii="Times New Roman" w:hAnsi="Times New Roman"/>
          <w:sz w:val="18"/>
          <w:szCs w:val="18"/>
        </w:rPr>
        <w:t>ужбени</w:t>
      </w:r>
      <w:r w:rsidRPr="00E60AFC">
        <w:rPr>
          <w:rFonts w:ascii="Times New Roman" w:hAnsi="Times New Roman"/>
          <w:sz w:val="18"/>
          <w:szCs w:val="18"/>
        </w:rPr>
        <w:t xml:space="preserve"> гласник РС</w:t>
      </w:r>
      <w:r w:rsidRPr="00051036">
        <w:rPr>
          <w:rFonts w:ascii="Times New Roman" w:hAnsi="Times New Roman"/>
          <w:sz w:val="18"/>
          <w:szCs w:val="18"/>
          <w:lang w:val="sr-Cyrl-RS"/>
        </w:rPr>
        <w:t>”</w:t>
      </w:r>
      <w:r w:rsidRPr="00E60AFC">
        <w:rPr>
          <w:rFonts w:ascii="Times New Roman" w:hAnsi="Times New Roman"/>
          <w:sz w:val="18"/>
          <w:szCs w:val="18"/>
        </w:rPr>
        <w:t>, бр. 36/2009 и 61/2015 - одлука УС</w:t>
      </w:r>
    </w:p>
  </w:footnote>
  <w:footnote w:id="106">
    <w:p w:rsidR="00AE4ACB" w:rsidRPr="00981507" w:rsidRDefault="00AE4ACB" w:rsidP="00493269">
      <w:pPr>
        <w:pStyle w:val="FootnoteText"/>
        <w:rPr>
          <w:rFonts w:ascii="Times New Roman" w:hAnsi="Times New Roman"/>
          <w:sz w:val="18"/>
          <w:szCs w:val="18"/>
        </w:rPr>
      </w:pPr>
      <w:r w:rsidRPr="00981507">
        <w:rPr>
          <w:rStyle w:val="FootnoteReference"/>
          <w:rFonts w:ascii="Times New Roman" w:hAnsi="Times New Roman"/>
          <w:sz w:val="18"/>
          <w:szCs w:val="18"/>
        </w:rPr>
        <w:footnoteRef/>
      </w:r>
      <w:r w:rsidRPr="00981507">
        <w:rPr>
          <w:rFonts w:ascii="Times New Roman" w:hAnsi="Times New Roman"/>
          <w:sz w:val="18"/>
          <w:szCs w:val="18"/>
        </w:rPr>
        <w:t xml:space="preserve"> </w:t>
      </w:r>
      <w:r>
        <w:rPr>
          <w:rFonts w:ascii="Times New Roman" w:hAnsi="Times New Roman"/>
          <w:sz w:val="18"/>
          <w:szCs w:val="18"/>
        </w:rPr>
        <w:t>„</w:t>
      </w:r>
      <w:r w:rsidRPr="00981507">
        <w:rPr>
          <w:rFonts w:ascii="Times New Roman" w:hAnsi="Times New Roman"/>
          <w:sz w:val="18"/>
          <w:szCs w:val="18"/>
        </w:rPr>
        <w:t>Сл</w:t>
      </w:r>
      <w:r>
        <w:rPr>
          <w:rFonts w:ascii="Times New Roman" w:hAnsi="Times New Roman"/>
          <w:sz w:val="18"/>
          <w:szCs w:val="18"/>
        </w:rPr>
        <w:t>ужбени</w:t>
      </w:r>
      <w:r w:rsidRPr="00981507">
        <w:rPr>
          <w:rFonts w:ascii="Times New Roman" w:hAnsi="Times New Roman"/>
          <w:sz w:val="18"/>
          <w:szCs w:val="18"/>
        </w:rPr>
        <w:t xml:space="preserve"> гласник РС</w:t>
      </w:r>
      <w:r w:rsidRPr="00051036">
        <w:rPr>
          <w:rFonts w:ascii="Times New Roman" w:hAnsi="Times New Roman"/>
          <w:sz w:val="18"/>
          <w:szCs w:val="18"/>
          <w:lang w:val="sr-Cyrl-RS"/>
        </w:rPr>
        <w:t>”</w:t>
      </w:r>
      <w:r w:rsidRPr="00981507">
        <w:rPr>
          <w:rFonts w:ascii="Times New Roman" w:hAnsi="Times New Roman"/>
          <w:sz w:val="18"/>
          <w:szCs w:val="18"/>
        </w:rPr>
        <w:t>, бр. 35/2000, 57/2003 - одлука УСРС, 72/2003 - др. закон, 75/2003 - испр. др. закона, 18/2004, 101/2005 - др. закон, 85/2005 - др. закон, 28/2011 - одлука УС, 36/2011, 104/2009 - др. закон, 12/2020 и 68/2020</w:t>
      </w:r>
    </w:p>
  </w:footnote>
  <w:footnote w:id="107">
    <w:p w:rsidR="00AE4ACB" w:rsidRPr="00890979" w:rsidRDefault="00AE4ACB">
      <w:pPr>
        <w:pStyle w:val="FootnoteText"/>
        <w:rPr>
          <w:lang w:val="sr-Cyrl-RS"/>
        </w:rPr>
      </w:pPr>
      <w:r>
        <w:rPr>
          <w:rStyle w:val="FootnoteReference"/>
        </w:rPr>
        <w:footnoteRef/>
      </w:r>
      <w:r>
        <w:t xml:space="preserve"> </w:t>
      </w:r>
      <w:r>
        <w:rPr>
          <w:rFonts w:ascii="Times New Roman" w:hAnsi="Times New Roman"/>
          <w:sz w:val="18"/>
          <w:szCs w:val="18"/>
        </w:rPr>
        <w:t>„</w:t>
      </w:r>
      <w:r w:rsidRPr="00981507">
        <w:rPr>
          <w:rFonts w:ascii="Times New Roman" w:hAnsi="Times New Roman"/>
          <w:sz w:val="18"/>
          <w:szCs w:val="18"/>
        </w:rPr>
        <w:t>Сл</w:t>
      </w:r>
      <w:r>
        <w:rPr>
          <w:rFonts w:ascii="Times New Roman" w:hAnsi="Times New Roman"/>
          <w:sz w:val="18"/>
          <w:szCs w:val="18"/>
        </w:rPr>
        <w:t>ужбени</w:t>
      </w:r>
      <w:r w:rsidRPr="00981507">
        <w:rPr>
          <w:rFonts w:ascii="Times New Roman" w:hAnsi="Times New Roman"/>
          <w:sz w:val="18"/>
          <w:szCs w:val="18"/>
        </w:rPr>
        <w:t xml:space="preserve"> гласник РС</w:t>
      </w:r>
      <w:r w:rsidRPr="00051036">
        <w:rPr>
          <w:rFonts w:ascii="Times New Roman" w:hAnsi="Times New Roman"/>
          <w:sz w:val="18"/>
          <w:szCs w:val="18"/>
          <w:lang w:val="sr-Cyrl-RS"/>
        </w:rPr>
        <w:t>”</w:t>
      </w:r>
      <w:r w:rsidRPr="00981507">
        <w:rPr>
          <w:rFonts w:ascii="Times New Roman" w:hAnsi="Times New Roman"/>
          <w:sz w:val="18"/>
          <w:szCs w:val="18"/>
        </w:rPr>
        <w:t xml:space="preserve">, </w:t>
      </w:r>
      <w:r>
        <w:rPr>
          <w:rFonts w:ascii="Times New Roman" w:hAnsi="Times New Roman"/>
          <w:sz w:val="18"/>
          <w:szCs w:val="18"/>
          <w:lang w:val="sr-Cyrl-RS"/>
        </w:rPr>
        <w:t>број 12/2020</w:t>
      </w:r>
    </w:p>
  </w:footnote>
  <w:footnote w:id="108">
    <w:p w:rsidR="00AE4ACB" w:rsidRPr="00890979" w:rsidRDefault="00AE4ACB">
      <w:pPr>
        <w:pStyle w:val="FootnoteText"/>
        <w:rPr>
          <w:rFonts w:ascii="Times New Roman" w:hAnsi="Times New Roman"/>
          <w:sz w:val="18"/>
          <w:szCs w:val="18"/>
          <w:lang w:val="sr-Cyrl-RS"/>
        </w:rPr>
      </w:pPr>
      <w:r w:rsidRPr="00890979">
        <w:rPr>
          <w:rStyle w:val="FootnoteReference"/>
          <w:rFonts w:ascii="Times New Roman" w:hAnsi="Times New Roman"/>
          <w:sz w:val="18"/>
          <w:szCs w:val="18"/>
        </w:rPr>
        <w:footnoteRef/>
      </w:r>
      <w:r w:rsidRPr="00890979">
        <w:rPr>
          <w:rFonts w:ascii="Times New Roman" w:hAnsi="Times New Roman"/>
          <w:sz w:val="18"/>
          <w:szCs w:val="18"/>
        </w:rPr>
        <w:t xml:space="preserve"> „Службени лист АПВ</w:t>
      </w:r>
      <w:r w:rsidRPr="00890979">
        <w:rPr>
          <w:rFonts w:ascii="Times New Roman" w:hAnsi="Times New Roman"/>
          <w:sz w:val="18"/>
          <w:szCs w:val="18"/>
          <w:lang w:val="sr-Cyrl-RS"/>
        </w:rPr>
        <w:t>”</w:t>
      </w:r>
      <w:r w:rsidRPr="00890979">
        <w:rPr>
          <w:rFonts w:ascii="Times New Roman" w:hAnsi="Times New Roman"/>
          <w:sz w:val="18"/>
          <w:szCs w:val="18"/>
        </w:rPr>
        <w:t>, бр. 23/</w:t>
      </w:r>
      <w:r w:rsidRPr="00890979">
        <w:rPr>
          <w:rFonts w:ascii="Times New Roman" w:hAnsi="Times New Roman"/>
          <w:sz w:val="18"/>
          <w:szCs w:val="18"/>
          <w:lang w:val="sr-Cyrl-RS"/>
        </w:rPr>
        <w:t>20</w:t>
      </w:r>
      <w:r w:rsidRPr="00890979">
        <w:rPr>
          <w:rFonts w:ascii="Times New Roman" w:hAnsi="Times New Roman"/>
          <w:sz w:val="18"/>
          <w:szCs w:val="18"/>
        </w:rPr>
        <w:t>14</w:t>
      </w:r>
      <w:r w:rsidRPr="00890979">
        <w:rPr>
          <w:rFonts w:ascii="Times New Roman" w:hAnsi="Times New Roman"/>
          <w:sz w:val="18"/>
          <w:szCs w:val="18"/>
          <w:lang w:val="sr-Cyrl-RS"/>
        </w:rPr>
        <w:t xml:space="preserve">, </w:t>
      </w:r>
      <w:r w:rsidRPr="00890979">
        <w:rPr>
          <w:rFonts w:ascii="Times New Roman" w:hAnsi="Times New Roman"/>
          <w:sz w:val="18"/>
          <w:szCs w:val="18"/>
        </w:rPr>
        <w:t>12/</w:t>
      </w:r>
      <w:r w:rsidRPr="00890979">
        <w:rPr>
          <w:rFonts w:ascii="Times New Roman" w:hAnsi="Times New Roman"/>
          <w:sz w:val="18"/>
          <w:szCs w:val="18"/>
          <w:lang w:val="sr-Cyrl-RS"/>
        </w:rPr>
        <w:t>20</w:t>
      </w:r>
      <w:r w:rsidRPr="00890979">
        <w:rPr>
          <w:rFonts w:ascii="Times New Roman" w:hAnsi="Times New Roman"/>
          <w:sz w:val="18"/>
          <w:szCs w:val="18"/>
        </w:rPr>
        <w:t>20</w:t>
      </w:r>
      <w:r w:rsidRPr="00890979">
        <w:rPr>
          <w:rFonts w:ascii="Times New Roman" w:hAnsi="Times New Roman"/>
          <w:sz w:val="18"/>
          <w:szCs w:val="18"/>
          <w:lang w:val="sr-Cyrl-RS"/>
        </w:rPr>
        <w:t xml:space="preserve"> и 14/2020 – аутентично тумачење</w:t>
      </w:r>
    </w:p>
  </w:footnote>
  <w:footnote w:id="109">
    <w:p w:rsidR="00AE4ACB" w:rsidRPr="005451B3" w:rsidRDefault="00AE4ACB">
      <w:pPr>
        <w:pStyle w:val="FootnoteText"/>
        <w:rPr>
          <w:rFonts w:ascii="Times New Roman" w:hAnsi="Times New Roman"/>
          <w:sz w:val="18"/>
          <w:szCs w:val="18"/>
          <w:lang w:val="sr-Cyrl-RS"/>
        </w:rPr>
      </w:pPr>
      <w:r w:rsidRPr="005451B3">
        <w:rPr>
          <w:rStyle w:val="FootnoteReference"/>
          <w:rFonts w:ascii="Times New Roman" w:hAnsi="Times New Roman"/>
          <w:sz w:val="18"/>
          <w:szCs w:val="18"/>
        </w:rPr>
        <w:footnoteRef/>
      </w:r>
      <w:r w:rsidRPr="005451B3">
        <w:rPr>
          <w:rFonts w:ascii="Times New Roman" w:hAnsi="Times New Roman"/>
          <w:sz w:val="18"/>
          <w:szCs w:val="18"/>
        </w:rPr>
        <w:t xml:space="preserve"> „Службени гласник РС”, број </w:t>
      </w:r>
      <w:r w:rsidRPr="005451B3">
        <w:rPr>
          <w:rFonts w:ascii="Times New Roman" w:hAnsi="Times New Roman"/>
          <w:sz w:val="18"/>
          <w:szCs w:val="18"/>
          <w:lang w:val="sr-Cyrl-RS"/>
        </w:rPr>
        <w:t>14/2022</w:t>
      </w:r>
    </w:p>
  </w:footnote>
  <w:footnote w:id="110">
    <w:p w:rsidR="00AE4ACB" w:rsidRPr="005451B3" w:rsidRDefault="00AE4ACB">
      <w:pPr>
        <w:pStyle w:val="FootnoteText"/>
        <w:rPr>
          <w:rFonts w:ascii="Times New Roman" w:hAnsi="Times New Roman"/>
          <w:sz w:val="18"/>
          <w:szCs w:val="18"/>
          <w:lang w:val="sr-Cyrl-RS"/>
        </w:rPr>
      </w:pPr>
      <w:r w:rsidRPr="005451B3">
        <w:rPr>
          <w:rStyle w:val="FootnoteReference"/>
          <w:rFonts w:ascii="Times New Roman" w:hAnsi="Times New Roman"/>
          <w:sz w:val="18"/>
          <w:szCs w:val="18"/>
        </w:rPr>
        <w:footnoteRef/>
      </w:r>
      <w:r w:rsidRPr="005451B3">
        <w:rPr>
          <w:rFonts w:ascii="Times New Roman" w:hAnsi="Times New Roman"/>
          <w:sz w:val="18"/>
          <w:szCs w:val="18"/>
        </w:rPr>
        <w:t xml:space="preserve"> „Службени гласник РС”, број </w:t>
      </w:r>
      <w:r w:rsidRPr="005451B3">
        <w:rPr>
          <w:rFonts w:ascii="Times New Roman" w:hAnsi="Times New Roman"/>
          <w:sz w:val="18"/>
          <w:szCs w:val="18"/>
          <w:lang w:val="sr-Cyrl-RS"/>
        </w:rPr>
        <w:t>14/2022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D57D4"/>
    <w:multiLevelType w:val="multilevel"/>
    <w:tmpl w:val="4856A0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F8D6FDC"/>
    <w:multiLevelType w:val="multilevel"/>
    <w:tmpl w:val="3FA0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start w:val="1"/>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F816C7"/>
    <w:multiLevelType w:val="multilevel"/>
    <w:tmpl w:val="055C0546"/>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AAF03C1"/>
    <w:multiLevelType w:val="hybridMultilevel"/>
    <w:tmpl w:val="0AEC4FC8"/>
    <w:lvl w:ilvl="0" w:tplc="7C4E62B4">
      <w:start w:val="8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BA3384"/>
    <w:multiLevelType w:val="hybridMultilevel"/>
    <w:tmpl w:val="15640210"/>
    <w:lvl w:ilvl="0" w:tplc="943A0AB0">
      <w:start w:val="1"/>
      <w:numFmt w:val="bullet"/>
      <w:pStyle w:val="bullet"/>
      <w:lvlText w:val=""/>
      <w:lvlJc w:val="left"/>
      <w:pPr>
        <w:ind w:left="540" w:hanging="360"/>
      </w:pPr>
      <w:rPr>
        <w:rFonts w:ascii="Symbol" w:hAnsi="Symbol" w:hint="default"/>
        <w:color w:val="0057A1"/>
      </w:rPr>
    </w:lvl>
    <w:lvl w:ilvl="1" w:tplc="04090003">
      <w:start w:val="1"/>
      <w:numFmt w:val="bullet"/>
      <w:lvlText w:val="o"/>
      <w:lvlJc w:val="left"/>
      <w:pPr>
        <w:ind w:left="2860" w:hanging="360"/>
      </w:pPr>
      <w:rPr>
        <w:rFonts w:ascii="Courier New" w:hAnsi="Courier New" w:cs="Courier New" w:hint="default"/>
      </w:rPr>
    </w:lvl>
    <w:lvl w:ilvl="2" w:tplc="04090005">
      <w:start w:val="1"/>
      <w:numFmt w:val="bullet"/>
      <w:lvlText w:val=""/>
      <w:lvlJc w:val="left"/>
      <w:pPr>
        <w:ind w:left="3580" w:hanging="360"/>
      </w:pPr>
      <w:rPr>
        <w:rFonts w:ascii="Wingdings" w:hAnsi="Wingdings" w:hint="default"/>
      </w:rPr>
    </w:lvl>
    <w:lvl w:ilvl="3" w:tplc="04090001">
      <w:start w:val="1"/>
      <w:numFmt w:val="bullet"/>
      <w:lvlText w:val=""/>
      <w:lvlJc w:val="left"/>
      <w:pPr>
        <w:ind w:left="4300" w:hanging="360"/>
      </w:pPr>
      <w:rPr>
        <w:rFonts w:ascii="Symbol" w:hAnsi="Symbol" w:hint="default"/>
      </w:rPr>
    </w:lvl>
    <w:lvl w:ilvl="4" w:tplc="04090003">
      <w:start w:val="1"/>
      <w:numFmt w:val="bullet"/>
      <w:lvlText w:val="o"/>
      <w:lvlJc w:val="left"/>
      <w:pPr>
        <w:ind w:left="5020" w:hanging="360"/>
      </w:pPr>
      <w:rPr>
        <w:rFonts w:ascii="Courier New" w:hAnsi="Courier New" w:cs="Courier New" w:hint="default"/>
      </w:rPr>
    </w:lvl>
    <w:lvl w:ilvl="5" w:tplc="04090005">
      <w:start w:val="1"/>
      <w:numFmt w:val="bullet"/>
      <w:lvlText w:val=""/>
      <w:lvlJc w:val="left"/>
      <w:pPr>
        <w:ind w:left="5740" w:hanging="360"/>
      </w:pPr>
      <w:rPr>
        <w:rFonts w:ascii="Wingdings" w:hAnsi="Wingdings" w:hint="default"/>
      </w:rPr>
    </w:lvl>
    <w:lvl w:ilvl="6" w:tplc="04090001">
      <w:start w:val="1"/>
      <w:numFmt w:val="bullet"/>
      <w:lvlText w:val=""/>
      <w:lvlJc w:val="left"/>
      <w:pPr>
        <w:ind w:left="6460" w:hanging="360"/>
      </w:pPr>
      <w:rPr>
        <w:rFonts w:ascii="Symbol" w:hAnsi="Symbol" w:hint="default"/>
      </w:rPr>
    </w:lvl>
    <w:lvl w:ilvl="7" w:tplc="04090003">
      <w:start w:val="1"/>
      <w:numFmt w:val="bullet"/>
      <w:lvlText w:val="o"/>
      <w:lvlJc w:val="left"/>
      <w:pPr>
        <w:ind w:left="7180" w:hanging="360"/>
      </w:pPr>
      <w:rPr>
        <w:rFonts w:ascii="Courier New" w:hAnsi="Courier New" w:cs="Courier New" w:hint="default"/>
      </w:rPr>
    </w:lvl>
    <w:lvl w:ilvl="8" w:tplc="04090005">
      <w:start w:val="1"/>
      <w:numFmt w:val="bullet"/>
      <w:lvlText w:val=""/>
      <w:lvlJc w:val="left"/>
      <w:pPr>
        <w:ind w:left="79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6B"/>
    <w:rsid w:val="00003A66"/>
    <w:rsid w:val="00005C18"/>
    <w:rsid w:val="00021C03"/>
    <w:rsid w:val="000237A6"/>
    <w:rsid w:val="00025313"/>
    <w:rsid w:val="000279AD"/>
    <w:rsid w:val="00030742"/>
    <w:rsid w:val="000307DB"/>
    <w:rsid w:val="00031E67"/>
    <w:rsid w:val="000328A3"/>
    <w:rsid w:val="00034AD3"/>
    <w:rsid w:val="00037E6B"/>
    <w:rsid w:val="00043106"/>
    <w:rsid w:val="000446AB"/>
    <w:rsid w:val="00044B58"/>
    <w:rsid w:val="00046B1F"/>
    <w:rsid w:val="00051036"/>
    <w:rsid w:val="000547D6"/>
    <w:rsid w:val="00060FA6"/>
    <w:rsid w:val="00062C64"/>
    <w:rsid w:val="00063249"/>
    <w:rsid w:val="000659A5"/>
    <w:rsid w:val="0007657A"/>
    <w:rsid w:val="00081712"/>
    <w:rsid w:val="00082130"/>
    <w:rsid w:val="0008472D"/>
    <w:rsid w:val="00086EBE"/>
    <w:rsid w:val="00091898"/>
    <w:rsid w:val="000A5892"/>
    <w:rsid w:val="000B1337"/>
    <w:rsid w:val="000B30D0"/>
    <w:rsid w:val="000B54D6"/>
    <w:rsid w:val="000B6903"/>
    <w:rsid w:val="000B6937"/>
    <w:rsid w:val="000C0879"/>
    <w:rsid w:val="000C3DF3"/>
    <w:rsid w:val="000D4C4B"/>
    <w:rsid w:val="000D625E"/>
    <w:rsid w:val="000F109A"/>
    <w:rsid w:val="001006D6"/>
    <w:rsid w:val="0010111B"/>
    <w:rsid w:val="00105EF2"/>
    <w:rsid w:val="00106917"/>
    <w:rsid w:val="00117B1E"/>
    <w:rsid w:val="00120551"/>
    <w:rsid w:val="00123B6E"/>
    <w:rsid w:val="00124286"/>
    <w:rsid w:val="00125CC3"/>
    <w:rsid w:val="00125EF7"/>
    <w:rsid w:val="00126AEB"/>
    <w:rsid w:val="00130C7C"/>
    <w:rsid w:val="00137956"/>
    <w:rsid w:val="001447DC"/>
    <w:rsid w:val="00150393"/>
    <w:rsid w:val="00151769"/>
    <w:rsid w:val="0015427C"/>
    <w:rsid w:val="00155A83"/>
    <w:rsid w:val="0016720E"/>
    <w:rsid w:val="00167E2C"/>
    <w:rsid w:val="001710B3"/>
    <w:rsid w:val="00171ADA"/>
    <w:rsid w:val="00172885"/>
    <w:rsid w:val="0017336C"/>
    <w:rsid w:val="00177943"/>
    <w:rsid w:val="001901A4"/>
    <w:rsid w:val="001955AE"/>
    <w:rsid w:val="001A2D57"/>
    <w:rsid w:val="001A5B76"/>
    <w:rsid w:val="001A732C"/>
    <w:rsid w:val="001B5657"/>
    <w:rsid w:val="001B605C"/>
    <w:rsid w:val="001C0CAC"/>
    <w:rsid w:val="001C1864"/>
    <w:rsid w:val="001C33A0"/>
    <w:rsid w:val="001D0BBB"/>
    <w:rsid w:val="001E18BB"/>
    <w:rsid w:val="001E5304"/>
    <w:rsid w:val="001F074C"/>
    <w:rsid w:val="001F3034"/>
    <w:rsid w:val="001F38D8"/>
    <w:rsid w:val="00205A5A"/>
    <w:rsid w:val="00210BB0"/>
    <w:rsid w:val="002166C2"/>
    <w:rsid w:val="00220191"/>
    <w:rsid w:val="00220E18"/>
    <w:rsid w:val="00222B21"/>
    <w:rsid w:val="002360A1"/>
    <w:rsid w:val="00237259"/>
    <w:rsid w:val="00237DA9"/>
    <w:rsid w:val="002437BC"/>
    <w:rsid w:val="0025148C"/>
    <w:rsid w:val="002529CA"/>
    <w:rsid w:val="00253A4C"/>
    <w:rsid w:val="0026263B"/>
    <w:rsid w:val="00262BD5"/>
    <w:rsid w:val="002644F9"/>
    <w:rsid w:val="00267565"/>
    <w:rsid w:val="00272ED8"/>
    <w:rsid w:val="00277799"/>
    <w:rsid w:val="00281DCE"/>
    <w:rsid w:val="002860D2"/>
    <w:rsid w:val="00287115"/>
    <w:rsid w:val="00287313"/>
    <w:rsid w:val="00287C0A"/>
    <w:rsid w:val="002972DB"/>
    <w:rsid w:val="002A065E"/>
    <w:rsid w:val="002A1AA5"/>
    <w:rsid w:val="002A6B43"/>
    <w:rsid w:val="002B1E8D"/>
    <w:rsid w:val="002C2618"/>
    <w:rsid w:val="002D21CB"/>
    <w:rsid w:val="002D2488"/>
    <w:rsid w:val="002D5122"/>
    <w:rsid w:val="002D71E8"/>
    <w:rsid w:val="002D75E5"/>
    <w:rsid w:val="002E129F"/>
    <w:rsid w:val="002E3EE5"/>
    <w:rsid w:val="002F4A16"/>
    <w:rsid w:val="00306AEF"/>
    <w:rsid w:val="003073A1"/>
    <w:rsid w:val="00314A90"/>
    <w:rsid w:val="00315702"/>
    <w:rsid w:val="00320962"/>
    <w:rsid w:val="00320C21"/>
    <w:rsid w:val="0032712F"/>
    <w:rsid w:val="00332D53"/>
    <w:rsid w:val="0033451E"/>
    <w:rsid w:val="00334F7A"/>
    <w:rsid w:val="0033530E"/>
    <w:rsid w:val="0033642F"/>
    <w:rsid w:val="0034105D"/>
    <w:rsid w:val="003417CD"/>
    <w:rsid w:val="00341D03"/>
    <w:rsid w:val="00342183"/>
    <w:rsid w:val="003442EA"/>
    <w:rsid w:val="00353D0B"/>
    <w:rsid w:val="00354C9C"/>
    <w:rsid w:val="00355C97"/>
    <w:rsid w:val="00356178"/>
    <w:rsid w:val="00357A1E"/>
    <w:rsid w:val="00357CA0"/>
    <w:rsid w:val="003632FB"/>
    <w:rsid w:val="00364594"/>
    <w:rsid w:val="003650A7"/>
    <w:rsid w:val="0036704D"/>
    <w:rsid w:val="003700F7"/>
    <w:rsid w:val="00370D11"/>
    <w:rsid w:val="00371D4F"/>
    <w:rsid w:val="00372E6C"/>
    <w:rsid w:val="00375C0E"/>
    <w:rsid w:val="003819B3"/>
    <w:rsid w:val="00384F80"/>
    <w:rsid w:val="00392AC9"/>
    <w:rsid w:val="00392F96"/>
    <w:rsid w:val="003A0777"/>
    <w:rsid w:val="003A4824"/>
    <w:rsid w:val="003A60E4"/>
    <w:rsid w:val="003A791B"/>
    <w:rsid w:val="003B2126"/>
    <w:rsid w:val="003B26B2"/>
    <w:rsid w:val="003B31D0"/>
    <w:rsid w:val="003B49FD"/>
    <w:rsid w:val="003B6A6E"/>
    <w:rsid w:val="003B7207"/>
    <w:rsid w:val="003B7A75"/>
    <w:rsid w:val="003C6D26"/>
    <w:rsid w:val="003D18B6"/>
    <w:rsid w:val="003D2BD6"/>
    <w:rsid w:val="003D47EF"/>
    <w:rsid w:val="003E1615"/>
    <w:rsid w:val="003E3814"/>
    <w:rsid w:val="003E414B"/>
    <w:rsid w:val="003E5BD1"/>
    <w:rsid w:val="003E654C"/>
    <w:rsid w:val="003E7B68"/>
    <w:rsid w:val="003F3002"/>
    <w:rsid w:val="003F31F2"/>
    <w:rsid w:val="003F43D6"/>
    <w:rsid w:val="004051F5"/>
    <w:rsid w:val="00414485"/>
    <w:rsid w:val="00416D14"/>
    <w:rsid w:val="004218F5"/>
    <w:rsid w:val="00421968"/>
    <w:rsid w:val="00421C25"/>
    <w:rsid w:val="00423EAB"/>
    <w:rsid w:val="0042418C"/>
    <w:rsid w:val="00424E77"/>
    <w:rsid w:val="00427AED"/>
    <w:rsid w:val="00430C16"/>
    <w:rsid w:val="004312FA"/>
    <w:rsid w:val="00434433"/>
    <w:rsid w:val="00435838"/>
    <w:rsid w:val="004363CD"/>
    <w:rsid w:val="004365F7"/>
    <w:rsid w:val="0043699C"/>
    <w:rsid w:val="004375A2"/>
    <w:rsid w:val="00440A2A"/>
    <w:rsid w:val="004477C2"/>
    <w:rsid w:val="00453969"/>
    <w:rsid w:val="00453FB2"/>
    <w:rsid w:val="00464534"/>
    <w:rsid w:val="0046735E"/>
    <w:rsid w:val="00467A30"/>
    <w:rsid w:val="00486CD3"/>
    <w:rsid w:val="00490A76"/>
    <w:rsid w:val="00490DC0"/>
    <w:rsid w:val="00493269"/>
    <w:rsid w:val="00493B53"/>
    <w:rsid w:val="00495DF3"/>
    <w:rsid w:val="004A2642"/>
    <w:rsid w:val="004A29F3"/>
    <w:rsid w:val="004A7A86"/>
    <w:rsid w:val="004B3A1C"/>
    <w:rsid w:val="004B79F3"/>
    <w:rsid w:val="004C2E0D"/>
    <w:rsid w:val="004C3FCB"/>
    <w:rsid w:val="004C539D"/>
    <w:rsid w:val="004D774A"/>
    <w:rsid w:val="004E02AC"/>
    <w:rsid w:val="004E0952"/>
    <w:rsid w:val="004E0AF4"/>
    <w:rsid w:val="004E1B53"/>
    <w:rsid w:val="004E4D6B"/>
    <w:rsid w:val="004E5EBB"/>
    <w:rsid w:val="004E78D7"/>
    <w:rsid w:val="004F0DD1"/>
    <w:rsid w:val="004F1D2A"/>
    <w:rsid w:val="004F317D"/>
    <w:rsid w:val="004F3D51"/>
    <w:rsid w:val="00501E37"/>
    <w:rsid w:val="00510181"/>
    <w:rsid w:val="00510398"/>
    <w:rsid w:val="00510FA0"/>
    <w:rsid w:val="00511318"/>
    <w:rsid w:val="00514320"/>
    <w:rsid w:val="005249B1"/>
    <w:rsid w:val="00535A5D"/>
    <w:rsid w:val="00541E21"/>
    <w:rsid w:val="00543C3D"/>
    <w:rsid w:val="00544F32"/>
    <w:rsid w:val="005451B3"/>
    <w:rsid w:val="0055138C"/>
    <w:rsid w:val="00552342"/>
    <w:rsid w:val="00552679"/>
    <w:rsid w:val="005567B0"/>
    <w:rsid w:val="00561176"/>
    <w:rsid w:val="005623BA"/>
    <w:rsid w:val="00565E7E"/>
    <w:rsid w:val="0056662A"/>
    <w:rsid w:val="00570E35"/>
    <w:rsid w:val="00576E43"/>
    <w:rsid w:val="00582B0A"/>
    <w:rsid w:val="0058686F"/>
    <w:rsid w:val="005A3242"/>
    <w:rsid w:val="005A4C72"/>
    <w:rsid w:val="005A54B8"/>
    <w:rsid w:val="005A6E59"/>
    <w:rsid w:val="005B4997"/>
    <w:rsid w:val="005C5231"/>
    <w:rsid w:val="005D359A"/>
    <w:rsid w:val="005D3647"/>
    <w:rsid w:val="005D5321"/>
    <w:rsid w:val="005F382D"/>
    <w:rsid w:val="005F59AC"/>
    <w:rsid w:val="00607976"/>
    <w:rsid w:val="00610503"/>
    <w:rsid w:val="0061338C"/>
    <w:rsid w:val="0062575A"/>
    <w:rsid w:val="006275DE"/>
    <w:rsid w:val="0063115E"/>
    <w:rsid w:val="00632A81"/>
    <w:rsid w:val="00634B93"/>
    <w:rsid w:val="00637F15"/>
    <w:rsid w:val="0066226F"/>
    <w:rsid w:val="0066354C"/>
    <w:rsid w:val="00666C31"/>
    <w:rsid w:val="00671635"/>
    <w:rsid w:val="00675357"/>
    <w:rsid w:val="00680F3D"/>
    <w:rsid w:val="006810F2"/>
    <w:rsid w:val="006814E1"/>
    <w:rsid w:val="006839F9"/>
    <w:rsid w:val="006904C2"/>
    <w:rsid w:val="006970EC"/>
    <w:rsid w:val="006A0491"/>
    <w:rsid w:val="006A4366"/>
    <w:rsid w:val="006A750D"/>
    <w:rsid w:val="006B0D37"/>
    <w:rsid w:val="006B24C0"/>
    <w:rsid w:val="006B575F"/>
    <w:rsid w:val="006B677A"/>
    <w:rsid w:val="006C1FBC"/>
    <w:rsid w:val="006C287E"/>
    <w:rsid w:val="006C649E"/>
    <w:rsid w:val="006D1FA1"/>
    <w:rsid w:val="006D3FF0"/>
    <w:rsid w:val="006E5624"/>
    <w:rsid w:val="00705426"/>
    <w:rsid w:val="0070631C"/>
    <w:rsid w:val="007115E4"/>
    <w:rsid w:val="00713D29"/>
    <w:rsid w:val="00715BA5"/>
    <w:rsid w:val="0072368C"/>
    <w:rsid w:val="00723A62"/>
    <w:rsid w:val="00724323"/>
    <w:rsid w:val="007254BB"/>
    <w:rsid w:val="007273B0"/>
    <w:rsid w:val="007310B0"/>
    <w:rsid w:val="007331C1"/>
    <w:rsid w:val="0073407D"/>
    <w:rsid w:val="00736E42"/>
    <w:rsid w:val="007374F4"/>
    <w:rsid w:val="00741176"/>
    <w:rsid w:val="007463D7"/>
    <w:rsid w:val="00747E7C"/>
    <w:rsid w:val="00757D43"/>
    <w:rsid w:val="00761E91"/>
    <w:rsid w:val="00766BF9"/>
    <w:rsid w:val="00770AB1"/>
    <w:rsid w:val="00775DEF"/>
    <w:rsid w:val="0077600F"/>
    <w:rsid w:val="00777C59"/>
    <w:rsid w:val="00785071"/>
    <w:rsid w:val="00787968"/>
    <w:rsid w:val="00790BEF"/>
    <w:rsid w:val="00792AAA"/>
    <w:rsid w:val="007A3CBF"/>
    <w:rsid w:val="007B3F8F"/>
    <w:rsid w:val="007C2EEF"/>
    <w:rsid w:val="007C4F7A"/>
    <w:rsid w:val="007D718E"/>
    <w:rsid w:val="007D7B56"/>
    <w:rsid w:val="007E167A"/>
    <w:rsid w:val="007E21DE"/>
    <w:rsid w:val="007E5DAE"/>
    <w:rsid w:val="007F0984"/>
    <w:rsid w:val="007F0C9A"/>
    <w:rsid w:val="007F77C4"/>
    <w:rsid w:val="0080194C"/>
    <w:rsid w:val="00801F4F"/>
    <w:rsid w:val="0081189B"/>
    <w:rsid w:val="00811B58"/>
    <w:rsid w:val="00813A58"/>
    <w:rsid w:val="008157C2"/>
    <w:rsid w:val="0083090D"/>
    <w:rsid w:val="00831CE8"/>
    <w:rsid w:val="00835E1A"/>
    <w:rsid w:val="00841498"/>
    <w:rsid w:val="008414A8"/>
    <w:rsid w:val="0084250B"/>
    <w:rsid w:val="00846827"/>
    <w:rsid w:val="00850082"/>
    <w:rsid w:val="008514CF"/>
    <w:rsid w:val="008572C6"/>
    <w:rsid w:val="00857CF1"/>
    <w:rsid w:val="00860DEE"/>
    <w:rsid w:val="00864274"/>
    <w:rsid w:val="00864B9B"/>
    <w:rsid w:val="00872C3C"/>
    <w:rsid w:val="00874C27"/>
    <w:rsid w:val="008770DB"/>
    <w:rsid w:val="0087750A"/>
    <w:rsid w:val="00880030"/>
    <w:rsid w:val="008827FD"/>
    <w:rsid w:val="008841AB"/>
    <w:rsid w:val="0088779A"/>
    <w:rsid w:val="00890979"/>
    <w:rsid w:val="008A262A"/>
    <w:rsid w:val="008A773A"/>
    <w:rsid w:val="008A7E1F"/>
    <w:rsid w:val="008A7FB0"/>
    <w:rsid w:val="008B14B2"/>
    <w:rsid w:val="008B2591"/>
    <w:rsid w:val="008B40F2"/>
    <w:rsid w:val="008B5120"/>
    <w:rsid w:val="008B57D1"/>
    <w:rsid w:val="008B6080"/>
    <w:rsid w:val="008B7415"/>
    <w:rsid w:val="008C3226"/>
    <w:rsid w:val="008C4849"/>
    <w:rsid w:val="008D203C"/>
    <w:rsid w:val="008E4923"/>
    <w:rsid w:val="008E7A93"/>
    <w:rsid w:val="008F0309"/>
    <w:rsid w:val="008F046F"/>
    <w:rsid w:val="008F05D0"/>
    <w:rsid w:val="008F0CFA"/>
    <w:rsid w:val="008F512E"/>
    <w:rsid w:val="008F6530"/>
    <w:rsid w:val="009012E2"/>
    <w:rsid w:val="009028C6"/>
    <w:rsid w:val="0091001F"/>
    <w:rsid w:val="00910BCD"/>
    <w:rsid w:val="00910E91"/>
    <w:rsid w:val="00915E1B"/>
    <w:rsid w:val="009307A4"/>
    <w:rsid w:val="00935000"/>
    <w:rsid w:val="00935E8D"/>
    <w:rsid w:val="00936267"/>
    <w:rsid w:val="00936566"/>
    <w:rsid w:val="0093694C"/>
    <w:rsid w:val="00945A5A"/>
    <w:rsid w:val="009460C5"/>
    <w:rsid w:val="009525D8"/>
    <w:rsid w:val="009632CB"/>
    <w:rsid w:val="009643EC"/>
    <w:rsid w:val="00967EB6"/>
    <w:rsid w:val="0097013D"/>
    <w:rsid w:val="00970AE7"/>
    <w:rsid w:val="009743D3"/>
    <w:rsid w:val="00974BD9"/>
    <w:rsid w:val="009756CB"/>
    <w:rsid w:val="009758B3"/>
    <w:rsid w:val="00976A12"/>
    <w:rsid w:val="00977386"/>
    <w:rsid w:val="00982135"/>
    <w:rsid w:val="00987015"/>
    <w:rsid w:val="0098713E"/>
    <w:rsid w:val="00987619"/>
    <w:rsid w:val="00987A81"/>
    <w:rsid w:val="009909AB"/>
    <w:rsid w:val="009945EB"/>
    <w:rsid w:val="00997B87"/>
    <w:rsid w:val="009A1D57"/>
    <w:rsid w:val="009A32E7"/>
    <w:rsid w:val="009A4A98"/>
    <w:rsid w:val="009A5C9B"/>
    <w:rsid w:val="009A6DC4"/>
    <w:rsid w:val="009B1C09"/>
    <w:rsid w:val="009B2623"/>
    <w:rsid w:val="009B5929"/>
    <w:rsid w:val="009C1F27"/>
    <w:rsid w:val="009C2091"/>
    <w:rsid w:val="009C33CF"/>
    <w:rsid w:val="009C3510"/>
    <w:rsid w:val="009C3B5D"/>
    <w:rsid w:val="009C5E17"/>
    <w:rsid w:val="009D022F"/>
    <w:rsid w:val="009D03BD"/>
    <w:rsid w:val="009D3498"/>
    <w:rsid w:val="009D47E3"/>
    <w:rsid w:val="009D4EED"/>
    <w:rsid w:val="009D6E0F"/>
    <w:rsid w:val="009E54F7"/>
    <w:rsid w:val="009F22FC"/>
    <w:rsid w:val="009F4C14"/>
    <w:rsid w:val="00A02117"/>
    <w:rsid w:val="00A150F6"/>
    <w:rsid w:val="00A218A7"/>
    <w:rsid w:val="00A25643"/>
    <w:rsid w:val="00A31E06"/>
    <w:rsid w:val="00A34F05"/>
    <w:rsid w:val="00A3619D"/>
    <w:rsid w:val="00A475C5"/>
    <w:rsid w:val="00A5162C"/>
    <w:rsid w:val="00A51CE6"/>
    <w:rsid w:val="00A53AB8"/>
    <w:rsid w:val="00A55255"/>
    <w:rsid w:val="00A562E8"/>
    <w:rsid w:val="00A62F9D"/>
    <w:rsid w:val="00A630D5"/>
    <w:rsid w:val="00A66C30"/>
    <w:rsid w:val="00A67214"/>
    <w:rsid w:val="00A70AED"/>
    <w:rsid w:val="00A711FC"/>
    <w:rsid w:val="00A72435"/>
    <w:rsid w:val="00A74E3E"/>
    <w:rsid w:val="00A772E1"/>
    <w:rsid w:val="00A93B38"/>
    <w:rsid w:val="00A971A9"/>
    <w:rsid w:val="00AA0628"/>
    <w:rsid w:val="00AA2824"/>
    <w:rsid w:val="00AA33F0"/>
    <w:rsid w:val="00AA3916"/>
    <w:rsid w:val="00AA6B1B"/>
    <w:rsid w:val="00AA7CD8"/>
    <w:rsid w:val="00AB0F66"/>
    <w:rsid w:val="00AB5BA5"/>
    <w:rsid w:val="00AD09F0"/>
    <w:rsid w:val="00AD5BFF"/>
    <w:rsid w:val="00AD7EA3"/>
    <w:rsid w:val="00AE1EB3"/>
    <w:rsid w:val="00AE2D7A"/>
    <w:rsid w:val="00AE4ACB"/>
    <w:rsid w:val="00AE7342"/>
    <w:rsid w:val="00AE7A8C"/>
    <w:rsid w:val="00AF2303"/>
    <w:rsid w:val="00AF3BE3"/>
    <w:rsid w:val="00AF47F8"/>
    <w:rsid w:val="00AF6934"/>
    <w:rsid w:val="00B00808"/>
    <w:rsid w:val="00B00AF7"/>
    <w:rsid w:val="00B04B84"/>
    <w:rsid w:val="00B055B8"/>
    <w:rsid w:val="00B1174C"/>
    <w:rsid w:val="00B1441B"/>
    <w:rsid w:val="00B23084"/>
    <w:rsid w:val="00B33E89"/>
    <w:rsid w:val="00B453FD"/>
    <w:rsid w:val="00B46F8C"/>
    <w:rsid w:val="00B5055B"/>
    <w:rsid w:val="00B512BD"/>
    <w:rsid w:val="00B52373"/>
    <w:rsid w:val="00B62317"/>
    <w:rsid w:val="00B634B9"/>
    <w:rsid w:val="00B73822"/>
    <w:rsid w:val="00B73F03"/>
    <w:rsid w:val="00B76AD3"/>
    <w:rsid w:val="00B820A7"/>
    <w:rsid w:val="00B848C2"/>
    <w:rsid w:val="00B85A49"/>
    <w:rsid w:val="00B860AE"/>
    <w:rsid w:val="00B9083E"/>
    <w:rsid w:val="00B922D4"/>
    <w:rsid w:val="00B93A5B"/>
    <w:rsid w:val="00BA59A7"/>
    <w:rsid w:val="00BB3887"/>
    <w:rsid w:val="00BB6D14"/>
    <w:rsid w:val="00BC1742"/>
    <w:rsid w:val="00BC5D53"/>
    <w:rsid w:val="00BE11F5"/>
    <w:rsid w:val="00BF1352"/>
    <w:rsid w:val="00BF13E8"/>
    <w:rsid w:val="00BF4081"/>
    <w:rsid w:val="00C00395"/>
    <w:rsid w:val="00C00CC3"/>
    <w:rsid w:val="00C10D85"/>
    <w:rsid w:val="00C140E0"/>
    <w:rsid w:val="00C14C92"/>
    <w:rsid w:val="00C150B0"/>
    <w:rsid w:val="00C222C6"/>
    <w:rsid w:val="00C23F4C"/>
    <w:rsid w:val="00C2745D"/>
    <w:rsid w:val="00C32454"/>
    <w:rsid w:val="00C365D9"/>
    <w:rsid w:val="00C61D51"/>
    <w:rsid w:val="00C623CC"/>
    <w:rsid w:val="00C63B9C"/>
    <w:rsid w:val="00C707DA"/>
    <w:rsid w:val="00C7373E"/>
    <w:rsid w:val="00C73A86"/>
    <w:rsid w:val="00C77214"/>
    <w:rsid w:val="00C806F6"/>
    <w:rsid w:val="00C82FD1"/>
    <w:rsid w:val="00C83DFA"/>
    <w:rsid w:val="00C84BA0"/>
    <w:rsid w:val="00C85331"/>
    <w:rsid w:val="00C85B24"/>
    <w:rsid w:val="00C913B4"/>
    <w:rsid w:val="00C91C64"/>
    <w:rsid w:val="00C971E4"/>
    <w:rsid w:val="00CA1D81"/>
    <w:rsid w:val="00CA6B98"/>
    <w:rsid w:val="00CB50B7"/>
    <w:rsid w:val="00CB58CB"/>
    <w:rsid w:val="00CC11E2"/>
    <w:rsid w:val="00CC4744"/>
    <w:rsid w:val="00CC67AC"/>
    <w:rsid w:val="00CC7D3C"/>
    <w:rsid w:val="00CD062A"/>
    <w:rsid w:val="00CD32CE"/>
    <w:rsid w:val="00CD61F7"/>
    <w:rsid w:val="00CD62B4"/>
    <w:rsid w:val="00CE3E81"/>
    <w:rsid w:val="00CE5B5C"/>
    <w:rsid w:val="00CF11DE"/>
    <w:rsid w:val="00CF5CC0"/>
    <w:rsid w:val="00CF71FB"/>
    <w:rsid w:val="00D01D2E"/>
    <w:rsid w:val="00D0235A"/>
    <w:rsid w:val="00D043AE"/>
    <w:rsid w:val="00D06862"/>
    <w:rsid w:val="00D0724F"/>
    <w:rsid w:val="00D1261D"/>
    <w:rsid w:val="00D135BF"/>
    <w:rsid w:val="00D13C6A"/>
    <w:rsid w:val="00D215D0"/>
    <w:rsid w:val="00D233C8"/>
    <w:rsid w:val="00D26244"/>
    <w:rsid w:val="00D31776"/>
    <w:rsid w:val="00D34941"/>
    <w:rsid w:val="00D34DFB"/>
    <w:rsid w:val="00D37F4E"/>
    <w:rsid w:val="00D41A11"/>
    <w:rsid w:val="00D42473"/>
    <w:rsid w:val="00D42966"/>
    <w:rsid w:val="00D42CD6"/>
    <w:rsid w:val="00D42F68"/>
    <w:rsid w:val="00D449A9"/>
    <w:rsid w:val="00D54FE5"/>
    <w:rsid w:val="00D57FCF"/>
    <w:rsid w:val="00D619ED"/>
    <w:rsid w:val="00D636EA"/>
    <w:rsid w:val="00D64384"/>
    <w:rsid w:val="00D7283E"/>
    <w:rsid w:val="00D72E31"/>
    <w:rsid w:val="00D74DAF"/>
    <w:rsid w:val="00D77101"/>
    <w:rsid w:val="00D81596"/>
    <w:rsid w:val="00D81951"/>
    <w:rsid w:val="00D836DD"/>
    <w:rsid w:val="00D84FEB"/>
    <w:rsid w:val="00D87FC8"/>
    <w:rsid w:val="00D9350E"/>
    <w:rsid w:val="00D95624"/>
    <w:rsid w:val="00D970D7"/>
    <w:rsid w:val="00DA1365"/>
    <w:rsid w:val="00DB226F"/>
    <w:rsid w:val="00DC412B"/>
    <w:rsid w:val="00DC4EA1"/>
    <w:rsid w:val="00DC5E76"/>
    <w:rsid w:val="00DC6F68"/>
    <w:rsid w:val="00DC7471"/>
    <w:rsid w:val="00DD045B"/>
    <w:rsid w:val="00DD24A7"/>
    <w:rsid w:val="00DD68F4"/>
    <w:rsid w:val="00DD7966"/>
    <w:rsid w:val="00DE0E9C"/>
    <w:rsid w:val="00DE16BA"/>
    <w:rsid w:val="00DE31AC"/>
    <w:rsid w:val="00DF3153"/>
    <w:rsid w:val="00DF4FC5"/>
    <w:rsid w:val="00E01B39"/>
    <w:rsid w:val="00E01CC4"/>
    <w:rsid w:val="00E05C59"/>
    <w:rsid w:val="00E11E52"/>
    <w:rsid w:val="00E12DBA"/>
    <w:rsid w:val="00E171E8"/>
    <w:rsid w:val="00E17833"/>
    <w:rsid w:val="00E200A9"/>
    <w:rsid w:val="00E33019"/>
    <w:rsid w:val="00E470B3"/>
    <w:rsid w:val="00E5431A"/>
    <w:rsid w:val="00E543C0"/>
    <w:rsid w:val="00E60DB6"/>
    <w:rsid w:val="00E72ED5"/>
    <w:rsid w:val="00E73C1F"/>
    <w:rsid w:val="00E75319"/>
    <w:rsid w:val="00E75E90"/>
    <w:rsid w:val="00E834AE"/>
    <w:rsid w:val="00E83B0D"/>
    <w:rsid w:val="00E84A7A"/>
    <w:rsid w:val="00E92A05"/>
    <w:rsid w:val="00E94D5E"/>
    <w:rsid w:val="00E9510C"/>
    <w:rsid w:val="00E97877"/>
    <w:rsid w:val="00EA41F1"/>
    <w:rsid w:val="00EA48A0"/>
    <w:rsid w:val="00EB0F3B"/>
    <w:rsid w:val="00EB25F5"/>
    <w:rsid w:val="00EB3024"/>
    <w:rsid w:val="00EB7AF6"/>
    <w:rsid w:val="00EC3AE2"/>
    <w:rsid w:val="00EC4EEF"/>
    <w:rsid w:val="00ED00B4"/>
    <w:rsid w:val="00ED45D2"/>
    <w:rsid w:val="00EE0687"/>
    <w:rsid w:val="00EE1341"/>
    <w:rsid w:val="00EE1ECC"/>
    <w:rsid w:val="00EF2A2D"/>
    <w:rsid w:val="00F04EA0"/>
    <w:rsid w:val="00F05892"/>
    <w:rsid w:val="00F10E34"/>
    <w:rsid w:val="00F11EE4"/>
    <w:rsid w:val="00F12175"/>
    <w:rsid w:val="00F1483A"/>
    <w:rsid w:val="00F237B2"/>
    <w:rsid w:val="00F31B10"/>
    <w:rsid w:val="00F333CD"/>
    <w:rsid w:val="00F37481"/>
    <w:rsid w:val="00F415A4"/>
    <w:rsid w:val="00F471CC"/>
    <w:rsid w:val="00F47B58"/>
    <w:rsid w:val="00F60D27"/>
    <w:rsid w:val="00F61B72"/>
    <w:rsid w:val="00F62533"/>
    <w:rsid w:val="00F65E0C"/>
    <w:rsid w:val="00F67B8E"/>
    <w:rsid w:val="00F70F7F"/>
    <w:rsid w:val="00F764D7"/>
    <w:rsid w:val="00F76766"/>
    <w:rsid w:val="00F81095"/>
    <w:rsid w:val="00F81F4A"/>
    <w:rsid w:val="00F90A93"/>
    <w:rsid w:val="00FA2562"/>
    <w:rsid w:val="00FA3770"/>
    <w:rsid w:val="00FA3FD7"/>
    <w:rsid w:val="00FB0BBF"/>
    <w:rsid w:val="00FB12DE"/>
    <w:rsid w:val="00FB13B3"/>
    <w:rsid w:val="00FB40BC"/>
    <w:rsid w:val="00FB4104"/>
    <w:rsid w:val="00FC0BFF"/>
    <w:rsid w:val="00FC290F"/>
    <w:rsid w:val="00FC49CE"/>
    <w:rsid w:val="00FD0E4D"/>
    <w:rsid w:val="00FD0EAF"/>
    <w:rsid w:val="00FD1488"/>
    <w:rsid w:val="00FD2A09"/>
    <w:rsid w:val="00FD4991"/>
    <w:rsid w:val="00FD6ED2"/>
    <w:rsid w:val="00FE5CA3"/>
    <w:rsid w:val="00FF2BF9"/>
    <w:rsid w:val="00FF5192"/>
    <w:rsid w:val="00FF5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02214-18C9-41A6-9CC7-82F45AA5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E6B"/>
    <w:pPr>
      <w:spacing w:after="200" w:line="276" w:lineRule="auto"/>
    </w:pPr>
    <w:rPr>
      <w:rFonts w:ascii="Times New Roman" w:eastAsia="Calibri" w:hAnsi="Times New Roman" w:cs="Times New Roman"/>
      <w:lang w:val="sr-Latn-RS"/>
    </w:rPr>
  </w:style>
  <w:style w:type="paragraph" w:styleId="Heading1">
    <w:name w:val="heading 1"/>
    <w:basedOn w:val="Normal"/>
    <w:next w:val="Normal"/>
    <w:link w:val="Heading1Char"/>
    <w:qFormat/>
    <w:rsid w:val="00037E6B"/>
    <w:pPr>
      <w:keepNext/>
      <w:spacing w:after="0" w:line="240" w:lineRule="auto"/>
      <w:outlineLvl w:val="0"/>
    </w:pPr>
    <w:rPr>
      <w:rFonts w:eastAsia="Times New Roman"/>
      <w:b/>
      <w:sz w:val="24"/>
      <w:szCs w:val="24"/>
      <w:lang w:val="sr-Cyrl-CS"/>
    </w:rPr>
  </w:style>
  <w:style w:type="paragraph" w:styleId="Heading2">
    <w:name w:val="heading 2"/>
    <w:basedOn w:val="Normal"/>
    <w:next w:val="Normal"/>
    <w:link w:val="Heading2Char"/>
    <w:uiPriority w:val="9"/>
    <w:unhideWhenUsed/>
    <w:qFormat/>
    <w:rsid w:val="00E92A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333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7E6B"/>
    <w:rPr>
      <w:rFonts w:ascii="Times New Roman" w:eastAsia="Times New Roman" w:hAnsi="Times New Roman" w:cs="Times New Roman"/>
      <w:b/>
      <w:sz w:val="24"/>
      <w:szCs w:val="24"/>
      <w:lang w:val="sr-Cyrl-CS"/>
    </w:rPr>
  </w:style>
  <w:style w:type="paragraph" w:styleId="FootnoteText">
    <w:name w:val="footnote text"/>
    <w:aliases w:val="single space,ft,Footnote Text Char Char Char,Footnote Text Char Char,footnote text Char,ft Char Char Char,ft Char Char,footnote text,Footnote Text Char1,FOOTNOTES,fn,Fußnote,F1,Geneva 9,Boston 1,Footnote Text Char Char Char Char Char Char"/>
    <w:basedOn w:val="Normal"/>
    <w:link w:val="FootnoteTextChar"/>
    <w:uiPriority w:val="99"/>
    <w:unhideWhenUsed/>
    <w:qFormat/>
    <w:rsid w:val="00037E6B"/>
    <w:pPr>
      <w:spacing w:after="0" w:line="240" w:lineRule="auto"/>
      <w:jc w:val="both"/>
    </w:pPr>
    <w:rPr>
      <w:rFonts w:ascii="Arial" w:hAnsi="Arial"/>
      <w:sz w:val="20"/>
      <w:szCs w:val="20"/>
      <w:lang w:val="x-none" w:eastAsia="x-none"/>
    </w:rPr>
  </w:style>
  <w:style w:type="character" w:customStyle="1" w:styleId="FootnoteTextChar">
    <w:name w:val="Footnote Text Char"/>
    <w:aliases w:val="single space Char,ft Char,Footnote Text Char Char Char Char,Footnote Text Char Char Char1,footnote text Char Char,ft Char Char Char Char,ft Char Char Char1,footnote text Char1,Footnote Text Char1 Char,FOOTNOTES Char,fn Char,F1 Char"/>
    <w:basedOn w:val="DefaultParagraphFont"/>
    <w:link w:val="FootnoteText"/>
    <w:uiPriority w:val="99"/>
    <w:rsid w:val="00037E6B"/>
    <w:rPr>
      <w:rFonts w:ascii="Arial" w:eastAsia="Calibri" w:hAnsi="Arial" w:cs="Times New Roman"/>
      <w:sz w:val="20"/>
      <w:szCs w:val="20"/>
      <w:lang w:val="x-none" w:eastAsia="x-none"/>
    </w:rPr>
  </w:style>
  <w:style w:type="character" w:styleId="FootnoteReference">
    <w:name w:val="footnote reference"/>
    <w:aliases w:val="ftref,BVI fnr,16 Point,Superscript 6 Point,BVI fnr Char Char Char Char,Footnotes refss Char Char Char Char,ftref Char Char Char Char,16 Point Char Char Char Char,Superscript 6 Point Char Char Char Char,Footnotes refss,4_G"/>
    <w:link w:val="BVIfnrCharCharCharChar1CharChar"/>
    <w:uiPriority w:val="99"/>
    <w:unhideWhenUsed/>
    <w:qFormat/>
    <w:rsid w:val="00037E6B"/>
    <w:rPr>
      <w:vertAlign w:val="superscript"/>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037E6B"/>
    <w:pPr>
      <w:spacing w:after="160" w:line="240" w:lineRule="exact"/>
    </w:pPr>
    <w:rPr>
      <w:rFonts w:asciiTheme="minorHAnsi" w:eastAsiaTheme="minorHAnsi" w:hAnsiTheme="minorHAnsi" w:cstheme="minorBidi"/>
      <w:vertAlign w:val="superscript"/>
      <w:lang w:val="en-GB"/>
    </w:rPr>
  </w:style>
  <w:style w:type="paragraph" w:customStyle="1" w:styleId="BodyText3">
    <w:name w:val="Body Text3"/>
    <w:basedOn w:val="Normal"/>
    <w:rsid w:val="00037E6B"/>
    <w:pPr>
      <w:shd w:val="clear" w:color="auto" w:fill="FFFFFF"/>
      <w:spacing w:before="1200" w:after="2400" w:line="0" w:lineRule="atLeast"/>
      <w:ind w:hanging="720"/>
    </w:pPr>
    <w:rPr>
      <w:rFonts w:eastAsia="Times New Roman"/>
      <w:color w:val="000000"/>
      <w:lang w:val="en-US"/>
    </w:rPr>
  </w:style>
  <w:style w:type="character" w:styleId="Hyperlink">
    <w:name w:val="Hyperlink"/>
    <w:basedOn w:val="DefaultParagraphFont"/>
    <w:uiPriority w:val="99"/>
    <w:unhideWhenUsed/>
    <w:rsid w:val="00CF71FB"/>
    <w:rPr>
      <w:color w:val="0563C1" w:themeColor="hyperlink"/>
      <w:u w:val="single"/>
    </w:rPr>
  </w:style>
  <w:style w:type="character" w:customStyle="1" w:styleId="v2-clan-left-1">
    <w:name w:val="v2-clan-left-1"/>
    <w:basedOn w:val="DefaultParagraphFont"/>
    <w:rsid w:val="006904C2"/>
  </w:style>
  <w:style w:type="table" w:styleId="TableGrid">
    <w:name w:val="Table Grid"/>
    <w:basedOn w:val="TableNormal"/>
    <w:uiPriority w:val="39"/>
    <w:rsid w:val="00690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CharChar">
    <w:name w:val="BVI fnr Char Char Char"/>
    <w:aliases w:val="Footnotes refss Char Char Char,ftref Char Char Char,16 Point Char Char Char,Superscript 6 Point Char Char Char,Footnote Reference Number Char Char Char,nota pié di pagina Char Char Char,ftref Char1,4_G Char,BVI fnr Char1"/>
    <w:basedOn w:val="Normal"/>
    <w:rsid w:val="006904C2"/>
    <w:pPr>
      <w:spacing w:after="160" w:line="240" w:lineRule="exact"/>
    </w:pPr>
    <w:rPr>
      <w:rFonts w:asciiTheme="minorHAnsi" w:eastAsiaTheme="minorHAnsi" w:hAnsiTheme="minorHAnsi" w:cstheme="minorBidi"/>
      <w:vertAlign w:val="superscript"/>
      <w:lang w:val="en-GB"/>
    </w:rPr>
  </w:style>
  <w:style w:type="paragraph" w:styleId="ListParagraph">
    <w:name w:val="List Paragraph"/>
    <w:basedOn w:val="Normal"/>
    <w:uiPriority w:val="34"/>
    <w:qFormat/>
    <w:rsid w:val="00775DEF"/>
    <w:pPr>
      <w:ind w:left="720"/>
      <w:contextualSpacing/>
    </w:pPr>
  </w:style>
  <w:style w:type="paragraph" w:styleId="Header">
    <w:name w:val="header"/>
    <w:basedOn w:val="Normal"/>
    <w:link w:val="HeaderChar"/>
    <w:uiPriority w:val="99"/>
    <w:unhideWhenUsed/>
    <w:rsid w:val="00436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99C"/>
    <w:rPr>
      <w:rFonts w:ascii="Times New Roman" w:eastAsia="Calibri" w:hAnsi="Times New Roman" w:cs="Times New Roman"/>
      <w:lang w:val="sr-Latn-RS"/>
    </w:rPr>
  </w:style>
  <w:style w:type="paragraph" w:styleId="Footer">
    <w:name w:val="footer"/>
    <w:basedOn w:val="Normal"/>
    <w:link w:val="FooterChar"/>
    <w:uiPriority w:val="99"/>
    <w:unhideWhenUsed/>
    <w:rsid w:val="00436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99C"/>
    <w:rPr>
      <w:rFonts w:ascii="Times New Roman" w:eastAsia="Calibri" w:hAnsi="Times New Roman" w:cs="Times New Roman"/>
      <w:lang w:val="sr-Latn-RS"/>
    </w:rPr>
  </w:style>
  <w:style w:type="paragraph" w:styleId="BodyTextIndent2">
    <w:name w:val="Body Text Indent 2"/>
    <w:basedOn w:val="Normal"/>
    <w:link w:val="BodyTextIndent2Char"/>
    <w:uiPriority w:val="99"/>
    <w:unhideWhenUsed/>
    <w:rsid w:val="009C33CF"/>
    <w:pPr>
      <w:spacing w:after="120" w:line="480" w:lineRule="auto"/>
      <w:ind w:left="283"/>
    </w:pPr>
    <w:rPr>
      <w:rFonts w:eastAsiaTheme="minorHAnsi"/>
      <w:lang w:val="en-US"/>
    </w:rPr>
  </w:style>
  <w:style w:type="character" w:customStyle="1" w:styleId="BodyTextIndent2Char">
    <w:name w:val="Body Text Indent 2 Char"/>
    <w:basedOn w:val="DefaultParagraphFont"/>
    <w:link w:val="BodyTextIndent2"/>
    <w:uiPriority w:val="99"/>
    <w:rsid w:val="009C33CF"/>
    <w:rPr>
      <w:rFonts w:ascii="Times New Roman" w:hAnsi="Times New Roman" w:cs="Times New Roman"/>
      <w:lang w:val="en-US"/>
    </w:rPr>
  </w:style>
  <w:style w:type="character" w:customStyle="1" w:styleId="Tablecaption">
    <w:name w:val="Table caption_"/>
    <w:basedOn w:val="DefaultParagraphFont"/>
    <w:link w:val="Tablecaption0"/>
    <w:rsid w:val="00E60DB6"/>
    <w:rPr>
      <w:rFonts w:ascii="Times New Roman" w:eastAsia="Times New Roman" w:hAnsi="Times New Roman" w:cs="Times New Roman"/>
      <w:b/>
      <w:bCs/>
      <w:u w:val="single"/>
    </w:rPr>
  </w:style>
  <w:style w:type="character" w:customStyle="1" w:styleId="Other">
    <w:name w:val="Other_"/>
    <w:basedOn w:val="DefaultParagraphFont"/>
    <w:link w:val="Other0"/>
    <w:rsid w:val="00E60DB6"/>
    <w:rPr>
      <w:rFonts w:ascii="Times New Roman" w:eastAsia="Times New Roman" w:hAnsi="Times New Roman" w:cs="Times New Roman"/>
    </w:rPr>
  </w:style>
  <w:style w:type="paragraph" w:customStyle="1" w:styleId="Tablecaption0">
    <w:name w:val="Table caption"/>
    <w:basedOn w:val="Normal"/>
    <w:link w:val="Tablecaption"/>
    <w:rsid w:val="00E60DB6"/>
    <w:pPr>
      <w:widowControl w:val="0"/>
      <w:spacing w:after="0" w:line="240" w:lineRule="auto"/>
    </w:pPr>
    <w:rPr>
      <w:rFonts w:eastAsia="Times New Roman"/>
      <w:b/>
      <w:bCs/>
      <w:u w:val="single"/>
      <w:lang w:val="en-GB"/>
    </w:rPr>
  </w:style>
  <w:style w:type="paragraph" w:customStyle="1" w:styleId="Other0">
    <w:name w:val="Other"/>
    <w:basedOn w:val="Normal"/>
    <w:link w:val="Other"/>
    <w:rsid w:val="00E60DB6"/>
    <w:pPr>
      <w:widowControl w:val="0"/>
      <w:spacing w:after="210" w:line="262" w:lineRule="auto"/>
      <w:ind w:firstLine="400"/>
    </w:pPr>
    <w:rPr>
      <w:rFonts w:eastAsia="Times New Roman"/>
      <w:lang w:val="en-GB"/>
    </w:rPr>
  </w:style>
  <w:style w:type="paragraph" w:styleId="BodyText">
    <w:name w:val="Body Text"/>
    <w:basedOn w:val="Normal"/>
    <w:link w:val="BodyTextChar"/>
    <w:uiPriority w:val="99"/>
    <w:semiHidden/>
    <w:unhideWhenUsed/>
    <w:rsid w:val="00E5431A"/>
    <w:pPr>
      <w:spacing w:after="120"/>
    </w:pPr>
  </w:style>
  <w:style w:type="character" w:customStyle="1" w:styleId="BodyTextChar">
    <w:name w:val="Body Text Char"/>
    <w:basedOn w:val="DefaultParagraphFont"/>
    <w:link w:val="BodyText"/>
    <w:rsid w:val="00E5431A"/>
    <w:rPr>
      <w:rFonts w:ascii="Times New Roman" w:eastAsia="Calibri" w:hAnsi="Times New Roman" w:cs="Times New Roman"/>
      <w:lang w:val="sr-Latn-RS"/>
    </w:rPr>
  </w:style>
  <w:style w:type="paragraph" w:customStyle="1" w:styleId="TableParagraph">
    <w:name w:val="Table Paragraph"/>
    <w:basedOn w:val="Normal"/>
    <w:uiPriority w:val="1"/>
    <w:qFormat/>
    <w:rsid w:val="00334F7A"/>
    <w:pPr>
      <w:widowControl w:val="0"/>
      <w:autoSpaceDE w:val="0"/>
      <w:autoSpaceDN w:val="0"/>
      <w:spacing w:after="0" w:line="240" w:lineRule="auto"/>
      <w:ind w:left="109"/>
    </w:pPr>
    <w:rPr>
      <w:rFonts w:eastAsia="Times New Roman"/>
      <w:lang w:val="en-US"/>
    </w:rPr>
  </w:style>
  <w:style w:type="character" w:styleId="Strong">
    <w:name w:val="Strong"/>
    <w:basedOn w:val="DefaultParagraphFont"/>
    <w:uiPriority w:val="22"/>
    <w:qFormat/>
    <w:rsid w:val="00025313"/>
    <w:rPr>
      <w:b/>
      <w:bCs/>
    </w:rPr>
  </w:style>
  <w:style w:type="character" w:customStyle="1" w:styleId="bulletChar">
    <w:name w:val="bullet Char"/>
    <w:link w:val="bullet"/>
    <w:locked/>
    <w:rsid w:val="00CF11DE"/>
    <w:rPr>
      <w:color w:val="404040"/>
      <w:lang w:eastAsia="ja-JP"/>
    </w:rPr>
  </w:style>
  <w:style w:type="paragraph" w:customStyle="1" w:styleId="bullet">
    <w:name w:val="bullet"/>
    <w:basedOn w:val="Normal"/>
    <w:link w:val="bulletChar"/>
    <w:rsid w:val="00CF11DE"/>
    <w:pPr>
      <w:numPr>
        <w:numId w:val="4"/>
      </w:numPr>
      <w:spacing w:after="120" w:line="240" w:lineRule="auto"/>
      <w:ind w:left="284" w:hanging="284"/>
    </w:pPr>
    <w:rPr>
      <w:rFonts w:asciiTheme="minorHAnsi" w:eastAsiaTheme="minorHAnsi" w:hAnsiTheme="minorHAnsi" w:cstheme="minorBidi"/>
      <w:color w:val="404040"/>
      <w:lang w:val="en-GB" w:eastAsia="ja-JP"/>
    </w:rPr>
  </w:style>
  <w:style w:type="character" w:customStyle="1" w:styleId="None">
    <w:name w:val="None"/>
    <w:basedOn w:val="DefaultParagraphFont"/>
    <w:rsid w:val="00AA3916"/>
  </w:style>
  <w:style w:type="paragraph" w:styleId="BalloonText">
    <w:name w:val="Balloon Text"/>
    <w:basedOn w:val="Normal"/>
    <w:link w:val="BalloonTextChar"/>
    <w:uiPriority w:val="99"/>
    <w:semiHidden/>
    <w:unhideWhenUsed/>
    <w:rsid w:val="00A77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2E1"/>
    <w:rPr>
      <w:rFonts w:ascii="Segoe UI" w:eastAsia="Calibri" w:hAnsi="Segoe UI" w:cs="Segoe UI"/>
      <w:sz w:val="18"/>
      <w:szCs w:val="18"/>
      <w:lang w:val="sr-Latn-RS"/>
    </w:rPr>
  </w:style>
  <w:style w:type="paragraph" w:styleId="NoSpacing">
    <w:name w:val="No Spacing"/>
    <w:uiPriority w:val="1"/>
    <w:qFormat/>
    <w:rsid w:val="009028C6"/>
    <w:pPr>
      <w:spacing w:after="0" w:line="240" w:lineRule="auto"/>
    </w:pPr>
    <w:rPr>
      <w:rFonts w:ascii="Calibri" w:eastAsia="Calibri" w:hAnsi="Calibri" w:cs="Calibri"/>
      <w:lang w:val="en-US" w:eastAsia="sr-Latn-RS"/>
    </w:rPr>
  </w:style>
  <w:style w:type="paragraph" w:styleId="NormalWeb">
    <w:name w:val="Normal (Web)"/>
    <w:basedOn w:val="Normal"/>
    <w:uiPriority w:val="99"/>
    <w:unhideWhenUsed/>
    <w:rsid w:val="009E54F7"/>
    <w:pPr>
      <w:spacing w:before="100" w:beforeAutospacing="1" w:after="100" w:afterAutospacing="1" w:line="240" w:lineRule="auto"/>
    </w:pPr>
    <w:rPr>
      <w:rFonts w:eastAsia="Times New Roman"/>
      <w:sz w:val="24"/>
      <w:szCs w:val="24"/>
      <w:lang w:val="en-US"/>
    </w:rPr>
  </w:style>
  <w:style w:type="character" w:customStyle="1" w:styleId="FontStyle17">
    <w:name w:val="Font Style17"/>
    <w:basedOn w:val="DefaultParagraphFont"/>
    <w:uiPriority w:val="99"/>
    <w:rsid w:val="009E54F7"/>
    <w:rPr>
      <w:rFonts w:ascii="Times New Roman" w:hAnsi="Times New Roman" w:cs="Times New Roman"/>
      <w:sz w:val="22"/>
      <w:szCs w:val="22"/>
    </w:rPr>
  </w:style>
  <w:style w:type="character" w:customStyle="1" w:styleId="Heading2Char">
    <w:name w:val="Heading 2 Char"/>
    <w:basedOn w:val="DefaultParagraphFont"/>
    <w:link w:val="Heading2"/>
    <w:uiPriority w:val="9"/>
    <w:rsid w:val="00E92A05"/>
    <w:rPr>
      <w:rFonts w:asciiTheme="majorHAnsi" w:eastAsiaTheme="majorEastAsia" w:hAnsiTheme="majorHAnsi" w:cstheme="majorBidi"/>
      <w:color w:val="2E74B5" w:themeColor="accent1" w:themeShade="BF"/>
      <w:sz w:val="26"/>
      <w:szCs w:val="26"/>
      <w:lang w:val="sr-Latn-RS"/>
    </w:rPr>
  </w:style>
  <w:style w:type="character" w:customStyle="1" w:styleId="Heading3Char">
    <w:name w:val="Heading 3 Char"/>
    <w:basedOn w:val="DefaultParagraphFont"/>
    <w:link w:val="Heading3"/>
    <w:uiPriority w:val="9"/>
    <w:rsid w:val="00F333CD"/>
    <w:rPr>
      <w:rFonts w:asciiTheme="majorHAnsi" w:eastAsiaTheme="majorEastAsia" w:hAnsiTheme="majorHAnsi" w:cstheme="majorBidi"/>
      <w:color w:val="1F4D78" w:themeColor="accent1" w:themeShade="7F"/>
      <w:sz w:val="24"/>
      <w:szCs w:val="24"/>
      <w:lang w:val="sr-Latn-RS"/>
    </w:rPr>
  </w:style>
  <w:style w:type="paragraph" w:styleId="TOCHeading">
    <w:name w:val="TOC Heading"/>
    <w:basedOn w:val="Heading1"/>
    <w:next w:val="Normal"/>
    <w:uiPriority w:val="39"/>
    <w:unhideWhenUsed/>
    <w:qFormat/>
    <w:rsid w:val="005249B1"/>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D26244"/>
    <w:pPr>
      <w:tabs>
        <w:tab w:val="right" w:leader="dot" w:pos="9016"/>
      </w:tabs>
      <w:spacing w:after="100"/>
    </w:pPr>
    <w:rPr>
      <w:b/>
      <w:noProof/>
    </w:rPr>
  </w:style>
  <w:style w:type="paragraph" w:styleId="TOC2">
    <w:name w:val="toc 2"/>
    <w:basedOn w:val="Normal"/>
    <w:next w:val="Normal"/>
    <w:autoRedefine/>
    <w:uiPriority w:val="39"/>
    <w:unhideWhenUsed/>
    <w:rsid w:val="005249B1"/>
    <w:pPr>
      <w:spacing w:after="100"/>
      <w:ind w:left="220"/>
    </w:pPr>
  </w:style>
  <w:style w:type="paragraph" w:styleId="TOC3">
    <w:name w:val="toc 3"/>
    <w:basedOn w:val="Normal"/>
    <w:next w:val="Normal"/>
    <w:autoRedefine/>
    <w:uiPriority w:val="39"/>
    <w:unhideWhenUsed/>
    <w:rsid w:val="005249B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9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minljmpdd.gov.rs/multilateralni-ugovori.php"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socijalnoukljucivanje.gov.rs/wp-content/uploads/2020/04/Dostupnost_usluga_i_mera_podske_za_decu_romske_nacionalnosti_na_lokalnom_nivou.pdf" TargetMode="External"/><Relationship Id="rId18" Type="http://schemas.openxmlformats.org/officeDocument/2006/relationships/hyperlink" Target="http://www.skgo.org/publications/download/506" TargetMode="External"/><Relationship Id="rId26" Type="http://schemas.openxmlformats.org/officeDocument/2006/relationships/hyperlink" Target="https://projektnosufinansiranjehtmlpublikacija.netlify.app/" TargetMode="External"/><Relationship Id="rId39" Type="http://schemas.openxmlformats.org/officeDocument/2006/relationships/hyperlink" Target="https://isi.f.bg.ac.rs/wp-content/uploads/2020/01/Mladen-Lazi%C4%87-Slobodan-Cveji%C4%87-prir-Stratifikacijske-promene-u-periodu-konsolidacije-kapitalizma-u-Srbiji.pdf" TargetMode="External"/><Relationship Id="rId21" Type="http://schemas.openxmlformats.org/officeDocument/2006/relationships/hyperlink" Target="https://www.mpn.gov.rs/wp-content/uploads/2019/04/HF-33-Smernice-SRB-FINAL.pdf" TargetMode="External"/><Relationship Id="rId34" Type="http://schemas.openxmlformats.org/officeDocument/2006/relationships/hyperlink" Target="https://mojaskola.rtsplaneta.rs/list/772/srpski-kao-nematernji-jezik" TargetMode="External"/><Relationship Id="rId42" Type="http://schemas.openxmlformats.org/officeDocument/2006/relationships/hyperlink" Target="http://dictionary.hcnm.org/dict/" TargetMode="External"/><Relationship Id="rId7" Type="http://schemas.openxmlformats.org/officeDocument/2006/relationships/hyperlink" Target="https://ombudsman.rs/index.php/2011-12-25-10-17-15/2011-12-26-10-05-05/6607-l-lni-s-upr-v-upuc-n-p-s-b-n-izv-sh-s-pr-p-ru-usl-vi-u-r-s-i-n-s-lji-u-si-u-ci-i-v-nr-dn-g-s-nj-i-pri-n-r-z-sh-i-usl-d-p-nd-i-r-n-virus" TargetMode="External"/><Relationship Id="rId2" Type="http://schemas.openxmlformats.org/officeDocument/2006/relationships/hyperlink" Target="https://www.unhcr.org/rs/iskorenjivanje-apatridije" TargetMode="External"/><Relationship Id="rId16" Type="http://schemas.openxmlformats.org/officeDocument/2006/relationships/hyperlink" Target="https://www.ukljucise.org/publikacije" TargetMode="External"/><Relationship Id="rId20" Type="http://schemas.openxmlformats.org/officeDocument/2006/relationships/hyperlink" Target="https://mpn.gov.rs/wp-content/uploads/2019/03/prirucnik-primera-dobre-prakseDemokratska-kultura-u-skolama.pdf" TargetMode="External"/><Relationship Id="rId29" Type="http://schemas.openxmlformats.org/officeDocument/2006/relationships/hyperlink" Target="https://www.pravamanjina.rs/images/Uvod_u_ostvarivanje_prava_na_slu%C5%BEbenu_upotrebu_jezika_i_pisama_nacionalnih_manjina_Mar_2019.pdf" TargetMode="External"/><Relationship Id="rId41" Type="http://schemas.openxmlformats.org/officeDocument/2006/relationships/hyperlink" Target="https://mpn.gov.rs/wp-content/uploads/2022/03/Katalog-udzbenika-na-jezicima-nacionalnih-manjina.pdf" TargetMode="External"/><Relationship Id="rId1" Type="http://schemas.openxmlformats.org/officeDocument/2006/relationships/hyperlink" Target="http://www.unhcr.org/rs/wp-content/uploads/sites/40/2021/04/01-Lica-u-riziku-od-apatridije-u-Srbiji-CeSid-UNHCR-2020-SRB.pdf" TargetMode="External"/><Relationship Id="rId6" Type="http://schemas.openxmlformats.org/officeDocument/2006/relationships/hyperlink" Target="https://www.stat.gov.rs/sr-latn/istrazivanja/mics/" TargetMode="External"/><Relationship Id="rId11" Type="http://schemas.openxmlformats.org/officeDocument/2006/relationships/hyperlink" Target="https://www.mpn.gov.rs/wp-content/uploads/2021/06/SROVRS-2030-1.pdf" TargetMode="External"/><Relationship Id="rId24" Type="http://schemas.openxmlformats.org/officeDocument/2006/relationships/hyperlink" Target="https://www.osce.org/files/f/documents/5/a/473682.pdf" TargetMode="External"/><Relationship Id="rId32" Type="http://schemas.openxmlformats.org/officeDocument/2006/relationships/hyperlink" Target="https://www.osce.org/files/f/documents/7/a/461806.pdf" TargetMode="External"/><Relationship Id="rId37" Type="http://schemas.openxmlformats.org/officeDocument/2006/relationships/hyperlink" Target="http://mduls.gov.rs/wp-content/uploads/Instrukcija-za-postupanje-u-slucajevima-rodjenja-deteta-ciji-roditelji-nemaju-licna-dokumenta-radi-omogucavanja-upisa-u-MKR.pdf" TargetMode="External"/><Relationship Id="rId40" Type="http://schemas.openxmlformats.org/officeDocument/2006/relationships/hyperlink" Target="http://www.rem.rs/sr/odluke/izrecene-mere" TargetMode="External"/><Relationship Id="rId5" Type="http://schemas.openxmlformats.org/officeDocument/2006/relationships/hyperlink" Target="https://socijalnoukljucivanje.gov.rs/rs/objavljena-analiza-odrzivih-modela-za-obezbedjivanje-pristupa-cistoj-pijacoj-vodi-kanalizaciji-i-elektricnoj-energiji-stanovnicima-i-stanovnicama-podstandardnih-romskih-naselja-u-republici-srbiji/" TargetMode="External"/><Relationship Id="rId15" Type="http://schemas.openxmlformats.org/officeDocument/2006/relationships/hyperlink" Target="http://socijalnoukljucivanje.gov.rs" TargetMode="External"/><Relationship Id="rId23" Type="http://schemas.openxmlformats.org/officeDocument/2006/relationships/hyperlink" Target="https://www.uns.org.rs/sr/desk/Privatizacija/71991/polozaj-privatizovanih-manjinskih-medija-nije-se-znacajno-menjao-od-2016-godine-.html" TargetMode="External"/><Relationship Id="rId28" Type="http://schemas.openxmlformats.org/officeDocument/2006/relationships/hyperlink" Target="http://www.puma.vojvodina.gov.rs/sluzbeno_jezik/glavnalist.php" TargetMode="External"/><Relationship Id="rId36" Type="http://schemas.openxmlformats.org/officeDocument/2006/relationships/hyperlink" Target="https://www.ombudsman.rs/attachments/article/6484/POSEBAN%20IZVESTAJ%20ZG%20ANALIZA%20O%20STANJU%20U%20OBLASTI%20VRSENJA%20JAVNIH%20OVLASCENJA.pdf" TargetMode="External"/><Relationship Id="rId10" Type="http://schemas.openxmlformats.org/officeDocument/2006/relationships/hyperlink" Target="http://ravnopravnost.gov.rs/prevencija-segregacije-razvoj-inkluzivnih-upisnih-politika/" TargetMode="External"/><Relationship Id="rId19" Type="http://schemas.openxmlformats.org/officeDocument/2006/relationships/hyperlink" Target="http://www.ravnopravnost.gov.rs" TargetMode="External"/><Relationship Id="rId31" Type="http://schemas.openxmlformats.org/officeDocument/2006/relationships/hyperlink" Target="https://www.ombudsmanapv.org/riv/attachments/article/2131/Istrazivanje_sluz_upotreba_jezika_2018-finall.pdf" TargetMode="External"/><Relationship Id="rId4" Type="http://schemas.openxmlformats.org/officeDocument/2006/relationships/hyperlink" Target="http://socijalnoukljucivanje.gov.rs/rs/objavljeno-mapiranje-podstandardnih-romskih-naselja-prema-rizicima-i-pristupu-pravima-u-republici-srbiji-sa-narocitim-osvrtom-na-covid-19-epidemiju/" TargetMode="External"/><Relationship Id="rId9" Type="http://schemas.openxmlformats.org/officeDocument/2006/relationships/hyperlink" Target="http://www.mpn.gov.rs/wp-content/uploads/2021/02/Brosura_CIP_-05-final-za-zaposleneB-1.pdf" TargetMode="External"/><Relationship Id="rId14" Type="http://schemas.openxmlformats.org/officeDocument/2006/relationships/hyperlink" Target="http://www.inkluzijaroma.stat.gov.rs" TargetMode="External"/><Relationship Id="rId22" Type="http://schemas.openxmlformats.org/officeDocument/2006/relationships/hyperlink" Target="https://unece.org/DAM/stats/publications/2015/ECECES41_EN.pdf" TargetMode="External"/><Relationship Id="rId27" Type="http://schemas.openxmlformats.org/officeDocument/2006/relationships/hyperlink" Target="https://data.gov.rs/sr/datasets/rezultati-konkursa-za-projektno-sufinansiranja-medijskikh-sadrzhaja/" TargetMode="External"/><Relationship Id="rId30" Type="http://schemas.openxmlformats.org/officeDocument/2006/relationships/hyperlink" Target="https://www.ombudsman.rs/index.php/izvestaji/posebnii-izvestaji" TargetMode="External"/><Relationship Id="rId35" Type="http://schemas.openxmlformats.org/officeDocument/2006/relationships/hyperlink" Target="http://www.pzv.edu.rs/" TargetMode="External"/><Relationship Id="rId8" Type="http://schemas.openxmlformats.org/officeDocument/2006/relationships/hyperlink" Target="http://www.mpn.gov.rs/wp-content/uploads/2021/02/Brosura_CIPv05-final-za-roditeljeB.pdf" TargetMode="External"/><Relationship Id="rId3" Type="http://schemas.openxmlformats.org/officeDocument/2006/relationships/hyperlink" Target="https://www.yucom.org.rs/wp-content/uploads/2022/03/1645107722_Analiza-ozakonjenja-17022022-WEB.pdf" TargetMode="External"/><Relationship Id="rId12" Type="http://schemas.openxmlformats.org/officeDocument/2006/relationships/hyperlink" Target="http://www.mpn.gov.rs/izvestaj-o-ukljucenosti-ucenika-iz-osetljivih-grupa-u-obrazovno-vaspitni-rad-tokom-nastave-na-daljinu/" TargetMode="External"/><Relationship Id="rId17" Type="http://schemas.openxmlformats.org/officeDocument/2006/relationships/hyperlink" Target="https://romaworld.rs/" TargetMode="External"/><Relationship Id="rId25" Type="http://schemas.openxmlformats.org/officeDocument/2006/relationships/hyperlink" Target="https://tixwitchy.shinyapps.io/minority_media/" TargetMode="External"/><Relationship Id="rId33" Type="http://schemas.openxmlformats.org/officeDocument/2006/relationships/hyperlink" Target="https://zuov.gov.rs/izdanja-zavoda/" TargetMode="External"/><Relationship Id="rId38" Type="http://schemas.openxmlformats.org/officeDocument/2006/relationships/hyperlink" Target="https://slobodnarec.rs/2022/04/16/etnicka-distanca-odnos-vojvodjanskih-madjara-prema-drugim-nacionalnostima/"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Укупно</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Без квалификација или са ниским нивоом</c:v>
                </c:pt>
                <c:pt idx="1">
                  <c:v>Средње образовање</c:v>
                </c:pt>
                <c:pt idx="2">
                  <c:v>Више и високо образовање</c:v>
                </c:pt>
              </c:strCache>
            </c:strRef>
          </c:cat>
          <c:val>
            <c:numRef>
              <c:f>Sheet1!$B$2:$B$4</c:f>
              <c:numCache>
                <c:formatCode>0</c:formatCode>
                <c:ptCount val="3"/>
                <c:pt idx="0">
                  <c:v>25049</c:v>
                </c:pt>
                <c:pt idx="1">
                  <c:v>2800</c:v>
                </c:pt>
                <c:pt idx="2">
                  <c:v>192</c:v>
                </c:pt>
              </c:numCache>
            </c:numRef>
          </c:val>
          <c:extLst>
            <c:ext xmlns:c16="http://schemas.microsoft.com/office/drawing/2014/chart" uri="{C3380CC4-5D6E-409C-BE32-E72D297353CC}">
              <c16:uniqueId val="{00000000-44C6-48D0-AE61-7704BA9B8077}"/>
            </c:ext>
          </c:extLst>
        </c:ser>
        <c:ser>
          <c:idx val="1"/>
          <c:order val="1"/>
          <c:tx>
            <c:strRef>
              <c:f>Sheet1!$C$1</c:f>
              <c:strCache>
                <c:ptCount val="1"/>
                <c:pt idx="0">
                  <c:v>Жене</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Без квалификација или са ниским нивоом</c:v>
                </c:pt>
                <c:pt idx="1">
                  <c:v>Средње образовање</c:v>
                </c:pt>
                <c:pt idx="2">
                  <c:v>Више и високо образовање</c:v>
                </c:pt>
              </c:strCache>
            </c:strRef>
          </c:cat>
          <c:val>
            <c:numRef>
              <c:f>Sheet1!$C$2:$C$4</c:f>
              <c:numCache>
                <c:formatCode>0</c:formatCode>
                <c:ptCount val="3"/>
                <c:pt idx="0">
                  <c:v>13097</c:v>
                </c:pt>
                <c:pt idx="1">
                  <c:v>1062</c:v>
                </c:pt>
                <c:pt idx="2">
                  <c:v>99</c:v>
                </c:pt>
              </c:numCache>
            </c:numRef>
          </c:val>
          <c:extLst>
            <c:ext xmlns:c16="http://schemas.microsoft.com/office/drawing/2014/chart" uri="{C3380CC4-5D6E-409C-BE32-E72D297353CC}">
              <c16:uniqueId val="{00000001-44C6-48D0-AE61-7704BA9B8077}"/>
            </c:ext>
          </c:extLst>
        </c:ser>
        <c:dLbls>
          <c:showLegendKey val="0"/>
          <c:showVal val="0"/>
          <c:showCatName val="0"/>
          <c:showSerName val="0"/>
          <c:showPercent val="0"/>
          <c:showBubbleSize val="0"/>
        </c:dLbls>
        <c:gapWidth val="100"/>
        <c:overlap val="-24"/>
        <c:axId val="424187744"/>
        <c:axId val="424189712"/>
      </c:barChart>
      <c:catAx>
        <c:axId val="4241877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4189712"/>
        <c:crosses val="autoZero"/>
        <c:auto val="1"/>
        <c:lblAlgn val="ctr"/>
        <c:lblOffset val="100"/>
        <c:noMultiLvlLbl val="0"/>
      </c:catAx>
      <c:valAx>
        <c:axId val="424189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187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C4F24-BAA1-47AB-9FEC-69A33320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144</Pages>
  <Words>59157</Words>
  <Characters>337196</Characters>
  <Application>Microsoft Office Word</Application>
  <DocSecurity>0</DocSecurity>
  <Lines>2809</Lines>
  <Paragraphs>791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Govedarica</dc:creator>
  <cp:keywords/>
  <dc:description/>
  <cp:lastModifiedBy>Gordana Domanović</cp:lastModifiedBy>
  <cp:revision>16</cp:revision>
  <cp:lastPrinted>2022-08-10T08:07:00Z</cp:lastPrinted>
  <dcterms:created xsi:type="dcterms:W3CDTF">2022-08-09T09:31:00Z</dcterms:created>
  <dcterms:modified xsi:type="dcterms:W3CDTF">2022-08-26T08:05:00Z</dcterms:modified>
</cp:coreProperties>
</file>